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97" w:rsidRPr="009B1097" w:rsidRDefault="00852A69" w:rsidP="00C64115">
      <w:pPr>
        <w:pStyle w:val="Title"/>
        <w:rPr>
          <w:sz w:val="24"/>
          <w:szCs w:val="24"/>
        </w:rPr>
      </w:pPr>
      <w:r>
        <w:rPr>
          <w:sz w:val="24"/>
          <w:szCs w:val="24"/>
        </w:rPr>
        <w:t xml:space="preserve"> </w:t>
      </w:r>
    </w:p>
    <w:p w:rsidR="00C64115" w:rsidRPr="00CA1E00" w:rsidRDefault="00042D21" w:rsidP="00042D21">
      <w:pPr>
        <w:pStyle w:val="Title"/>
        <w:ind w:left="4320" w:firstLine="720"/>
      </w:pPr>
      <w:r>
        <w:t>Appendix A</w:t>
      </w:r>
    </w:p>
    <w:p w:rsidR="00C64115" w:rsidRPr="00CA1E00" w:rsidRDefault="00C64115" w:rsidP="00C64115">
      <w:pPr>
        <w:pStyle w:val="Title"/>
      </w:pPr>
    </w:p>
    <w:p w:rsidR="00C64115" w:rsidRPr="00CA1E00" w:rsidRDefault="00C64115" w:rsidP="00C64115">
      <w:pPr>
        <w:pStyle w:val="Title"/>
      </w:pPr>
    </w:p>
    <w:p w:rsidR="00C64115" w:rsidRPr="00CA1E00" w:rsidRDefault="00C64115" w:rsidP="00C64115">
      <w:pPr>
        <w:pStyle w:val="Title"/>
      </w:pPr>
    </w:p>
    <w:p w:rsidR="00C64115" w:rsidRPr="00CA1E00" w:rsidRDefault="00C64115" w:rsidP="00C64115">
      <w:pPr>
        <w:pStyle w:val="Title"/>
      </w:pPr>
    </w:p>
    <w:p w:rsidR="00C64115" w:rsidRPr="00CA1E00" w:rsidRDefault="00C64115" w:rsidP="00C64115">
      <w:pPr>
        <w:pStyle w:val="Title"/>
      </w:pPr>
    </w:p>
    <w:p w:rsidR="00C64115" w:rsidRPr="00CA1E00" w:rsidRDefault="00C64115" w:rsidP="00C64115">
      <w:pPr>
        <w:pStyle w:val="Title"/>
      </w:pPr>
    </w:p>
    <w:p w:rsidR="00C64115" w:rsidRPr="00CA1E00" w:rsidRDefault="00C64115" w:rsidP="00C64115">
      <w:pPr>
        <w:pStyle w:val="Title"/>
      </w:pPr>
    </w:p>
    <w:p w:rsidR="00C64115" w:rsidRPr="00CA1E00" w:rsidRDefault="00C64115" w:rsidP="00C64115">
      <w:pPr>
        <w:pStyle w:val="Title"/>
      </w:pPr>
    </w:p>
    <w:p w:rsidR="00C64115" w:rsidRPr="00CA1E00" w:rsidRDefault="00C64115" w:rsidP="00C64115">
      <w:pPr>
        <w:pStyle w:val="Title"/>
      </w:pPr>
    </w:p>
    <w:p w:rsidR="00C64115" w:rsidRPr="00CA1E00" w:rsidRDefault="00C64115" w:rsidP="00C64115">
      <w:pPr>
        <w:pStyle w:val="Title"/>
      </w:pPr>
    </w:p>
    <w:p w:rsidR="00C64115" w:rsidRPr="00CA1E00" w:rsidRDefault="00C64115" w:rsidP="00C64115">
      <w:pPr>
        <w:pStyle w:val="Title"/>
      </w:pPr>
    </w:p>
    <w:p w:rsidR="00C64115" w:rsidRPr="006D420A" w:rsidRDefault="006E5191" w:rsidP="00C64115">
      <w:pPr>
        <w:pStyle w:val="Title"/>
      </w:pPr>
      <w:r w:rsidRPr="006D420A">
        <w:t xml:space="preserve">Lancashire </w:t>
      </w:r>
      <w:r w:rsidR="001F1A1A">
        <w:t>County Council</w:t>
      </w:r>
    </w:p>
    <w:p w:rsidR="00C64115" w:rsidRPr="006D420A" w:rsidRDefault="00C64115" w:rsidP="00C64115">
      <w:pPr>
        <w:jc w:val="center"/>
      </w:pPr>
    </w:p>
    <w:p w:rsidR="00C64115" w:rsidRPr="006D420A" w:rsidRDefault="00C64115" w:rsidP="00C64115">
      <w:pPr>
        <w:jc w:val="center"/>
      </w:pPr>
    </w:p>
    <w:p w:rsidR="00C64115" w:rsidRPr="006D420A" w:rsidRDefault="006E5191" w:rsidP="00C64115">
      <w:pPr>
        <w:jc w:val="center"/>
        <w:rPr>
          <w:b/>
          <w:sz w:val="36"/>
        </w:rPr>
      </w:pPr>
      <w:r w:rsidRPr="006D420A">
        <w:rPr>
          <w:b/>
          <w:sz w:val="36"/>
        </w:rPr>
        <w:t>Statement of Accounts</w:t>
      </w:r>
    </w:p>
    <w:p w:rsidR="00C64115" w:rsidRPr="006D420A" w:rsidRDefault="00C64115" w:rsidP="00C64115">
      <w:pPr>
        <w:jc w:val="center"/>
      </w:pPr>
    </w:p>
    <w:p w:rsidR="00C64115" w:rsidRPr="006D420A" w:rsidRDefault="00C64115" w:rsidP="00C64115">
      <w:pPr>
        <w:jc w:val="center"/>
      </w:pPr>
    </w:p>
    <w:p w:rsidR="00C64115" w:rsidRPr="006D420A" w:rsidRDefault="00C64115" w:rsidP="00C64115">
      <w:pPr>
        <w:jc w:val="center"/>
        <w:rPr>
          <w:b/>
          <w:sz w:val="36"/>
        </w:rPr>
      </w:pPr>
      <w:r w:rsidRPr="006D420A">
        <w:rPr>
          <w:b/>
          <w:sz w:val="36"/>
        </w:rPr>
        <w:t>20</w:t>
      </w:r>
      <w:r w:rsidR="00286C0E" w:rsidRPr="006D420A">
        <w:rPr>
          <w:b/>
          <w:sz w:val="36"/>
        </w:rPr>
        <w:t>11/12</w:t>
      </w:r>
    </w:p>
    <w:p w:rsidR="00C64115" w:rsidRPr="00286C0E" w:rsidRDefault="00C64115" w:rsidP="00C64115">
      <w:pPr>
        <w:jc w:val="center"/>
        <w:rPr>
          <w:b/>
          <w:sz w:val="28"/>
          <w:highlight w:val="yellow"/>
        </w:rPr>
      </w:pPr>
    </w:p>
    <w:p w:rsidR="00C64115" w:rsidRPr="00286C0E" w:rsidRDefault="00C64115" w:rsidP="00C64115">
      <w:pPr>
        <w:jc w:val="center"/>
        <w:rPr>
          <w:b/>
          <w:sz w:val="28"/>
          <w:highlight w:val="yellow"/>
        </w:rPr>
      </w:pPr>
    </w:p>
    <w:p w:rsidR="00C64115" w:rsidRPr="006F1D40" w:rsidRDefault="00C64115" w:rsidP="00C64115">
      <w:pPr>
        <w:jc w:val="center"/>
        <w:rPr>
          <w:b/>
        </w:rPr>
      </w:pPr>
      <w:r w:rsidRPr="00286C0E">
        <w:rPr>
          <w:b/>
          <w:sz w:val="28"/>
          <w:highlight w:val="yellow"/>
        </w:rPr>
        <w:br w:type="page"/>
      </w:r>
      <w:r w:rsidR="006E5191" w:rsidRPr="006F1D40">
        <w:rPr>
          <w:b/>
        </w:rPr>
        <w:lastRenderedPageBreak/>
        <w:t>Contents</w:t>
      </w:r>
    </w:p>
    <w:p w:rsidR="00C64115" w:rsidRPr="006F1D40" w:rsidRDefault="00C64115" w:rsidP="00C64115"/>
    <w:tbl>
      <w:tblPr>
        <w:tblW w:w="0" w:type="auto"/>
        <w:tblLayout w:type="fixed"/>
        <w:tblLook w:val="0000"/>
      </w:tblPr>
      <w:tblGrid>
        <w:gridCol w:w="7668"/>
        <w:gridCol w:w="1576"/>
      </w:tblGrid>
      <w:tr w:rsidR="00C64115" w:rsidRPr="006F1D40">
        <w:tc>
          <w:tcPr>
            <w:tcW w:w="7668" w:type="dxa"/>
          </w:tcPr>
          <w:p w:rsidR="00C64115" w:rsidRPr="006F1D40" w:rsidRDefault="00C64115" w:rsidP="00C64115">
            <w:pPr>
              <w:spacing w:after="240"/>
            </w:pPr>
          </w:p>
        </w:tc>
        <w:tc>
          <w:tcPr>
            <w:tcW w:w="1576" w:type="dxa"/>
          </w:tcPr>
          <w:p w:rsidR="00C64115" w:rsidRPr="006F1D40" w:rsidRDefault="00C64115" w:rsidP="00C64115">
            <w:pPr>
              <w:spacing w:after="240"/>
              <w:jc w:val="center"/>
              <w:rPr>
                <w:b/>
              </w:rPr>
            </w:pPr>
            <w:r w:rsidRPr="006F1D40">
              <w:rPr>
                <w:b/>
              </w:rPr>
              <w:t xml:space="preserve">Page </w:t>
            </w:r>
          </w:p>
        </w:tc>
      </w:tr>
      <w:tr w:rsidR="00C64115" w:rsidRPr="006F1D40">
        <w:tc>
          <w:tcPr>
            <w:tcW w:w="7668" w:type="dxa"/>
          </w:tcPr>
          <w:p w:rsidR="00C64115" w:rsidRPr="006F1D40" w:rsidRDefault="00C64115" w:rsidP="00C64115">
            <w:pPr>
              <w:spacing w:after="240"/>
            </w:pPr>
            <w:r w:rsidRPr="006F1D40">
              <w:t>Introduction</w:t>
            </w:r>
          </w:p>
        </w:tc>
        <w:tc>
          <w:tcPr>
            <w:tcW w:w="1576" w:type="dxa"/>
          </w:tcPr>
          <w:p w:rsidR="00C64115" w:rsidRPr="006F1D40" w:rsidRDefault="00C64115" w:rsidP="00C64115">
            <w:pPr>
              <w:spacing w:after="240"/>
              <w:jc w:val="center"/>
            </w:pPr>
            <w:r w:rsidRPr="006F1D40">
              <w:t>3</w:t>
            </w:r>
          </w:p>
        </w:tc>
      </w:tr>
      <w:tr w:rsidR="00C64115" w:rsidRPr="006F1D40">
        <w:tc>
          <w:tcPr>
            <w:tcW w:w="7668" w:type="dxa"/>
          </w:tcPr>
          <w:p w:rsidR="00C64115" w:rsidRPr="006F1D40" w:rsidRDefault="00C64115" w:rsidP="00C64115">
            <w:pPr>
              <w:spacing w:after="240"/>
            </w:pPr>
            <w:r w:rsidRPr="006F1D40">
              <w:t>Independent auditor's report</w:t>
            </w:r>
          </w:p>
        </w:tc>
        <w:tc>
          <w:tcPr>
            <w:tcW w:w="1576" w:type="dxa"/>
          </w:tcPr>
          <w:p w:rsidR="00C64115" w:rsidRPr="006F1D40" w:rsidRDefault="007F1BDD" w:rsidP="00750306">
            <w:pPr>
              <w:spacing w:after="240"/>
              <w:jc w:val="center"/>
            </w:pPr>
            <w:r w:rsidRPr="006F1D40">
              <w:t>1</w:t>
            </w:r>
            <w:r w:rsidR="00750306" w:rsidRPr="006F1D40">
              <w:t>0</w:t>
            </w:r>
          </w:p>
        </w:tc>
      </w:tr>
      <w:tr w:rsidR="00C64115" w:rsidRPr="006F1D40">
        <w:tc>
          <w:tcPr>
            <w:tcW w:w="7668" w:type="dxa"/>
          </w:tcPr>
          <w:p w:rsidR="00C64115" w:rsidRPr="006F1D40" w:rsidRDefault="00C64115" w:rsidP="00C64115">
            <w:pPr>
              <w:spacing w:after="240"/>
            </w:pPr>
            <w:r w:rsidRPr="006F1D40">
              <w:t>Statement of responsibilities</w:t>
            </w:r>
          </w:p>
        </w:tc>
        <w:tc>
          <w:tcPr>
            <w:tcW w:w="1576" w:type="dxa"/>
          </w:tcPr>
          <w:p w:rsidR="00C64115" w:rsidRPr="006F1D40" w:rsidRDefault="0009281D" w:rsidP="00086C70">
            <w:pPr>
              <w:spacing w:after="240"/>
              <w:jc w:val="center"/>
            </w:pPr>
            <w:r w:rsidRPr="006F1D40">
              <w:t>1</w:t>
            </w:r>
            <w:r w:rsidR="006D5098">
              <w:t>5</w:t>
            </w:r>
          </w:p>
        </w:tc>
      </w:tr>
      <w:tr w:rsidR="00C64115" w:rsidRPr="006F1D40">
        <w:tc>
          <w:tcPr>
            <w:tcW w:w="7668" w:type="dxa"/>
          </w:tcPr>
          <w:p w:rsidR="00C64115" w:rsidRPr="006F1D40" w:rsidRDefault="00BF6C4D" w:rsidP="00BF6C4D">
            <w:pPr>
              <w:spacing w:after="240"/>
            </w:pPr>
            <w:r w:rsidRPr="006F1D40">
              <w:t>Annual governance s</w:t>
            </w:r>
            <w:r w:rsidR="00C64115" w:rsidRPr="006F1D40">
              <w:t>tatement</w:t>
            </w:r>
          </w:p>
        </w:tc>
        <w:tc>
          <w:tcPr>
            <w:tcW w:w="1576" w:type="dxa"/>
          </w:tcPr>
          <w:p w:rsidR="00C64115" w:rsidRPr="006F1D40" w:rsidRDefault="007F1BDD" w:rsidP="005529AB">
            <w:pPr>
              <w:spacing w:after="240"/>
              <w:jc w:val="center"/>
            </w:pPr>
            <w:r w:rsidRPr="006F1D40">
              <w:t>1</w:t>
            </w:r>
            <w:r w:rsidR="006D5098">
              <w:t>6</w:t>
            </w:r>
          </w:p>
        </w:tc>
      </w:tr>
      <w:tr w:rsidR="00C64115" w:rsidRPr="006F1D40">
        <w:tc>
          <w:tcPr>
            <w:tcW w:w="7668" w:type="dxa"/>
          </w:tcPr>
          <w:p w:rsidR="00C64115" w:rsidRPr="006F1D40" w:rsidRDefault="00C64115" w:rsidP="00C64115">
            <w:pPr>
              <w:spacing w:after="240"/>
            </w:pPr>
            <w:r w:rsidRPr="006F1D40">
              <w:t>Financial statements</w:t>
            </w:r>
          </w:p>
        </w:tc>
        <w:tc>
          <w:tcPr>
            <w:tcW w:w="1576" w:type="dxa"/>
          </w:tcPr>
          <w:p w:rsidR="00C64115" w:rsidRPr="006F1D40" w:rsidRDefault="00FD0A4D" w:rsidP="00C64115">
            <w:pPr>
              <w:spacing w:after="240"/>
              <w:jc w:val="center"/>
            </w:pPr>
            <w:r>
              <w:t>2</w:t>
            </w:r>
            <w:r w:rsidR="006D5098">
              <w:t>2</w:t>
            </w:r>
          </w:p>
        </w:tc>
      </w:tr>
      <w:tr w:rsidR="00C64115" w:rsidRPr="006F1D40">
        <w:tc>
          <w:tcPr>
            <w:tcW w:w="7668" w:type="dxa"/>
          </w:tcPr>
          <w:p w:rsidR="00C64115" w:rsidRPr="006F1D40" w:rsidRDefault="00C64115" w:rsidP="00C64115">
            <w:pPr>
              <w:spacing w:after="240"/>
            </w:pPr>
            <w:r w:rsidRPr="006F1D40">
              <w:t>Notes to the financial statements</w:t>
            </w:r>
          </w:p>
        </w:tc>
        <w:tc>
          <w:tcPr>
            <w:tcW w:w="1576" w:type="dxa"/>
          </w:tcPr>
          <w:p w:rsidR="00C64115" w:rsidRPr="006F1D40" w:rsidRDefault="00750306" w:rsidP="00750306">
            <w:pPr>
              <w:spacing w:after="240"/>
              <w:jc w:val="center"/>
            </w:pPr>
            <w:r w:rsidRPr="006F1D40">
              <w:t>2</w:t>
            </w:r>
            <w:r w:rsidR="006D5098">
              <w:t>8</w:t>
            </w:r>
          </w:p>
        </w:tc>
      </w:tr>
      <w:tr w:rsidR="00C64115" w:rsidRPr="006F1D40">
        <w:tc>
          <w:tcPr>
            <w:tcW w:w="7668" w:type="dxa"/>
          </w:tcPr>
          <w:p w:rsidR="00C64115" w:rsidRPr="006F1D40" w:rsidRDefault="00C64115" w:rsidP="00C64115">
            <w:pPr>
              <w:spacing w:after="240"/>
            </w:pPr>
            <w:r w:rsidRPr="006F1D40">
              <w:t>Other funds and reserves</w:t>
            </w:r>
          </w:p>
        </w:tc>
        <w:tc>
          <w:tcPr>
            <w:tcW w:w="1576" w:type="dxa"/>
          </w:tcPr>
          <w:p w:rsidR="00C64115" w:rsidRPr="006F1D40" w:rsidRDefault="00086C70" w:rsidP="00750306">
            <w:pPr>
              <w:spacing w:after="240"/>
              <w:jc w:val="center"/>
            </w:pPr>
            <w:r w:rsidRPr="006F1D40">
              <w:t>1</w:t>
            </w:r>
            <w:r w:rsidR="006D5098">
              <w:t>60</w:t>
            </w:r>
          </w:p>
        </w:tc>
      </w:tr>
      <w:tr w:rsidR="00C64115" w:rsidRPr="006F1D40">
        <w:tc>
          <w:tcPr>
            <w:tcW w:w="7668" w:type="dxa"/>
          </w:tcPr>
          <w:p w:rsidR="00C64115" w:rsidRPr="006F1D40" w:rsidRDefault="00C64115" w:rsidP="00C64115">
            <w:pPr>
              <w:spacing w:after="240"/>
            </w:pPr>
            <w:r w:rsidRPr="006F1D40">
              <w:t xml:space="preserve">Pension </w:t>
            </w:r>
            <w:r w:rsidR="006E5191" w:rsidRPr="006F1D40">
              <w:t xml:space="preserve">fund </w:t>
            </w:r>
            <w:r w:rsidRPr="006F1D40">
              <w:t>accounts</w:t>
            </w:r>
          </w:p>
        </w:tc>
        <w:tc>
          <w:tcPr>
            <w:tcW w:w="1576" w:type="dxa"/>
          </w:tcPr>
          <w:p w:rsidR="00C64115" w:rsidRPr="006F1D40" w:rsidRDefault="00086C70" w:rsidP="00937779">
            <w:pPr>
              <w:spacing w:after="240"/>
              <w:jc w:val="center"/>
            </w:pPr>
            <w:r w:rsidRPr="006F1D40">
              <w:t>1</w:t>
            </w:r>
            <w:r w:rsidR="00FD0A4D">
              <w:t>6</w:t>
            </w:r>
            <w:r w:rsidR="006D5098">
              <w:t>1</w:t>
            </w:r>
          </w:p>
        </w:tc>
      </w:tr>
      <w:tr w:rsidR="00C64115" w:rsidRPr="006F1D40">
        <w:tc>
          <w:tcPr>
            <w:tcW w:w="7668" w:type="dxa"/>
          </w:tcPr>
          <w:p w:rsidR="00C64115" w:rsidRPr="006F1D40" w:rsidRDefault="00C64115" w:rsidP="00C64115">
            <w:pPr>
              <w:spacing w:after="240"/>
            </w:pPr>
            <w:r w:rsidRPr="006F1D40">
              <w:t>Glossary</w:t>
            </w:r>
          </w:p>
        </w:tc>
        <w:tc>
          <w:tcPr>
            <w:tcW w:w="1576" w:type="dxa"/>
          </w:tcPr>
          <w:p w:rsidR="00C64115" w:rsidRPr="006F1D40" w:rsidRDefault="00750306" w:rsidP="0047516B">
            <w:pPr>
              <w:spacing w:after="240"/>
              <w:jc w:val="center"/>
            </w:pPr>
            <w:r w:rsidRPr="006F1D40">
              <w:t>1</w:t>
            </w:r>
            <w:r w:rsidR="00FD0A4D">
              <w:t>9</w:t>
            </w:r>
            <w:r w:rsidR="006D5098">
              <w:t>9</w:t>
            </w:r>
          </w:p>
        </w:tc>
      </w:tr>
    </w:tbl>
    <w:p w:rsidR="00C64115" w:rsidRPr="006F1D40" w:rsidRDefault="00C64115" w:rsidP="00C64115">
      <w:pPr>
        <w:rPr>
          <w:highlight w:val="darkGray"/>
        </w:rPr>
      </w:pPr>
    </w:p>
    <w:p w:rsidR="00906FA5" w:rsidRPr="006F1D40" w:rsidRDefault="00906FA5" w:rsidP="009B1097">
      <w:pPr>
        <w:spacing w:after="240"/>
        <w:rPr>
          <w:highlight w:val="darkGray"/>
        </w:rPr>
      </w:pPr>
    </w:p>
    <w:p w:rsidR="00906FA5" w:rsidRPr="006F1D40" w:rsidRDefault="00C64115" w:rsidP="009B1097">
      <w:pPr>
        <w:spacing w:after="240"/>
        <w:rPr>
          <w:highlight w:val="darkGray"/>
        </w:rPr>
      </w:pPr>
      <w:r w:rsidRPr="006F1D40">
        <w:rPr>
          <w:highlight w:val="darkGray"/>
        </w:rPr>
        <w:br w:type="page"/>
      </w:r>
      <w:bookmarkStart w:id="0" w:name="Introduction"/>
    </w:p>
    <w:p w:rsidR="00906FA5" w:rsidRPr="0063404E" w:rsidRDefault="00906FA5" w:rsidP="00906FA5">
      <w:pPr>
        <w:spacing w:after="240"/>
        <w:rPr>
          <w:sz w:val="28"/>
          <w:szCs w:val="28"/>
        </w:rPr>
      </w:pPr>
      <w:r w:rsidRPr="0063404E">
        <w:rPr>
          <w:b/>
          <w:sz w:val="28"/>
          <w:szCs w:val="28"/>
        </w:rPr>
        <w:lastRenderedPageBreak/>
        <w:t>Introduction to the statement of accounts</w:t>
      </w:r>
    </w:p>
    <w:p w:rsidR="00906FA5" w:rsidRPr="0063404E" w:rsidRDefault="00906FA5" w:rsidP="00BD07E4">
      <w:pPr>
        <w:numPr>
          <w:ilvl w:val="0"/>
          <w:numId w:val="23"/>
        </w:numPr>
        <w:spacing w:after="240"/>
        <w:rPr>
          <w:b/>
        </w:rPr>
      </w:pPr>
      <w:r w:rsidRPr="0063404E">
        <w:rPr>
          <w:b/>
        </w:rPr>
        <w:t>Purpose of the statement of accounts</w:t>
      </w:r>
    </w:p>
    <w:p w:rsidR="00906FA5" w:rsidRPr="0063404E" w:rsidRDefault="00906FA5" w:rsidP="00906FA5">
      <w:pPr>
        <w:spacing w:after="240"/>
        <w:jc w:val="both"/>
      </w:pPr>
      <w:r w:rsidRPr="0063404E">
        <w:t xml:space="preserve">This statement forms the formal audited accounts of the </w:t>
      </w:r>
      <w:r w:rsidR="001F1A1A">
        <w:t>County Council</w:t>
      </w:r>
      <w:r w:rsidRPr="0063404E">
        <w:t xml:space="preserve"> for the financial year 1 April 2011 to 31 March 2012. The production of the statement is prescribed by Statute; it is prepared in accordance with the Accounts and Audit Regulations 2011 and the Code of Practice on Local Authority Accounting in the United Kingdom 2011.</w:t>
      </w:r>
    </w:p>
    <w:p w:rsidR="001274CD" w:rsidRPr="001C741C" w:rsidRDefault="00906FA5" w:rsidP="001C741C">
      <w:pPr>
        <w:spacing w:after="240"/>
        <w:sectPr w:rsidR="001274CD" w:rsidRPr="001C741C" w:rsidSect="003018D5">
          <w:footerReference w:type="default" r:id="rId8"/>
          <w:pgSz w:w="11906" w:h="16838" w:code="9"/>
          <w:pgMar w:top="720" w:right="720" w:bottom="720" w:left="720" w:header="706" w:footer="706" w:gutter="0"/>
          <w:cols w:space="708"/>
          <w:docGrid w:linePitch="360"/>
        </w:sectPr>
      </w:pPr>
      <w:r w:rsidRPr="0063404E">
        <w:t>The statement gives the reader an overall imp</w:t>
      </w:r>
      <w:r w:rsidR="001F1A1A">
        <w:t>ression of the finances of the County Council</w:t>
      </w:r>
      <w:r w:rsidRPr="0063404E">
        <w:t xml:space="preserve"> for the financial year 2011/12.  It is one of a series of reports and publications on the </w:t>
      </w:r>
      <w:r w:rsidR="00D307CD">
        <w:t>C</w:t>
      </w:r>
      <w:r w:rsidRPr="0063404E">
        <w:t xml:space="preserve">ouncil's finances and financial position. </w:t>
      </w:r>
    </w:p>
    <w:p w:rsidR="00906FA5" w:rsidRPr="0063404E" w:rsidRDefault="00906FA5" w:rsidP="00906FA5">
      <w:pPr>
        <w:spacing w:after="240"/>
        <w:jc w:val="both"/>
      </w:pPr>
      <w:r w:rsidRPr="0063404E">
        <w:lastRenderedPageBreak/>
        <w:t>The main parts of the statement of accounts are:</w:t>
      </w:r>
    </w:p>
    <w:p w:rsidR="00906FA5" w:rsidRPr="0063404E" w:rsidRDefault="00906FA5" w:rsidP="00906FA5">
      <w:pPr>
        <w:numPr>
          <w:ilvl w:val="0"/>
          <w:numId w:val="1"/>
        </w:numPr>
        <w:tabs>
          <w:tab w:val="clear" w:pos="360"/>
          <w:tab w:val="num" w:pos="1080"/>
        </w:tabs>
        <w:spacing w:after="240"/>
        <w:ind w:left="1080"/>
        <w:jc w:val="both"/>
      </w:pPr>
      <w:r w:rsidRPr="0063404E">
        <w:rPr>
          <w:b/>
        </w:rPr>
        <w:t>The Auditor</w:t>
      </w:r>
      <w:r w:rsidR="0063692A">
        <w:rPr>
          <w:b/>
        </w:rPr>
        <w:t>'</w:t>
      </w:r>
      <w:r w:rsidRPr="0063404E">
        <w:rPr>
          <w:b/>
        </w:rPr>
        <w:t>s Report</w:t>
      </w:r>
      <w:r w:rsidRPr="0063404E">
        <w:t xml:space="preserve"> – the district auditor's </w:t>
      </w:r>
      <w:r w:rsidR="00987CAB">
        <w:t>opinion on our accounts for 2011</w:t>
      </w:r>
      <w:r w:rsidRPr="0063404E">
        <w:t>/1</w:t>
      </w:r>
      <w:r w:rsidR="00987CAB">
        <w:t>2</w:t>
      </w:r>
      <w:r w:rsidRPr="0063404E">
        <w:t>.</w:t>
      </w:r>
    </w:p>
    <w:p w:rsidR="00906FA5" w:rsidRPr="0063404E" w:rsidRDefault="00906FA5" w:rsidP="00906FA5">
      <w:pPr>
        <w:numPr>
          <w:ilvl w:val="0"/>
          <w:numId w:val="1"/>
        </w:numPr>
        <w:tabs>
          <w:tab w:val="clear" w:pos="360"/>
          <w:tab w:val="num" w:pos="1080"/>
        </w:tabs>
        <w:spacing w:after="240"/>
        <w:ind w:left="1080"/>
        <w:jc w:val="both"/>
      </w:pPr>
      <w:r w:rsidRPr="0063404E">
        <w:rPr>
          <w:b/>
        </w:rPr>
        <w:t>The Annual Governance Statement</w:t>
      </w:r>
      <w:r w:rsidRPr="0063404E">
        <w:t xml:space="preserve"> – assurances on our governance arrangements and the way we manage our affairs.</w:t>
      </w:r>
    </w:p>
    <w:p w:rsidR="00906FA5" w:rsidRPr="0063404E" w:rsidRDefault="00906FA5" w:rsidP="00906FA5">
      <w:pPr>
        <w:numPr>
          <w:ilvl w:val="0"/>
          <w:numId w:val="1"/>
        </w:numPr>
        <w:tabs>
          <w:tab w:val="clear" w:pos="360"/>
          <w:tab w:val="num" w:pos="1080"/>
        </w:tabs>
        <w:spacing w:after="240"/>
        <w:ind w:left="1080"/>
        <w:jc w:val="both"/>
        <w:rPr>
          <w:b/>
        </w:rPr>
      </w:pPr>
      <w:r w:rsidRPr="0063404E">
        <w:rPr>
          <w:b/>
        </w:rPr>
        <w:t xml:space="preserve">The Movement in Reserves Statement </w:t>
      </w:r>
      <w:r w:rsidRPr="0063404E">
        <w:t xml:space="preserve">– shows the movement in the year on the different reserves held by the authority, analysed into 'usable reserves' (i.e. those that can be applied to fund expenditure or reduce local taxation) and other reserves.  The surplus or deficit on the provision of services line shows the true economic cost of providing the authority's services, more details of which are shown in the comprehensive income and expenditure statement. These are different from the statutory amounts required to be charged to the </w:t>
      </w:r>
      <w:r w:rsidR="00D307CD">
        <w:t>C</w:t>
      </w:r>
      <w:r w:rsidRPr="0063404E">
        <w:t xml:space="preserve">ounty </w:t>
      </w:r>
      <w:r w:rsidR="00BE731B">
        <w:t>F</w:t>
      </w:r>
      <w:r w:rsidRPr="0063404E">
        <w:t xml:space="preserve">und balance for </w:t>
      </w:r>
      <w:r w:rsidR="00D307CD">
        <w:t>C</w:t>
      </w:r>
      <w:r w:rsidRPr="0063404E">
        <w:t xml:space="preserve">ouncil tax setting purposes.  The net increase/ decrease before transfer to earmarked reserves line shows the statutory </w:t>
      </w:r>
      <w:r w:rsidR="00D307CD">
        <w:t>C</w:t>
      </w:r>
      <w:r w:rsidRPr="0063404E">
        <w:t xml:space="preserve">ounty </w:t>
      </w:r>
      <w:r w:rsidR="00BE731B">
        <w:t>F</w:t>
      </w:r>
      <w:r w:rsidRPr="0063404E">
        <w:t xml:space="preserve">und balance before any discretionary transfers to or from earmarked reserves undertaken by the </w:t>
      </w:r>
      <w:r w:rsidR="00546920">
        <w:t>C</w:t>
      </w:r>
      <w:r w:rsidRPr="0063404E">
        <w:t>ouncil.</w:t>
      </w:r>
    </w:p>
    <w:p w:rsidR="00906FA5" w:rsidRPr="0063404E" w:rsidRDefault="00906FA5" w:rsidP="00906FA5">
      <w:pPr>
        <w:numPr>
          <w:ilvl w:val="0"/>
          <w:numId w:val="1"/>
        </w:numPr>
        <w:tabs>
          <w:tab w:val="clear" w:pos="360"/>
          <w:tab w:val="num" w:pos="1080"/>
        </w:tabs>
        <w:spacing w:after="240"/>
        <w:ind w:left="1080"/>
        <w:jc w:val="both"/>
      </w:pPr>
      <w:r w:rsidRPr="0063404E">
        <w:rPr>
          <w:b/>
        </w:rPr>
        <w:t>The Comprehensive Income and Expenditure Account</w:t>
      </w:r>
      <w:r w:rsidRPr="0063404E">
        <w:t xml:space="preserve"> – shows the accounting cost in the year of providing services in accordance with generally accepted accounting practices, rather than the amount to be funded from taxation.  Authorities raise taxation to cover expenditure in accordance with regulations; this may be different from the accounting cost. The taxation position is shown in the Movement in Reserves Statement.</w:t>
      </w:r>
    </w:p>
    <w:p w:rsidR="00906FA5" w:rsidRPr="0063404E" w:rsidRDefault="00906FA5" w:rsidP="00906FA5">
      <w:pPr>
        <w:numPr>
          <w:ilvl w:val="0"/>
          <w:numId w:val="1"/>
        </w:numPr>
        <w:tabs>
          <w:tab w:val="clear" w:pos="360"/>
          <w:tab w:val="num" w:pos="1080"/>
        </w:tabs>
        <w:spacing w:after="240"/>
        <w:ind w:left="1080"/>
        <w:jc w:val="both"/>
      </w:pPr>
      <w:r w:rsidRPr="0063404E">
        <w:rPr>
          <w:b/>
        </w:rPr>
        <w:t>The Balance Sheet</w:t>
      </w:r>
      <w:r w:rsidRPr="0063404E">
        <w:t xml:space="preserve"> – shows the value as at the Balance Sheet date of the assets and liabilities recognised by the authority.  The net assets of the authority are matched by the reserves held.  Reserves are reported in two categories, usable and unusable.</w:t>
      </w:r>
    </w:p>
    <w:p w:rsidR="00906FA5" w:rsidRPr="0063404E" w:rsidRDefault="00906FA5" w:rsidP="00906FA5">
      <w:pPr>
        <w:numPr>
          <w:ilvl w:val="0"/>
          <w:numId w:val="1"/>
        </w:numPr>
        <w:tabs>
          <w:tab w:val="clear" w:pos="360"/>
          <w:tab w:val="num" w:pos="1080"/>
        </w:tabs>
        <w:spacing w:after="240"/>
        <w:ind w:left="1080"/>
        <w:jc w:val="both"/>
      </w:pPr>
      <w:r w:rsidRPr="0063404E">
        <w:rPr>
          <w:b/>
        </w:rPr>
        <w:t xml:space="preserve">The Cashflow Statement </w:t>
      </w:r>
      <w:r w:rsidRPr="0063404E">
        <w:t xml:space="preserve">– shows the changes in cash and cash equivalents of the authority during the reporting period.  </w:t>
      </w:r>
    </w:p>
    <w:p w:rsidR="00906FA5" w:rsidRPr="0063404E" w:rsidRDefault="00906FA5" w:rsidP="00906FA5">
      <w:pPr>
        <w:numPr>
          <w:ilvl w:val="0"/>
          <w:numId w:val="1"/>
        </w:numPr>
        <w:tabs>
          <w:tab w:val="clear" w:pos="360"/>
          <w:tab w:val="num" w:pos="1080"/>
        </w:tabs>
        <w:spacing w:after="240"/>
        <w:ind w:left="1080"/>
        <w:jc w:val="both"/>
      </w:pPr>
      <w:r w:rsidRPr="0063404E">
        <w:rPr>
          <w:b/>
        </w:rPr>
        <w:t>The notes to the accounts</w:t>
      </w:r>
      <w:r w:rsidRPr="0063404E">
        <w:t xml:space="preserve"> – supporting information which sets out further details and explanations of many entries within the financial statements listed above.</w:t>
      </w:r>
    </w:p>
    <w:p w:rsidR="00906FA5" w:rsidRPr="0063404E" w:rsidRDefault="00906FA5" w:rsidP="00906FA5">
      <w:pPr>
        <w:numPr>
          <w:ilvl w:val="0"/>
          <w:numId w:val="1"/>
        </w:numPr>
        <w:tabs>
          <w:tab w:val="clear" w:pos="360"/>
          <w:tab w:val="num" w:pos="1080"/>
        </w:tabs>
        <w:ind w:left="1077" w:hanging="357"/>
        <w:jc w:val="both"/>
      </w:pPr>
      <w:r w:rsidRPr="0063404E">
        <w:rPr>
          <w:b/>
        </w:rPr>
        <w:t>The Pension Fund accounts</w:t>
      </w:r>
      <w:r w:rsidRPr="0063404E">
        <w:t xml:space="preserve"> – a summary of pension fund performance over the year and the net assets of the pension fund at the end of the year. The pension fund accounts </w:t>
      </w:r>
      <w:r w:rsidR="001F1A1A">
        <w:t>are separate from those of the County Council</w:t>
      </w:r>
      <w:r w:rsidRPr="0063404E">
        <w:t>, and are included in this statement for information only.</w:t>
      </w:r>
    </w:p>
    <w:p w:rsidR="00863861" w:rsidRDefault="00863861" w:rsidP="00863861">
      <w:pPr>
        <w:jc w:val="both"/>
        <w:rPr>
          <w:b/>
        </w:rPr>
      </w:pPr>
      <w:r w:rsidRPr="00863861">
        <w:rPr>
          <w:b/>
        </w:rPr>
        <w:t>Revenue spending in 2011/12</w:t>
      </w:r>
    </w:p>
    <w:p w:rsidR="00863861" w:rsidRPr="00863861" w:rsidRDefault="00863861" w:rsidP="00863861">
      <w:pPr>
        <w:jc w:val="both"/>
        <w:rPr>
          <w:b/>
        </w:rPr>
      </w:pPr>
    </w:p>
    <w:p w:rsidR="00863861" w:rsidRPr="00863861" w:rsidRDefault="00863861" w:rsidP="00863861">
      <w:pPr>
        <w:jc w:val="both"/>
      </w:pPr>
      <w:r w:rsidRPr="00863861">
        <w:t xml:space="preserve">The overall financial health of the </w:t>
      </w:r>
      <w:r w:rsidR="001F1A1A">
        <w:t>County Council</w:t>
      </w:r>
      <w:r w:rsidRPr="00863861">
        <w:t xml:space="preserve"> at the end of the 2011/12 financial year continues to be strong.</w:t>
      </w:r>
    </w:p>
    <w:p w:rsidR="00863861" w:rsidRPr="00863861" w:rsidRDefault="00863861" w:rsidP="00863861">
      <w:pPr>
        <w:jc w:val="both"/>
      </w:pPr>
    </w:p>
    <w:p w:rsidR="00863861" w:rsidRPr="00863861" w:rsidRDefault="00863861" w:rsidP="00863861">
      <w:pPr>
        <w:jc w:val="both"/>
      </w:pPr>
      <w:r w:rsidRPr="00863861">
        <w:t>The Council has continued to demonstrate:</w:t>
      </w:r>
    </w:p>
    <w:p w:rsidR="00863861" w:rsidRPr="00863861" w:rsidRDefault="00863861" w:rsidP="00863861">
      <w:pPr>
        <w:jc w:val="both"/>
      </w:pPr>
    </w:p>
    <w:p w:rsidR="00863861" w:rsidRPr="00863861" w:rsidRDefault="00863861" w:rsidP="00BD07E4">
      <w:pPr>
        <w:pStyle w:val="ListParagraph"/>
        <w:numPr>
          <w:ilvl w:val="0"/>
          <w:numId w:val="57"/>
        </w:numPr>
        <w:jc w:val="both"/>
      </w:pPr>
      <w:r w:rsidRPr="00863861">
        <w:t>Strong financial management, through managing the costs of demand led services within budget.</w:t>
      </w:r>
    </w:p>
    <w:p w:rsidR="00863861" w:rsidRPr="00863861" w:rsidRDefault="00863861" w:rsidP="00BD07E4">
      <w:pPr>
        <w:pStyle w:val="ListParagraph"/>
        <w:numPr>
          <w:ilvl w:val="0"/>
          <w:numId w:val="57"/>
        </w:numPr>
        <w:jc w:val="both"/>
      </w:pPr>
      <w:r w:rsidRPr="00863861">
        <w:t>Strong delivery arrangements through achieving the delivery of savings early ensuring that it is relatively easier to meet future years' targets within the three year budget.</w:t>
      </w:r>
    </w:p>
    <w:p w:rsidR="00863861" w:rsidRPr="00863861" w:rsidRDefault="00863861" w:rsidP="00BD07E4">
      <w:pPr>
        <w:pStyle w:val="ListParagraph"/>
        <w:numPr>
          <w:ilvl w:val="0"/>
          <w:numId w:val="57"/>
        </w:numPr>
        <w:jc w:val="both"/>
      </w:pPr>
      <w:r w:rsidRPr="00863861">
        <w:t>Innovation through the successful implementation of the Treasury Management Strategy, and</w:t>
      </w:r>
    </w:p>
    <w:p w:rsidR="00863861" w:rsidRPr="00863861" w:rsidRDefault="00863861" w:rsidP="00BD07E4">
      <w:pPr>
        <w:pStyle w:val="ListParagraph"/>
        <w:numPr>
          <w:ilvl w:val="0"/>
          <w:numId w:val="57"/>
        </w:numPr>
        <w:jc w:val="both"/>
      </w:pPr>
      <w:r w:rsidRPr="00863861">
        <w:t xml:space="preserve">Flexibility through redeploying resources to address the </w:t>
      </w:r>
      <w:r w:rsidR="001F1A1A">
        <w:t>County Council</w:t>
      </w:r>
      <w:r w:rsidRPr="00863861">
        <w:t>'s priorities.</w:t>
      </w:r>
    </w:p>
    <w:p w:rsidR="00863861" w:rsidRPr="00863861" w:rsidRDefault="00863861" w:rsidP="00863861">
      <w:pPr>
        <w:jc w:val="both"/>
      </w:pPr>
    </w:p>
    <w:p w:rsidR="00863861" w:rsidRPr="00863861" w:rsidRDefault="00863861" w:rsidP="00863861">
      <w:pPr>
        <w:jc w:val="both"/>
      </w:pPr>
      <w:r w:rsidRPr="00863861">
        <w:t xml:space="preserve">All of these are characteristic of organisations with well managed finances. At the same time the </w:t>
      </w:r>
      <w:r w:rsidR="001F1A1A">
        <w:t>County Council</w:t>
      </w:r>
      <w:r w:rsidRPr="00863861">
        <w:t xml:space="preserve"> is maintaining a strong balance sheet and has set resources aside to mitigate identified risks.</w:t>
      </w:r>
    </w:p>
    <w:p w:rsidR="00863861" w:rsidRPr="00863861" w:rsidRDefault="00863861" w:rsidP="00863861">
      <w:pPr>
        <w:jc w:val="both"/>
      </w:pPr>
    </w:p>
    <w:p w:rsidR="00863861" w:rsidRPr="00863861" w:rsidRDefault="00863861" w:rsidP="00863861">
      <w:pPr>
        <w:jc w:val="both"/>
      </w:pPr>
      <w:r w:rsidRPr="00863861">
        <w:t>The final position in respect of spending on services was an underspend of £24.0m largely arising from the early achievement of the 2012/13 below the line savings, particularly in relation to management costs and accommodation.</w:t>
      </w:r>
    </w:p>
    <w:p w:rsidR="00863861" w:rsidRPr="00863861" w:rsidRDefault="00863861" w:rsidP="00863861">
      <w:pPr>
        <w:jc w:val="both"/>
      </w:pPr>
    </w:p>
    <w:p w:rsidR="00863861" w:rsidRPr="00863861" w:rsidRDefault="00863861" w:rsidP="00863861">
      <w:pPr>
        <w:jc w:val="both"/>
      </w:pPr>
      <w:r w:rsidRPr="00863861">
        <w:t xml:space="preserve">Due to the exceptional economic circumstances, a one-off contribution of £55.7m has been made to the </w:t>
      </w:r>
      <w:r w:rsidR="001F1A1A">
        <w:t>County Council</w:t>
      </w:r>
      <w:r w:rsidRPr="00863861">
        <w:t xml:space="preserve">'s financial position by the management of the Council's bond portfolio as part of the measures taken to protect the security of </w:t>
      </w:r>
      <w:r w:rsidR="001F1A1A">
        <w:t>County Council</w:t>
      </w:r>
      <w:r w:rsidRPr="00863861">
        <w:t>'s investments.</w:t>
      </w:r>
    </w:p>
    <w:p w:rsidR="00863861" w:rsidRPr="00863861" w:rsidRDefault="00863861" w:rsidP="00863861">
      <w:pPr>
        <w:jc w:val="both"/>
      </w:pPr>
    </w:p>
    <w:p w:rsidR="00863861" w:rsidRPr="00863861" w:rsidRDefault="00863861" w:rsidP="00863861">
      <w:pPr>
        <w:jc w:val="both"/>
      </w:pPr>
      <w:r w:rsidRPr="00863861">
        <w:t>As part of the Medium Term Financial Strategy the Council has already agreed to allocate £40m of the exceptional Treasury Management contribution and £12m of the service under spend to investment in priority areas</w:t>
      </w:r>
      <w:r w:rsidR="0063692A">
        <w:t>.</w:t>
      </w:r>
    </w:p>
    <w:p w:rsidR="00863861" w:rsidRPr="00863861" w:rsidRDefault="00863861" w:rsidP="00863861">
      <w:pPr>
        <w:jc w:val="both"/>
      </w:pPr>
    </w:p>
    <w:p w:rsidR="00863861" w:rsidRPr="00863861" w:rsidRDefault="00863861" w:rsidP="00863861">
      <w:pPr>
        <w:jc w:val="both"/>
      </w:pPr>
      <w:r w:rsidRPr="00863861">
        <w:t>At 31 March 2012 the County Fund balance st</w:t>
      </w:r>
      <w:r w:rsidR="001F3C8A">
        <w:t>ood at £36.</w:t>
      </w:r>
      <w:r w:rsidR="00BE4F52">
        <w:t>5</w:t>
      </w:r>
      <w:r w:rsidRPr="00863861">
        <w:t xml:space="preserve"> million representing 4.9% of the 2012/13 budget requirement.  A general reserve on this scale is regarded as sufficient to manage the significant financial risks facing the </w:t>
      </w:r>
      <w:r w:rsidR="001F1A1A">
        <w:t>County Council</w:t>
      </w:r>
      <w:r w:rsidRPr="00863861">
        <w:t xml:space="preserve"> going forward.</w:t>
      </w:r>
    </w:p>
    <w:p w:rsidR="00863861" w:rsidRPr="00863861" w:rsidRDefault="00863861" w:rsidP="00863861">
      <w:pPr>
        <w:jc w:val="both"/>
      </w:pPr>
    </w:p>
    <w:p w:rsidR="00863861" w:rsidRPr="00863861" w:rsidRDefault="00863861" w:rsidP="00863861">
      <w:pPr>
        <w:jc w:val="both"/>
      </w:pPr>
      <w:r w:rsidRPr="00863861">
        <w:t>There are a further £16</w:t>
      </w:r>
      <w:r w:rsidR="00BE4F52">
        <w:t>9.5</w:t>
      </w:r>
      <w:r w:rsidRPr="00863861">
        <w:t>m of revenue reserves (including trading operations but excluding Schools reserves). This now includes specific provision for the Council's Strategic Investment programme, future severance costs and the Service Transformation Programme to be delivered through One Connect Limited on a business case basis.</w:t>
      </w:r>
    </w:p>
    <w:p w:rsidR="00863861" w:rsidRPr="00863861" w:rsidRDefault="00863861" w:rsidP="00863861">
      <w:pPr>
        <w:jc w:val="both"/>
      </w:pPr>
    </w:p>
    <w:p w:rsidR="00863861" w:rsidRPr="00863861" w:rsidRDefault="00CD475B" w:rsidP="00863861">
      <w:pPr>
        <w:jc w:val="both"/>
      </w:pPr>
      <w:r>
        <w:t>There are also £35.5</w:t>
      </w:r>
      <w:r w:rsidR="00863861" w:rsidRPr="00863861">
        <w:t>m of specific revenue provisions the most significant of which is £18.4m in respect of insurance.</w:t>
      </w:r>
    </w:p>
    <w:p w:rsidR="00863861" w:rsidRPr="00863861" w:rsidRDefault="00863861" w:rsidP="00863861">
      <w:pPr>
        <w:jc w:val="both"/>
      </w:pPr>
    </w:p>
    <w:p w:rsidR="00863861" w:rsidRPr="00863861" w:rsidRDefault="00863861" w:rsidP="00863861">
      <w:pPr>
        <w:jc w:val="both"/>
        <w:rPr>
          <w:u w:val="single"/>
        </w:rPr>
      </w:pPr>
      <w:r w:rsidRPr="00863861">
        <w:rPr>
          <w:u w:val="single"/>
        </w:rPr>
        <w:t>Schools</w:t>
      </w:r>
    </w:p>
    <w:p w:rsidR="00863861" w:rsidRPr="00863861" w:rsidRDefault="00863861" w:rsidP="00863861">
      <w:pPr>
        <w:jc w:val="both"/>
      </w:pPr>
      <w:r w:rsidRPr="00863861">
        <w:t xml:space="preserve">        </w:t>
      </w:r>
    </w:p>
    <w:p w:rsidR="00863861" w:rsidRDefault="00863861" w:rsidP="00863861">
      <w:pPr>
        <w:jc w:val="both"/>
      </w:pPr>
      <w:r w:rsidRPr="00863861">
        <w:t>The Schools delegated budget has under spent by £4.6m whilst the centrally held budget for schools spending has under spent by £6.96m. As a result Schools balances stand at £53.96m with other schools reserves and provisions totalling £27.1m.</w:t>
      </w:r>
    </w:p>
    <w:p w:rsidR="00987CAB" w:rsidRPr="00863861" w:rsidRDefault="00987CAB" w:rsidP="00863861">
      <w:pPr>
        <w:jc w:val="both"/>
      </w:pPr>
    </w:p>
    <w:p w:rsidR="00863861" w:rsidRPr="00863861" w:rsidRDefault="00863861" w:rsidP="00863861">
      <w:pPr>
        <w:jc w:val="both"/>
      </w:pPr>
    </w:p>
    <w:p w:rsidR="00863861" w:rsidRDefault="00863861" w:rsidP="00863861">
      <w:pPr>
        <w:jc w:val="both"/>
        <w:rPr>
          <w:b/>
        </w:rPr>
      </w:pPr>
      <w:r w:rsidRPr="00987CAB">
        <w:rPr>
          <w:b/>
        </w:rPr>
        <w:t xml:space="preserve">Capital spending in 2011/12  </w:t>
      </w:r>
    </w:p>
    <w:p w:rsidR="001C741C" w:rsidRPr="00987CAB" w:rsidRDefault="001C741C" w:rsidP="00863861">
      <w:pPr>
        <w:jc w:val="both"/>
        <w:rPr>
          <w:b/>
        </w:rPr>
      </w:pPr>
    </w:p>
    <w:p w:rsidR="00863861" w:rsidRPr="00863861" w:rsidRDefault="001F1A1A" w:rsidP="00863861">
      <w:pPr>
        <w:jc w:val="both"/>
      </w:pPr>
      <w:r>
        <w:lastRenderedPageBreak/>
        <w:t>The total of the County Council</w:t>
      </w:r>
      <w:r w:rsidR="00863861" w:rsidRPr="00863861">
        <w:t>’s capital spending in 2011/12 was £15</w:t>
      </w:r>
      <w:r>
        <w:t>2.2 million. This reflects the County Council</w:t>
      </w:r>
      <w:r w:rsidR="00863861" w:rsidRPr="00863861">
        <w:t>'s investment in assets which give</w:t>
      </w:r>
      <w:r w:rsidR="009570E9">
        <w:t>s</w:t>
      </w:r>
      <w:r w:rsidR="00863861" w:rsidRPr="00863861">
        <w:t xml:space="preserve"> a long-term benefit to the residents of Lancashire such as schools, roads, libraries and social care facilities for adults and children. Projects included: </w:t>
      </w:r>
    </w:p>
    <w:p w:rsidR="00863861" w:rsidRPr="00863861" w:rsidRDefault="00863861" w:rsidP="00863861">
      <w:pPr>
        <w:jc w:val="both"/>
      </w:pPr>
    </w:p>
    <w:p w:rsidR="00863861" w:rsidRPr="00863861" w:rsidRDefault="00863861" w:rsidP="00BD07E4">
      <w:pPr>
        <w:numPr>
          <w:ilvl w:val="0"/>
          <w:numId w:val="54"/>
        </w:numPr>
        <w:jc w:val="both"/>
      </w:pPr>
      <w:r w:rsidRPr="00863861">
        <w:t xml:space="preserve">Completion of a new primary school at Rawtenstall </w:t>
      </w:r>
    </w:p>
    <w:p w:rsidR="00863861" w:rsidRPr="00863861" w:rsidRDefault="00863861" w:rsidP="00BD07E4">
      <w:pPr>
        <w:numPr>
          <w:ilvl w:val="0"/>
          <w:numId w:val="54"/>
        </w:numPr>
        <w:jc w:val="both"/>
      </w:pPr>
      <w:r w:rsidRPr="00863861">
        <w:t xml:space="preserve">Completion of a special school in West Lancashire  </w:t>
      </w:r>
    </w:p>
    <w:p w:rsidR="00863861" w:rsidRPr="00863861" w:rsidRDefault="00863861" w:rsidP="00BD07E4">
      <w:pPr>
        <w:numPr>
          <w:ilvl w:val="0"/>
          <w:numId w:val="54"/>
        </w:numPr>
        <w:jc w:val="both"/>
      </w:pPr>
      <w:r w:rsidRPr="00863861">
        <w:t>New teaching block at Southlands High School</w:t>
      </w:r>
      <w:r w:rsidR="0063692A">
        <w:t>,</w:t>
      </w:r>
      <w:r w:rsidRPr="00863861">
        <w:t xml:space="preserve"> Chorley</w:t>
      </w:r>
    </w:p>
    <w:p w:rsidR="00863861" w:rsidRPr="00863861" w:rsidRDefault="0063692A" w:rsidP="00BD07E4">
      <w:pPr>
        <w:numPr>
          <w:ilvl w:val="0"/>
          <w:numId w:val="54"/>
        </w:numPr>
        <w:jc w:val="both"/>
      </w:pPr>
      <w:r>
        <w:t>New Science b</w:t>
      </w:r>
      <w:r w:rsidR="00863861" w:rsidRPr="00863861">
        <w:t>locks for Bacup &amp; Rawtenstall Grammar and Lytham St Annes High School</w:t>
      </w:r>
    </w:p>
    <w:p w:rsidR="00863861" w:rsidRPr="00863861" w:rsidRDefault="0063692A" w:rsidP="00BD07E4">
      <w:pPr>
        <w:numPr>
          <w:ilvl w:val="0"/>
          <w:numId w:val="54"/>
        </w:numPr>
        <w:jc w:val="both"/>
      </w:pPr>
      <w:r>
        <w:t>Completion of</w:t>
      </w:r>
      <w:r w:rsidR="00863861" w:rsidRPr="00863861">
        <w:t xml:space="preserve"> over 600 individual schemes to maintain the County's transport infrastructure covering energy reduction, drainage, footways and roads</w:t>
      </w:r>
    </w:p>
    <w:p w:rsidR="00863861" w:rsidRPr="00863861" w:rsidRDefault="00863861" w:rsidP="00BD07E4">
      <w:pPr>
        <w:numPr>
          <w:ilvl w:val="0"/>
          <w:numId w:val="54"/>
        </w:numPr>
        <w:jc w:val="both"/>
      </w:pPr>
      <w:r w:rsidRPr="00863861">
        <w:t>Progressed work on the Guild Wheel, a 21 mile continuous cycle route around Preston</w:t>
      </w:r>
    </w:p>
    <w:p w:rsidR="00863861" w:rsidRPr="00863861" w:rsidRDefault="0063692A" w:rsidP="00BD07E4">
      <w:pPr>
        <w:numPr>
          <w:ilvl w:val="0"/>
          <w:numId w:val="54"/>
        </w:numPr>
        <w:jc w:val="both"/>
      </w:pPr>
      <w:r>
        <w:t>Completion of t</w:t>
      </w:r>
      <w:r w:rsidR="00863861" w:rsidRPr="00863861">
        <w:t>he first phase of the 20mph speed limit programme in resi</w:t>
      </w:r>
      <w:r>
        <w:t>dential areas across Lancashire</w:t>
      </w:r>
    </w:p>
    <w:p w:rsidR="00863861" w:rsidRPr="00863861" w:rsidRDefault="00863861" w:rsidP="00BD07E4">
      <w:pPr>
        <w:numPr>
          <w:ilvl w:val="0"/>
          <w:numId w:val="54"/>
        </w:numPr>
        <w:jc w:val="both"/>
      </w:pPr>
      <w:r w:rsidRPr="00863861">
        <w:t>A new replacement Wyre Respite Centre</w:t>
      </w:r>
    </w:p>
    <w:p w:rsidR="00863861" w:rsidRPr="00863861" w:rsidRDefault="00863861" w:rsidP="00BD07E4">
      <w:pPr>
        <w:numPr>
          <w:ilvl w:val="0"/>
          <w:numId w:val="54"/>
        </w:numPr>
        <w:jc w:val="both"/>
      </w:pPr>
      <w:r w:rsidRPr="00863861">
        <w:t>Learning Disabilities Modernisation Scheme which involved the refurbishment or replacement of several Day Centres</w:t>
      </w:r>
    </w:p>
    <w:p w:rsidR="00863861" w:rsidRPr="00863861" w:rsidRDefault="0063692A" w:rsidP="00BD07E4">
      <w:pPr>
        <w:numPr>
          <w:ilvl w:val="0"/>
          <w:numId w:val="54"/>
        </w:numPr>
        <w:jc w:val="both"/>
      </w:pPr>
      <w:r>
        <w:t>T</w:t>
      </w:r>
      <w:r w:rsidR="00863861" w:rsidRPr="00863861">
        <w:t>he refurbishment of the Day Centre at Temple St, Burnley for people with Learning Disabilities and/or Physical Disabilities with Sensory Impairments</w:t>
      </w:r>
    </w:p>
    <w:p w:rsidR="00863861" w:rsidRPr="00863861" w:rsidRDefault="00863861" w:rsidP="00863861">
      <w:pPr>
        <w:jc w:val="both"/>
      </w:pPr>
    </w:p>
    <w:p w:rsidR="00863861" w:rsidRPr="00863861" w:rsidRDefault="00863861" w:rsidP="00863861">
      <w:pPr>
        <w:jc w:val="both"/>
      </w:pPr>
      <w:r w:rsidRPr="00863861">
        <w:t>In addition the waste PFI scheme entered service in 2011/12 providing two waste treatment facilities to receive and process waste from households in Lancashire and Blackpool together with associated facilities and transport of waste around the network</w:t>
      </w:r>
      <w:r w:rsidR="0063692A">
        <w:t>.</w:t>
      </w:r>
    </w:p>
    <w:p w:rsidR="00863861" w:rsidRPr="00863861" w:rsidRDefault="00863861" w:rsidP="00863861">
      <w:pPr>
        <w:jc w:val="both"/>
      </w:pPr>
      <w:r w:rsidRPr="00863861">
        <w:t xml:space="preserve"> </w:t>
      </w:r>
    </w:p>
    <w:p w:rsidR="00863861" w:rsidRPr="00863861" w:rsidRDefault="00863861" w:rsidP="00863861">
      <w:pPr>
        <w:jc w:val="both"/>
      </w:pPr>
      <w:r w:rsidRPr="00863861">
        <w:t>The expenditure was funded from government grants, capital receipts, other income, revenue contributions and also by long-term borrowing.</w:t>
      </w:r>
    </w:p>
    <w:p w:rsidR="00863861" w:rsidRPr="00863861" w:rsidRDefault="00863861" w:rsidP="00863861">
      <w:pPr>
        <w:jc w:val="both"/>
      </w:pPr>
      <w:r w:rsidRPr="00863861">
        <w:t xml:space="preserve"> </w:t>
      </w:r>
    </w:p>
    <w:p w:rsidR="00863861" w:rsidRPr="00863861" w:rsidRDefault="00863861" w:rsidP="00863861">
      <w:pPr>
        <w:jc w:val="both"/>
      </w:pPr>
      <w:r w:rsidRPr="00863861">
        <w:t>The total loan debt built up over the years to finance capital expenditure and still outstanding at the end of 2011/12 was £818.390 million although some of this relates to assets which have been transferred to other author</w:t>
      </w:r>
      <w:r w:rsidR="001F1A1A">
        <w:t>ities. That part for which the County Council</w:t>
      </w:r>
      <w:r w:rsidRPr="00863861">
        <w:t xml:space="preserve"> is financially responsible is £773.163 million of which the majority is with the Public Works Loan Board (PWLB).  The average rate of interest paid on all the debt in 2011/12 was 2.11% compared with an average rate for 2010/11 of 2.69%</w:t>
      </w:r>
      <w:r w:rsidR="0063692A">
        <w:t>.</w:t>
      </w:r>
    </w:p>
    <w:p w:rsidR="00863861" w:rsidRPr="00863861" w:rsidRDefault="00863861" w:rsidP="00863861">
      <w:pPr>
        <w:jc w:val="both"/>
      </w:pPr>
      <w:r w:rsidRPr="00863861">
        <w:t xml:space="preserve"> </w:t>
      </w:r>
    </w:p>
    <w:p w:rsidR="00863861" w:rsidRPr="00863861" w:rsidRDefault="00863861" w:rsidP="00863861">
      <w:pPr>
        <w:jc w:val="both"/>
      </w:pPr>
    </w:p>
    <w:p w:rsidR="00863861" w:rsidRPr="00863861" w:rsidRDefault="00863861" w:rsidP="00863861">
      <w:pPr>
        <w:jc w:val="both"/>
      </w:pPr>
    </w:p>
    <w:p w:rsidR="00863861" w:rsidRPr="00863861" w:rsidRDefault="00863861" w:rsidP="00863861">
      <w:pPr>
        <w:jc w:val="both"/>
      </w:pPr>
    </w:p>
    <w:p w:rsidR="00863861" w:rsidRDefault="00863861" w:rsidP="00863861">
      <w:pPr>
        <w:jc w:val="both"/>
      </w:pPr>
    </w:p>
    <w:p w:rsidR="00863861" w:rsidRDefault="00863861" w:rsidP="00863861">
      <w:pPr>
        <w:jc w:val="both"/>
      </w:pPr>
    </w:p>
    <w:p w:rsidR="00863861" w:rsidRDefault="00863861" w:rsidP="00863861">
      <w:pPr>
        <w:jc w:val="both"/>
      </w:pPr>
    </w:p>
    <w:p w:rsidR="00863861" w:rsidRDefault="00863861" w:rsidP="00863861">
      <w:pPr>
        <w:jc w:val="both"/>
      </w:pPr>
    </w:p>
    <w:p w:rsidR="00863861" w:rsidRDefault="00863861" w:rsidP="00863861">
      <w:pPr>
        <w:jc w:val="both"/>
      </w:pPr>
    </w:p>
    <w:p w:rsidR="00863861" w:rsidRDefault="00863861" w:rsidP="00863861">
      <w:pPr>
        <w:jc w:val="both"/>
      </w:pPr>
    </w:p>
    <w:p w:rsidR="00863861" w:rsidRDefault="00863861" w:rsidP="00863861">
      <w:pPr>
        <w:jc w:val="both"/>
      </w:pPr>
    </w:p>
    <w:p w:rsidR="00863861" w:rsidRDefault="00863861" w:rsidP="00863861">
      <w:pPr>
        <w:jc w:val="both"/>
      </w:pPr>
    </w:p>
    <w:p w:rsidR="00863861" w:rsidRDefault="00863861" w:rsidP="00863861">
      <w:pPr>
        <w:jc w:val="both"/>
      </w:pPr>
    </w:p>
    <w:p w:rsidR="00863861" w:rsidRDefault="00863861" w:rsidP="00863861">
      <w:pPr>
        <w:jc w:val="both"/>
      </w:pPr>
    </w:p>
    <w:p w:rsidR="00863861" w:rsidRDefault="00863861" w:rsidP="00863861">
      <w:pPr>
        <w:jc w:val="both"/>
      </w:pPr>
    </w:p>
    <w:p w:rsidR="00863861" w:rsidRDefault="00863861" w:rsidP="00863861">
      <w:pPr>
        <w:jc w:val="both"/>
      </w:pPr>
    </w:p>
    <w:p w:rsidR="00863861" w:rsidRDefault="00863861" w:rsidP="00863861">
      <w:pPr>
        <w:jc w:val="both"/>
      </w:pPr>
    </w:p>
    <w:p w:rsidR="00863861" w:rsidRPr="00863861" w:rsidRDefault="00863861" w:rsidP="00863861">
      <w:pPr>
        <w:jc w:val="both"/>
        <w:rPr>
          <w:b/>
        </w:rPr>
      </w:pPr>
      <w:r w:rsidRPr="00863861">
        <w:t>The graph below shows our major areas of capital spending during the year</w:t>
      </w:r>
      <w:r w:rsidRPr="00863861">
        <w:rPr>
          <w:b/>
        </w:rPr>
        <w:t>.</w:t>
      </w:r>
    </w:p>
    <w:p w:rsidR="00863861" w:rsidRPr="00863861" w:rsidRDefault="00863861" w:rsidP="00863861">
      <w:pPr>
        <w:jc w:val="both"/>
        <w:rPr>
          <w:b/>
        </w:rPr>
      </w:pPr>
    </w:p>
    <w:p w:rsidR="00863861" w:rsidRPr="00863861" w:rsidRDefault="00863861" w:rsidP="00863861">
      <w:pPr>
        <w:jc w:val="both"/>
        <w:rPr>
          <w:b/>
        </w:rPr>
      </w:pPr>
      <w:r w:rsidRPr="00863861">
        <w:rPr>
          <w:b/>
        </w:rPr>
        <w:t xml:space="preserve"> </w:t>
      </w:r>
      <w:r w:rsidRPr="00863861">
        <w:rPr>
          <w:b/>
          <w:noProof/>
        </w:rPr>
        <w:drawing>
          <wp:inline distT="0" distB="0" distL="0" distR="0">
            <wp:extent cx="5943600" cy="3629025"/>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63861" w:rsidRPr="00863861" w:rsidRDefault="00863861" w:rsidP="00863861">
      <w:pPr>
        <w:jc w:val="both"/>
        <w:rPr>
          <w:b/>
        </w:rPr>
      </w:pPr>
      <w:r w:rsidRPr="00863861">
        <w:rPr>
          <w:b/>
        </w:rPr>
        <w:tab/>
      </w:r>
      <w:r w:rsidRPr="00863861">
        <w:rPr>
          <w:b/>
        </w:rPr>
        <w:tab/>
      </w:r>
      <w:r w:rsidRPr="00863861">
        <w:rPr>
          <w:b/>
        </w:rPr>
        <w:tab/>
      </w:r>
      <w:r w:rsidRPr="00863861">
        <w:rPr>
          <w:b/>
        </w:rPr>
        <w:tab/>
      </w:r>
      <w:r w:rsidRPr="00863861">
        <w:rPr>
          <w:b/>
        </w:rPr>
        <w:tab/>
        <w:t>£ Million</w:t>
      </w:r>
    </w:p>
    <w:p w:rsidR="00863861" w:rsidRPr="00863861" w:rsidRDefault="00863861" w:rsidP="00863861">
      <w:pPr>
        <w:jc w:val="both"/>
        <w:rPr>
          <w:b/>
        </w:rPr>
      </w:pPr>
    </w:p>
    <w:p w:rsidR="00863861" w:rsidRPr="00863861" w:rsidRDefault="00863861" w:rsidP="00863861">
      <w:pPr>
        <w:jc w:val="both"/>
      </w:pPr>
      <w:r w:rsidRPr="00863861">
        <w:t>Other financial performance measures for the year include:</w:t>
      </w:r>
    </w:p>
    <w:p w:rsidR="00863861" w:rsidRPr="00863861" w:rsidRDefault="00863861" w:rsidP="00863861">
      <w:pPr>
        <w:jc w:val="both"/>
      </w:pPr>
    </w:p>
    <w:p w:rsidR="00863861" w:rsidRPr="00863861" w:rsidRDefault="00863861" w:rsidP="00BD07E4">
      <w:pPr>
        <w:numPr>
          <w:ilvl w:val="0"/>
          <w:numId w:val="37"/>
        </w:numPr>
        <w:jc w:val="both"/>
      </w:pPr>
      <w:r w:rsidRPr="00863861">
        <w:t xml:space="preserve">Treasury Management activity has generated average interest on investments of </w:t>
      </w:r>
      <w:r w:rsidR="005F731C">
        <w:t>7.00</w:t>
      </w:r>
      <w:r w:rsidRPr="00863861">
        <w:t>%;</w:t>
      </w:r>
    </w:p>
    <w:p w:rsidR="00863861" w:rsidRPr="00863861" w:rsidRDefault="00863861" w:rsidP="00863861">
      <w:pPr>
        <w:jc w:val="both"/>
      </w:pPr>
    </w:p>
    <w:p w:rsidR="00863861" w:rsidRPr="00863861" w:rsidRDefault="00863861" w:rsidP="00BD07E4">
      <w:pPr>
        <w:numPr>
          <w:ilvl w:val="0"/>
          <w:numId w:val="37"/>
        </w:numPr>
        <w:jc w:val="both"/>
      </w:pPr>
      <w:r w:rsidRPr="00863861">
        <w:t>As at the end of the year the proportion of outstanding debt over 6 months old was 10.2% compared to 14.8% a year earlier;</w:t>
      </w:r>
    </w:p>
    <w:p w:rsidR="00863861" w:rsidRPr="00863861" w:rsidRDefault="00863861" w:rsidP="00863861">
      <w:pPr>
        <w:jc w:val="both"/>
      </w:pPr>
    </w:p>
    <w:p w:rsidR="00863861" w:rsidRPr="00863861" w:rsidRDefault="00863861" w:rsidP="00BD07E4">
      <w:pPr>
        <w:numPr>
          <w:ilvl w:val="0"/>
          <w:numId w:val="37"/>
        </w:numPr>
        <w:jc w:val="both"/>
      </w:pPr>
      <w:r w:rsidRPr="00863861">
        <w:t>The average number of debtor days (a measure of the speed of income collection) was 42.1 days compared to 46.7 days a year earlier.</w:t>
      </w:r>
    </w:p>
    <w:p w:rsidR="00863861" w:rsidRPr="00863861" w:rsidRDefault="00863861" w:rsidP="00863861">
      <w:pPr>
        <w:jc w:val="both"/>
      </w:pPr>
    </w:p>
    <w:p w:rsidR="00863861" w:rsidRPr="00863861" w:rsidRDefault="00863861" w:rsidP="00863861">
      <w:pPr>
        <w:jc w:val="both"/>
      </w:pPr>
      <w:r w:rsidRPr="00863861">
        <w:t>Full details of spending, income and budget variances are set out in the report on the final accounts to Cabinet on 5 July 2012. This is available on our website:</w:t>
      </w:r>
    </w:p>
    <w:p w:rsidR="00863861" w:rsidRPr="00863861" w:rsidRDefault="00863861" w:rsidP="00863861">
      <w:pPr>
        <w:jc w:val="both"/>
      </w:pPr>
    </w:p>
    <w:p w:rsidR="00863861" w:rsidRPr="00863861" w:rsidRDefault="00F1142D" w:rsidP="00863861">
      <w:pPr>
        <w:jc w:val="both"/>
      </w:pPr>
      <w:hyperlink r:id="rId10" w:history="1">
        <w:r w:rsidR="00863861" w:rsidRPr="00863861">
          <w:rPr>
            <w:rStyle w:val="Hyperlink"/>
          </w:rPr>
          <w:t>http://council.lancashire.gov.uk/ieListMeetings.aspx?CommitteeId=122</w:t>
        </w:r>
      </w:hyperlink>
      <w:r w:rsidR="00863861" w:rsidRPr="00863861">
        <w:t>.</w:t>
      </w:r>
    </w:p>
    <w:p w:rsidR="00863861" w:rsidRPr="00863861" w:rsidRDefault="00863861" w:rsidP="00863861">
      <w:pPr>
        <w:jc w:val="both"/>
      </w:pPr>
    </w:p>
    <w:p w:rsidR="00863861" w:rsidRDefault="00863861" w:rsidP="00863861">
      <w:pPr>
        <w:jc w:val="both"/>
      </w:pPr>
      <w:r w:rsidRPr="00863861">
        <w:t>There is more information on our performance in the Corporate Strategy Monitoring Report and its compendium of performance indicators, also available via the website.</w:t>
      </w:r>
    </w:p>
    <w:p w:rsidR="00987CAB" w:rsidRPr="00863861" w:rsidRDefault="00987CAB" w:rsidP="00863861">
      <w:pPr>
        <w:jc w:val="both"/>
      </w:pPr>
    </w:p>
    <w:p w:rsidR="00863861" w:rsidRPr="0063692A" w:rsidRDefault="00863861" w:rsidP="0063692A">
      <w:pPr>
        <w:jc w:val="both"/>
        <w:rPr>
          <w:u w:val="single"/>
        </w:rPr>
      </w:pPr>
      <w:r w:rsidRPr="0063692A">
        <w:rPr>
          <w:u w:val="single"/>
        </w:rPr>
        <w:t xml:space="preserve">Outlook for the future   </w:t>
      </w:r>
    </w:p>
    <w:p w:rsidR="00987CAB" w:rsidRPr="00863861" w:rsidRDefault="00987CAB" w:rsidP="00987CAB">
      <w:pPr>
        <w:ind w:left="360"/>
        <w:jc w:val="both"/>
      </w:pPr>
    </w:p>
    <w:p w:rsidR="00863861" w:rsidRPr="00863861" w:rsidRDefault="00863861" w:rsidP="00863861">
      <w:pPr>
        <w:jc w:val="both"/>
      </w:pPr>
      <w:r w:rsidRPr="00863861">
        <w:t xml:space="preserve">The economic context within which the </w:t>
      </w:r>
      <w:r w:rsidR="001F1A1A">
        <w:t>County Council</w:t>
      </w:r>
      <w:r w:rsidR="0063692A">
        <w:t xml:space="preserve"> operates remains difficult,</w:t>
      </w:r>
      <w:r w:rsidRPr="00863861">
        <w:t xml:space="preserve"> with significant pressure on public sector spending. The Chancellor's Autumn Statement made it clear that austerity measures could continue up to 2016/17, and that local government can expect to have to deliver the same level of savings as in the current comprehensive spending review.</w:t>
      </w:r>
    </w:p>
    <w:p w:rsidR="00863861" w:rsidRPr="00863861" w:rsidRDefault="00863861" w:rsidP="00863861">
      <w:pPr>
        <w:jc w:val="both"/>
      </w:pPr>
    </w:p>
    <w:p w:rsidR="00863861" w:rsidRPr="00863861" w:rsidRDefault="00863861" w:rsidP="00863861">
      <w:pPr>
        <w:jc w:val="both"/>
      </w:pPr>
      <w:r w:rsidRPr="00863861">
        <w:t xml:space="preserve">Within this challenging context, it is vital that the </w:t>
      </w:r>
      <w:r w:rsidR="001F1A1A">
        <w:t>County Council</w:t>
      </w:r>
      <w:r w:rsidRPr="00863861">
        <w:t>'s three year budget strategy remains on track, and that action is taken to manage financia</w:t>
      </w:r>
      <w:r w:rsidR="0063692A">
        <w:t>l risks as they arise. This is</w:t>
      </w:r>
      <w:r w:rsidRPr="00863861">
        <w:t xml:space="preserve"> in order to maintain a planned reduction in spend, with the impact on services carefully considered and to </w:t>
      </w:r>
      <w:r w:rsidRPr="00863861">
        <w:lastRenderedPageBreak/>
        <w:t xml:space="preserve">ensure the continued provision of sustainable services to the most vulnerable people within Lancashire's communities. </w:t>
      </w:r>
    </w:p>
    <w:p w:rsidR="00863861" w:rsidRPr="00863861" w:rsidRDefault="00863861" w:rsidP="00863861">
      <w:pPr>
        <w:jc w:val="both"/>
      </w:pPr>
    </w:p>
    <w:p w:rsidR="00863861" w:rsidRPr="00863861" w:rsidRDefault="00863861" w:rsidP="00863861">
      <w:pPr>
        <w:jc w:val="both"/>
      </w:pPr>
      <w:r w:rsidRPr="00863861">
        <w:t xml:space="preserve">Looking ahead to 2013/14, there are a number of new financial risks facing the </w:t>
      </w:r>
      <w:r w:rsidR="001F1A1A">
        <w:t>County Council</w:t>
      </w:r>
      <w:r w:rsidRPr="00863861">
        <w:t xml:space="preserve"> as set out below: </w:t>
      </w:r>
    </w:p>
    <w:p w:rsidR="00863861" w:rsidRPr="00863861" w:rsidRDefault="00863861" w:rsidP="00863861">
      <w:pPr>
        <w:jc w:val="both"/>
      </w:pPr>
    </w:p>
    <w:p w:rsidR="00863861" w:rsidRPr="00863861" w:rsidRDefault="00863861" w:rsidP="00863861">
      <w:pPr>
        <w:jc w:val="both"/>
        <w:rPr>
          <w:i/>
        </w:rPr>
      </w:pPr>
      <w:r w:rsidRPr="00863861">
        <w:rPr>
          <w:i/>
        </w:rPr>
        <w:t>Business Rates Retention</w:t>
      </w:r>
    </w:p>
    <w:p w:rsidR="00863861" w:rsidRDefault="00863861" w:rsidP="00863861">
      <w:pPr>
        <w:jc w:val="both"/>
      </w:pPr>
      <w:r w:rsidRPr="00863861">
        <w:t>From April 2013 local authorities will retain a proportion of the locally collected Business Rates receipts as the main source of their funding outside Council Tax receipts.</w:t>
      </w:r>
    </w:p>
    <w:p w:rsidR="001C741C" w:rsidRPr="00863861" w:rsidRDefault="001C741C" w:rsidP="00863861">
      <w:pPr>
        <w:jc w:val="both"/>
      </w:pPr>
    </w:p>
    <w:p w:rsidR="00863861" w:rsidRPr="00863861" w:rsidRDefault="00863861" w:rsidP="00863861">
      <w:pPr>
        <w:jc w:val="both"/>
      </w:pPr>
      <w:r w:rsidRPr="00863861">
        <w:t xml:space="preserve">As a result authorities are subject to volatility in income if business rates receipts fluctuate. Monitoring and managing this volatility is a key risk for the </w:t>
      </w:r>
      <w:r w:rsidR="001F1A1A">
        <w:t>County Council</w:t>
      </w:r>
      <w:r w:rsidRPr="00863861">
        <w:t xml:space="preserve"> and its financial strategy reflects this risk.</w:t>
      </w:r>
    </w:p>
    <w:p w:rsidR="00863861" w:rsidRPr="00863861" w:rsidRDefault="00863861" w:rsidP="00863861">
      <w:pPr>
        <w:jc w:val="both"/>
      </w:pPr>
    </w:p>
    <w:p w:rsidR="00863861" w:rsidRPr="00863861" w:rsidRDefault="00863861" w:rsidP="00863861">
      <w:pPr>
        <w:jc w:val="both"/>
        <w:rPr>
          <w:i/>
        </w:rPr>
      </w:pPr>
      <w:r w:rsidRPr="00863861">
        <w:rPr>
          <w:i/>
        </w:rPr>
        <w:t>Localised Support for Council Tax</w:t>
      </w:r>
    </w:p>
    <w:p w:rsidR="00863861" w:rsidRDefault="00863861" w:rsidP="00863861">
      <w:pPr>
        <w:jc w:val="both"/>
      </w:pPr>
      <w:r w:rsidRPr="00863861">
        <w:t xml:space="preserve">Council Tax Benefit (CTB) is to be replaced in April 2013 by localised support for Council Tax with an expectation from Government that the costs of such support will be 10% less than the costs of CTB. Work continues to design a potential county wide scheme which achieves the objectives set by the Government within the funding envelope which would mitigate this financial risk. The decision on the scheme to be implemented rests with each District Council as the billing authority, and is subject to consultation with the </w:t>
      </w:r>
      <w:r w:rsidR="001F1A1A">
        <w:t>County Council</w:t>
      </w:r>
      <w:r w:rsidRPr="00863861">
        <w:t>.</w:t>
      </w:r>
    </w:p>
    <w:p w:rsidR="001F1A1A" w:rsidRPr="00863861" w:rsidRDefault="001F1A1A" w:rsidP="00863861">
      <w:pPr>
        <w:jc w:val="both"/>
      </w:pPr>
    </w:p>
    <w:p w:rsidR="00863861" w:rsidRPr="00863861" w:rsidRDefault="00863861" w:rsidP="00863861">
      <w:pPr>
        <w:jc w:val="both"/>
      </w:pPr>
      <w:r w:rsidRPr="00863861">
        <w:t>While the county wide development work is continuing</w:t>
      </w:r>
      <w:r w:rsidR="0063692A">
        <w:t>,</w:t>
      </w:r>
      <w:r w:rsidRPr="00863861">
        <w:t xml:space="preserve"> the risk the </w:t>
      </w:r>
      <w:r w:rsidR="001F1A1A">
        <w:t>County Council</w:t>
      </w:r>
      <w:r w:rsidRPr="00863861">
        <w:t xml:space="preserve"> is exposed to is realised if a scheme adopted by the billing authorities does not contain the cost of the scheme within the funding provided. </w:t>
      </w:r>
    </w:p>
    <w:p w:rsidR="00863861" w:rsidRPr="00863861" w:rsidRDefault="00863861" w:rsidP="00863861">
      <w:pPr>
        <w:jc w:val="both"/>
      </w:pPr>
    </w:p>
    <w:p w:rsidR="00863861" w:rsidRPr="00863861" w:rsidRDefault="00863861" w:rsidP="00863861">
      <w:pPr>
        <w:jc w:val="both"/>
      </w:pPr>
      <w:r w:rsidRPr="00863861">
        <w:t>Further, in addition to the potential financial risk from the scheme design, there is a risk related to changes in the number of claims. Experience during the economic downturn indicates that volumes of claims can change quickly with a</w:t>
      </w:r>
      <w:r w:rsidR="0063692A">
        <w:t xml:space="preserve"> corresponding financial impact. T</w:t>
      </w:r>
      <w:r w:rsidRPr="00863861">
        <w:t xml:space="preserve">he </w:t>
      </w:r>
      <w:r w:rsidR="001F1A1A">
        <w:t>County Council</w:t>
      </w:r>
      <w:r w:rsidRPr="00863861">
        <w:t xml:space="preserve"> is therefore subject to the costs that any such changes could generate.</w:t>
      </w:r>
    </w:p>
    <w:p w:rsidR="00863861" w:rsidRPr="00863861" w:rsidRDefault="00863861" w:rsidP="00863861">
      <w:pPr>
        <w:jc w:val="both"/>
      </w:pPr>
    </w:p>
    <w:p w:rsidR="00863861" w:rsidRPr="00863861" w:rsidRDefault="00863861" w:rsidP="00863861">
      <w:pPr>
        <w:jc w:val="both"/>
        <w:rPr>
          <w:i/>
        </w:rPr>
      </w:pPr>
      <w:r w:rsidRPr="00863861">
        <w:rPr>
          <w:i/>
        </w:rPr>
        <w:t>Technical Changes to Council Tax</w:t>
      </w:r>
    </w:p>
    <w:p w:rsidR="00863861" w:rsidRDefault="00863861" w:rsidP="00863861">
      <w:pPr>
        <w:jc w:val="both"/>
      </w:pPr>
      <w:r w:rsidRPr="00863861">
        <w:t xml:space="preserve">The Government has also approved changes to a number of technical areas within the design of council tax, for example the levels of relief available for empty and second homes. Again decisions on whether to implement those elements of these changes which are discretionary are for the billing </w:t>
      </w:r>
      <w:r w:rsidR="001C741C" w:rsidRPr="00863861">
        <w:t>authorities;</w:t>
      </w:r>
      <w:r w:rsidRPr="00863861">
        <w:t xml:space="preserve"> however the Government has made an explicit linkage between these changes and the changes to Council Tax Benefit.</w:t>
      </w:r>
    </w:p>
    <w:p w:rsidR="0063692A" w:rsidRPr="00863861" w:rsidRDefault="0063692A" w:rsidP="00863861">
      <w:pPr>
        <w:jc w:val="both"/>
      </w:pPr>
    </w:p>
    <w:p w:rsidR="00863861" w:rsidRDefault="00863861" w:rsidP="00863861">
      <w:pPr>
        <w:jc w:val="both"/>
      </w:pPr>
      <w:r w:rsidRPr="00863861">
        <w:t>Individual billing authorities will make decisions about how to implement these changes in the context of their own policy objectives and the final level of income realised will also be determined by the view taken on the ability to collect the additional income which is likely to vary between districts.</w:t>
      </w:r>
    </w:p>
    <w:p w:rsidR="0063692A" w:rsidRPr="00863861" w:rsidRDefault="0063692A" w:rsidP="00863861">
      <w:pPr>
        <w:jc w:val="both"/>
      </w:pPr>
    </w:p>
    <w:p w:rsidR="00863861" w:rsidRPr="00863861" w:rsidRDefault="00863861" w:rsidP="00863861">
      <w:pPr>
        <w:jc w:val="both"/>
      </w:pPr>
      <w:r w:rsidRPr="00863861">
        <w:t xml:space="preserve">The use of any additional </w:t>
      </w:r>
      <w:r w:rsidR="00546920">
        <w:t>C</w:t>
      </w:r>
      <w:r w:rsidRPr="00863861">
        <w:t>ouncil tax resources is a matter for the Council to determine as part of its overall budget process.</w:t>
      </w:r>
    </w:p>
    <w:p w:rsidR="00863861" w:rsidRDefault="00863861" w:rsidP="00863861">
      <w:pPr>
        <w:jc w:val="both"/>
      </w:pPr>
    </w:p>
    <w:p w:rsidR="001C741C" w:rsidRPr="00863861" w:rsidRDefault="001C741C" w:rsidP="00863861">
      <w:pPr>
        <w:jc w:val="both"/>
      </w:pPr>
    </w:p>
    <w:p w:rsidR="00863861" w:rsidRPr="00863861" w:rsidRDefault="00863861" w:rsidP="00863861">
      <w:pPr>
        <w:jc w:val="both"/>
        <w:rPr>
          <w:i/>
        </w:rPr>
      </w:pPr>
      <w:r w:rsidRPr="00863861">
        <w:rPr>
          <w:i/>
        </w:rPr>
        <w:t>Discretionary Social Fund</w:t>
      </w:r>
    </w:p>
    <w:p w:rsidR="00863861" w:rsidRPr="00863861" w:rsidRDefault="00863861" w:rsidP="00863861">
      <w:pPr>
        <w:jc w:val="both"/>
      </w:pPr>
      <w:r w:rsidRPr="00863861">
        <w:t xml:space="preserve">Responsibility for discretionary Social Fund Payments will transfer to the </w:t>
      </w:r>
      <w:r w:rsidR="001F1A1A">
        <w:t>County Council</w:t>
      </w:r>
      <w:r w:rsidRPr="00863861">
        <w:t xml:space="preserve"> in April 2013. These payments potentially bring volatile demand, and based on historic information from the Department for Work and Pensions a volatility of +/- £1m is possible. The nature of this service indicates that high volatility is likely.</w:t>
      </w:r>
    </w:p>
    <w:p w:rsidR="00863861" w:rsidRPr="00863861" w:rsidRDefault="00863861" w:rsidP="00863861">
      <w:pPr>
        <w:jc w:val="both"/>
        <w:rPr>
          <w:i/>
        </w:rPr>
      </w:pPr>
    </w:p>
    <w:p w:rsidR="00863861" w:rsidRPr="00863861" w:rsidRDefault="00863861" w:rsidP="00863861">
      <w:pPr>
        <w:jc w:val="both"/>
        <w:rPr>
          <w:i/>
        </w:rPr>
      </w:pPr>
      <w:r w:rsidRPr="00863861">
        <w:rPr>
          <w:i/>
        </w:rPr>
        <w:t>Public Health</w:t>
      </w:r>
    </w:p>
    <w:p w:rsidR="00863861" w:rsidRPr="00863861" w:rsidRDefault="00863861" w:rsidP="00863861">
      <w:pPr>
        <w:jc w:val="both"/>
      </w:pPr>
      <w:r w:rsidRPr="00863861">
        <w:t>More clarity is now available on the potential level of resources for the new Public Health service and the impact on Lancashire of the proposed needs based formula. The needs base formula would seem to indicate some growth in resources over time although this will depend both on the total level of resources allocated by the Government and the rate at which individual areas are moved from the baseline position to the pure allocation derived from the needs based formula.</w:t>
      </w:r>
    </w:p>
    <w:p w:rsidR="00863861" w:rsidRPr="00863861" w:rsidRDefault="00863861" w:rsidP="00863861">
      <w:pPr>
        <w:jc w:val="both"/>
        <w:rPr>
          <w:i/>
        </w:rPr>
      </w:pPr>
    </w:p>
    <w:p w:rsidR="00863861" w:rsidRPr="00863861" w:rsidRDefault="00863861" w:rsidP="00863861">
      <w:pPr>
        <w:jc w:val="both"/>
        <w:rPr>
          <w:i/>
        </w:rPr>
      </w:pPr>
      <w:r w:rsidRPr="00863861">
        <w:rPr>
          <w:i/>
        </w:rPr>
        <w:t>Managing demographic demand within services</w:t>
      </w:r>
    </w:p>
    <w:p w:rsidR="00863861" w:rsidRPr="00863861" w:rsidRDefault="00863861" w:rsidP="00863861">
      <w:pPr>
        <w:jc w:val="both"/>
      </w:pPr>
      <w:r w:rsidRPr="00863861">
        <w:t xml:space="preserve">Nationally, significant increases in demand for social care, particularly for adults, are being reported. Whilst the level of demand is being managed in Lancashire, the level of demand for learning disability services being experienced within the Adult and Community Services Directorate is increasing and therefore impacting on the forecast of the </w:t>
      </w:r>
      <w:r w:rsidR="001F1A1A">
        <w:t>County Council</w:t>
      </w:r>
      <w:r w:rsidRPr="00863861">
        <w:t>'s costs in 2013/14.</w:t>
      </w:r>
    </w:p>
    <w:p w:rsidR="00863861" w:rsidRPr="00863861" w:rsidRDefault="00863861" w:rsidP="00863861">
      <w:pPr>
        <w:jc w:val="both"/>
      </w:pPr>
    </w:p>
    <w:p w:rsidR="00863861" w:rsidRPr="00863861" w:rsidRDefault="00863861" w:rsidP="00863861">
      <w:pPr>
        <w:jc w:val="both"/>
      </w:pPr>
      <w:r w:rsidRPr="00863861">
        <w:t>In addition, the full impact of the changes to ordinary residence has not yet been established. Whilst provision has been made for the additional costs arising from the clarification in the ordinary residence regulations within the three year budget</w:t>
      </w:r>
      <w:r w:rsidR="0063692A">
        <w:t>,</w:t>
      </w:r>
      <w:r w:rsidRPr="00863861">
        <w:t xml:space="preserve"> this could provide a further pressure in 2013/14.   </w:t>
      </w:r>
    </w:p>
    <w:p w:rsidR="00906FA5" w:rsidRPr="00286C0E" w:rsidRDefault="00906FA5" w:rsidP="00906FA5">
      <w:pPr>
        <w:jc w:val="both"/>
        <w:rPr>
          <w:rFonts w:ascii="Helvetica-Light" w:hAnsi="Helvetica-Light" w:cs="Helvetica-Light"/>
          <w:highlight w:val="yellow"/>
        </w:rPr>
      </w:pPr>
    </w:p>
    <w:p w:rsidR="00906FA5" w:rsidRPr="00C533C9" w:rsidRDefault="00906FA5" w:rsidP="00906FA5">
      <w:pPr>
        <w:spacing w:after="240"/>
        <w:jc w:val="both"/>
        <w:rPr>
          <w:b/>
          <w:u w:val="single"/>
        </w:rPr>
      </w:pPr>
      <w:r w:rsidRPr="00C533C9">
        <w:rPr>
          <w:b/>
          <w:u w:val="single"/>
        </w:rPr>
        <w:t>Changes in the Accounts</w:t>
      </w:r>
    </w:p>
    <w:p w:rsidR="00906FA5" w:rsidRPr="00C533C9" w:rsidRDefault="00906FA5" w:rsidP="0063692A">
      <w:pPr>
        <w:pStyle w:val="Default"/>
        <w:jc w:val="both"/>
      </w:pPr>
      <w:r w:rsidRPr="00C533C9">
        <w:rPr>
          <w:rFonts w:ascii="Arial" w:hAnsi="Arial" w:cs="Arial"/>
        </w:rPr>
        <w:t>There is one area of change in that f</w:t>
      </w:r>
      <w:r w:rsidRPr="00C533C9">
        <w:t>or 2011/12 there is a requirement for Heritage Assets to be reflected on the Balance Sheet. These are assets held for their contribution to knowledge and culture and are mainly held by the Museums service or the special library collection. In the past in accordance with accounting policies these assets have not been included in the Authority's assets and therefore the 2010/11 accounts have been restated. There have been no significant acquisitions, disposals or impairment on these assets and it is therefore estimated that t</w:t>
      </w:r>
      <w:r>
        <w:t>he value of the assets at 31 March 20</w:t>
      </w:r>
      <w:r w:rsidRPr="00C533C9">
        <w:t>11 was £28.4m and the Balance sheet has been restated to reflect this.</w:t>
      </w:r>
    </w:p>
    <w:p w:rsidR="00906FA5" w:rsidRPr="0063404E" w:rsidRDefault="00906FA5" w:rsidP="00906FA5">
      <w:pPr>
        <w:pStyle w:val="Default"/>
        <w:rPr>
          <w:rFonts w:ascii="Arial" w:hAnsi="Arial" w:cs="Arial"/>
        </w:rPr>
      </w:pPr>
    </w:p>
    <w:p w:rsidR="00906FA5" w:rsidRPr="0063404E" w:rsidRDefault="00906FA5" w:rsidP="00906FA5">
      <w:pPr>
        <w:pStyle w:val="Default"/>
        <w:rPr>
          <w:rFonts w:ascii="Arial" w:hAnsi="Arial" w:cs="Arial"/>
          <w:b/>
          <w:u w:val="single"/>
        </w:rPr>
      </w:pPr>
      <w:r w:rsidRPr="0063404E">
        <w:rPr>
          <w:rFonts w:ascii="Arial" w:hAnsi="Arial" w:cs="Arial"/>
          <w:b/>
          <w:u w:val="single"/>
        </w:rPr>
        <w:t>Events after the Balance Sheet Date</w:t>
      </w:r>
    </w:p>
    <w:p w:rsidR="001C741C" w:rsidRDefault="001C741C" w:rsidP="001C741C">
      <w:pPr>
        <w:pStyle w:val="Default"/>
      </w:pPr>
    </w:p>
    <w:p w:rsidR="00906FA5" w:rsidRDefault="00906FA5" w:rsidP="001C741C">
      <w:pPr>
        <w:pStyle w:val="Default"/>
      </w:pPr>
      <w:r w:rsidRPr="0063404E">
        <w:t>The Statement of Accounts was authorised for issue by the County Treasurer on</w:t>
      </w:r>
      <w:r w:rsidR="00DC7184">
        <w:t xml:space="preserve"> </w:t>
      </w:r>
      <w:r w:rsidR="004033B2">
        <w:t>26 September</w:t>
      </w:r>
      <w:r w:rsidRPr="0063404E">
        <w:t xml:space="preserve"> 2012. </w:t>
      </w:r>
    </w:p>
    <w:p w:rsidR="001C741C" w:rsidRPr="0063404E" w:rsidRDefault="001C741C" w:rsidP="001C741C">
      <w:pPr>
        <w:pStyle w:val="Default"/>
      </w:pPr>
    </w:p>
    <w:p w:rsidR="00906FA5" w:rsidRPr="0063404E" w:rsidRDefault="00906FA5" w:rsidP="0063692A">
      <w:pPr>
        <w:pStyle w:val="Default"/>
        <w:rPr>
          <w:rFonts w:ascii="Arial" w:hAnsi="Arial" w:cs="Arial"/>
        </w:rPr>
      </w:pPr>
      <w:r w:rsidRPr="0063404E">
        <w:rPr>
          <w:rFonts w:ascii="Arial" w:hAnsi="Arial" w:cs="Arial"/>
        </w:rPr>
        <w:t>No material events after the balance sheet date have been identified.</w:t>
      </w:r>
    </w:p>
    <w:p w:rsidR="00906FA5" w:rsidRPr="0063404E" w:rsidRDefault="00906FA5" w:rsidP="00906FA5">
      <w:pPr>
        <w:pStyle w:val="Default"/>
        <w:rPr>
          <w:rFonts w:ascii="Arial" w:hAnsi="Arial" w:cs="Arial"/>
        </w:rPr>
      </w:pPr>
    </w:p>
    <w:p w:rsidR="00906FA5" w:rsidRPr="0063404E" w:rsidRDefault="00906FA5" w:rsidP="00906FA5">
      <w:pPr>
        <w:rPr>
          <w:b/>
          <w:u w:val="single"/>
        </w:rPr>
      </w:pPr>
      <w:r w:rsidRPr="0063404E">
        <w:rPr>
          <w:b/>
          <w:u w:val="single"/>
        </w:rPr>
        <w:t xml:space="preserve">Pension's liability </w:t>
      </w:r>
    </w:p>
    <w:p w:rsidR="00906FA5" w:rsidRPr="0063404E" w:rsidRDefault="00906FA5" w:rsidP="00906FA5"/>
    <w:p w:rsidR="00906FA5" w:rsidRPr="0063404E" w:rsidRDefault="00906FA5" w:rsidP="0063692A">
      <w:pPr>
        <w:jc w:val="both"/>
      </w:pPr>
      <w:r w:rsidRPr="0063404E">
        <w:t xml:space="preserve">Pension costs are reported in line with International Accounting Standard 19 (IAS 19). This means that the notional costs of retirement benefits are charged to the accounts as they are earned by employees in the year; finance costs (interest costs and the return on assets) must also be included. </w:t>
      </w:r>
    </w:p>
    <w:p w:rsidR="00906FA5" w:rsidRPr="0063404E" w:rsidRDefault="00906FA5" w:rsidP="0063692A">
      <w:pPr>
        <w:jc w:val="both"/>
      </w:pPr>
    </w:p>
    <w:p w:rsidR="00906FA5" w:rsidRPr="0063404E" w:rsidRDefault="00906FA5" w:rsidP="0063692A">
      <w:pPr>
        <w:jc w:val="both"/>
      </w:pPr>
      <w:r w:rsidRPr="0063404E">
        <w:t xml:space="preserve">These notional costs are then reversed out of the accounts and substituted by the actual cash costs of employer pension contributions in the Statement of Movement in Reserves in order to give the </w:t>
      </w:r>
      <w:r w:rsidR="00CE551F">
        <w:t>C</w:t>
      </w:r>
      <w:r w:rsidRPr="0063404E">
        <w:t>ouncil’s actual spend position for the year. (This position</w:t>
      </w:r>
      <w:r w:rsidR="00FA4E44">
        <w:t xml:space="preserve"> is set out in detail in note 66</w:t>
      </w:r>
      <w:r w:rsidRPr="0063404E">
        <w:t xml:space="preserve"> to the accounts.)</w:t>
      </w:r>
    </w:p>
    <w:p w:rsidR="00906FA5" w:rsidRPr="0063404E" w:rsidRDefault="00906FA5" w:rsidP="0063692A">
      <w:pPr>
        <w:jc w:val="both"/>
      </w:pPr>
    </w:p>
    <w:p w:rsidR="00906FA5" w:rsidRPr="0063404E" w:rsidRDefault="00906FA5" w:rsidP="0063692A">
      <w:pPr>
        <w:jc w:val="both"/>
      </w:pPr>
      <w:r w:rsidRPr="0063404E">
        <w:t xml:space="preserve">The treatment under IAS 19 also means that the </w:t>
      </w:r>
      <w:r w:rsidR="00CE551F">
        <w:t>C</w:t>
      </w:r>
      <w:r w:rsidRPr="0063404E">
        <w:t xml:space="preserve">ouncil’s balance sheet includes an entry for the accumulated pension liability, which is a forecast of the long term liability to pay staff retirement </w:t>
      </w:r>
      <w:r w:rsidRPr="0063404E">
        <w:lastRenderedPageBreak/>
        <w:t>benefits. (The balance sheet also contains an equal and offsetting notional pension's reserve entry.)</w:t>
      </w:r>
    </w:p>
    <w:p w:rsidR="00906FA5" w:rsidRPr="0063404E" w:rsidRDefault="00906FA5" w:rsidP="0063692A">
      <w:pPr>
        <w:jc w:val="both"/>
      </w:pPr>
    </w:p>
    <w:p w:rsidR="003F2718" w:rsidRDefault="003F2718" w:rsidP="0063692A">
      <w:pPr>
        <w:jc w:val="both"/>
      </w:pPr>
      <w:r>
        <w:t>At 31 March 2012 the pensions liability calculated by the actuary is £939.496 million, an increase of £174.284 million over the previous year’s figure of £765.212 million. The net liability of £939.496 million is split between the Local Government Pension Scheme (£802.134 million) and the Teachers Pension Scheme (£137.361 million).</w:t>
      </w:r>
    </w:p>
    <w:p w:rsidR="00906FA5" w:rsidRPr="0063404E" w:rsidRDefault="00906FA5" w:rsidP="00906FA5">
      <w:pPr>
        <w:jc w:val="both"/>
      </w:pPr>
    </w:p>
    <w:p w:rsidR="00906FA5" w:rsidRPr="0063404E" w:rsidRDefault="00906FA5" w:rsidP="00906FA5">
      <w:pPr>
        <w:jc w:val="both"/>
      </w:pPr>
    </w:p>
    <w:p w:rsidR="00906FA5" w:rsidRPr="0063404E" w:rsidRDefault="00906FA5" w:rsidP="00906FA5">
      <w:pPr>
        <w:ind w:left="360"/>
      </w:pPr>
    </w:p>
    <w:p w:rsidR="00906FA5" w:rsidRPr="0063404E" w:rsidRDefault="00906FA5" w:rsidP="00906FA5">
      <w:pPr>
        <w:autoSpaceDE w:val="0"/>
        <w:autoSpaceDN w:val="0"/>
        <w:adjustRightInd w:val="0"/>
        <w:ind w:left="360"/>
        <w:rPr>
          <w:rFonts w:ascii="Helvetica-Light" w:hAnsi="Helvetica-Light" w:cs="Helvetica-Light"/>
        </w:rPr>
      </w:pPr>
    </w:p>
    <w:p w:rsidR="00906FA5" w:rsidRPr="0063404E" w:rsidRDefault="00906FA5" w:rsidP="00906FA5">
      <w:pPr>
        <w:rPr>
          <w:b/>
        </w:rPr>
      </w:pPr>
    </w:p>
    <w:p w:rsidR="00906FA5" w:rsidRPr="0063404E" w:rsidRDefault="00906FA5" w:rsidP="00906FA5">
      <w:pPr>
        <w:rPr>
          <w:b/>
        </w:rPr>
      </w:pPr>
    </w:p>
    <w:p w:rsidR="00906FA5" w:rsidRPr="0063404E" w:rsidRDefault="00906FA5" w:rsidP="00976C6E">
      <w:pPr>
        <w:rPr>
          <w:b/>
        </w:rPr>
      </w:pPr>
      <w:r w:rsidRPr="0063404E">
        <w:rPr>
          <w:b/>
        </w:rPr>
        <w:t>Gill Kilpatrick CPFA</w:t>
      </w:r>
    </w:p>
    <w:p w:rsidR="00906FA5" w:rsidRPr="0063404E" w:rsidRDefault="00906FA5" w:rsidP="00906FA5">
      <w:r w:rsidRPr="0063404E">
        <w:rPr>
          <w:b/>
        </w:rPr>
        <w:t>County Treasurer</w:t>
      </w:r>
    </w:p>
    <w:p w:rsidR="0074491E" w:rsidRPr="00976C6E" w:rsidRDefault="004033B2" w:rsidP="008A036D">
      <w:r>
        <w:t>26 September</w:t>
      </w:r>
      <w:r w:rsidR="00906FA5" w:rsidRPr="0063404E">
        <w:t xml:space="preserve"> 2012</w:t>
      </w:r>
      <w:bookmarkEnd w:id="0"/>
    </w:p>
    <w:p w:rsidR="0074491E" w:rsidRDefault="0074491E" w:rsidP="008A036D">
      <w:pPr>
        <w:rPr>
          <w:b/>
          <w:sz w:val="28"/>
          <w:szCs w:val="28"/>
          <w:highlight w:val="yellow"/>
        </w:rPr>
      </w:pPr>
    </w:p>
    <w:p w:rsidR="00D96DB5" w:rsidRDefault="00D96DB5" w:rsidP="008A036D">
      <w:pPr>
        <w:rPr>
          <w:b/>
          <w:sz w:val="28"/>
          <w:szCs w:val="28"/>
          <w:highlight w:val="yellow"/>
        </w:rPr>
      </w:pPr>
    </w:p>
    <w:p w:rsidR="00D96DB5" w:rsidRDefault="00D96DB5" w:rsidP="008A036D">
      <w:pPr>
        <w:rPr>
          <w:b/>
          <w:sz w:val="28"/>
          <w:szCs w:val="28"/>
          <w:highlight w:val="yellow"/>
        </w:rPr>
      </w:pPr>
    </w:p>
    <w:p w:rsidR="00D96DB5" w:rsidRDefault="00D96DB5" w:rsidP="008A036D">
      <w:pPr>
        <w:rPr>
          <w:b/>
          <w:sz w:val="28"/>
          <w:szCs w:val="28"/>
          <w:highlight w:val="yellow"/>
        </w:rPr>
      </w:pPr>
    </w:p>
    <w:p w:rsidR="00D96DB5" w:rsidRDefault="00D96DB5" w:rsidP="008A036D">
      <w:pPr>
        <w:rPr>
          <w:b/>
          <w:sz w:val="28"/>
          <w:szCs w:val="28"/>
          <w:highlight w:val="yellow"/>
        </w:rPr>
      </w:pPr>
    </w:p>
    <w:p w:rsidR="00D96DB5" w:rsidRDefault="00D96DB5" w:rsidP="008A036D">
      <w:pPr>
        <w:rPr>
          <w:b/>
          <w:sz w:val="28"/>
          <w:szCs w:val="28"/>
          <w:highlight w:val="yellow"/>
        </w:rPr>
      </w:pPr>
    </w:p>
    <w:p w:rsidR="00D96DB5" w:rsidRDefault="00D96DB5" w:rsidP="008A036D">
      <w:pPr>
        <w:rPr>
          <w:b/>
          <w:sz w:val="28"/>
          <w:szCs w:val="28"/>
          <w:highlight w:val="yellow"/>
        </w:rPr>
      </w:pPr>
    </w:p>
    <w:p w:rsidR="00D96DB5" w:rsidRDefault="00D96DB5" w:rsidP="008A036D">
      <w:pPr>
        <w:rPr>
          <w:b/>
          <w:sz w:val="28"/>
          <w:szCs w:val="28"/>
          <w:highlight w:val="yellow"/>
        </w:rPr>
      </w:pPr>
    </w:p>
    <w:p w:rsidR="002F61F2" w:rsidRDefault="002F61F2" w:rsidP="008A036D">
      <w:pPr>
        <w:rPr>
          <w:b/>
          <w:sz w:val="28"/>
          <w:szCs w:val="28"/>
          <w:highlight w:val="yellow"/>
        </w:rPr>
      </w:pPr>
    </w:p>
    <w:p w:rsidR="002F61F2" w:rsidRDefault="002F61F2" w:rsidP="008A036D">
      <w:pPr>
        <w:rPr>
          <w:b/>
          <w:sz w:val="28"/>
          <w:szCs w:val="28"/>
          <w:highlight w:val="yellow"/>
        </w:rPr>
      </w:pPr>
    </w:p>
    <w:p w:rsidR="002F61F2" w:rsidRDefault="002F61F2" w:rsidP="008A036D">
      <w:pPr>
        <w:rPr>
          <w:b/>
          <w:sz w:val="28"/>
          <w:szCs w:val="28"/>
          <w:highlight w:val="yellow"/>
        </w:rPr>
      </w:pPr>
    </w:p>
    <w:p w:rsidR="002F61F2" w:rsidRDefault="002F61F2" w:rsidP="008A036D">
      <w:pPr>
        <w:rPr>
          <w:b/>
          <w:sz w:val="28"/>
          <w:szCs w:val="28"/>
          <w:highlight w:val="yellow"/>
        </w:rPr>
      </w:pPr>
    </w:p>
    <w:p w:rsidR="002F61F2" w:rsidRDefault="002F61F2" w:rsidP="008A036D">
      <w:pPr>
        <w:rPr>
          <w:b/>
          <w:sz w:val="28"/>
          <w:szCs w:val="28"/>
          <w:highlight w:val="yellow"/>
        </w:rPr>
      </w:pPr>
    </w:p>
    <w:p w:rsidR="002F61F2" w:rsidRDefault="002F61F2" w:rsidP="008A036D">
      <w:pPr>
        <w:rPr>
          <w:b/>
          <w:sz w:val="28"/>
          <w:szCs w:val="28"/>
          <w:highlight w:val="yellow"/>
        </w:rPr>
      </w:pPr>
    </w:p>
    <w:p w:rsidR="002F61F2" w:rsidRDefault="002F61F2" w:rsidP="008A036D">
      <w:pPr>
        <w:rPr>
          <w:b/>
          <w:sz w:val="28"/>
          <w:szCs w:val="28"/>
          <w:highlight w:val="yellow"/>
        </w:rPr>
      </w:pPr>
    </w:p>
    <w:p w:rsidR="002F61F2" w:rsidRDefault="002F61F2" w:rsidP="008A036D">
      <w:pPr>
        <w:rPr>
          <w:b/>
          <w:sz w:val="28"/>
          <w:szCs w:val="28"/>
          <w:highlight w:val="yellow"/>
        </w:rPr>
      </w:pPr>
    </w:p>
    <w:p w:rsidR="002F61F2" w:rsidRDefault="002F61F2" w:rsidP="008A036D">
      <w:pPr>
        <w:rPr>
          <w:b/>
          <w:sz w:val="28"/>
          <w:szCs w:val="28"/>
          <w:highlight w:val="yellow"/>
        </w:rPr>
      </w:pPr>
    </w:p>
    <w:p w:rsidR="002F61F2" w:rsidRDefault="002F61F2" w:rsidP="008A036D">
      <w:pPr>
        <w:rPr>
          <w:b/>
          <w:sz w:val="28"/>
          <w:szCs w:val="28"/>
          <w:highlight w:val="yellow"/>
        </w:rPr>
      </w:pPr>
    </w:p>
    <w:p w:rsidR="002F61F2" w:rsidRDefault="002F61F2" w:rsidP="008A036D">
      <w:pPr>
        <w:rPr>
          <w:b/>
          <w:sz w:val="28"/>
          <w:szCs w:val="28"/>
          <w:highlight w:val="yellow"/>
        </w:rPr>
      </w:pPr>
    </w:p>
    <w:p w:rsidR="002F61F2" w:rsidRDefault="002F61F2" w:rsidP="008A036D">
      <w:pPr>
        <w:rPr>
          <w:b/>
          <w:sz w:val="28"/>
          <w:szCs w:val="28"/>
          <w:highlight w:val="yellow"/>
        </w:rPr>
      </w:pPr>
    </w:p>
    <w:p w:rsidR="002F61F2" w:rsidRDefault="002F61F2" w:rsidP="008A036D">
      <w:pPr>
        <w:rPr>
          <w:b/>
          <w:sz w:val="28"/>
          <w:szCs w:val="28"/>
          <w:highlight w:val="yellow"/>
        </w:rPr>
      </w:pPr>
    </w:p>
    <w:p w:rsidR="002F61F2" w:rsidRDefault="002F61F2" w:rsidP="008A036D">
      <w:pPr>
        <w:rPr>
          <w:b/>
          <w:sz w:val="28"/>
          <w:szCs w:val="28"/>
          <w:highlight w:val="yellow"/>
        </w:rPr>
      </w:pPr>
    </w:p>
    <w:p w:rsidR="002F61F2" w:rsidRDefault="002F61F2" w:rsidP="008A036D">
      <w:pPr>
        <w:rPr>
          <w:b/>
          <w:sz w:val="28"/>
          <w:szCs w:val="28"/>
          <w:highlight w:val="yellow"/>
        </w:rPr>
      </w:pPr>
    </w:p>
    <w:p w:rsidR="002F61F2" w:rsidRDefault="002F61F2" w:rsidP="008A036D">
      <w:pPr>
        <w:rPr>
          <w:b/>
          <w:sz w:val="28"/>
          <w:szCs w:val="28"/>
          <w:highlight w:val="yellow"/>
        </w:rPr>
      </w:pPr>
    </w:p>
    <w:p w:rsidR="00D41142" w:rsidRPr="002920A1" w:rsidRDefault="00421746" w:rsidP="008A036D">
      <w:pPr>
        <w:rPr>
          <w:b/>
          <w:sz w:val="28"/>
          <w:szCs w:val="28"/>
        </w:rPr>
      </w:pPr>
      <w:r w:rsidRPr="002920A1">
        <w:rPr>
          <w:b/>
          <w:sz w:val="28"/>
          <w:szCs w:val="28"/>
        </w:rPr>
        <w:t xml:space="preserve">Independent auditor’s report to the members of Lancashire </w:t>
      </w:r>
      <w:r w:rsidR="001F1A1A" w:rsidRPr="002920A1">
        <w:rPr>
          <w:b/>
          <w:sz w:val="28"/>
          <w:szCs w:val="28"/>
        </w:rPr>
        <w:t>County Council</w:t>
      </w:r>
    </w:p>
    <w:p w:rsidR="00C64115" w:rsidRPr="00286C0E" w:rsidRDefault="00C64115" w:rsidP="00D41142">
      <w:pPr>
        <w:jc w:val="center"/>
        <w:rPr>
          <w:b/>
          <w:sz w:val="28"/>
          <w:szCs w:val="28"/>
          <w:highlight w:val="yellow"/>
        </w:rPr>
      </w:pPr>
    </w:p>
    <w:p w:rsidR="00482768" w:rsidRPr="00AD2340" w:rsidRDefault="00482768" w:rsidP="00482768">
      <w:pPr>
        <w:rPr>
          <w:b/>
        </w:rPr>
      </w:pPr>
      <w:r w:rsidRPr="00AD2340">
        <w:rPr>
          <w:b/>
        </w:rPr>
        <w:t xml:space="preserve">Opinion on the </w:t>
      </w:r>
      <w:r>
        <w:rPr>
          <w:b/>
        </w:rPr>
        <w:t>a</w:t>
      </w:r>
      <w:r w:rsidRPr="00AD2340">
        <w:rPr>
          <w:b/>
        </w:rPr>
        <w:t xml:space="preserve">uthority </w:t>
      </w:r>
      <w:r>
        <w:rPr>
          <w:b/>
        </w:rPr>
        <w:t>financial</w:t>
      </w:r>
      <w:r w:rsidRPr="00AD2340">
        <w:rPr>
          <w:b/>
        </w:rPr>
        <w:t xml:space="preserve"> statements</w:t>
      </w:r>
    </w:p>
    <w:p w:rsidR="00482768" w:rsidRPr="00AD2340" w:rsidRDefault="00482768" w:rsidP="00482768">
      <w:pPr>
        <w:rPr>
          <w:b/>
        </w:rPr>
      </w:pPr>
    </w:p>
    <w:p w:rsidR="00482768" w:rsidRPr="00AD2340" w:rsidRDefault="00482768" w:rsidP="00482768">
      <w:r w:rsidRPr="00AD2340">
        <w:t xml:space="preserve">I have audited the </w:t>
      </w:r>
      <w:r>
        <w:t>financial</w:t>
      </w:r>
      <w:r w:rsidRPr="00AD2340">
        <w:t xml:space="preserve"> statements of </w:t>
      </w:r>
      <w:r>
        <w:t>Lancashire County Council</w:t>
      </w:r>
      <w:r w:rsidRPr="00AD2340">
        <w:t xml:space="preserve"> for the year ended 31 March 201</w:t>
      </w:r>
      <w:r>
        <w:t>2</w:t>
      </w:r>
      <w:r w:rsidRPr="00AD2340">
        <w:t xml:space="preserve"> under the Audit Commission Act 1998. The </w:t>
      </w:r>
      <w:r>
        <w:t>financial</w:t>
      </w:r>
      <w:r w:rsidRPr="00AD2340">
        <w:t xml:space="preserve"> statements comprise the </w:t>
      </w:r>
      <w:r w:rsidRPr="000859B9">
        <w:t xml:space="preserve">Movement in Reserves Statement, the Comprehensive Income and Expenditure Statement, the Balance Sheet, </w:t>
      </w:r>
      <w:r w:rsidRPr="000859B9">
        <w:lastRenderedPageBreak/>
        <w:t xml:space="preserve">the Cash Flow Statement, </w:t>
      </w:r>
      <w:r w:rsidRPr="00AD2340">
        <w:t xml:space="preserve">and the related notes. </w:t>
      </w:r>
      <w:r>
        <w:t>The financial reporting framework that has been applied in their preparation is applicable law and the CIPFA/LASAAC Code of Practice on Local Authority Accounting in the United Kingdom 2011/12</w:t>
      </w:r>
      <w:r w:rsidRPr="00AD2340">
        <w:t>.</w:t>
      </w:r>
    </w:p>
    <w:p w:rsidR="00482768" w:rsidRPr="00AD2340" w:rsidRDefault="00482768" w:rsidP="00482768"/>
    <w:p w:rsidR="00482768" w:rsidRPr="00AD2340" w:rsidRDefault="00482768" w:rsidP="00482768">
      <w:r w:rsidRPr="00AD2340">
        <w:t xml:space="preserve">This report is made solely to the members of </w:t>
      </w:r>
      <w:r>
        <w:t>Lancashire County Council</w:t>
      </w:r>
      <w:r w:rsidRPr="00AD2340">
        <w:t xml:space="preserve"> in accordance with Part II of the Audit Commission Act 1998 and for no other purpose, as set out in paragraph 48 of the Statement of Responsibilities of Auditors and Audited Bodies published by the Audit Commission in March 2010.</w:t>
      </w:r>
    </w:p>
    <w:p w:rsidR="00482768" w:rsidRPr="00AD2340" w:rsidRDefault="00482768" w:rsidP="00482768"/>
    <w:p w:rsidR="00482768" w:rsidRPr="00AD2340" w:rsidRDefault="00482768" w:rsidP="00482768">
      <w:pPr>
        <w:rPr>
          <w:b/>
        </w:rPr>
      </w:pPr>
      <w:r w:rsidRPr="00AD2340">
        <w:rPr>
          <w:b/>
        </w:rPr>
        <w:t xml:space="preserve">Respective responsibilities of the </w:t>
      </w:r>
      <w:smartTag w:uri="urn:schemas-microsoft-com:office:smarttags" w:element="place">
        <w:smartTag w:uri="urn:schemas-microsoft-com:office:smarttags" w:element="PlaceType">
          <w:r>
            <w:rPr>
              <w:b/>
            </w:rPr>
            <w:t>County</w:t>
          </w:r>
        </w:smartTag>
        <w:r>
          <w:rPr>
            <w:b/>
          </w:rPr>
          <w:t xml:space="preserve"> </w:t>
        </w:r>
        <w:smartTag w:uri="urn:schemas-microsoft-com:office:smarttags" w:element="PlaceName">
          <w:r>
            <w:rPr>
              <w:b/>
            </w:rPr>
            <w:t>Treasurer</w:t>
          </w:r>
        </w:smartTag>
      </w:smartTag>
      <w:r w:rsidRPr="00AD2340">
        <w:rPr>
          <w:b/>
        </w:rPr>
        <w:t xml:space="preserve"> and auditor</w:t>
      </w:r>
    </w:p>
    <w:p w:rsidR="00482768" w:rsidRPr="00AD2340" w:rsidRDefault="00482768" w:rsidP="00482768">
      <w:pPr>
        <w:rPr>
          <w:b/>
        </w:rPr>
      </w:pPr>
    </w:p>
    <w:p w:rsidR="00482768" w:rsidRPr="00AD2340" w:rsidRDefault="00482768" w:rsidP="00482768">
      <w:pPr>
        <w:autoSpaceDE w:val="0"/>
        <w:autoSpaceDN w:val="0"/>
        <w:adjustRightInd w:val="0"/>
        <w:rPr>
          <w:iCs/>
        </w:rPr>
      </w:pPr>
      <w:r w:rsidRPr="00AD2340">
        <w:t xml:space="preserve">As explained more fully in the Statement of Responsibilities, the </w:t>
      </w:r>
      <w:r>
        <w:t>County Treasurer</w:t>
      </w:r>
      <w:r w:rsidRPr="00AD2340">
        <w:t xml:space="preserve"> is responsible for the preparation of the Statement of Accounts</w:t>
      </w:r>
      <w:r>
        <w:t>, which includes the financial statements,</w:t>
      </w:r>
      <w:r w:rsidRPr="00AD2340">
        <w:t xml:space="preserve"> in accordance with proper practices as set out in the CIPFA/LASAAC </w:t>
      </w:r>
      <w:r w:rsidRPr="00AD2340">
        <w:rPr>
          <w:iCs/>
        </w:rPr>
        <w:t>Code of Practice on Local Authority Accounting in the United Kingdom</w:t>
      </w:r>
      <w:r>
        <w:rPr>
          <w:iCs/>
        </w:rPr>
        <w:t xml:space="preserve">, </w:t>
      </w:r>
      <w:r>
        <w:t>and for being satisfied that they give a true and fair view</w:t>
      </w:r>
      <w:r w:rsidRPr="00AD2340">
        <w:rPr>
          <w:iCs/>
        </w:rPr>
        <w:t xml:space="preserve">. My responsibility is to audit </w:t>
      </w:r>
      <w:r>
        <w:rPr>
          <w:iCs/>
        </w:rPr>
        <w:t xml:space="preserve">and express an opinion on </w:t>
      </w:r>
      <w:r w:rsidRPr="00AD2340">
        <w:rPr>
          <w:iCs/>
        </w:rPr>
        <w:t xml:space="preserve">the </w:t>
      </w:r>
      <w:r>
        <w:rPr>
          <w:iCs/>
        </w:rPr>
        <w:t>financial</w:t>
      </w:r>
      <w:r w:rsidRPr="00AD2340">
        <w:rPr>
          <w:iCs/>
        </w:rPr>
        <w:t xml:space="preserve"> statements in accordance with applicable law and International Standards on Auditing (</w:t>
      </w:r>
      <w:smartTag w:uri="urn:schemas-microsoft-com:office:smarttags" w:element="country-region">
        <w:r w:rsidRPr="00AD2340">
          <w:rPr>
            <w:iCs/>
          </w:rPr>
          <w:t>UK</w:t>
        </w:r>
      </w:smartTag>
      <w:r w:rsidRPr="00AD2340">
        <w:rPr>
          <w:iCs/>
        </w:rPr>
        <w:t xml:space="preserve"> and </w:t>
      </w:r>
      <w:smartTag w:uri="urn:schemas-microsoft-com:office:smarttags" w:element="place">
        <w:smartTag w:uri="urn:schemas-microsoft-com:office:smarttags" w:element="country-region">
          <w:r w:rsidRPr="00AD2340">
            <w:rPr>
              <w:iCs/>
            </w:rPr>
            <w:t>Ireland</w:t>
          </w:r>
        </w:smartTag>
      </w:smartTag>
      <w:r w:rsidRPr="00AD2340">
        <w:rPr>
          <w:iCs/>
        </w:rPr>
        <w:t xml:space="preserve">). Those standards require me to comply with </w:t>
      </w:r>
      <w:r>
        <w:rPr>
          <w:iCs/>
        </w:rPr>
        <w:t>the Auditing Practice</w:t>
      </w:r>
      <w:r w:rsidRPr="00AD2340">
        <w:rPr>
          <w:iCs/>
        </w:rPr>
        <w:t>s Board’s Ethical Standards for Auditors.</w:t>
      </w:r>
    </w:p>
    <w:p w:rsidR="00482768" w:rsidRPr="00AD2340" w:rsidRDefault="00482768" w:rsidP="00482768">
      <w:pPr>
        <w:autoSpaceDE w:val="0"/>
        <w:autoSpaceDN w:val="0"/>
        <w:adjustRightInd w:val="0"/>
        <w:rPr>
          <w:iCs/>
        </w:rPr>
      </w:pPr>
    </w:p>
    <w:p w:rsidR="00482768" w:rsidRPr="00AD2340" w:rsidRDefault="00482768" w:rsidP="00482768">
      <w:pPr>
        <w:autoSpaceDE w:val="0"/>
        <w:autoSpaceDN w:val="0"/>
        <w:adjustRightInd w:val="0"/>
        <w:rPr>
          <w:b/>
          <w:iCs/>
        </w:rPr>
      </w:pPr>
      <w:r w:rsidRPr="00AD2340">
        <w:rPr>
          <w:b/>
          <w:iCs/>
        </w:rPr>
        <w:t>Scope of the audit of the financial statements</w:t>
      </w:r>
    </w:p>
    <w:p w:rsidR="00482768" w:rsidRPr="00AD2340" w:rsidRDefault="00482768" w:rsidP="00482768">
      <w:pPr>
        <w:autoSpaceDE w:val="0"/>
        <w:autoSpaceDN w:val="0"/>
        <w:adjustRightInd w:val="0"/>
        <w:rPr>
          <w:b/>
          <w:iCs/>
        </w:rPr>
      </w:pPr>
    </w:p>
    <w:p w:rsidR="00482768" w:rsidRPr="00AD2340" w:rsidRDefault="00482768" w:rsidP="00482768">
      <w:pPr>
        <w:autoSpaceDE w:val="0"/>
        <w:autoSpaceDN w:val="0"/>
        <w:adjustRightInd w:val="0"/>
      </w:pPr>
      <w:r w:rsidRPr="00AD2340">
        <w:t xml:space="preserve">An audit involves obtaining evidence about the amounts and disclosures in the </w:t>
      </w:r>
      <w:r>
        <w:t>financial</w:t>
      </w:r>
      <w:r w:rsidRPr="00AD2340">
        <w:t xml:space="preserve"> statements sufficient to give reasonable assurance that the </w:t>
      </w:r>
      <w:r>
        <w:t>financial</w:t>
      </w:r>
      <w:r w:rsidRPr="00AD2340">
        <w:t xml:space="preserve"> statements are free from material misstatement, whether caused by fraud or error. This includes an assessment of: whether the accounting policies are appropriate to the Authority’s circumstances and have been consistently applied and adequately disclosed; the reasonableness of significant accounting estimates made by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rsidRPr="00AD2340">
        <w:t xml:space="preserve">; and the overall presentation of the </w:t>
      </w:r>
      <w:r>
        <w:t>financial</w:t>
      </w:r>
      <w:r w:rsidRPr="00AD2340">
        <w:t xml:space="preserve"> statements. I</w:t>
      </w:r>
      <w:r>
        <w:t>n addition, I</w:t>
      </w:r>
      <w:r w:rsidRPr="00AD2340">
        <w:t xml:space="preserve"> read all the </w:t>
      </w:r>
      <w:r>
        <w:t xml:space="preserve">financial and non-financial </w:t>
      </w:r>
      <w:r w:rsidRPr="00AD2340">
        <w:t xml:space="preserve">information in the explanatory foreword </w:t>
      </w:r>
      <w:r w:rsidRPr="00F83097">
        <w:t>and the annual report</w:t>
      </w:r>
      <w:r w:rsidRPr="00AD2340">
        <w:t xml:space="preserve"> to identify material inconsistencies with the audited financial statements. If I become aware of any apparent material misstatements or inconsistencies I consider the implications for my report.</w:t>
      </w:r>
    </w:p>
    <w:p w:rsidR="00482768" w:rsidRPr="00AD2340" w:rsidRDefault="00482768" w:rsidP="00482768">
      <w:pPr>
        <w:autoSpaceDE w:val="0"/>
        <w:autoSpaceDN w:val="0"/>
        <w:adjustRightInd w:val="0"/>
      </w:pPr>
    </w:p>
    <w:p w:rsidR="00482768" w:rsidRPr="00AD2340" w:rsidRDefault="00482768" w:rsidP="00482768">
      <w:pPr>
        <w:autoSpaceDE w:val="0"/>
        <w:autoSpaceDN w:val="0"/>
        <w:adjustRightInd w:val="0"/>
        <w:rPr>
          <w:b/>
        </w:rPr>
      </w:pPr>
      <w:r w:rsidRPr="00AD2340">
        <w:rPr>
          <w:b/>
        </w:rPr>
        <w:t xml:space="preserve">Opinion on </w:t>
      </w:r>
      <w:r>
        <w:rPr>
          <w:b/>
        </w:rPr>
        <w:t>financial</w:t>
      </w:r>
      <w:r w:rsidRPr="00AD2340">
        <w:rPr>
          <w:b/>
        </w:rPr>
        <w:t xml:space="preserve"> statements</w:t>
      </w:r>
    </w:p>
    <w:p w:rsidR="00482768" w:rsidRPr="00AD2340" w:rsidRDefault="00482768" w:rsidP="00482768">
      <w:pPr>
        <w:autoSpaceDE w:val="0"/>
        <w:autoSpaceDN w:val="0"/>
        <w:adjustRightInd w:val="0"/>
        <w:rPr>
          <w:b/>
        </w:rPr>
      </w:pPr>
    </w:p>
    <w:p w:rsidR="00482768" w:rsidRPr="00AD2340" w:rsidRDefault="00482768" w:rsidP="00482768">
      <w:pPr>
        <w:autoSpaceDE w:val="0"/>
        <w:autoSpaceDN w:val="0"/>
        <w:adjustRightInd w:val="0"/>
      </w:pPr>
      <w:r w:rsidRPr="00AD2340">
        <w:t xml:space="preserve">In my opinion the </w:t>
      </w:r>
      <w:r>
        <w:t>financial</w:t>
      </w:r>
      <w:r w:rsidRPr="00AD2340">
        <w:t xml:space="preserve"> statements:</w:t>
      </w:r>
    </w:p>
    <w:p w:rsidR="00482768" w:rsidRPr="00AD2340" w:rsidRDefault="00482768" w:rsidP="00482768">
      <w:pPr>
        <w:numPr>
          <w:ilvl w:val="0"/>
          <w:numId w:val="69"/>
        </w:numPr>
        <w:autoSpaceDE w:val="0"/>
        <w:autoSpaceDN w:val="0"/>
        <w:adjustRightInd w:val="0"/>
      </w:pPr>
      <w:r w:rsidRPr="00AD2340">
        <w:t xml:space="preserve">give a true and fair view of the </w:t>
      </w:r>
      <w:r>
        <w:t>financial position</w:t>
      </w:r>
      <w:r w:rsidRPr="00AD2340">
        <w:t xml:space="preserve"> of </w:t>
      </w:r>
      <w:r>
        <w:t>Lancashire County Council</w:t>
      </w:r>
      <w:r w:rsidRPr="00AD2340">
        <w:t xml:space="preserve"> as at 31 March 201</w:t>
      </w:r>
      <w:r>
        <w:t>2</w:t>
      </w:r>
      <w:r w:rsidRPr="00AD2340">
        <w:t xml:space="preserve"> and of its expenditure</w:t>
      </w:r>
      <w:r w:rsidRPr="00DE79F2">
        <w:t xml:space="preserve"> </w:t>
      </w:r>
      <w:r w:rsidRPr="00AD2340">
        <w:t>and income for the year then ended; and</w:t>
      </w:r>
    </w:p>
    <w:p w:rsidR="00482768" w:rsidRDefault="00482768" w:rsidP="00482768">
      <w:pPr>
        <w:numPr>
          <w:ilvl w:val="0"/>
          <w:numId w:val="69"/>
        </w:numPr>
        <w:autoSpaceDE w:val="0"/>
        <w:autoSpaceDN w:val="0"/>
        <w:adjustRightInd w:val="0"/>
        <w:rPr>
          <w:iCs/>
        </w:rPr>
      </w:pPr>
      <w:r w:rsidRPr="00AD2340">
        <w:t xml:space="preserve">have been prepared properly in accordance with the CIPFA/LASAAC </w:t>
      </w:r>
      <w:r w:rsidRPr="00AD2340">
        <w:rPr>
          <w:iCs/>
        </w:rPr>
        <w:t>Code of Practice on Local Authority Accounting in the United Kingdom</w:t>
      </w:r>
      <w:r>
        <w:rPr>
          <w:iCs/>
        </w:rPr>
        <w:t xml:space="preserve"> 2011/12</w:t>
      </w:r>
      <w:r w:rsidRPr="00AD2340">
        <w:rPr>
          <w:iCs/>
        </w:rPr>
        <w:t>.</w:t>
      </w:r>
    </w:p>
    <w:p w:rsidR="00482768" w:rsidRPr="00AD2340" w:rsidRDefault="00482768" w:rsidP="00482768">
      <w:pPr>
        <w:autoSpaceDE w:val="0"/>
        <w:autoSpaceDN w:val="0"/>
        <w:adjustRightInd w:val="0"/>
        <w:rPr>
          <w:b/>
          <w:iCs/>
        </w:rPr>
      </w:pPr>
      <w:r>
        <w:rPr>
          <w:iCs/>
        </w:rPr>
        <w:br w:type="page"/>
      </w:r>
      <w:r w:rsidRPr="00AD2340">
        <w:rPr>
          <w:b/>
          <w:iCs/>
        </w:rPr>
        <w:lastRenderedPageBreak/>
        <w:t>Opinion on other matters</w:t>
      </w:r>
    </w:p>
    <w:p w:rsidR="00482768" w:rsidRPr="00AD2340" w:rsidRDefault="00482768" w:rsidP="00482768">
      <w:pPr>
        <w:autoSpaceDE w:val="0"/>
        <w:autoSpaceDN w:val="0"/>
        <w:adjustRightInd w:val="0"/>
        <w:rPr>
          <w:b/>
          <w:iCs/>
        </w:rPr>
      </w:pPr>
    </w:p>
    <w:p w:rsidR="00482768" w:rsidRPr="00AD2340" w:rsidRDefault="00482768" w:rsidP="00482768">
      <w:pPr>
        <w:autoSpaceDE w:val="0"/>
        <w:autoSpaceDN w:val="0"/>
        <w:adjustRightInd w:val="0"/>
        <w:rPr>
          <w:iCs/>
        </w:rPr>
      </w:pPr>
      <w:r w:rsidRPr="00AD2340">
        <w:rPr>
          <w:iCs/>
        </w:rPr>
        <w:t xml:space="preserve">In my opinion, the information given in the explanatory foreword </w:t>
      </w:r>
      <w:r w:rsidRPr="00F83097">
        <w:rPr>
          <w:iCs/>
        </w:rPr>
        <w:t>and the content of the Annual Report</w:t>
      </w:r>
      <w:r w:rsidRPr="00AD2340">
        <w:rPr>
          <w:iCs/>
        </w:rPr>
        <w:t xml:space="preserve"> for the financial year for which the </w:t>
      </w:r>
      <w:r>
        <w:rPr>
          <w:iCs/>
        </w:rPr>
        <w:t>financial</w:t>
      </w:r>
      <w:r w:rsidRPr="00AD2340">
        <w:rPr>
          <w:iCs/>
        </w:rPr>
        <w:t xml:space="preserve"> statements are prepared is consistent with the </w:t>
      </w:r>
      <w:r>
        <w:rPr>
          <w:iCs/>
        </w:rPr>
        <w:t>financial</w:t>
      </w:r>
      <w:r w:rsidRPr="00AD2340">
        <w:rPr>
          <w:iCs/>
        </w:rPr>
        <w:t xml:space="preserve"> statements.</w:t>
      </w:r>
    </w:p>
    <w:p w:rsidR="00482768" w:rsidRPr="00AD2340" w:rsidRDefault="00482768" w:rsidP="00482768">
      <w:pPr>
        <w:autoSpaceDE w:val="0"/>
        <w:autoSpaceDN w:val="0"/>
        <w:adjustRightInd w:val="0"/>
        <w:rPr>
          <w:iCs/>
        </w:rPr>
      </w:pPr>
    </w:p>
    <w:p w:rsidR="00482768" w:rsidRPr="00AD2340" w:rsidRDefault="00482768" w:rsidP="00482768">
      <w:pPr>
        <w:autoSpaceDE w:val="0"/>
        <w:autoSpaceDN w:val="0"/>
        <w:adjustRightInd w:val="0"/>
        <w:rPr>
          <w:b/>
          <w:iCs/>
        </w:rPr>
      </w:pPr>
      <w:r w:rsidRPr="00AD2340">
        <w:rPr>
          <w:b/>
          <w:iCs/>
        </w:rPr>
        <w:t>Matters on which I report by exception</w:t>
      </w:r>
    </w:p>
    <w:p w:rsidR="00482768" w:rsidRPr="00AD2340" w:rsidRDefault="00482768" w:rsidP="00482768">
      <w:pPr>
        <w:autoSpaceDE w:val="0"/>
        <w:autoSpaceDN w:val="0"/>
        <w:adjustRightInd w:val="0"/>
        <w:rPr>
          <w:b/>
          <w:iCs/>
        </w:rPr>
      </w:pPr>
    </w:p>
    <w:p w:rsidR="00482768" w:rsidRDefault="00482768" w:rsidP="00482768">
      <w:pPr>
        <w:autoSpaceDE w:val="0"/>
        <w:autoSpaceDN w:val="0"/>
        <w:adjustRightInd w:val="0"/>
        <w:rPr>
          <w:iCs/>
        </w:rPr>
      </w:pPr>
      <w:r w:rsidRPr="00E43BC6">
        <w:rPr>
          <w:iCs/>
        </w:rPr>
        <w:t>I report to you if</w:t>
      </w:r>
      <w:r>
        <w:rPr>
          <w:iCs/>
        </w:rPr>
        <w:t>:</w:t>
      </w:r>
    </w:p>
    <w:p w:rsidR="00482768" w:rsidRDefault="00482768" w:rsidP="00482768">
      <w:pPr>
        <w:numPr>
          <w:ilvl w:val="0"/>
          <w:numId w:val="68"/>
        </w:numPr>
        <w:autoSpaceDE w:val="0"/>
        <w:autoSpaceDN w:val="0"/>
        <w:adjustRightInd w:val="0"/>
      </w:pPr>
      <w:r w:rsidRPr="00E43BC6">
        <w:rPr>
          <w:iCs/>
        </w:rPr>
        <w:t>in my opinion</w:t>
      </w:r>
      <w:r w:rsidRPr="00E43BC6">
        <w:t xml:space="preserve"> the </w:t>
      </w:r>
      <w:r>
        <w:t xml:space="preserve">annual </w:t>
      </w:r>
      <w:r w:rsidRPr="00E43BC6">
        <w:t>governance statement does not reflect compliance with ‘Delivering Good Governance in Local Government: a Framework’ published by CIPFA/SOLACE in June 2007</w:t>
      </w:r>
      <w:r>
        <w:t>;</w:t>
      </w:r>
    </w:p>
    <w:p w:rsidR="00482768" w:rsidRDefault="00482768" w:rsidP="00482768">
      <w:pPr>
        <w:numPr>
          <w:ilvl w:val="0"/>
          <w:numId w:val="68"/>
        </w:numPr>
        <w:autoSpaceDE w:val="0"/>
        <w:autoSpaceDN w:val="0"/>
        <w:adjustRightInd w:val="0"/>
      </w:pPr>
      <w:r w:rsidRPr="002F4875">
        <w:t>I issue a report in the public interest under section 8 of the Audit Commission Act 1998</w:t>
      </w:r>
      <w:r>
        <w:t>;</w:t>
      </w:r>
    </w:p>
    <w:p w:rsidR="00482768" w:rsidRDefault="00482768" w:rsidP="00482768">
      <w:pPr>
        <w:numPr>
          <w:ilvl w:val="0"/>
          <w:numId w:val="68"/>
        </w:numPr>
        <w:autoSpaceDE w:val="0"/>
        <w:autoSpaceDN w:val="0"/>
        <w:adjustRightInd w:val="0"/>
      </w:pPr>
      <w:r w:rsidRPr="002F4875">
        <w:t xml:space="preserve">I designate </w:t>
      </w:r>
      <w:r>
        <w:t xml:space="preserve">under section 11 of the Audit Commission Act 1998 </w:t>
      </w:r>
      <w:r w:rsidRPr="002F4875">
        <w:t>any recommendation as one that requires the Authority to consider it at a public meeting and to decide what action to take in response</w:t>
      </w:r>
      <w:r>
        <w:t>; or</w:t>
      </w:r>
    </w:p>
    <w:p w:rsidR="00482768" w:rsidRPr="002F4875" w:rsidRDefault="00482768" w:rsidP="00482768">
      <w:pPr>
        <w:numPr>
          <w:ilvl w:val="0"/>
          <w:numId w:val="68"/>
        </w:numPr>
        <w:autoSpaceDE w:val="0"/>
        <w:autoSpaceDN w:val="0"/>
        <w:adjustRightInd w:val="0"/>
      </w:pPr>
      <w:r>
        <w:t xml:space="preserve">I </w:t>
      </w:r>
      <w:r w:rsidRPr="002F4875">
        <w:t>exercise any other special powers of the auditor under the</w:t>
      </w:r>
      <w:r>
        <w:t xml:space="preserve"> Audit Commission </w:t>
      </w:r>
      <w:r w:rsidRPr="002F4875">
        <w:t>Act</w:t>
      </w:r>
      <w:r>
        <w:t xml:space="preserve"> 1998</w:t>
      </w:r>
      <w:r w:rsidRPr="002F4875">
        <w:t>.</w:t>
      </w:r>
    </w:p>
    <w:p w:rsidR="00482768" w:rsidRPr="002F4875" w:rsidRDefault="00482768" w:rsidP="00482768">
      <w:pPr>
        <w:autoSpaceDE w:val="0"/>
        <w:autoSpaceDN w:val="0"/>
        <w:adjustRightInd w:val="0"/>
        <w:ind w:left="360"/>
      </w:pPr>
    </w:p>
    <w:p w:rsidR="00482768" w:rsidRPr="00E43BC6" w:rsidRDefault="00482768" w:rsidP="00482768">
      <w:pPr>
        <w:autoSpaceDE w:val="0"/>
        <w:autoSpaceDN w:val="0"/>
        <w:adjustRightInd w:val="0"/>
      </w:pPr>
      <w:r w:rsidRPr="00E43BC6">
        <w:rPr>
          <w:iCs/>
        </w:rPr>
        <w:t xml:space="preserve">I have nothing to report in </w:t>
      </w:r>
      <w:r>
        <w:rPr>
          <w:iCs/>
        </w:rPr>
        <w:t xml:space="preserve">these </w:t>
      </w:r>
      <w:r w:rsidRPr="00E43BC6">
        <w:rPr>
          <w:iCs/>
        </w:rPr>
        <w:t>respect</w:t>
      </w:r>
      <w:r>
        <w:rPr>
          <w:iCs/>
        </w:rPr>
        <w:t>s</w:t>
      </w:r>
    </w:p>
    <w:p w:rsidR="00482768" w:rsidRPr="00AD2340" w:rsidRDefault="00482768" w:rsidP="00482768"/>
    <w:p w:rsidR="00482768" w:rsidRPr="00AD2340" w:rsidRDefault="00482768" w:rsidP="00482768">
      <w:pPr>
        <w:rPr>
          <w:b/>
        </w:rPr>
      </w:pPr>
      <w:r w:rsidRPr="00AD2340">
        <w:rPr>
          <w:b/>
        </w:rPr>
        <w:t xml:space="preserve">Opinion on the pension fund </w:t>
      </w:r>
      <w:r>
        <w:rPr>
          <w:b/>
        </w:rPr>
        <w:t>financial</w:t>
      </w:r>
      <w:r w:rsidRPr="00AD2340">
        <w:rPr>
          <w:b/>
        </w:rPr>
        <w:t xml:space="preserve"> statements</w:t>
      </w:r>
    </w:p>
    <w:p w:rsidR="00482768" w:rsidRPr="00AD2340" w:rsidRDefault="00482768" w:rsidP="00482768">
      <w:pPr>
        <w:rPr>
          <w:b/>
        </w:rPr>
      </w:pPr>
    </w:p>
    <w:p w:rsidR="00482768" w:rsidRPr="00AD2340" w:rsidRDefault="00482768" w:rsidP="00482768">
      <w:r w:rsidRPr="00AD2340">
        <w:t xml:space="preserve">I have audited the pension fund </w:t>
      </w:r>
      <w:r>
        <w:t>financial</w:t>
      </w:r>
      <w:r w:rsidRPr="00AD2340">
        <w:t xml:space="preserve"> statements for the year ended 31 March 201</w:t>
      </w:r>
      <w:r>
        <w:t>2</w:t>
      </w:r>
      <w:r w:rsidRPr="00AD2340">
        <w:t xml:space="preserve"> under the Audit Commission Act 1998. The pension fund </w:t>
      </w:r>
      <w:r>
        <w:t>financial</w:t>
      </w:r>
      <w:r w:rsidRPr="00AD2340">
        <w:t xml:space="preserve"> statements comprise the Fund Account, the Net Assets Statement and the related notes. </w:t>
      </w:r>
      <w:r>
        <w:t>The financial reporting framework that has been applied in their preparation is applicable law and the CIPFA/LASAAC Code of Practice on Local Authority Accounting in the United Kingdom 2011/12</w:t>
      </w:r>
      <w:r w:rsidRPr="00AD2340">
        <w:t>.</w:t>
      </w:r>
    </w:p>
    <w:p w:rsidR="00482768" w:rsidRPr="00AD2340" w:rsidRDefault="00482768" w:rsidP="00482768"/>
    <w:p w:rsidR="00482768" w:rsidRPr="00AD2340" w:rsidRDefault="00482768" w:rsidP="00482768">
      <w:r w:rsidRPr="00AD2340">
        <w:t xml:space="preserve">This report is made solely to the members of </w:t>
      </w:r>
      <w:r>
        <w:t>Lancashire County Council</w:t>
      </w:r>
      <w:r w:rsidRPr="00AD2340">
        <w:t xml:space="preserve"> in accordance with Part II of the Audit Commission Act 1998 and for no other purpose, as set out in paragraph 48 of the Statement of Responsibilities of Auditors and Audited Bodies published by the Audit Commission in March 2010.</w:t>
      </w:r>
    </w:p>
    <w:p w:rsidR="00482768" w:rsidRPr="00AD2340" w:rsidRDefault="00482768" w:rsidP="00482768"/>
    <w:p w:rsidR="00482768" w:rsidRPr="00AD2340" w:rsidRDefault="00482768" w:rsidP="00482768">
      <w:pPr>
        <w:rPr>
          <w:b/>
        </w:rPr>
      </w:pPr>
      <w:r w:rsidRPr="00AD2340">
        <w:rPr>
          <w:b/>
        </w:rPr>
        <w:t xml:space="preserve">Respective responsibilities of the </w:t>
      </w:r>
      <w:smartTag w:uri="urn:schemas-microsoft-com:office:smarttags" w:element="place">
        <w:smartTag w:uri="urn:schemas-microsoft-com:office:smarttags" w:element="PlaceType">
          <w:r>
            <w:rPr>
              <w:b/>
            </w:rPr>
            <w:t>County</w:t>
          </w:r>
        </w:smartTag>
        <w:r>
          <w:rPr>
            <w:b/>
          </w:rPr>
          <w:t xml:space="preserve"> </w:t>
        </w:r>
        <w:smartTag w:uri="urn:schemas-microsoft-com:office:smarttags" w:element="PlaceName">
          <w:r>
            <w:rPr>
              <w:b/>
            </w:rPr>
            <w:t>Treasurer</w:t>
          </w:r>
        </w:smartTag>
      </w:smartTag>
      <w:r w:rsidRPr="00AD2340">
        <w:rPr>
          <w:b/>
        </w:rPr>
        <w:t xml:space="preserve"> and auditor</w:t>
      </w:r>
    </w:p>
    <w:p w:rsidR="00482768" w:rsidRPr="00AD2340" w:rsidRDefault="00482768" w:rsidP="00482768">
      <w:pPr>
        <w:rPr>
          <w:b/>
        </w:rPr>
      </w:pPr>
    </w:p>
    <w:p w:rsidR="00482768" w:rsidRPr="00AD2340" w:rsidRDefault="00482768" w:rsidP="00482768">
      <w:pPr>
        <w:autoSpaceDE w:val="0"/>
        <w:autoSpaceDN w:val="0"/>
        <w:adjustRightInd w:val="0"/>
        <w:rPr>
          <w:iCs/>
        </w:rPr>
      </w:pPr>
      <w:r w:rsidRPr="00AD2340">
        <w:t xml:space="preserve">As explained more fully in the Statement of Responsibilities, the </w:t>
      </w:r>
      <w:r>
        <w:t>County Treasurer</w:t>
      </w:r>
      <w:r w:rsidRPr="00AD2340">
        <w:t xml:space="preserve"> is responsible for the preparation of the Authority’s Statement of Accounts</w:t>
      </w:r>
      <w:r>
        <w:t xml:space="preserve">, which includes the pension fund financial statements, </w:t>
      </w:r>
      <w:r w:rsidRPr="00AD2340">
        <w:t xml:space="preserve">in accordance with proper practices as set out in the CIPFA/LASAAC </w:t>
      </w:r>
      <w:r w:rsidRPr="00AD2340">
        <w:rPr>
          <w:iCs/>
        </w:rPr>
        <w:t>Code of Practice on Local Authority Accounting in the United Kingdom</w:t>
      </w:r>
      <w:r>
        <w:rPr>
          <w:iCs/>
        </w:rPr>
        <w:t xml:space="preserve">, </w:t>
      </w:r>
      <w:r>
        <w:t>and for being satisfied that they give a true and fair view</w:t>
      </w:r>
      <w:r w:rsidRPr="00AD2340">
        <w:rPr>
          <w:iCs/>
        </w:rPr>
        <w:t xml:space="preserve">. My responsibility is to audit </w:t>
      </w:r>
      <w:r>
        <w:rPr>
          <w:iCs/>
        </w:rPr>
        <w:t xml:space="preserve">and express an opinion on </w:t>
      </w:r>
      <w:r w:rsidRPr="00AD2340">
        <w:rPr>
          <w:iCs/>
        </w:rPr>
        <w:t xml:space="preserve">the </w:t>
      </w:r>
      <w:r>
        <w:rPr>
          <w:iCs/>
        </w:rPr>
        <w:t>financial</w:t>
      </w:r>
      <w:r w:rsidRPr="00AD2340">
        <w:rPr>
          <w:iCs/>
        </w:rPr>
        <w:t xml:space="preserve"> statements in accordance with applicable law and International Standards on Auditing (</w:t>
      </w:r>
      <w:smartTag w:uri="urn:schemas-microsoft-com:office:smarttags" w:element="country-region">
        <w:r w:rsidRPr="00AD2340">
          <w:rPr>
            <w:iCs/>
          </w:rPr>
          <w:t>UK</w:t>
        </w:r>
      </w:smartTag>
      <w:r w:rsidRPr="00AD2340">
        <w:rPr>
          <w:iCs/>
        </w:rPr>
        <w:t xml:space="preserve"> and </w:t>
      </w:r>
      <w:smartTag w:uri="urn:schemas-microsoft-com:office:smarttags" w:element="place">
        <w:smartTag w:uri="urn:schemas-microsoft-com:office:smarttags" w:element="country-region">
          <w:r w:rsidRPr="00AD2340">
            <w:rPr>
              <w:iCs/>
            </w:rPr>
            <w:t>Ireland</w:t>
          </w:r>
        </w:smartTag>
      </w:smartTag>
      <w:r w:rsidRPr="00AD2340">
        <w:rPr>
          <w:iCs/>
        </w:rPr>
        <w:t>). Those standards require me to comply with the Auditing Practices Board’s Ethical Standards for Auditors.</w:t>
      </w:r>
    </w:p>
    <w:p w:rsidR="00482768" w:rsidRPr="00AD2340" w:rsidRDefault="00482768" w:rsidP="00482768">
      <w:pPr>
        <w:autoSpaceDE w:val="0"/>
        <w:autoSpaceDN w:val="0"/>
        <w:adjustRightInd w:val="0"/>
        <w:rPr>
          <w:iCs/>
        </w:rPr>
      </w:pPr>
    </w:p>
    <w:p w:rsidR="00482768" w:rsidRPr="00AD2340" w:rsidRDefault="00482768" w:rsidP="00482768">
      <w:pPr>
        <w:autoSpaceDE w:val="0"/>
        <w:autoSpaceDN w:val="0"/>
        <w:adjustRightInd w:val="0"/>
        <w:rPr>
          <w:b/>
          <w:iCs/>
        </w:rPr>
      </w:pPr>
      <w:r w:rsidRPr="00AD2340">
        <w:rPr>
          <w:b/>
          <w:iCs/>
        </w:rPr>
        <w:t>Scope of the audit of the financial statements</w:t>
      </w:r>
    </w:p>
    <w:p w:rsidR="00482768" w:rsidRPr="00AD2340" w:rsidRDefault="00482768" w:rsidP="00482768">
      <w:pPr>
        <w:autoSpaceDE w:val="0"/>
        <w:autoSpaceDN w:val="0"/>
        <w:adjustRightInd w:val="0"/>
        <w:rPr>
          <w:b/>
          <w:iCs/>
        </w:rPr>
      </w:pPr>
    </w:p>
    <w:p w:rsidR="00482768" w:rsidRPr="00AD2340" w:rsidRDefault="00482768" w:rsidP="00482768">
      <w:pPr>
        <w:autoSpaceDE w:val="0"/>
        <w:autoSpaceDN w:val="0"/>
        <w:adjustRightInd w:val="0"/>
      </w:pPr>
      <w:r w:rsidRPr="00AD2340">
        <w:t xml:space="preserve">An audit involves obtaining evidence about the amounts and disclosures in the </w:t>
      </w:r>
      <w:r>
        <w:t>financial</w:t>
      </w:r>
      <w:r w:rsidRPr="00AD2340">
        <w:t xml:space="preserve"> statements sufficient to give reasonable assurance that the </w:t>
      </w:r>
      <w:r>
        <w:t>financial</w:t>
      </w:r>
      <w:r w:rsidRPr="00AD2340">
        <w:t xml:space="preserve"> statements are free from material misstatement, whether caused by fraud or error. This includes an assessment of: whether the accounting policies are appropriate to the fund’s circumstances and have been consistently applied and adequately disclosed; the reasonableness of significant accounting estimates made </w:t>
      </w:r>
      <w:r w:rsidRPr="00AD2340">
        <w:lastRenderedPageBreak/>
        <w:t xml:space="preserve">by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rsidRPr="00AD2340">
        <w:t xml:space="preserve">; and the overall presentation of the </w:t>
      </w:r>
      <w:r>
        <w:t>financial</w:t>
      </w:r>
      <w:r w:rsidRPr="00AD2340">
        <w:t xml:space="preserve"> statements. I</w:t>
      </w:r>
      <w:r>
        <w:t>n addition, I</w:t>
      </w:r>
      <w:r w:rsidRPr="00AD2340">
        <w:t xml:space="preserve"> read all the</w:t>
      </w:r>
      <w:r>
        <w:t xml:space="preserve"> financial and non-financial</w:t>
      </w:r>
      <w:r w:rsidRPr="00AD2340">
        <w:t xml:space="preserve"> information in the </w:t>
      </w:r>
      <w:r>
        <w:t>“Pension fund operations and membership” section</w:t>
      </w:r>
      <w:r w:rsidRPr="00AD2340">
        <w:t xml:space="preserve"> to identify material inconsistencies with the audited </w:t>
      </w:r>
      <w:r>
        <w:t>financial</w:t>
      </w:r>
      <w:r w:rsidRPr="00AD2340">
        <w:t xml:space="preserve"> statements. If I become aware of any apparent material misstatements or inconsistencies I consider the implications for my report.</w:t>
      </w:r>
    </w:p>
    <w:p w:rsidR="00482768" w:rsidRPr="00AD2340" w:rsidRDefault="00482768" w:rsidP="00482768">
      <w:pPr>
        <w:autoSpaceDE w:val="0"/>
        <w:autoSpaceDN w:val="0"/>
        <w:adjustRightInd w:val="0"/>
      </w:pPr>
    </w:p>
    <w:p w:rsidR="00482768" w:rsidRPr="00AD2340" w:rsidRDefault="00482768" w:rsidP="00482768">
      <w:pPr>
        <w:autoSpaceDE w:val="0"/>
        <w:autoSpaceDN w:val="0"/>
        <w:adjustRightInd w:val="0"/>
        <w:rPr>
          <w:b/>
        </w:rPr>
      </w:pPr>
      <w:r w:rsidRPr="00AD2340">
        <w:rPr>
          <w:b/>
        </w:rPr>
        <w:t xml:space="preserve">Opinion on </w:t>
      </w:r>
      <w:r>
        <w:rPr>
          <w:b/>
        </w:rPr>
        <w:t>financial</w:t>
      </w:r>
      <w:r w:rsidRPr="00AD2340">
        <w:rPr>
          <w:b/>
        </w:rPr>
        <w:t xml:space="preserve"> statements</w:t>
      </w:r>
    </w:p>
    <w:p w:rsidR="00482768" w:rsidRPr="00AD2340" w:rsidRDefault="00482768" w:rsidP="00482768">
      <w:pPr>
        <w:autoSpaceDE w:val="0"/>
        <w:autoSpaceDN w:val="0"/>
        <w:adjustRightInd w:val="0"/>
        <w:rPr>
          <w:b/>
        </w:rPr>
      </w:pPr>
    </w:p>
    <w:p w:rsidR="00482768" w:rsidRPr="00AD2340" w:rsidRDefault="00482768" w:rsidP="00482768">
      <w:pPr>
        <w:autoSpaceDE w:val="0"/>
        <w:autoSpaceDN w:val="0"/>
        <w:adjustRightInd w:val="0"/>
      </w:pPr>
      <w:r w:rsidRPr="00AD2340">
        <w:t xml:space="preserve">In my opinion the pension fund’s </w:t>
      </w:r>
      <w:r>
        <w:t>financial</w:t>
      </w:r>
      <w:r w:rsidRPr="00AD2340">
        <w:t xml:space="preserve"> statements:</w:t>
      </w:r>
    </w:p>
    <w:p w:rsidR="00482768" w:rsidRPr="00AD2340" w:rsidRDefault="00482768" w:rsidP="00482768">
      <w:pPr>
        <w:numPr>
          <w:ilvl w:val="0"/>
          <w:numId w:val="69"/>
        </w:numPr>
        <w:autoSpaceDE w:val="0"/>
        <w:autoSpaceDN w:val="0"/>
        <w:adjustRightInd w:val="0"/>
      </w:pPr>
      <w:r w:rsidRPr="00AD2340">
        <w:t>give a true and fair view of the financial transactions of the pension fund</w:t>
      </w:r>
      <w:r w:rsidRPr="006B6BD1">
        <w:t xml:space="preserve"> during the year ended 31 March 201</w:t>
      </w:r>
      <w:r>
        <w:t>2</w:t>
      </w:r>
      <w:r w:rsidRPr="006B6BD1">
        <w:t xml:space="preserve"> and the amount and disposition of the fund’s assets and liabilities as at 31 March 201</w:t>
      </w:r>
      <w:r>
        <w:t>2</w:t>
      </w:r>
      <w:r w:rsidRPr="006B6BD1">
        <w:t>; and</w:t>
      </w:r>
    </w:p>
    <w:p w:rsidR="00482768" w:rsidRPr="00AD2340" w:rsidRDefault="00482768" w:rsidP="00482768">
      <w:pPr>
        <w:numPr>
          <w:ilvl w:val="0"/>
          <w:numId w:val="69"/>
        </w:numPr>
        <w:autoSpaceDE w:val="0"/>
        <w:autoSpaceDN w:val="0"/>
        <w:adjustRightInd w:val="0"/>
      </w:pPr>
      <w:r w:rsidRPr="00AD2340">
        <w:t xml:space="preserve">have been properly prepared in accordance with the CIPFA/LASAAC </w:t>
      </w:r>
      <w:r w:rsidRPr="006B6BD1">
        <w:t xml:space="preserve">Code of Practice on Local Authority Accounting in the </w:t>
      </w:r>
      <w:smartTag w:uri="urn:schemas-microsoft-com:office:smarttags" w:element="place">
        <w:smartTag w:uri="urn:schemas-microsoft-com:office:smarttags" w:element="country-region">
          <w:r w:rsidRPr="006B6BD1">
            <w:t>United Kingdom</w:t>
          </w:r>
        </w:smartTag>
      </w:smartTag>
      <w:r w:rsidRPr="006B6BD1">
        <w:t>.</w:t>
      </w:r>
    </w:p>
    <w:p w:rsidR="00482768" w:rsidRPr="00AD2340" w:rsidRDefault="00482768" w:rsidP="00482768">
      <w:pPr>
        <w:autoSpaceDE w:val="0"/>
        <w:autoSpaceDN w:val="0"/>
        <w:adjustRightInd w:val="0"/>
        <w:rPr>
          <w:iCs/>
        </w:rPr>
      </w:pPr>
    </w:p>
    <w:p w:rsidR="00482768" w:rsidRPr="00AD2340" w:rsidRDefault="00482768" w:rsidP="00482768">
      <w:pPr>
        <w:autoSpaceDE w:val="0"/>
        <w:autoSpaceDN w:val="0"/>
        <w:adjustRightInd w:val="0"/>
        <w:rPr>
          <w:b/>
          <w:iCs/>
        </w:rPr>
      </w:pPr>
      <w:r w:rsidRPr="00AD2340">
        <w:rPr>
          <w:b/>
          <w:iCs/>
        </w:rPr>
        <w:t>Opinion on other matters</w:t>
      </w:r>
    </w:p>
    <w:p w:rsidR="00482768" w:rsidRPr="00AD2340" w:rsidRDefault="00482768" w:rsidP="00482768">
      <w:pPr>
        <w:autoSpaceDE w:val="0"/>
        <w:autoSpaceDN w:val="0"/>
        <w:adjustRightInd w:val="0"/>
        <w:rPr>
          <w:b/>
          <w:iCs/>
        </w:rPr>
      </w:pPr>
    </w:p>
    <w:p w:rsidR="00482768" w:rsidRPr="00AD2340" w:rsidRDefault="00482768" w:rsidP="00482768">
      <w:pPr>
        <w:autoSpaceDE w:val="0"/>
        <w:autoSpaceDN w:val="0"/>
        <w:adjustRightInd w:val="0"/>
        <w:rPr>
          <w:iCs/>
        </w:rPr>
      </w:pPr>
      <w:r w:rsidRPr="00AD2340">
        <w:rPr>
          <w:iCs/>
        </w:rPr>
        <w:t xml:space="preserve">In my opinion, the information given in the </w:t>
      </w:r>
      <w:r>
        <w:rPr>
          <w:iCs/>
        </w:rPr>
        <w:t>“Pension fund operations and membership section”</w:t>
      </w:r>
      <w:r w:rsidRPr="00AD2340">
        <w:rPr>
          <w:iCs/>
        </w:rPr>
        <w:t xml:space="preserve"> for the financial year for which the </w:t>
      </w:r>
      <w:r>
        <w:rPr>
          <w:iCs/>
        </w:rPr>
        <w:t>financial</w:t>
      </w:r>
      <w:r w:rsidRPr="00AD2340">
        <w:rPr>
          <w:iCs/>
        </w:rPr>
        <w:t xml:space="preserve"> statements are prepared is consistent with the </w:t>
      </w:r>
      <w:r>
        <w:rPr>
          <w:iCs/>
        </w:rPr>
        <w:t>financial</w:t>
      </w:r>
      <w:r w:rsidRPr="00AD2340">
        <w:rPr>
          <w:iCs/>
        </w:rPr>
        <w:t xml:space="preserve"> statements.</w:t>
      </w:r>
    </w:p>
    <w:p w:rsidR="00482768" w:rsidRPr="00AD2340" w:rsidRDefault="00482768" w:rsidP="00482768">
      <w:pPr>
        <w:pStyle w:val="inlinenormal"/>
        <w:spacing w:before="0" w:after="0" w:line="240" w:lineRule="auto"/>
        <w:rPr>
          <w:rStyle w:val="Strong"/>
          <w:sz w:val="22"/>
          <w:szCs w:val="22"/>
        </w:rPr>
      </w:pPr>
    </w:p>
    <w:p w:rsidR="00482768" w:rsidRPr="00AD2340" w:rsidRDefault="00482768" w:rsidP="00482768">
      <w:pPr>
        <w:pStyle w:val="inlinenormal"/>
        <w:spacing w:before="0" w:after="0" w:line="240" w:lineRule="auto"/>
        <w:rPr>
          <w:sz w:val="22"/>
          <w:szCs w:val="22"/>
        </w:rPr>
      </w:pPr>
      <w:r w:rsidRPr="00AD2340">
        <w:rPr>
          <w:rStyle w:val="Strong"/>
          <w:sz w:val="22"/>
          <w:szCs w:val="22"/>
        </w:rPr>
        <w:t>Conclusion on Authority’s arrangements for securing economy, efficiency and effectiveness in the use of resources</w:t>
      </w:r>
    </w:p>
    <w:p w:rsidR="00482768" w:rsidRPr="00AD2340" w:rsidRDefault="00482768" w:rsidP="00482768">
      <w:pPr>
        <w:pStyle w:val="inlinenormal"/>
        <w:spacing w:before="0" w:after="0" w:line="240" w:lineRule="auto"/>
        <w:rPr>
          <w:rStyle w:val="Emphasis"/>
          <w:b/>
          <w:i w:val="0"/>
          <w:sz w:val="22"/>
          <w:szCs w:val="22"/>
        </w:rPr>
      </w:pPr>
    </w:p>
    <w:p w:rsidR="00482768" w:rsidRPr="00AD2340" w:rsidRDefault="00482768" w:rsidP="00482768">
      <w:pPr>
        <w:pStyle w:val="inlinenormal"/>
        <w:spacing w:before="0" w:after="0" w:line="240" w:lineRule="auto"/>
        <w:rPr>
          <w:b/>
          <w:i/>
          <w:sz w:val="22"/>
          <w:szCs w:val="22"/>
        </w:rPr>
      </w:pPr>
      <w:r>
        <w:rPr>
          <w:rStyle w:val="Emphasis"/>
          <w:b/>
          <w:i w:val="0"/>
          <w:sz w:val="22"/>
          <w:szCs w:val="22"/>
        </w:rPr>
        <w:t>Respective</w:t>
      </w:r>
      <w:r w:rsidRPr="00AD2340">
        <w:rPr>
          <w:rStyle w:val="Emphasis"/>
          <w:b/>
          <w:i w:val="0"/>
          <w:sz w:val="22"/>
          <w:szCs w:val="22"/>
        </w:rPr>
        <w:t xml:space="preserve"> responsibilities</w:t>
      </w:r>
      <w:r>
        <w:rPr>
          <w:rStyle w:val="Emphasis"/>
          <w:b/>
          <w:i w:val="0"/>
          <w:sz w:val="22"/>
          <w:szCs w:val="22"/>
        </w:rPr>
        <w:t xml:space="preserve"> of the Authority and the auditor</w:t>
      </w:r>
    </w:p>
    <w:p w:rsidR="00482768" w:rsidRPr="00AD2340" w:rsidRDefault="00482768" w:rsidP="00482768">
      <w:pPr>
        <w:pStyle w:val="inlinenormal"/>
        <w:spacing w:before="0" w:after="0" w:line="240" w:lineRule="auto"/>
        <w:rPr>
          <w:sz w:val="22"/>
          <w:szCs w:val="22"/>
        </w:rPr>
      </w:pPr>
    </w:p>
    <w:p w:rsidR="00482768" w:rsidRPr="00AD2340" w:rsidRDefault="00482768" w:rsidP="00482768">
      <w:pPr>
        <w:pStyle w:val="inlinenormal"/>
        <w:spacing w:before="0" w:after="0" w:line="240" w:lineRule="auto"/>
        <w:rPr>
          <w:sz w:val="22"/>
          <w:szCs w:val="22"/>
        </w:rPr>
      </w:pPr>
      <w:r w:rsidRPr="00AD2340">
        <w:rPr>
          <w:sz w:val="22"/>
          <w:szCs w:val="22"/>
        </w:rPr>
        <w:t>The Authority is responsible for putting in place proper arrangements to secure economy, efficiency and effectiveness in its use of resources, to ensure proper stewardship and governance, and to review regularly the adequacy and effectiveness of these arrangements.</w:t>
      </w:r>
    </w:p>
    <w:p w:rsidR="00482768" w:rsidRPr="00AD2340" w:rsidRDefault="00482768" w:rsidP="00482768">
      <w:pPr>
        <w:pStyle w:val="inlinenormal"/>
        <w:spacing w:before="0" w:after="0" w:line="240" w:lineRule="auto"/>
        <w:rPr>
          <w:sz w:val="22"/>
          <w:szCs w:val="22"/>
        </w:rPr>
      </w:pPr>
    </w:p>
    <w:p w:rsidR="00482768" w:rsidRPr="00AD2340" w:rsidRDefault="00482768" w:rsidP="00482768">
      <w:pPr>
        <w:pStyle w:val="inlinenormal"/>
        <w:spacing w:before="0" w:after="0" w:line="240" w:lineRule="auto"/>
        <w:rPr>
          <w:sz w:val="22"/>
          <w:szCs w:val="22"/>
        </w:rPr>
      </w:pPr>
      <w:r w:rsidRPr="00AD2340">
        <w:rPr>
          <w:sz w:val="22"/>
          <w:szCs w:val="22"/>
        </w:rPr>
        <w:t>I am required under Section 5 of the Audit Commission Act 1998 to satisfy myself that the Authority has made proper arrangements for securing economy, efficiency and effectiveness in its use of resources. The Code of Audit Practice issued by the Audit Commission requires me to report to you my conclusion relating to proper arrangements, having regard to relevant criteria specified by the Audit Commission.</w:t>
      </w:r>
    </w:p>
    <w:p w:rsidR="00482768" w:rsidRPr="00AD2340" w:rsidRDefault="00482768" w:rsidP="00482768">
      <w:pPr>
        <w:pStyle w:val="inlinenormal"/>
        <w:spacing w:before="0" w:after="0" w:line="240" w:lineRule="auto"/>
        <w:rPr>
          <w:sz w:val="22"/>
          <w:szCs w:val="22"/>
        </w:rPr>
      </w:pPr>
    </w:p>
    <w:p w:rsidR="00482768" w:rsidRPr="00AD2340" w:rsidRDefault="00482768" w:rsidP="00482768">
      <w:pPr>
        <w:pStyle w:val="inlinenormal"/>
        <w:spacing w:before="0" w:after="0" w:line="240" w:lineRule="auto"/>
        <w:rPr>
          <w:sz w:val="22"/>
          <w:szCs w:val="22"/>
        </w:rPr>
      </w:pPr>
      <w:r w:rsidRPr="00AD2340">
        <w:rPr>
          <w:sz w:val="22"/>
          <w:szCs w:val="22"/>
        </w:rPr>
        <w:t>I report if significant matters have come to my attention which prevent me from concluding that the Authority has put in place proper arrangements for securing economy, efficiency and effectiveness in its use of resources. I am not required to consider, nor have I considered, whether all aspects of the Authority’s arrangements for securing economy, efficiency and effectiveness in its use of resources are operating effectively.</w:t>
      </w:r>
    </w:p>
    <w:p w:rsidR="00482768" w:rsidRPr="00AD2340" w:rsidRDefault="00482768" w:rsidP="00482768">
      <w:pPr>
        <w:pStyle w:val="inlinenormal"/>
        <w:spacing w:before="0" w:after="0" w:line="240" w:lineRule="auto"/>
        <w:rPr>
          <w:sz w:val="22"/>
          <w:szCs w:val="22"/>
        </w:rPr>
      </w:pPr>
    </w:p>
    <w:p w:rsidR="00482768" w:rsidRPr="00AD2340" w:rsidRDefault="00482768" w:rsidP="00482768">
      <w:pPr>
        <w:pStyle w:val="inlinenormal"/>
        <w:spacing w:before="0" w:after="0" w:line="240" w:lineRule="auto"/>
        <w:rPr>
          <w:rStyle w:val="Emphasis"/>
          <w:b/>
          <w:i w:val="0"/>
          <w:sz w:val="22"/>
          <w:szCs w:val="22"/>
        </w:rPr>
      </w:pPr>
      <w:r>
        <w:rPr>
          <w:rStyle w:val="Emphasis"/>
          <w:b/>
          <w:i w:val="0"/>
          <w:sz w:val="22"/>
          <w:szCs w:val="22"/>
        </w:rPr>
        <w:t>Scope of the review of arrangements for securing economy, efficiency and effectiveness in the use of resources</w:t>
      </w:r>
    </w:p>
    <w:p w:rsidR="00482768" w:rsidRPr="00AD2340" w:rsidRDefault="00482768" w:rsidP="00482768">
      <w:pPr>
        <w:pStyle w:val="inlinenormal"/>
        <w:spacing w:before="0" w:after="0" w:line="240" w:lineRule="auto"/>
        <w:rPr>
          <w:b/>
          <w:i/>
          <w:sz w:val="22"/>
          <w:szCs w:val="22"/>
        </w:rPr>
      </w:pPr>
    </w:p>
    <w:p w:rsidR="00482768" w:rsidRPr="00AD2340" w:rsidRDefault="00482768" w:rsidP="00482768">
      <w:pPr>
        <w:pStyle w:val="inlinenormal"/>
        <w:spacing w:before="0" w:after="0" w:line="240" w:lineRule="auto"/>
        <w:rPr>
          <w:sz w:val="22"/>
          <w:szCs w:val="22"/>
        </w:rPr>
      </w:pPr>
      <w:r w:rsidRPr="00AD2340">
        <w:rPr>
          <w:sz w:val="22"/>
          <w:szCs w:val="22"/>
        </w:rPr>
        <w:t>I have undertaken my audit in accordance with the Code of Audit Practice, having regard to the guidance on the specified criteria, published by the Audit Commission in October 201</w:t>
      </w:r>
      <w:r>
        <w:rPr>
          <w:sz w:val="22"/>
          <w:szCs w:val="22"/>
        </w:rPr>
        <w:t>1</w:t>
      </w:r>
      <w:r w:rsidRPr="00AD2340">
        <w:rPr>
          <w:sz w:val="22"/>
          <w:szCs w:val="22"/>
        </w:rPr>
        <w:t>, as to whether the Authority has proper arrangements for:</w:t>
      </w:r>
    </w:p>
    <w:p w:rsidR="00482768" w:rsidRPr="006B6BD1" w:rsidRDefault="00482768" w:rsidP="00482768">
      <w:pPr>
        <w:numPr>
          <w:ilvl w:val="0"/>
          <w:numId w:val="69"/>
        </w:numPr>
        <w:autoSpaceDE w:val="0"/>
        <w:autoSpaceDN w:val="0"/>
        <w:adjustRightInd w:val="0"/>
      </w:pPr>
      <w:r w:rsidRPr="006B6BD1">
        <w:t>securing financial resilience; and</w:t>
      </w:r>
    </w:p>
    <w:p w:rsidR="00482768" w:rsidRPr="006B6BD1" w:rsidRDefault="00482768" w:rsidP="00482768">
      <w:pPr>
        <w:numPr>
          <w:ilvl w:val="0"/>
          <w:numId w:val="69"/>
        </w:numPr>
        <w:autoSpaceDE w:val="0"/>
        <w:autoSpaceDN w:val="0"/>
        <w:adjustRightInd w:val="0"/>
      </w:pPr>
      <w:r w:rsidRPr="006B6BD1">
        <w:t>challenging how it secures economy, efficiency and effectiveness.</w:t>
      </w:r>
    </w:p>
    <w:p w:rsidR="00482768" w:rsidRPr="00AD2340" w:rsidRDefault="00482768" w:rsidP="00482768">
      <w:pPr>
        <w:pStyle w:val="inlinenormal"/>
        <w:spacing w:before="0" w:after="0" w:line="240" w:lineRule="auto"/>
        <w:rPr>
          <w:sz w:val="22"/>
          <w:szCs w:val="22"/>
        </w:rPr>
      </w:pPr>
    </w:p>
    <w:p w:rsidR="00482768" w:rsidRPr="00AD2340" w:rsidRDefault="00482768" w:rsidP="00482768">
      <w:pPr>
        <w:pStyle w:val="inlinenormal"/>
        <w:spacing w:before="0" w:after="0" w:line="240" w:lineRule="auto"/>
        <w:rPr>
          <w:sz w:val="22"/>
          <w:szCs w:val="22"/>
        </w:rPr>
      </w:pPr>
      <w:r w:rsidRPr="00AD2340">
        <w:rPr>
          <w:sz w:val="22"/>
          <w:szCs w:val="22"/>
        </w:rPr>
        <w:t>The Audit Commission has determined these two criteria as those necessary for me to consider under the Code of Audit Practice in satisfying myself whether the Authority put in place proper arrangements for securing economy, efficiency and effectiveness in its use of resources for the year ended 31 March 201</w:t>
      </w:r>
      <w:r>
        <w:rPr>
          <w:sz w:val="22"/>
          <w:szCs w:val="22"/>
        </w:rPr>
        <w:t>2</w:t>
      </w:r>
      <w:r w:rsidRPr="00AD2340">
        <w:rPr>
          <w:sz w:val="22"/>
          <w:szCs w:val="22"/>
        </w:rPr>
        <w:t>.</w:t>
      </w:r>
    </w:p>
    <w:p w:rsidR="00482768" w:rsidRPr="00AD2340" w:rsidRDefault="00482768" w:rsidP="00482768">
      <w:pPr>
        <w:pStyle w:val="inlinenormal"/>
        <w:spacing w:before="0" w:after="0" w:line="240" w:lineRule="auto"/>
        <w:rPr>
          <w:sz w:val="22"/>
          <w:szCs w:val="22"/>
        </w:rPr>
      </w:pPr>
    </w:p>
    <w:p w:rsidR="00482768" w:rsidRPr="00AD2340" w:rsidRDefault="00482768" w:rsidP="00482768">
      <w:pPr>
        <w:pStyle w:val="inlinenormal"/>
        <w:spacing w:before="0" w:after="0" w:line="240" w:lineRule="auto"/>
        <w:rPr>
          <w:sz w:val="22"/>
          <w:szCs w:val="22"/>
        </w:rPr>
      </w:pPr>
      <w:r w:rsidRPr="00AD2340">
        <w:rPr>
          <w:sz w:val="22"/>
          <w:szCs w:val="22"/>
        </w:rPr>
        <w:lastRenderedPageBreak/>
        <w:t>I planned my work in accordance with the Code of Audit Practice. Based on my risk assessment, I undertook such work as I considered necessary to form a view on whether, in all significant respects, the Authority had put in place proper arrangements to secure economy, efficiency and effectiveness in its use of resources.</w:t>
      </w:r>
    </w:p>
    <w:p w:rsidR="00482768" w:rsidRPr="00AD2340" w:rsidRDefault="00482768" w:rsidP="00482768">
      <w:pPr>
        <w:pStyle w:val="inlinenormal"/>
        <w:spacing w:before="0" w:after="0" w:line="240" w:lineRule="auto"/>
        <w:rPr>
          <w:rStyle w:val="Emphasis"/>
          <w:b/>
          <w:i w:val="0"/>
          <w:sz w:val="22"/>
          <w:szCs w:val="22"/>
        </w:rPr>
      </w:pPr>
    </w:p>
    <w:p w:rsidR="00482768" w:rsidRPr="00AD2340" w:rsidRDefault="00482768" w:rsidP="00482768">
      <w:pPr>
        <w:pStyle w:val="inlinenormal"/>
        <w:spacing w:before="0" w:after="0" w:line="240" w:lineRule="auto"/>
        <w:rPr>
          <w:b/>
          <w:i/>
          <w:sz w:val="22"/>
          <w:szCs w:val="22"/>
        </w:rPr>
      </w:pPr>
      <w:r w:rsidRPr="00AD2340">
        <w:rPr>
          <w:rStyle w:val="Emphasis"/>
          <w:b/>
          <w:i w:val="0"/>
          <w:sz w:val="22"/>
          <w:szCs w:val="22"/>
        </w:rPr>
        <w:t>Conclusion</w:t>
      </w:r>
    </w:p>
    <w:p w:rsidR="00482768" w:rsidRPr="00AD2340" w:rsidRDefault="00482768" w:rsidP="00482768">
      <w:pPr>
        <w:pStyle w:val="inlinenormal"/>
        <w:spacing w:before="0" w:after="0" w:line="240" w:lineRule="auto"/>
        <w:rPr>
          <w:sz w:val="22"/>
          <w:szCs w:val="22"/>
        </w:rPr>
      </w:pPr>
    </w:p>
    <w:p w:rsidR="00482768" w:rsidRDefault="00482768" w:rsidP="00482768">
      <w:pPr>
        <w:pStyle w:val="inlinenormal"/>
        <w:spacing w:before="0" w:after="0" w:line="240" w:lineRule="auto"/>
        <w:rPr>
          <w:sz w:val="22"/>
          <w:szCs w:val="22"/>
        </w:rPr>
      </w:pPr>
      <w:r w:rsidRPr="00AD2340">
        <w:rPr>
          <w:sz w:val="22"/>
          <w:szCs w:val="22"/>
        </w:rPr>
        <w:t>On the basis of my work, having regard to the guidance on the specified criteria published by the Audit Commission in October 201</w:t>
      </w:r>
      <w:r>
        <w:rPr>
          <w:sz w:val="22"/>
          <w:szCs w:val="22"/>
        </w:rPr>
        <w:t>1</w:t>
      </w:r>
      <w:r w:rsidRPr="00AD2340">
        <w:rPr>
          <w:sz w:val="22"/>
          <w:szCs w:val="22"/>
        </w:rPr>
        <w:t xml:space="preserve">, I am satisfied that, in all significant respects, </w:t>
      </w:r>
      <w:r w:rsidRPr="00F83097">
        <w:rPr>
          <w:rStyle w:val="Emphasis"/>
          <w:i w:val="0"/>
          <w:sz w:val="22"/>
          <w:szCs w:val="22"/>
        </w:rPr>
        <w:t>Lancashire County Council</w:t>
      </w:r>
      <w:r w:rsidRPr="00AD2340">
        <w:rPr>
          <w:sz w:val="22"/>
          <w:szCs w:val="22"/>
        </w:rPr>
        <w:t xml:space="preserve"> put in place proper arrangements to secure economy, efficiency and effectiveness in its use of resources for the year end</w:t>
      </w:r>
      <w:r>
        <w:rPr>
          <w:sz w:val="22"/>
          <w:szCs w:val="22"/>
        </w:rPr>
        <w:t>ed</w:t>
      </w:r>
      <w:r w:rsidRPr="00AD2340">
        <w:rPr>
          <w:sz w:val="22"/>
          <w:szCs w:val="22"/>
        </w:rPr>
        <w:t xml:space="preserve"> 31 March 201</w:t>
      </w:r>
      <w:r>
        <w:rPr>
          <w:sz w:val="22"/>
          <w:szCs w:val="22"/>
        </w:rPr>
        <w:t>2</w:t>
      </w:r>
      <w:r w:rsidRPr="00AD2340">
        <w:rPr>
          <w:sz w:val="22"/>
          <w:szCs w:val="22"/>
        </w:rPr>
        <w:t>.</w:t>
      </w:r>
    </w:p>
    <w:p w:rsidR="00482768" w:rsidRDefault="00482768" w:rsidP="00482768">
      <w:pPr>
        <w:pStyle w:val="inlinenormal"/>
        <w:spacing w:before="0" w:after="0" w:line="240" w:lineRule="auto"/>
        <w:rPr>
          <w:sz w:val="22"/>
          <w:szCs w:val="22"/>
        </w:rPr>
      </w:pPr>
    </w:p>
    <w:p w:rsidR="00482768" w:rsidRPr="00837560" w:rsidRDefault="00482768" w:rsidP="00482768">
      <w:pPr>
        <w:pStyle w:val="inlinenormal"/>
        <w:spacing w:before="0" w:after="0" w:line="240" w:lineRule="auto"/>
        <w:rPr>
          <w:b/>
          <w:sz w:val="22"/>
          <w:szCs w:val="22"/>
        </w:rPr>
      </w:pPr>
      <w:r w:rsidRPr="00837560">
        <w:rPr>
          <w:b/>
          <w:sz w:val="22"/>
          <w:szCs w:val="22"/>
        </w:rPr>
        <w:t>Certificate</w:t>
      </w:r>
    </w:p>
    <w:p w:rsidR="00482768" w:rsidRDefault="00482768" w:rsidP="00482768">
      <w:pPr>
        <w:pStyle w:val="inlinenormal"/>
        <w:spacing w:before="0" w:after="0" w:line="240" w:lineRule="auto"/>
        <w:rPr>
          <w:sz w:val="22"/>
          <w:szCs w:val="22"/>
        </w:rPr>
      </w:pPr>
    </w:p>
    <w:p w:rsidR="00482768" w:rsidRPr="00AD2340" w:rsidRDefault="00482768" w:rsidP="00482768">
      <w:pPr>
        <w:pStyle w:val="inlinenormal"/>
        <w:spacing w:before="0" w:after="0" w:line="240" w:lineRule="auto"/>
      </w:pPr>
      <w:r>
        <w:t>I certify that I have completed the audit of accounts of Lancashire County Council and Lancashire County Pension Fund in accordance with the requirements of the Audit Commission Act 1998 and the Code of Audit Practice issued by the Audit Commission</w:t>
      </w:r>
    </w:p>
    <w:p w:rsidR="00482768" w:rsidRPr="00AD2340" w:rsidRDefault="00482768" w:rsidP="00482768">
      <w:pPr>
        <w:autoSpaceDE w:val="0"/>
        <w:autoSpaceDN w:val="0"/>
        <w:adjustRightInd w:val="0"/>
      </w:pPr>
    </w:p>
    <w:p w:rsidR="00482768" w:rsidRDefault="00482768" w:rsidP="00482768">
      <w:pPr>
        <w:pStyle w:val="Bodytext0"/>
      </w:pPr>
    </w:p>
    <w:p w:rsidR="00482768" w:rsidRDefault="00482768" w:rsidP="00482768">
      <w:pPr>
        <w:pStyle w:val="Bodytext0"/>
      </w:pPr>
      <w:r>
        <w:t>Karen Murray</w:t>
      </w:r>
    </w:p>
    <w:p w:rsidR="00482768" w:rsidRDefault="00482768" w:rsidP="00482768">
      <w:pPr>
        <w:pStyle w:val="Bodytext0"/>
      </w:pPr>
      <w:r>
        <w:t xml:space="preserve">District Auditor </w:t>
      </w:r>
    </w:p>
    <w:p w:rsidR="00482768" w:rsidRDefault="00482768" w:rsidP="00482768">
      <w:pPr>
        <w:pStyle w:val="Bodytext0"/>
      </w:pPr>
      <w:r>
        <w:t>Audit Commission</w:t>
      </w:r>
    </w:p>
    <w:p w:rsidR="00482768" w:rsidRDefault="00482768" w:rsidP="00482768">
      <w:pPr>
        <w:pStyle w:val="Bodytext0"/>
      </w:pPr>
      <w:r>
        <w:t>2</w:t>
      </w:r>
      <w:r w:rsidRPr="00837560">
        <w:rPr>
          <w:vertAlign w:val="superscript"/>
        </w:rPr>
        <w:t>nd</w:t>
      </w:r>
      <w:r>
        <w:t xml:space="preserve"> Floor, Aspinall House</w:t>
      </w:r>
    </w:p>
    <w:p w:rsidR="00482768" w:rsidRDefault="00482768" w:rsidP="00482768">
      <w:pPr>
        <w:pStyle w:val="Bodytext0"/>
      </w:pPr>
      <w:r>
        <w:t>Aspinall Close</w:t>
      </w:r>
    </w:p>
    <w:p w:rsidR="00482768" w:rsidRDefault="00482768" w:rsidP="00482768">
      <w:pPr>
        <w:pStyle w:val="Bodytext0"/>
      </w:pPr>
      <w:r>
        <w:t>Middlebrook</w:t>
      </w:r>
    </w:p>
    <w:p w:rsidR="00482768" w:rsidRDefault="00482768" w:rsidP="00482768">
      <w:pPr>
        <w:pStyle w:val="Bodytext0"/>
      </w:pPr>
      <w:smartTag w:uri="urn:schemas-microsoft-com:office:smarttags" w:element="place">
        <w:r>
          <w:t>Bolton</w:t>
        </w:r>
      </w:smartTag>
    </w:p>
    <w:p w:rsidR="00482768" w:rsidRDefault="00482768" w:rsidP="00482768">
      <w:pPr>
        <w:pStyle w:val="Bodytext0"/>
      </w:pPr>
      <w:r>
        <w:t>BL6 6QQ</w:t>
      </w:r>
    </w:p>
    <w:p w:rsidR="006D5098" w:rsidRDefault="002920A1" w:rsidP="00482768">
      <w:pPr>
        <w:pStyle w:val="BodyText2"/>
        <w:rPr>
          <w:caps/>
        </w:rPr>
      </w:pPr>
      <w:r>
        <w:rPr>
          <w:szCs w:val="22"/>
        </w:rPr>
        <w:t xml:space="preserve"> </w:t>
      </w:r>
      <w:r w:rsidR="00482768">
        <w:rPr>
          <w:szCs w:val="22"/>
        </w:rPr>
        <w:t>September 2012</w:t>
      </w:r>
      <w:r w:rsidR="00A9373A" w:rsidRPr="00286C0E">
        <w:rPr>
          <w:caps/>
          <w:highlight w:val="yellow"/>
        </w:rPr>
        <w:br w:type="page"/>
      </w: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6D5098" w:rsidRDefault="006D5098" w:rsidP="00482768">
      <w:pPr>
        <w:pStyle w:val="BodyText2"/>
        <w:rPr>
          <w:caps/>
        </w:rPr>
      </w:pPr>
    </w:p>
    <w:p w:rsidR="00C64115" w:rsidRPr="002920A1" w:rsidRDefault="00421746" w:rsidP="00482768">
      <w:pPr>
        <w:pStyle w:val="BodyText2"/>
        <w:rPr>
          <w:b/>
          <w:sz w:val="28"/>
          <w:szCs w:val="28"/>
        </w:rPr>
      </w:pPr>
      <w:r w:rsidRPr="002920A1">
        <w:rPr>
          <w:b/>
          <w:sz w:val="28"/>
          <w:szCs w:val="28"/>
        </w:rPr>
        <w:lastRenderedPageBreak/>
        <w:t>Statement of responsibilities for th</w:t>
      </w:r>
      <w:r w:rsidR="00A9373A" w:rsidRPr="002920A1">
        <w:rPr>
          <w:b/>
          <w:sz w:val="28"/>
          <w:szCs w:val="28"/>
        </w:rPr>
        <w:t>e</w:t>
      </w:r>
      <w:r w:rsidRPr="002920A1">
        <w:rPr>
          <w:b/>
          <w:sz w:val="28"/>
          <w:szCs w:val="28"/>
        </w:rPr>
        <w:t xml:space="preserve"> statement of accounts</w:t>
      </w:r>
    </w:p>
    <w:p w:rsidR="00C64115" w:rsidRPr="0063404E" w:rsidRDefault="00C64115" w:rsidP="00C64115"/>
    <w:p w:rsidR="00C64115" w:rsidRPr="0063404E" w:rsidRDefault="00C64115" w:rsidP="00C64115">
      <w:pPr>
        <w:rPr>
          <w:b/>
        </w:rPr>
      </w:pPr>
      <w:r w:rsidRPr="0063404E">
        <w:rPr>
          <w:b/>
        </w:rPr>
        <w:t xml:space="preserve">The </w:t>
      </w:r>
      <w:r w:rsidR="001F1A1A">
        <w:rPr>
          <w:b/>
        </w:rPr>
        <w:t>County Council</w:t>
      </w:r>
      <w:r w:rsidR="00421746" w:rsidRPr="0063404E">
        <w:rPr>
          <w:b/>
        </w:rPr>
        <w:t xml:space="preserve">’s </w:t>
      </w:r>
      <w:r w:rsidRPr="0063404E">
        <w:rPr>
          <w:b/>
        </w:rPr>
        <w:t>responsibilities</w:t>
      </w:r>
    </w:p>
    <w:p w:rsidR="00C64115" w:rsidRPr="0063404E" w:rsidRDefault="00C64115" w:rsidP="00C64115"/>
    <w:p w:rsidR="00C64115" w:rsidRPr="0063404E" w:rsidRDefault="00421746" w:rsidP="00C64115">
      <w:r w:rsidRPr="0063404E">
        <w:t>We must:</w:t>
      </w:r>
    </w:p>
    <w:p w:rsidR="00C64115" w:rsidRPr="0063404E" w:rsidRDefault="00C64115" w:rsidP="00C64115"/>
    <w:p w:rsidR="00C64115" w:rsidRPr="0063404E" w:rsidRDefault="00C64115" w:rsidP="00BD07E4">
      <w:pPr>
        <w:numPr>
          <w:ilvl w:val="0"/>
          <w:numId w:val="7"/>
        </w:numPr>
        <w:jc w:val="both"/>
      </w:pPr>
      <w:r w:rsidRPr="0063404E">
        <w:t xml:space="preserve">make arrangements for the proper administration of </w:t>
      </w:r>
      <w:r w:rsidR="00A9373A" w:rsidRPr="0063404E">
        <w:t>our</w:t>
      </w:r>
      <w:r w:rsidRPr="0063404E">
        <w:t xml:space="preserve"> financial affairs and </w:t>
      </w:r>
      <w:r w:rsidR="00937D6B">
        <w:t>ensure</w:t>
      </w:r>
      <w:r w:rsidR="00937D6B" w:rsidRPr="0063404E">
        <w:t xml:space="preserve"> </w:t>
      </w:r>
      <w:r w:rsidRPr="0063404E">
        <w:t xml:space="preserve">that one of </w:t>
      </w:r>
      <w:r w:rsidR="00A9373A" w:rsidRPr="0063404E">
        <w:t>our</w:t>
      </w:r>
      <w:r w:rsidRPr="0063404E">
        <w:t xml:space="preserve"> officers has the responsibility for the administration of those affairs.  In this </w:t>
      </w:r>
      <w:r w:rsidR="0024585E" w:rsidRPr="0063404E">
        <w:t>a</w:t>
      </w:r>
      <w:r w:rsidRPr="0063404E">
        <w:t xml:space="preserve">uthority, that officer is the </w:t>
      </w:r>
      <w:r w:rsidR="005D2CD9" w:rsidRPr="0063404E">
        <w:t>County Treasurer</w:t>
      </w:r>
      <w:r w:rsidRPr="0063404E">
        <w:t>;</w:t>
      </w:r>
    </w:p>
    <w:p w:rsidR="00C64115" w:rsidRPr="0063404E" w:rsidRDefault="00C64115" w:rsidP="00BD07E4">
      <w:pPr>
        <w:numPr>
          <w:ilvl w:val="0"/>
          <w:numId w:val="7"/>
        </w:numPr>
        <w:jc w:val="both"/>
      </w:pPr>
      <w:r w:rsidRPr="0063404E">
        <w:t xml:space="preserve">manage </w:t>
      </w:r>
      <w:r w:rsidR="00A9373A" w:rsidRPr="0063404E">
        <w:t>our</w:t>
      </w:r>
      <w:r w:rsidRPr="0063404E">
        <w:t xml:space="preserve"> affairs to secure economic, efficient and effective use of resources and safeguard </w:t>
      </w:r>
      <w:r w:rsidR="00A9373A" w:rsidRPr="0063404E">
        <w:t>our</w:t>
      </w:r>
      <w:r w:rsidR="00166A58" w:rsidRPr="0063404E">
        <w:t xml:space="preserve"> </w:t>
      </w:r>
      <w:r w:rsidRPr="0063404E">
        <w:t>assets</w:t>
      </w:r>
      <w:r w:rsidR="003002CE" w:rsidRPr="0063404E">
        <w:t>;</w:t>
      </w:r>
    </w:p>
    <w:p w:rsidR="007C0A69" w:rsidRPr="0063404E" w:rsidRDefault="007C0A69" w:rsidP="00BD07E4">
      <w:pPr>
        <w:numPr>
          <w:ilvl w:val="0"/>
          <w:numId w:val="7"/>
        </w:numPr>
        <w:jc w:val="both"/>
      </w:pPr>
      <w:r w:rsidRPr="0063404E">
        <w:t xml:space="preserve">approve the </w:t>
      </w:r>
      <w:r w:rsidR="0024585E" w:rsidRPr="0063404E">
        <w:t>s</w:t>
      </w:r>
      <w:r w:rsidRPr="0063404E">
        <w:t xml:space="preserve">tatement of </w:t>
      </w:r>
      <w:r w:rsidR="0024585E" w:rsidRPr="0063404E">
        <w:t>a</w:t>
      </w:r>
      <w:r w:rsidRPr="0063404E">
        <w:t>ccounts</w:t>
      </w:r>
      <w:r w:rsidR="003002CE" w:rsidRPr="0063404E">
        <w:t>.</w:t>
      </w:r>
    </w:p>
    <w:p w:rsidR="00C64115" w:rsidRPr="0063404E" w:rsidRDefault="00C64115" w:rsidP="00C64115"/>
    <w:p w:rsidR="00C64115" w:rsidRPr="0063404E" w:rsidRDefault="00C64115" w:rsidP="00C64115">
      <w:r w:rsidRPr="0063404E">
        <w:rPr>
          <w:b/>
        </w:rPr>
        <w:t xml:space="preserve">The </w:t>
      </w:r>
      <w:r w:rsidR="002C6E63" w:rsidRPr="0063404E">
        <w:rPr>
          <w:b/>
        </w:rPr>
        <w:t>County Treasurer</w:t>
      </w:r>
      <w:r w:rsidR="00C21F36">
        <w:rPr>
          <w:b/>
        </w:rPr>
        <w:t>'</w:t>
      </w:r>
      <w:r w:rsidR="002C6E63" w:rsidRPr="0063404E">
        <w:rPr>
          <w:b/>
        </w:rPr>
        <w:t>s</w:t>
      </w:r>
      <w:r w:rsidR="00421746" w:rsidRPr="0063404E">
        <w:rPr>
          <w:b/>
        </w:rPr>
        <w:t xml:space="preserve"> </w:t>
      </w:r>
      <w:r w:rsidRPr="0063404E">
        <w:rPr>
          <w:b/>
        </w:rPr>
        <w:t>responsibilities</w:t>
      </w:r>
    </w:p>
    <w:p w:rsidR="002C6E63" w:rsidRPr="0063404E" w:rsidRDefault="002C6E63" w:rsidP="001D06D6">
      <w:pPr>
        <w:jc w:val="both"/>
      </w:pPr>
    </w:p>
    <w:p w:rsidR="00C64115" w:rsidRPr="0063404E" w:rsidRDefault="00C64115" w:rsidP="001D06D6">
      <w:pPr>
        <w:jc w:val="both"/>
      </w:pPr>
      <w:r w:rsidRPr="0063404E">
        <w:t xml:space="preserve">The </w:t>
      </w:r>
      <w:r w:rsidR="002C6E63" w:rsidRPr="0063404E">
        <w:t>County Treasu</w:t>
      </w:r>
      <w:r w:rsidR="008B048C" w:rsidRPr="0063404E">
        <w:t>r</w:t>
      </w:r>
      <w:r w:rsidR="002C6E63" w:rsidRPr="0063404E">
        <w:t>er</w:t>
      </w:r>
      <w:r w:rsidR="00421746" w:rsidRPr="0063404E">
        <w:t xml:space="preserve"> </w:t>
      </w:r>
      <w:r w:rsidRPr="0063404E">
        <w:t xml:space="preserve">is responsible for </w:t>
      </w:r>
      <w:r w:rsidR="00421746" w:rsidRPr="0063404E">
        <w:t xml:space="preserve">preparing our </w:t>
      </w:r>
      <w:r w:rsidRPr="0063404E">
        <w:t xml:space="preserve">statement of accounts </w:t>
      </w:r>
      <w:r w:rsidR="00421746" w:rsidRPr="0063404E">
        <w:t xml:space="preserve">in line with the </w:t>
      </w:r>
      <w:r w:rsidR="0024585E" w:rsidRPr="0063404E">
        <w:t>C</w:t>
      </w:r>
      <w:r w:rsidR="00421746" w:rsidRPr="0063404E">
        <w:t xml:space="preserve">hartered Institute of Public Finance and Accountancy/Local Authority (Scotland) Accounts Advisory Committee Code of Practice on Local </w:t>
      </w:r>
      <w:r w:rsidR="00174A0F" w:rsidRPr="0063404E">
        <w:t>Authority</w:t>
      </w:r>
      <w:r w:rsidR="00421746" w:rsidRPr="0063404E">
        <w:t xml:space="preserve"> Acc</w:t>
      </w:r>
      <w:r w:rsidR="00174A0F" w:rsidRPr="0063404E">
        <w:t>ounti</w:t>
      </w:r>
      <w:r w:rsidR="00421746" w:rsidRPr="0063404E">
        <w:t>ng in the United Kingdom. This means</w:t>
      </w:r>
      <w:r w:rsidRPr="0063404E">
        <w:t xml:space="preserve"> present</w:t>
      </w:r>
      <w:r w:rsidR="00174A0F" w:rsidRPr="0063404E">
        <w:t>ing</w:t>
      </w:r>
      <w:r w:rsidRPr="0063404E">
        <w:t xml:space="preserve"> </w:t>
      </w:r>
      <w:r w:rsidR="009778B8" w:rsidRPr="0063404E">
        <w:t xml:space="preserve">a true and fair view of </w:t>
      </w:r>
      <w:r w:rsidR="00174A0F" w:rsidRPr="0063404E">
        <w:t xml:space="preserve">our </w:t>
      </w:r>
      <w:r w:rsidRPr="0063404E">
        <w:t xml:space="preserve">financial position </w:t>
      </w:r>
      <w:r w:rsidR="00174A0F" w:rsidRPr="0063404E">
        <w:t xml:space="preserve">on </w:t>
      </w:r>
      <w:r w:rsidRPr="0063404E">
        <w:t xml:space="preserve">the accounting date and </w:t>
      </w:r>
      <w:r w:rsidR="00174A0F" w:rsidRPr="0063404E">
        <w:t xml:space="preserve">our </w:t>
      </w:r>
      <w:r w:rsidRPr="0063404E">
        <w:t>income and expenditure for the year end</w:t>
      </w:r>
      <w:r w:rsidR="00174A0F" w:rsidRPr="0063404E">
        <w:t>ing</w:t>
      </w:r>
      <w:r w:rsidRPr="0063404E">
        <w:t xml:space="preserve"> 31 March 20</w:t>
      </w:r>
      <w:r w:rsidR="008779C7" w:rsidRPr="0063404E">
        <w:t>1</w:t>
      </w:r>
      <w:r w:rsidR="0063404E" w:rsidRPr="0063404E">
        <w:t>2</w:t>
      </w:r>
      <w:r w:rsidRPr="0063404E">
        <w:t>.</w:t>
      </w:r>
    </w:p>
    <w:p w:rsidR="00C64115" w:rsidRPr="0063404E" w:rsidRDefault="00C64115" w:rsidP="001D06D6">
      <w:pPr>
        <w:jc w:val="both"/>
      </w:pPr>
    </w:p>
    <w:p w:rsidR="00C64115" w:rsidRPr="0063404E" w:rsidRDefault="00C64115" w:rsidP="001D06D6">
      <w:pPr>
        <w:jc w:val="both"/>
      </w:pPr>
      <w:r w:rsidRPr="0063404E">
        <w:t xml:space="preserve">In preparing this statement of accounts, the </w:t>
      </w:r>
      <w:r w:rsidR="008B048C" w:rsidRPr="0063404E">
        <w:t>County Treasurer</w:t>
      </w:r>
      <w:r w:rsidR="00174A0F" w:rsidRPr="0063404E">
        <w:t xml:space="preserve"> </w:t>
      </w:r>
      <w:r w:rsidRPr="0063404E">
        <w:t>has:</w:t>
      </w:r>
    </w:p>
    <w:p w:rsidR="00C64115" w:rsidRPr="0063404E" w:rsidRDefault="00C64115" w:rsidP="001D06D6">
      <w:pPr>
        <w:jc w:val="both"/>
      </w:pPr>
    </w:p>
    <w:p w:rsidR="00C64115" w:rsidRPr="0063404E" w:rsidRDefault="00C64115" w:rsidP="00BD07E4">
      <w:pPr>
        <w:numPr>
          <w:ilvl w:val="0"/>
          <w:numId w:val="8"/>
        </w:numPr>
        <w:jc w:val="both"/>
      </w:pPr>
      <w:r w:rsidRPr="0063404E">
        <w:t>selected suitable accounting policies and applied them consistently;</w:t>
      </w:r>
    </w:p>
    <w:p w:rsidR="00C64115" w:rsidRPr="0063404E" w:rsidRDefault="00C64115" w:rsidP="00BD07E4">
      <w:pPr>
        <w:numPr>
          <w:ilvl w:val="0"/>
          <w:numId w:val="8"/>
        </w:numPr>
        <w:jc w:val="both"/>
      </w:pPr>
      <w:r w:rsidRPr="0063404E">
        <w:t xml:space="preserve">made judgements and estimates that </w:t>
      </w:r>
      <w:r w:rsidR="00174A0F" w:rsidRPr="0063404E">
        <w:t xml:space="preserve">are </w:t>
      </w:r>
      <w:r w:rsidRPr="0063404E">
        <w:t xml:space="preserve">reasonable and </w:t>
      </w:r>
      <w:r w:rsidR="001412B5" w:rsidRPr="0063404E">
        <w:t>prudent</w:t>
      </w:r>
      <w:r w:rsidR="0024585E" w:rsidRPr="0063404E">
        <w:t>; and</w:t>
      </w:r>
    </w:p>
    <w:p w:rsidR="00C64115" w:rsidRPr="0063404E" w:rsidRDefault="00C64115" w:rsidP="00BD07E4">
      <w:pPr>
        <w:numPr>
          <w:ilvl w:val="0"/>
          <w:numId w:val="8"/>
        </w:numPr>
        <w:jc w:val="both"/>
      </w:pPr>
      <w:r w:rsidRPr="0063404E">
        <w:t>complied with the</w:t>
      </w:r>
      <w:r w:rsidR="008E5B55" w:rsidRPr="0063404E">
        <w:t xml:space="preserve"> local authority </w:t>
      </w:r>
      <w:r w:rsidR="00577AFE">
        <w:t>c</w:t>
      </w:r>
      <w:r w:rsidR="00FB54A2" w:rsidRPr="0063404E">
        <w:t>ode</w:t>
      </w:r>
      <w:r w:rsidR="008E5B55" w:rsidRPr="0063404E">
        <w:t>.</w:t>
      </w:r>
    </w:p>
    <w:p w:rsidR="00174A0F" w:rsidRPr="0063404E" w:rsidRDefault="00174A0F" w:rsidP="001D06D6">
      <w:pPr>
        <w:jc w:val="both"/>
        <w:rPr>
          <w:b/>
        </w:rPr>
      </w:pPr>
    </w:p>
    <w:p w:rsidR="00C64115" w:rsidRPr="0063404E" w:rsidRDefault="008B048C" w:rsidP="001D06D6">
      <w:pPr>
        <w:jc w:val="both"/>
      </w:pPr>
      <w:r w:rsidRPr="0063404E">
        <w:t xml:space="preserve">They have </w:t>
      </w:r>
      <w:r w:rsidR="00C64115" w:rsidRPr="0063404E">
        <w:t>also:</w:t>
      </w:r>
    </w:p>
    <w:p w:rsidR="00C64115" w:rsidRPr="0063404E" w:rsidRDefault="00C64115" w:rsidP="001D06D6">
      <w:pPr>
        <w:jc w:val="both"/>
      </w:pPr>
    </w:p>
    <w:p w:rsidR="00C64115" w:rsidRPr="0063404E" w:rsidRDefault="00C64115" w:rsidP="00BD07E4">
      <w:pPr>
        <w:numPr>
          <w:ilvl w:val="0"/>
          <w:numId w:val="9"/>
        </w:numPr>
        <w:jc w:val="both"/>
      </w:pPr>
      <w:r w:rsidRPr="0063404E">
        <w:t>kept proper</w:t>
      </w:r>
      <w:r w:rsidR="00174A0F" w:rsidRPr="0063404E">
        <w:t>,</w:t>
      </w:r>
      <w:r w:rsidRPr="0063404E">
        <w:t xml:space="preserve"> </w:t>
      </w:r>
      <w:r w:rsidR="00174A0F" w:rsidRPr="0063404E">
        <w:t xml:space="preserve">up-to-date </w:t>
      </w:r>
      <w:r w:rsidRPr="0063404E">
        <w:t>accounting records;</w:t>
      </w:r>
      <w:r w:rsidR="00174A0F" w:rsidRPr="0063404E">
        <w:t xml:space="preserve"> and</w:t>
      </w:r>
    </w:p>
    <w:p w:rsidR="00C64115" w:rsidRPr="0063404E" w:rsidRDefault="00C64115" w:rsidP="00BD07E4">
      <w:pPr>
        <w:numPr>
          <w:ilvl w:val="0"/>
          <w:numId w:val="9"/>
        </w:numPr>
        <w:jc w:val="both"/>
      </w:pPr>
      <w:r w:rsidRPr="0063404E">
        <w:t xml:space="preserve">taken responsible steps </w:t>
      </w:r>
      <w:r w:rsidR="00174A0F" w:rsidRPr="0063404E">
        <w:t>to prevent and detect</w:t>
      </w:r>
      <w:r w:rsidRPr="0063404E">
        <w:t xml:space="preserve"> fraud and other </w:t>
      </w:r>
      <w:r w:rsidR="00174A0F" w:rsidRPr="0063404E">
        <w:t>risks</w:t>
      </w:r>
      <w:r w:rsidRPr="0063404E">
        <w:t>.</w:t>
      </w:r>
    </w:p>
    <w:p w:rsidR="00C64115" w:rsidRPr="0063404E" w:rsidRDefault="00C64115" w:rsidP="00C64115"/>
    <w:p w:rsidR="00AA6046" w:rsidRPr="0063404E" w:rsidRDefault="00C64115" w:rsidP="008F3C47">
      <w:pPr>
        <w:jc w:val="both"/>
      </w:pPr>
      <w:r w:rsidRPr="0063404E">
        <w:br w:type="page"/>
      </w:r>
    </w:p>
    <w:p w:rsidR="00AA6046" w:rsidRPr="002F61F2" w:rsidRDefault="00AA6046" w:rsidP="00811649">
      <w:pPr>
        <w:pStyle w:val="Heading1"/>
      </w:pPr>
      <w:r w:rsidRPr="002F61F2">
        <w:lastRenderedPageBreak/>
        <w:t>Annual Governance Statement – Financial Year 201</w:t>
      </w:r>
      <w:r w:rsidR="006270CB" w:rsidRPr="002F61F2">
        <w:t>1</w:t>
      </w:r>
      <w:r w:rsidRPr="002F61F2">
        <w:t>/201</w:t>
      </w:r>
      <w:r w:rsidR="006270CB" w:rsidRPr="002F61F2">
        <w:t>2</w:t>
      </w:r>
    </w:p>
    <w:p w:rsidR="00AA6046" w:rsidRPr="002F61F2" w:rsidRDefault="00AA6046" w:rsidP="00AA6046">
      <w:pPr>
        <w:jc w:val="both"/>
      </w:pPr>
    </w:p>
    <w:p w:rsidR="002F61F2" w:rsidRPr="002F61F2" w:rsidRDefault="002F61F2" w:rsidP="00C21F36">
      <w:pPr>
        <w:spacing w:after="240"/>
        <w:jc w:val="both"/>
      </w:pPr>
      <w:r w:rsidRPr="002F61F2">
        <w:t>This statement is prepared in compliance with the requirements of the Accounts and Audit Regulations 2011</w:t>
      </w:r>
      <w:r w:rsidR="00C21F36">
        <w:t>,</w:t>
      </w:r>
      <w:r w:rsidRPr="002F61F2">
        <w:t xml:space="preserve"> to prepare a statement on internal control in accordance with proper practices and the guidance on those practices provided by CIPFA and SOLACE in 2007</w:t>
      </w:r>
      <w:r w:rsidR="00C21F36">
        <w:t>.</w:t>
      </w:r>
    </w:p>
    <w:p w:rsidR="002F61F2" w:rsidRPr="00C21F36" w:rsidRDefault="002F61F2" w:rsidP="00C21F36">
      <w:pPr>
        <w:spacing w:after="240"/>
        <w:jc w:val="both"/>
        <w:rPr>
          <w:u w:val="single"/>
        </w:rPr>
      </w:pPr>
      <w:r w:rsidRPr="00C21F36">
        <w:rPr>
          <w:u w:val="single"/>
        </w:rPr>
        <w:t>The council’s responsibilities in relation to internal control</w:t>
      </w:r>
    </w:p>
    <w:p w:rsidR="002F61F2" w:rsidRPr="00BD07E4" w:rsidRDefault="002F61F2" w:rsidP="00C21F36">
      <w:pPr>
        <w:spacing w:after="240"/>
        <w:jc w:val="both"/>
      </w:pPr>
      <w:r w:rsidRPr="00BD07E4">
        <w:t xml:space="preserve">Lancashire </w:t>
      </w:r>
      <w:r w:rsidR="001F1A1A">
        <w:t>County Council</w:t>
      </w:r>
      <w:r w:rsidRPr="00BD07E4">
        <w:t xml:space="preserve"> is responsible for ensuring that its business is conducted in accordance with the law and proper standards, and that public money is safeguarded and properly accounted for, and used economically, efficiently and effectively. The council also has a duty under the Local Government Act 1999 to make arrangements to secure continuous improvement in the way in which its functions are exercised, having regard to a combination of economy, efficiency and effectiveness. </w:t>
      </w:r>
    </w:p>
    <w:p w:rsidR="002F61F2" w:rsidRPr="00BD07E4" w:rsidRDefault="002F61F2" w:rsidP="00C21F36">
      <w:pPr>
        <w:spacing w:after="240"/>
        <w:jc w:val="both"/>
      </w:pPr>
      <w:r w:rsidRPr="00BD07E4">
        <w:t xml:space="preserve">In discharging this overall responsibility, the council is responsible for putting in place proper arrangements for the governance of its affairs and facilitating the effective exercise of its functions, including arrangements for the management of risk.  </w:t>
      </w:r>
    </w:p>
    <w:p w:rsidR="002F61F2" w:rsidRPr="00BD07E4" w:rsidRDefault="002F61F2" w:rsidP="00C21F36">
      <w:pPr>
        <w:spacing w:after="240"/>
        <w:jc w:val="both"/>
      </w:pPr>
      <w:r w:rsidRPr="00BD07E4">
        <w:t>The council has adopted a code of corporate governance which is consistent with the principles of the CIPFA/SOLACE Framework '</w:t>
      </w:r>
      <w:r w:rsidRPr="00BD07E4">
        <w:rPr>
          <w:i/>
        </w:rPr>
        <w:t xml:space="preserve">Delivering Good Governance in Local Government'. </w:t>
      </w:r>
      <w:r w:rsidRPr="00BD07E4">
        <w:t>The council also complies with CIPFA</w:t>
      </w:r>
      <w:r w:rsidR="00C21F36">
        <w:t>'</w:t>
      </w:r>
      <w:r w:rsidRPr="00BD07E4">
        <w:t xml:space="preserve">s statements on the role of the Chief Financial Officer in Local Government and on the role of the Head of Internal Audit in Public Service Organisations. </w:t>
      </w:r>
    </w:p>
    <w:p w:rsidR="002F61F2" w:rsidRPr="00BD07E4" w:rsidRDefault="002F61F2" w:rsidP="00C21F36">
      <w:pPr>
        <w:spacing w:after="240"/>
        <w:jc w:val="both"/>
      </w:pPr>
      <w:r w:rsidRPr="00BD07E4">
        <w:t>The code of corporate governance is available on the Council's website and hard copies can be obtained by contacting Roy Jones on 01772 533619. This statement explains how the council has complied with the code and identifies further actions to be taken to improve controls over corporate governance during the coming financial year.</w:t>
      </w:r>
    </w:p>
    <w:p w:rsidR="002F61F2" w:rsidRPr="00BD07E4" w:rsidRDefault="002F61F2" w:rsidP="00C21F36">
      <w:pPr>
        <w:spacing w:after="240"/>
        <w:jc w:val="both"/>
      </w:pPr>
      <w:r w:rsidRPr="00BD07E4">
        <w:t>The council’s code of corporate governance has been approved by the cabinet and considered by Full Council, the Audit Committee and the Management Team.</w:t>
      </w:r>
    </w:p>
    <w:p w:rsidR="002F61F2" w:rsidRPr="00BD07E4" w:rsidRDefault="002F61F2" w:rsidP="00C21F36">
      <w:pPr>
        <w:spacing w:after="240"/>
        <w:jc w:val="both"/>
      </w:pPr>
      <w:r w:rsidRPr="00BD07E4">
        <w:t xml:space="preserve">This Annual Governance Statement will be considered for approval by the Audit Committee on 25 June 2012, and will be reported to the council on 12 July 2012.  </w:t>
      </w:r>
    </w:p>
    <w:p w:rsidR="002F61F2" w:rsidRPr="00C21F36" w:rsidRDefault="002F61F2" w:rsidP="00C21F36">
      <w:pPr>
        <w:spacing w:after="240"/>
        <w:jc w:val="both"/>
        <w:rPr>
          <w:u w:val="single"/>
        </w:rPr>
      </w:pPr>
      <w:r w:rsidRPr="00C21F36">
        <w:rPr>
          <w:u w:val="single"/>
        </w:rPr>
        <w:t xml:space="preserve">The purpose of the governance framework </w:t>
      </w:r>
    </w:p>
    <w:p w:rsidR="002F61F2" w:rsidRPr="00BD07E4" w:rsidRDefault="002F61F2" w:rsidP="00C21F36">
      <w:pPr>
        <w:spacing w:after="240"/>
        <w:jc w:val="both"/>
      </w:pPr>
      <w:r w:rsidRPr="00BD07E4">
        <w:t xml:space="preserve">The governance framework comprises the systems and processes, culture and values by which the council is directly controlled and the activities through which it accounts to, engages with and leads the community. It enables the council to monitor the achievement of its strategic objectives and to consider whether those objectives have led to the delivery of appropriate, cost-effective services. </w:t>
      </w:r>
    </w:p>
    <w:p w:rsidR="002F61F2" w:rsidRPr="00BD07E4" w:rsidRDefault="002F61F2" w:rsidP="00C21F36">
      <w:pPr>
        <w:spacing w:after="240"/>
        <w:jc w:val="both"/>
      </w:pPr>
      <w:r w:rsidRPr="00BD07E4">
        <w:t xml:space="preserve">The system of internal control is a significant part of that framework and is designed to manage risk to a reasonable level. It cannot eliminate all risk of failure to achieve policies, aims and objectives and can therefore only provide reasonable and not absolute assurance of effectiveness. It is an ongoing process designed to identify and prioritise the risks to the achievement of the council’s policies, aims and objectives, to evaluate the likelihood of those risks being realised and the impact should they be realised, and to manage them efficiently, effectively and economically.  </w:t>
      </w:r>
    </w:p>
    <w:p w:rsidR="002F61F2" w:rsidRPr="00BD07E4" w:rsidRDefault="002F61F2" w:rsidP="00C21F36">
      <w:pPr>
        <w:spacing w:after="240"/>
        <w:jc w:val="both"/>
      </w:pPr>
    </w:p>
    <w:p w:rsidR="002F61F2" w:rsidRPr="00BD07E4" w:rsidRDefault="002F61F2" w:rsidP="00C21F36">
      <w:pPr>
        <w:spacing w:after="240"/>
        <w:jc w:val="both"/>
      </w:pPr>
      <w:r w:rsidRPr="00BD07E4">
        <w:lastRenderedPageBreak/>
        <w:t xml:space="preserve">This statement confirms that the governance framework has been in place at the council for the year ended 31 March 2012. </w:t>
      </w:r>
    </w:p>
    <w:p w:rsidR="002F61F2" w:rsidRPr="006908EC" w:rsidRDefault="002F61F2" w:rsidP="00C21F36">
      <w:pPr>
        <w:spacing w:after="240"/>
        <w:jc w:val="both"/>
        <w:rPr>
          <w:u w:val="single"/>
        </w:rPr>
      </w:pPr>
      <w:r w:rsidRPr="006908EC">
        <w:rPr>
          <w:u w:val="single"/>
        </w:rPr>
        <w:t>The council’s governance framework</w:t>
      </w:r>
    </w:p>
    <w:p w:rsidR="002F61F2" w:rsidRPr="00BD07E4" w:rsidRDefault="002F61F2" w:rsidP="00C21F36">
      <w:pPr>
        <w:spacing w:after="240"/>
        <w:jc w:val="both"/>
      </w:pPr>
      <w:r w:rsidRPr="00BD07E4">
        <w:t>This section highlights the key elements of the systems and processes that comprise the council’s governance arrangements in accordance with the six principles of corporate governance included in the code:</w:t>
      </w:r>
    </w:p>
    <w:p w:rsidR="002F61F2" w:rsidRPr="00BD07E4" w:rsidRDefault="002F61F2" w:rsidP="00C21F36">
      <w:pPr>
        <w:spacing w:after="240"/>
        <w:jc w:val="both"/>
      </w:pPr>
      <w:r w:rsidRPr="00BD07E4">
        <w:t xml:space="preserve">The Council has a Corporate Strategy which sets out its vision for Lancashire for the period 2012-13. The strategy is refreshed annually to reflect changes in both local and national priorities.  </w:t>
      </w:r>
    </w:p>
    <w:p w:rsidR="002F61F2" w:rsidRPr="00BD07E4" w:rsidRDefault="002F61F2" w:rsidP="00C21F36">
      <w:pPr>
        <w:numPr>
          <w:ilvl w:val="0"/>
          <w:numId w:val="22"/>
        </w:numPr>
        <w:tabs>
          <w:tab w:val="clear" w:pos="5220"/>
          <w:tab w:val="num" w:pos="360"/>
        </w:tabs>
        <w:spacing w:after="240"/>
        <w:ind w:left="1077" w:hanging="357"/>
        <w:jc w:val="both"/>
      </w:pPr>
      <w:r w:rsidRPr="00BD07E4">
        <w:t xml:space="preserve">The council is keenly aware of the need to ensure that it delivers on its ambitions. Regular reports are considered by the Cabinet Committee on Performance Improvement which set out performance against both local and national indicators and in relation to progress against the objectives as set out in the Corporate Strategy including progress towards the achievement of the council's corporate performance priority areas. The council’s Customer Access Strategy has the vision ‘That everyone in Lancashire can get help and information on all the </w:t>
      </w:r>
      <w:r w:rsidR="001F1A1A">
        <w:t>County Council</w:t>
      </w:r>
      <w:r w:rsidRPr="00BD07E4">
        <w:t xml:space="preserve">’s services conveniently and efficiently.’  The council uses the views of the public through its 'Living in Lancashire' residents' panel and bespoke research and consultation activities to inform decision making.  </w:t>
      </w:r>
    </w:p>
    <w:p w:rsidR="002F61F2" w:rsidRPr="00BD07E4" w:rsidRDefault="002F61F2" w:rsidP="00C21F36">
      <w:pPr>
        <w:numPr>
          <w:ilvl w:val="0"/>
          <w:numId w:val="22"/>
        </w:numPr>
        <w:tabs>
          <w:tab w:val="clear" w:pos="5220"/>
          <w:tab w:val="num" w:pos="360"/>
        </w:tabs>
        <w:spacing w:after="240"/>
        <w:ind w:left="1077" w:hanging="357"/>
        <w:jc w:val="both"/>
      </w:pPr>
      <w:r w:rsidRPr="00BD07E4">
        <w:t>Lancashire has a leader and cabinet model of executive government and the roles and responsibilities of the different elements of the executive, leader, cabinet, and individual cabinet members, are set out in its constitution. In May 2012, the Full Council gave detailed consideration to the governance implications of the Localism Act 2011 including the retention of the Leader and cabinet model and a petition scheme.</w:t>
      </w:r>
    </w:p>
    <w:p w:rsidR="002F61F2" w:rsidRPr="00BD07E4" w:rsidRDefault="002F61F2" w:rsidP="00C21F36">
      <w:pPr>
        <w:numPr>
          <w:ilvl w:val="0"/>
          <w:numId w:val="22"/>
        </w:numPr>
        <w:tabs>
          <w:tab w:val="clear" w:pos="5220"/>
          <w:tab w:val="num" w:pos="360"/>
        </w:tabs>
        <w:spacing w:after="240"/>
        <w:ind w:left="1077" w:hanging="357"/>
        <w:jc w:val="both"/>
      </w:pPr>
      <w:r w:rsidRPr="00BD07E4">
        <w:t xml:space="preserve">The Council's current scrutiny arrangements have been in place since May 2010. It comprises three scrutiny committees - the Scrutiny Committee, Education Scrutiny Committee and Health Scrutiny Committee. </w:t>
      </w:r>
    </w:p>
    <w:p w:rsidR="002F61F2" w:rsidRPr="00BD07E4" w:rsidRDefault="002F61F2" w:rsidP="00C21F36">
      <w:pPr>
        <w:spacing w:after="240"/>
        <w:jc w:val="both"/>
      </w:pPr>
      <w:r w:rsidRPr="00BD07E4">
        <w:t>The Forward Plan of executive decisions appears on the agenda of each committee, and cabinet members are regularly called to committees to be questioned about areas of policy. The committees appoint task groups to undertake scrutiny reviews which are then considered by the relevant committee for adoption. When recommendations are made to a cabinet member, a protocol requires an initial response to be provided to the committee within three months.  This requirement will change to two months in 2012/13 to comply with the requirements of the Localism Act 2011. During the year scrutiny reviews through appointed task groups have considered a range of Council services and externally provided services. The functions of the Scrutiny Committee include scrutiny of the council's crime and disorder partnership, which is the Safer Lancashire Board.  The committee is also responsible for the scrutiny of flood risk management</w:t>
      </w:r>
      <w:r w:rsidR="006908EC">
        <w:t>.</w:t>
      </w:r>
    </w:p>
    <w:p w:rsidR="002F61F2" w:rsidRPr="00BD07E4" w:rsidRDefault="002F61F2" w:rsidP="00C21F36">
      <w:pPr>
        <w:spacing w:after="240"/>
        <w:jc w:val="both"/>
      </w:pPr>
      <w:r w:rsidRPr="00BD07E4">
        <w:t xml:space="preserve">The Health Scrutiny Committee has the statutory role of scrutinising proposed substantial variations in service delivery in the health service and scrutinising the work of the NHS more generally. The committee has devoted a considerable amount of time and resource in the year to monitoring and scrutinising the impact of the proposed health service reforms on Lancashire, as well as continuing its role to monitor and scrutinise service delivery.  </w:t>
      </w:r>
    </w:p>
    <w:p w:rsidR="002F61F2" w:rsidRPr="00BD07E4" w:rsidRDefault="002F61F2" w:rsidP="00C21F36">
      <w:pPr>
        <w:spacing w:after="240"/>
        <w:jc w:val="both"/>
      </w:pPr>
      <w:r w:rsidRPr="00BD07E4">
        <w:t>A standing joint health committee has been established with Blackburn with Darwen and Blackpool councils to consider substantial variations in services affecting all three areas. The principle area of work for the joint committee has been on a review of mental health provision.</w:t>
      </w:r>
    </w:p>
    <w:p w:rsidR="002F61F2" w:rsidRPr="00BD07E4" w:rsidRDefault="002F61F2" w:rsidP="00C21F36">
      <w:pPr>
        <w:spacing w:after="240"/>
        <w:jc w:val="both"/>
      </w:pPr>
      <w:r w:rsidRPr="00BD07E4">
        <w:lastRenderedPageBreak/>
        <w:t>A statutory Scrutiny Officer has been appointed in accordance with the terms of the Localism Act 2011.</w:t>
      </w:r>
    </w:p>
    <w:p w:rsidR="002F61F2" w:rsidRPr="00BD07E4" w:rsidRDefault="002F61F2" w:rsidP="006908EC">
      <w:pPr>
        <w:numPr>
          <w:ilvl w:val="0"/>
          <w:numId w:val="58"/>
        </w:numPr>
        <w:spacing w:after="240"/>
        <w:ind w:left="720"/>
        <w:jc w:val="both"/>
      </w:pPr>
      <w:r w:rsidRPr="00BD07E4">
        <w:t>In advance of the statutory requirement to establish a Health and Wellbeing Board in April 2013, the Council has established a Shadow Board which is leading on the strategic co-ordination of commissioning across the NHS, social care and public health to secure better outcomes for the population, better quality of care for patients and care users and better value for the taxpayer. One of the key tasks of the Shadow Board is to develop a Health and Wellbeing Strategy for Lancashire.</w:t>
      </w:r>
    </w:p>
    <w:p w:rsidR="002F61F2" w:rsidRPr="00BD07E4" w:rsidRDefault="002F61F2" w:rsidP="00C21F36">
      <w:pPr>
        <w:numPr>
          <w:ilvl w:val="0"/>
          <w:numId w:val="58"/>
        </w:numPr>
        <w:spacing w:after="240"/>
        <w:ind w:left="720"/>
        <w:jc w:val="both"/>
      </w:pPr>
      <w:r w:rsidRPr="00BD07E4">
        <w:t xml:space="preserve">The Council has also been preparing, as Lead Authority, for the establishment during 2012/13 of a Police and Crime Panel for Lancashire, which is required to be a joint Committee of the 15 pan-Lancashire local authorities, its purpose being to support and scrutinise the new Police and Crime Commissioner for Lancashire following his/her election in November 2012. </w:t>
      </w:r>
    </w:p>
    <w:p w:rsidR="002F61F2" w:rsidRPr="00BD07E4" w:rsidRDefault="002F61F2" w:rsidP="00C21F36">
      <w:pPr>
        <w:numPr>
          <w:ilvl w:val="0"/>
          <w:numId w:val="58"/>
        </w:numPr>
        <w:spacing w:after="240"/>
        <w:ind w:left="720"/>
        <w:jc w:val="both"/>
      </w:pPr>
      <w:r w:rsidRPr="00BD07E4">
        <w:t>The council has had a Standards Committee which complied with statutory requirements. Its views were sought during 2011/12 on the provisions in the Localism Act 2011 to abolish the national standards regime and to make new local arrangements for a Code of Conduct, registration and declaration of interests and the handling of complaints against members. Under its statutory role as the lo</w:t>
      </w:r>
      <w:r w:rsidR="006908EC">
        <w:t>cal filter for complaints</w:t>
      </w:r>
      <w:r w:rsidRPr="00BD07E4">
        <w:t xml:space="preserve"> that there has been a breach of the code of member conduct, it has considered 23 complaints in total since May 2008. Of these only three have been referred for investigation, which demonstrates the high standards of conduct of members of the council. There has been a report of the committee's proceedings to each meeting of the Full Council and the committee has undertaken monitoring of compliance with </w:t>
      </w:r>
      <w:r w:rsidR="006908EC">
        <w:t xml:space="preserve">both member and officer codes. </w:t>
      </w:r>
      <w:r w:rsidRPr="00BD07E4">
        <w:t xml:space="preserve"> The Full Council meeting in May</w:t>
      </w:r>
      <w:r w:rsidR="006908EC">
        <w:t xml:space="preserve"> 2012</w:t>
      </w:r>
      <w:r w:rsidRPr="00BD07E4">
        <w:t xml:space="preserve"> reviewed the standards arrangements including the disestablishment of the Committee and the introdu</w:t>
      </w:r>
      <w:r w:rsidR="006908EC">
        <w:t>ction of new arrangements from 1</w:t>
      </w:r>
      <w:r w:rsidRPr="00BD07E4">
        <w:t xml:space="preserve"> July 2012. </w:t>
      </w:r>
    </w:p>
    <w:p w:rsidR="002F61F2" w:rsidRPr="00BD07E4" w:rsidRDefault="002F61F2" w:rsidP="00C21F36">
      <w:pPr>
        <w:numPr>
          <w:ilvl w:val="0"/>
          <w:numId w:val="22"/>
        </w:numPr>
        <w:tabs>
          <w:tab w:val="clear" w:pos="5220"/>
          <w:tab w:val="num" w:pos="360"/>
        </w:tabs>
        <w:spacing w:after="240"/>
        <w:ind w:left="1077" w:hanging="357"/>
        <w:jc w:val="both"/>
      </w:pPr>
      <w:r w:rsidRPr="00BD07E4">
        <w:t xml:space="preserve">The council has an Audit Committee which operates in accordance with CIPFA guidance. It provides independent oversight of the adequacy of the council's governance, risk management and internal control frameworks, and oversees the financial reporting process. It receives appropriate training for the work that it does.  </w:t>
      </w:r>
    </w:p>
    <w:p w:rsidR="002F61F2" w:rsidRPr="00BD07E4" w:rsidRDefault="002F61F2" w:rsidP="00C21F36">
      <w:pPr>
        <w:numPr>
          <w:ilvl w:val="0"/>
          <w:numId w:val="22"/>
        </w:numPr>
        <w:tabs>
          <w:tab w:val="clear" w:pos="5220"/>
          <w:tab w:val="num" w:pos="360"/>
        </w:tabs>
        <w:spacing w:after="240"/>
        <w:ind w:left="1077" w:hanging="357"/>
        <w:jc w:val="both"/>
      </w:pPr>
      <w:r w:rsidRPr="00BD07E4">
        <w:t xml:space="preserve">The terms of reference of the Audit Committee and other committees of the Council will be revised in 2012/13 to reflect the changing governance arrangements around standards and the code of conduct for members arising out of the Localism Act 2011.  </w:t>
      </w:r>
    </w:p>
    <w:p w:rsidR="002F61F2" w:rsidRPr="00BD07E4" w:rsidRDefault="002F61F2" w:rsidP="00C21F36">
      <w:pPr>
        <w:numPr>
          <w:ilvl w:val="0"/>
          <w:numId w:val="22"/>
        </w:numPr>
        <w:tabs>
          <w:tab w:val="clear" w:pos="5220"/>
          <w:tab w:val="num" w:pos="360"/>
        </w:tabs>
        <w:spacing w:after="240"/>
        <w:ind w:left="1077" w:hanging="357"/>
        <w:jc w:val="both"/>
      </w:pPr>
      <w:r w:rsidRPr="00BD07E4">
        <w:t>The council has a well regarded Internal Audit Service that provides an independent and objective opinion to the council on its control environment (comprising governance, risk management and internal control) by evaluating its effectiveness in achieving the organisation’s objectives. It objectively examines, evaluates and reports on the adequacy of the control environment as a contribution to the proper, economic, efficient and effective use of resources. It works with officers to develop the control environment, and supports management's compliance with established policies, control procedures, laws and regulations. It also provides a counter fraud and investigatory service through its annual Counter Fraud Plan and produces an annual report on Counter Fraud and Special Investigations for the Audit Committee.</w:t>
      </w:r>
    </w:p>
    <w:p w:rsidR="002F61F2" w:rsidRPr="00BD07E4" w:rsidRDefault="002F61F2" w:rsidP="00C21F36">
      <w:pPr>
        <w:numPr>
          <w:ilvl w:val="0"/>
          <w:numId w:val="22"/>
        </w:numPr>
        <w:tabs>
          <w:tab w:val="clear" w:pos="5220"/>
          <w:tab w:val="num" w:pos="360"/>
        </w:tabs>
        <w:spacing w:after="240"/>
        <w:ind w:left="1077" w:hanging="357"/>
        <w:jc w:val="both"/>
      </w:pPr>
      <w:r w:rsidRPr="00BD07E4">
        <w:t xml:space="preserve">There is an effective </w:t>
      </w:r>
      <w:r w:rsidR="00AD777C" w:rsidRPr="00BD07E4">
        <w:t>whistle blowing</w:t>
      </w:r>
      <w:r w:rsidRPr="00BD07E4">
        <w:t xml:space="preserve"> procedure in place which is well publicised to staff. Reports on the level of use and outcomes have been presented to the Standards Committee and Audit Committee.  </w:t>
      </w:r>
    </w:p>
    <w:p w:rsidR="002F61F2" w:rsidRPr="00BD07E4" w:rsidRDefault="002F61F2" w:rsidP="00C21F36">
      <w:pPr>
        <w:numPr>
          <w:ilvl w:val="0"/>
          <w:numId w:val="22"/>
        </w:numPr>
        <w:tabs>
          <w:tab w:val="clear" w:pos="5220"/>
          <w:tab w:val="num" w:pos="360"/>
        </w:tabs>
        <w:spacing w:after="240"/>
        <w:ind w:left="1077" w:hanging="357"/>
        <w:jc w:val="both"/>
      </w:pPr>
      <w:r w:rsidRPr="00BD07E4">
        <w:lastRenderedPageBreak/>
        <w:t xml:space="preserve">The scheme of delegation to officers enables decisions to be taken at the most appropriate and effective level. A fundamental review of the Scheme of Delegation to Chief Officers will be undertaken in 2012/13 to adopt the principle that chief officers will have the power to take decisions except where specifically reserved to Full Council, a Committee or the Executive. It is considered this will make decision making more efficient whilst continuing to ensure robust governance within the Council. A review will be simultaneously undertaken of the Council's Financial Regulations and Cabinet Member delegations.  </w:t>
      </w:r>
    </w:p>
    <w:p w:rsidR="002F61F2" w:rsidRPr="00BD07E4" w:rsidRDefault="002F61F2" w:rsidP="00C21F36">
      <w:pPr>
        <w:numPr>
          <w:ilvl w:val="0"/>
          <w:numId w:val="22"/>
        </w:numPr>
        <w:tabs>
          <w:tab w:val="clear" w:pos="5220"/>
          <w:tab w:val="num" w:pos="360"/>
        </w:tabs>
        <w:spacing w:after="240"/>
        <w:ind w:left="1077" w:hanging="357"/>
        <w:jc w:val="both"/>
      </w:pPr>
      <w:r w:rsidRPr="00BD07E4">
        <w:t xml:space="preserve">The council's Constitution includes a Protocol on </w:t>
      </w:r>
      <w:r w:rsidR="001F1A1A">
        <w:t>County Council</w:t>
      </w:r>
      <w:r w:rsidRPr="00BD07E4">
        <w:t>lor/ Officer Relations. A series of corporate political awareness training sessions for staff at all management levels of the Council, involving leading Councillors, has been underway in 2011/12 and will continue across Council Directorates in 2012/13.</w:t>
      </w:r>
    </w:p>
    <w:p w:rsidR="002F61F2" w:rsidRPr="00BD07E4" w:rsidRDefault="002F61F2" w:rsidP="00C21F36">
      <w:pPr>
        <w:numPr>
          <w:ilvl w:val="0"/>
          <w:numId w:val="22"/>
        </w:numPr>
        <w:tabs>
          <w:tab w:val="clear" w:pos="5220"/>
          <w:tab w:val="num" w:pos="360"/>
          <w:tab w:val="num" w:pos="1134"/>
        </w:tabs>
        <w:spacing w:after="240"/>
        <w:ind w:left="1077" w:hanging="357"/>
        <w:jc w:val="both"/>
        <w:rPr>
          <w:bCs/>
        </w:rPr>
      </w:pPr>
      <w:r w:rsidRPr="00BD07E4">
        <w:rPr>
          <w:bCs/>
        </w:rPr>
        <w:t xml:space="preserve">During 2012/13 the Council will launch a 'Think Councillor Guide' to embed amongst the officer structures of the Council the need to </w:t>
      </w:r>
      <w:bookmarkStart w:id="1" w:name="anchor195225"/>
      <w:bookmarkEnd w:id="1"/>
      <w:r w:rsidRPr="00BD07E4">
        <w:rPr>
          <w:bCs/>
        </w:rPr>
        <w:t xml:space="preserve">think about </w:t>
      </w:r>
      <w:r w:rsidR="001F1A1A">
        <w:rPr>
          <w:bCs/>
        </w:rPr>
        <w:t>County Council</w:t>
      </w:r>
      <w:r w:rsidRPr="00BD07E4">
        <w:rPr>
          <w:bCs/>
        </w:rPr>
        <w:t>lors in the work they undertake.</w:t>
      </w:r>
    </w:p>
    <w:p w:rsidR="002F61F2" w:rsidRPr="00BD07E4" w:rsidRDefault="002F61F2" w:rsidP="00C21F36">
      <w:pPr>
        <w:numPr>
          <w:ilvl w:val="0"/>
          <w:numId w:val="22"/>
        </w:numPr>
        <w:tabs>
          <w:tab w:val="clear" w:pos="5220"/>
          <w:tab w:val="num" w:pos="360"/>
        </w:tabs>
        <w:spacing w:after="240"/>
        <w:ind w:left="1077" w:hanging="357"/>
        <w:jc w:val="both"/>
      </w:pPr>
      <w:r w:rsidRPr="00BD07E4">
        <w:t>There is a Corporate Risk Management Policy and Strategy and guidance on risk management is available to officers. Following the introduction of a new corporate approach to risk management in January 2012, this policy, strategy and guidance will be reviewed and updated during 2012/13.</w:t>
      </w:r>
    </w:p>
    <w:p w:rsidR="002F61F2" w:rsidRPr="00BD07E4" w:rsidRDefault="002F61F2" w:rsidP="00C21F36">
      <w:pPr>
        <w:numPr>
          <w:ilvl w:val="0"/>
          <w:numId w:val="22"/>
        </w:numPr>
        <w:tabs>
          <w:tab w:val="clear" w:pos="5220"/>
          <w:tab w:val="num" w:pos="360"/>
        </w:tabs>
        <w:spacing w:after="240"/>
        <w:ind w:left="1077" w:hanging="357"/>
        <w:jc w:val="both"/>
      </w:pPr>
      <w:r w:rsidRPr="00BD07E4">
        <w:t>The process for ensuring legality and financial probity in relation to decisions has a number of components:</w:t>
      </w:r>
    </w:p>
    <w:p w:rsidR="002F61F2" w:rsidRPr="00BD07E4" w:rsidRDefault="002F61F2" w:rsidP="00C21F36">
      <w:pPr>
        <w:numPr>
          <w:ilvl w:val="1"/>
          <w:numId w:val="22"/>
        </w:numPr>
        <w:spacing w:after="240"/>
        <w:jc w:val="both"/>
      </w:pPr>
      <w:r w:rsidRPr="00BD07E4">
        <w:t>There are common templates for reports to committees and the cabinet, and also for decisions made by cabinet members.</w:t>
      </w:r>
    </w:p>
    <w:p w:rsidR="002F61F2" w:rsidRPr="00BD07E4" w:rsidRDefault="002F61F2" w:rsidP="00C21F36">
      <w:pPr>
        <w:numPr>
          <w:ilvl w:val="1"/>
          <w:numId w:val="22"/>
        </w:numPr>
        <w:spacing w:after="240"/>
        <w:jc w:val="both"/>
      </w:pPr>
      <w:r w:rsidRPr="00BD07E4">
        <w:t>Cabinet member decision-making is governed by statute and the Council's constitution and the Council has a decision-making protocol to manage the process, which will be reviewed in 2012/13.</w:t>
      </w:r>
    </w:p>
    <w:p w:rsidR="002F61F2" w:rsidRPr="00BD07E4" w:rsidRDefault="002F61F2" w:rsidP="00C21F36">
      <w:pPr>
        <w:numPr>
          <w:ilvl w:val="1"/>
          <w:numId w:val="22"/>
        </w:numPr>
        <w:spacing w:after="240"/>
        <w:jc w:val="both"/>
      </w:pPr>
      <w:r w:rsidRPr="00BD07E4">
        <w:t>Within that protocol, officers formulating reports are required to have regard to particular issues and in particular take legal and/ or financial advice at an early stage if that is warranted.</w:t>
      </w:r>
    </w:p>
    <w:p w:rsidR="002F61F2" w:rsidRPr="00BD07E4" w:rsidRDefault="002F61F2" w:rsidP="00C21F36">
      <w:pPr>
        <w:numPr>
          <w:ilvl w:val="1"/>
          <w:numId w:val="22"/>
        </w:numPr>
        <w:spacing w:after="240"/>
        <w:jc w:val="both"/>
      </w:pPr>
      <w:r w:rsidRPr="00BD07E4">
        <w:t xml:space="preserve">All reports leading to decisions are checked within the office of the county secretary and solicitor to ensure that governance issues are identified and statutory and financial requirements are complied with.  </w:t>
      </w:r>
    </w:p>
    <w:p w:rsidR="002F61F2" w:rsidRPr="00BD07E4" w:rsidRDefault="002F61F2" w:rsidP="00C21F36">
      <w:pPr>
        <w:numPr>
          <w:ilvl w:val="1"/>
          <w:numId w:val="22"/>
        </w:numPr>
        <w:spacing w:after="240"/>
        <w:jc w:val="both"/>
      </w:pPr>
      <w:r w:rsidRPr="00BD07E4">
        <w:t>Corporate advice and guidance is provided on the implications of the public sector equality duty contained within the Equality Act 2010 and includes an Equality Impact Assessment template.</w:t>
      </w:r>
    </w:p>
    <w:p w:rsidR="002F61F2" w:rsidRPr="00BD07E4" w:rsidRDefault="002F61F2" w:rsidP="00C21F36">
      <w:pPr>
        <w:numPr>
          <w:ilvl w:val="1"/>
          <w:numId w:val="22"/>
        </w:numPr>
        <w:spacing w:after="240"/>
        <w:jc w:val="both"/>
      </w:pPr>
      <w:r w:rsidRPr="00BD07E4">
        <w:t xml:space="preserve"> A full review of the process for the production of reports for decision is underway, with the intention of making the process more efficient whilst maintaining the high standards of governance required.</w:t>
      </w:r>
    </w:p>
    <w:p w:rsidR="002F61F2" w:rsidRPr="00BD07E4" w:rsidRDefault="002F61F2" w:rsidP="00C21F36">
      <w:pPr>
        <w:numPr>
          <w:ilvl w:val="0"/>
          <w:numId w:val="22"/>
        </w:numPr>
        <w:tabs>
          <w:tab w:val="clear" w:pos="5220"/>
          <w:tab w:val="num" w:pos="360"/>
        </w:tabs>
        <w:spacing w:after="240"/>
        <w:ind w:left="1077" w:hanging="357"/>
        <w:jc w:val="both"/>
      </w:pPr>
      <w:r w:rsidRPr="00BD07E4">
        <w:t xml:space="preserve">A new software system has been rolled out to support decision making and the tracking of reports. Further work is intended to take place in 2012 to develop this system further to support the decision making rules and protocols. </w:t>
      </w:r>
    </w:p>
    <w:p w:rsidR="002F61F2" w:rsidRPr="00BD07E4" w:rsidRDefault="002F61F2" w:rsidP="00C21F36">
      <w:pPr>
        <w:numPr>
          <w:ilvl w:val="0"/>
          <w:numId w:val="22"/>
        </w:numPr>
        <w:tabs>
          <w:tab w:val="clear" w:pos="5220"/>
          <w:tab w:val="num" w:pos="360"/>
        </w:tabs>
        <w:spacing w:after="240"/>
        <w:ind w:left="1077" w:hanging="357"/>
        <w:jc w:val="both"/>
      </w:pPr>
      <w:r w:rsidRPr="00BD07E4">
        <w:lastRenderedPageBreak/>
        <w:t>There is a two-stage corporate complaints procedure in addition to statutory complaints procedures in relation to chi</w:t>
      </w:r>
      <w:r w:rsidR="006908EC">
        <w:t xml:space="preserve">ldren's and adult social care. </w:t>
      </w:r>
      <w:r w:rsidRPr="00BD07E4">
        <w:t xml:space="preserve">The corporate procedure includes an Appeals and Complaints Committee comprising elected members. </w:t>
      </w:r>
    </w:p>
    <w:p w:rsidR="002F61F2" w:rsidRPr="00BD07E4" w:rsidRDefault="002F61F2" w:rsidP="00C21F36">
      <w:pPr>
        <w:numPr>
          <w:ilvl w:val="0"/>
          <w:numId w:val="22"/>
        </w:numPr>
        <w:tabs>
          <w:tab w:val="clear" w:pos="5220"/>
          <w:tab w:val="num" w:pos="360"/>
        </w:tabs>
        <w:spacing w:after="240"/>
        <w:ind w:left="1077" w:hanging="357"/>
        <w:jc w:val="both"/>
      </w:pPr>
      <w:r w:rsidRPr="00BD07E4">
        <w:t xml:space="preserve">There is a cross-party member development working group in place with the remit of planning and co-ordinating member development activities to meet individual and group needs. Officer training is overseen through a new performance and development review process which was rolled out to all officers during 2011. </w:t>
      </w:r>
    </w:p>
    <w:p w:rsidR="002F61F2" w:rsidRPr="00BD07E4" w:rsidRDefault="002F61F2" w:rsidP="00C21F36">
      <w:pPr>
        <w:numPr>
          <w:ilvl w:val="0"/>
          <w:numId w:val="22"/>
        </w:numPr>
        <w:tabs>
          <w:tab w:val="clear" w:pos="5220"/>
          <w:tab w:val="num" w:pos="360"/>
        </w:tabs>
        <w:spacing w:after="240"/>
        <w:ind w:left="1077" w:hanging="357"/>
        <w:jc w:val="both"/>
      </w:pPr>
      <w:r w:rsidRPr="00BD07E4">
        <w:t>The Council has fully reviewed its system for recording officer gif</w:t>
      </w:r>
      <w:r w:rsidR="006908EC">
        <w:t>ts, hospitality and interests.</w:t>
      </w:r>
      <w:r w:rsidRPr="00BD07E4">
        <w:t xml:space="preserve"> Revised policies have been introduced and publicised to staff and an online form has been developed to make it easier for officer to record any interests or gifts and hospitality, and for that data to be collated and made available to senior managers.</w:t>
      </w:r>
    </w:p>
    <w:p w:rsidR="002F61F2" w:rsidRPr="00BD07E4" w:rsidRDefault="002F61F2" w:rsidP="00C21F36">
      <w:pPr>
        <w:numPr>
          <w:ilvl w:val="0"/>
          <w:numId w:val="22"/>
        </w:numPr>
        <w:tabs>
          <w:tab w:val="clear" w:pos="5220"/>
          <w:tab w:val="num" w:pos="360"/>
        </w:tabs>
        <w:spacing w:after="240"/>
        <w:ind w:left="1077" w:hanging="357"/>
        <w:jc w:val="both"/>
      </w:pPr>
      <w:r w:rsidRPr="00BD07E4">
        <w:t>The current arrangements in relation to Information Governance are in</w:t>
      </w:r>
      <w:r w:rsidR="006908EC">
        <w:t xml:space="preserve"> </w:t>
      </w:r>
      <w:r w:rsidRPr="00BD07E4">
        <w:t>the process of being reviewed in the context of recent advice from the Information Commissioner's Office and Department for Communities and Local Government.  - The advice includes a recommendation that organisations should identify an individual at Board Level (Management Team) to act as the Senior Information Risk Owner.</w:t>
      </w:r>
    </w:p>
    <w:p w:rsidR="002F61F2" w:rsidRPr="00BD07E4" w:rsidRDefault="002F61F2" w:rsidP="00C21F36">
      <w:pPr>
        <w:spacing w:after="240"/>
        <w:jc w:val="both"/>
      </w:pPr>
      <w:r w:rsidRPr="00BD07E4">
        <w:t>The Council is aware that for communication with the community to be effective, it needs to be app</w:t>
      </w:r>
      <w:r w:rsidR="006908EC">
        <w:t xml:space="preserve">roached on a number of levels. </w:t>
      </w:r>
      <w:r w:rsidRPr="00BD07E4">
        <w:t>Examples of the way in which the Council engages with its communities include:</w:t>
      </w:r>
    </w:p>
    <w:p w:rsidR="002F61F2" w:rsidRPr="00BD07E4" w:rsidRDefault="002F61F2" w:rsidP="00C21F36">
      <w:pPr>
        <w:numPr>
          <w:ilvl w:val="1"/>
          <w:numId w:val="59"/>
        </w:numPr>
        <w:spacing w:after="240"/>
        <w:jc w:val="both"/>
      </w:pPr>
      <w:r w:rsidRPr="00BD07E4">
        <w:t xml:space="preserve">High profile communication campaigns to encourage communities to take up our services or help change their attitudes and behaviours </w:t>
      </w:r>
    </w:p>
    <w:p w:rsidR="002F61F2" w:rsidRPr="00BD07E4" w:rsidRDefault="002F61F2" w:rsidP="00C21F36">
      <w:pPr>
        <w:numPr>
          <w:ilvl w:val="1"/>
          <w:numId w:val="59"/>
        </w:numPr>
        <w:spacing w:after="240"/>
        <w:jc w:val="both"/>
      </w:pPr>
      <w:r w:rsidRPr="00BD07E4">
        <w:t>Use of media relations and social media to keep residents informed of our activities</w:t>
      </w:r>
    </w:p>
    <w:p w:rsidR="002F61F2" w:rsidRPr="00BD07E4" w:rsidRDefault="002F61F2" w:rsidP="00C21F36">
      <w:pPr>
        <w:numPr>
          <w:ilvl w:val="1"/>
          <w:numId w:val="59"/>
        </w:numPr>
        <w:spacing w:after="240"/>
        <w:jc w:val="both"/>
      </w:pPr>
      <w:r w:rsidRPr="00BD07E4">
        <w:t>Encouraging members to use social media to engage with their communities</w:t>
      </w:r>
    </w:p>
    <w:p w:rsidR="002F61F2" w:rsidRPr="00BD07E4" w:rsidRDefault="002F61F2" w:rsidP="00C21F36">
      <w:pPr>
        <w:numPr>
          <w:ilvl w:val="1"/>
          <w:numId w:val="59"/>
        </w:numPr>
        <w:spacing w:after="240"/>
        <w:jc w:val="both"/>
      </w:pPr>
      <w:r w:rsidRPr="00BD07E4">
        <w:t xml:space="preserve">Council and </w:t>
      </w:r>
      <w:r w:rsidR="006908EC">
        <w:t>committee meetings are web-cast</w:t>
      </w:r>
    </w:p>
    <w:p w:rsidR="002F61F2" w:rsidRPr="00BD07E4" w:rsidRDefault="006908EC" w:rsidP="00C21F36">
      <w:pPr>
        <w:numPr>
          <w:ilvl w:val="1"/>
          <w:numId w:val="59"/>
        </w:numPr>
        <w:spacing w:after="240"/>
        <w:jc w:val="both"/>
      </w:pPr>
      <w:r>
        <w:t>M</w:t>
      </w:r>
      <w:r w:rsidR="002F61F2" w:rsidRPr="00BD07E4">
        <w:t>ember representation on neighbourhood management boards across Lancashire.</w:t>
      </w:r>
    </w:p>
    <w:p w:rsidR="002F61F2" w:rsidRPr="006908EC" w:rsidRDefault="002F61F2" w:rsidP="00C21F36">
      <w:pPr>
        <w:spacing w:after="240"/>
        <w:jc w:val="both"/>
        <w:rPr>
          <w:u w:val="single"/>
        </w:rPr>
      </w:pPr>
      <w:r w:rsidRPr="006908EC">
        <w:rPr>
          <w:u w:val="single"/>
        </w:rPr>
        <w:t>Review of effectiveness</w:t>
      </w:r>
    </w:p>
    <w:p w:rsidR="002F61F2" w:rsidRPr="00BD07E4" w:rsidRDefault="002F61F2" w:rsidP="00C21F36">
      <w:pPr>
        <w:spacing w:after="240"/>
        <w:jc w:val="both"/>
      </w:pPr>
      <w:r w:rsidRPr="00BD07E4">
        <w:t>The council conducts an annual review of the effectiveness of its governance framework including the system of internal control. This review is informed by the work of the council's Management Team within the council</w:t>
      </w:r>
      <w:r w:rsidR="006908EC">
        <w:t>,</w:t>
      </w:r>
      <w:r w:rsidRPr="00BD07E4">
        <w:t xml:space="preserve"> who have responsibility for the development and maintenance of the governance environment, the Head of Internal Au</w:t>
      </w:r>
      <w:r w:rsidR="006908EC">
        <w:t>dit’s annual report, and also for</w:t>
      </w:r>
      <w:r w:rsidRPr="00BD07E4">
        <w:t xml:space="preserve"> comments made by the external auditors and other review agencies and inspectors. The council is also required to review the effectiveness of its internal audit and this is undertaken by the county treasurer.</w:t>
      </w:r>
    </w:p>
    <w:p w:rsidR="002F61F2" w:rsidRPr="00BD07E4" w:rsidRDefault="002F61F2" w:rsidP="00C21F36">
      <w:pPr>
        <w:spacing w:after="240"/>
        <w:jc w:val="both"/>
      </w:pPr>
      <w:r w:rsidRPr="00BD07E4">
        <w:t>Statements of assurance have been completed and signed by members of the Management Team as to the effectiveness of the governance arrangements for which they are responsible, including the system of internal control. These statements of assurance cover all the principles set out in the council’s Code of Corporate Governance. They reveal no significant areas of weakness in the council’s corporate governance arrangements; all arrangements have been categorised as either good or adequate. However, more than one service area has noted the need to support the council's plans to improve information governance arrangements, and has also raised the need to refresh their service contingency plans.</w:t>
      </w:r>
    </w:p>
    <w:p w:rsidR="002F61F2" w:rsidRPr="00BD07E4" w:rsidRDefault="002F61F2" w:rsidP="00C21F36">
      <w:pPr>
        <w:spacing w:after="240"/>
        <w:jc w:val="both"/>
      </w:pPr>
      <w:r w:rsidRPr="00BD07E4">
        <w:lastRenderedPageBreak/>
        <w:t>In her annual report, the head of internal audit reports her concern that the procurement processes followed across the council have not in all cases followed corporate procedures</w:t>
      </w:r>
      <w:r w:rsidR="006908EC">
        <w:t>.</w:t>
      </w:r>
      <w:r w:rsidRPr="00BD07E4">
        <w:t xml:space="preserve"> </w:t>
      </w:r>
      <w:r w:rsidR="006908EC">
        <w:t>T</w:t>
      </w:r>
      <w:r w:rsidRPr="00BD07E4">
        <w:t>he need to improve the council's arrangements to ensure good information governance</w:t>
      </w:r>
      <w:r w:rsidR="006908EC">
        <w:t xml:space="preserve"> has also been highlighted</w:t>
      </w:r>
      <w:r w:rsidRPr="00BD07E4">
        <w:t xml:space="preserve">.   </w:t>
      </w:r>
    </w:p>
    <w:p w:rsidR="002F61F2" w:rsidRPr="006908EC" w:rsidRDefault="002F61F2" w:rsidP="00C21F36">
      <w:pPr>
        <w:spacing w:after="240"/>
        <w:jc w:val="both"/>
        <w:rPr>
          <w:u w:val="single"/>
        </w:rPr>
      </w:pPr>
      <w:r w:rsidRPr="006908EC">
        <w:rPr>
          <w:u w:val="single"/>
        </w:rPr>
        <w:t>Programme of improvement on governance issues</w:t>
      </w:r>
    </w:p>
    <w:p w:rsidR="002F61F2" w:rsidRPr="00BD07E4" w:rsidRDefault="002F61F2" w:rsidP="00C21F36">
      <w:pPr>
        <w:spacing w:after="240"/>
        <w:jc w:val="both"/>
      </w:pPr>
      <w:r w:rsidRPr="00BD07E4">
        <w:t>The council has recognised the need to review its information governance arrangements. It has recently reconvened its cross-service Corporate Information Governance Group and is reviewing its framework of control and guidance that will better secure the information it holds.</w:t>
      </w:r>
    </w:p>
    <w:p w:rsidR="002F61F2" w:rsidRPr="00BD07E4" w:rsidRDefault="002F61F2" w:rsidP="00C21F36">
      <w:pPr>
        <w:spacing w:after="240"/>
        <w:jc w:val="both"/>
      </w:pPr>
      <w:r w:rsidRPr="00BD07E4">
        <w:t xml:space="preserve">There is an ongoing programme to refresh service continuity and contingency plans, supported by the business continuity manager and principal emergency planning officer. </w:t>
      </w:r>
    </w:p>
    <w:p w:rsidR="002F61F2" w:rsidRPr="00BD07E4" w:rsidRDefault="002F61F2" w:rsidP="00C21F36">
      <w:pPr>
        <w:spacing w:after="240"/>
        <w:jc w:val="both"/>
      </w:pPr>
      <w:r w:rsidRPr="00BD07E4">
        <w:t>The transfer of the council's procurement activity to management by its strategic partner, One Connect Limited, is intended (amongst other things) to ensure robust compliance with the council's procurement procedures. The work of the partnership is subject to close scrutiny both by the Chief Executive and his Management Team, and by members including the Leader.</w:t>
      </w:r>
    </w:p>
    <w:p w:rsidR="002F61F2" w:rsidRPr="00BD07E4" w:rsidRDefault="002F61F2" w:rsidP="00C21F36">
      <w:pPr>
        <w:spacing w:after="240"/>
        <w:jc w:val="both"/>
      </w:pPr>
      <w:r w:rsidRPr="00BD07E4">
        <w:t xml:space="preserve">The council will, in the coming year, review its governance arrangements as the current national standards regime is abolished and additional responsibilities are placed upon the Audit Committee, and as CIPFA and SOLACE revise their guidance on good governance in local government. The roles and terms of reference of a number of committees are already under review and this work will continue into 2012/13. In addition, the council has a project plan in place to respond to the potential governance structures to emerge from the proposed significant changes to the health service and the duties this will place on local authorities. </w:t>
      </w:r>
    </w:p>
    <w:p w:rsidR="002F61F2" w:rsidRDefault="002F61F2" w:rsidP="00C21F36">
      <w:pPr>
        <w:spacing w:after="240"/>
        <w:jc w:val="both"/>
      </w:pPr>
      <w:r w:rsidRPr="00BD07E4">
        <w:t>We are satisfied that these steps will address the need for improvements that were identified in our review of effectiveness and we will monitor their implementation and operation as part of our next annual review.</w:t>
      </w:r>
    </w:p>
    <w:p w:rsidR="008E1980" w:rsidRPr="008E1980" w:rsidRDefault="008E1980" w:rsidP="00C21F36">
      <w:pPr>
        <w:spacing w:after="240"/>
        <w:jc w:val="both"/>
        <w:rPr>
          <w:sz w:val="16"/>
          <w:szCs w:val="16"/>
        </w:rPr>
      </w:pPr>
    </w:p>
    <w:p w:rsidR="008E1980" w:rsidRDefault="008E1980" w:rsidP="00C21F36">
      <w:pPr>
        <w:spacing w:after="240"/>
        <w:jc w:val="both"/>
        <w:rPr>
          <w:sz w:val="16"/>
          <w:szCs w:val="16"/>
        </w:rPr>
      </w:pPr>
    </w:p>
    <w:p w:rsidR="008E1980" w:rsidRPr="008E1980" w:rsidRDefault="008E1980" w:rsidP="00C21F36">
      <w:pPr>
        <w:spacing w:after="240"/>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913E8A" w:rsidTr="00913E8A">
        <w:tc>
          <w:tcPr>
            <w:tcW w:w="5341" w:type="dxa"/>
          </w:tcPr>
          <w:p w:rsidR="00913E8A" w:rsidRDefault="00913E8A" w:rsidP="002F61F2">
            <w:pPr>
              <w:spacing w:after="240"/>
            </w:pPr>
            <w:r>
              <w:t>Signed by Geoff Driver</w:t>
            </w:r>
          </w:p>
        </w:tc>
        <w:tc>
          <w:tcPr>
            <w:tcW w:w="5341" w:type="dxa"/>
          </w:tcPr>
          <w:p w:rsidR="00913E8A" w:rsidRDefault="00913E8A" w:rsidP="002F61F2">
            <w:pPr>
              <w:spacing w:after="240"/>
            </w:pPr>
            <w:r>
              <w:t>Signed by Phil Halsall</w:t>
            </w:r>
          </w:p>
        </w:tc>
      </w:tr>
      <w:tr w:rsidR="00913E8A" w:rsidTr="00913E8A">
        <w:tc>
          <w:tcPr>
            <w:tcW w:w="5341" w:type="dxa"/>
          </w:tcPr>
          <w:p w:rsidR="00913E8A" w:rsidRDefault="00913E8A" w:rsidP="002F61F2">
            <w:pPr>
              <w:spacing w:after="240"/>
            </w:pPr>
            <w:r>
              <w:t>Leader of Lancashire County Council</w:t>
            </w:r>
          </w:p>
        </w:tc>
        <w:tc>
          <w:tcPr>
            <w:tcW w:w="5341" w:type="dxa"/>
          </w:tcPr>
          <w:p w:rsidR="00913E8A" w:rsidRDefault="00913E8A" w:rsidP="002F61F2">
            <w:pPr>
              <w:spacing w:after="240"/>
            </w:pPr>
            <w:r>
              <w:t>Chief Executive of Lancashire County Council</w:t>
            </w:r>
          </w:p>
        </w:tc>
      </w:tr>
      <w:tr w:rsidR="00913E8A" w:rsidTr="00913E8A">
        <w:tc>
          <w:tcPr>
            <w:tcW w:w="5341" w:type="dxa"/>
          </w:tcPr>
          <w:p w:rsidR="00913E8A" w:rsidRDefault="00913E8A" w:rsidP="002F61F2">
            <w:pPr>
              <w:spacing w:after="240"/>
            </w:pPr>
            <w:r>
              <w:t>Date: 25 June 2012</w:t>
            </w:r>
          </w:p>
        </w:tc>
        <w:tc>
          <w:tcPr>
            <w:tcW w:w="5341" w:type="dxa"/>
          </w:tcPr>
          <w:p w:rsidR="00913E8A" w:rsidRDefault="00913E8A" w:rsidP="002F61F2">
            <w:pPr>
              <w:spacing w:after="240"/>
            </w:pPr>
            <w:r>
              <w:t xml:space="preserve">Date: 25 June 2012 </w:t>
            </w:r>
          </w:p>
        </w:tc>
      </w:tr>
    </w:tbl>
    <w:p w:rsidR="002C7ECA" w:rsidRPr="00BD07E4" w:rsidRDefault="002C7ECA" w:rsidP="00247F59">
      <w:pPr>
        <w:spacing w:after="240"/>
        <w:rPr>
          <w:b/>
          <w:highlight w:val="yellow"/>
        </w:rPr>
        <w:sectPr w:rsidR="002C7ECA" w:rsidRPr="00BD07E4" w:rsidSect="003018D5">
          <w:type w:val="continuous"/>
          <w:pgSz w:w="11906" w:h="16838" w:code="9"/>
          <w:pgMar w:top="720" w:right="720" w:bottom="720" w:left="720" w:header="709" w:footer="709" w:gutter="0"/>
          <w:cols w:space="708"/>
          <w:docGrid w:linePitch="360"/>
        </w:sectPr>
      </w:pPr>
    </w:p>
    <w:p w:rsidR="00FD22E6" w:rsidRDefault="00FD22E6" w:rsidP="00811649">
      <w:pPr>
        <w:pStyle w:val="Heading1"/>
      </w:pPr>
      <w:r w:rsidRPr="00BC63A8">
        <w:lastRenderedPageBreak/>
        <w:t>Financial Statements</w:t>
      </w:r>
    </w:p>
    <w:p w:rsidR="00811649" w:rsidRPr="00811649" w:rsidRDefault="00811649" w:rsidP="00811649"/>
    <w:p w:rsidR="001D4C6A" w:rsidRPr="00BC63A8" w:rsidRDefault="009C0361" w:rsidP="00247F59">
      <w:pPr>
        <w:spacing w:after="240"/>
        <w:rPr>
          <w:b/>
        </w:rPr>
      </w:pPr>
      <w:r w:rsidRPr="00BC63A8">
        <w:rPr>
          <w:b/>
        </w:rPr>
        <w:t>Movement in Reserves Statement</w:t>
      </w:r>
      <w:r w:rsidR="00812D47" w:rsidRPr="00BC63A8">
        <w:rPr>
          <w:b/>
        </w:rPr>
        <w:t xml:space="preserve"> </w:t>
      </w:r>
    </w:p>
    <w:p w:rsidR="00E70CAD" w:rsidRPr="00BC63A8" w:rsidRDefault="00E70CAD" w:rsidP="00E70CAD">
      <w:pPr>
        <w:spacing w:after="240"/>
        <w:jc w:val="both"/>
      </w:pPr>
      <w:r w:rsidRPr="00BC63A8">
        <w:t xml:space="preserve">This statement shows the movement in the year on the different reserves held by the authority, analysed into 'usable reserves' (i.e. those that can be applied to fund expenditure or reduce local taxation) and other reserves.  The Surplus or (Deficit) on the Provision of Services line shows the true economic cost of providing the authority's services, more details of which are shown in the Comprehensive Income and Expenditure Statement.  These are different from the statutory amounts required to be charged to the </w:t>
      </w:r>
      <w:r w:rsidR="00F730B9" w:rsidRPr="00BC63A8">
        <w:t>County</w:t>
      </w:r>
      <w:r w:rsidRPr="00BC63A8">
        <w:t xml:space="preserve"> Fund balance for council tax setting and dwellings rent setting purposes.  Th</w:t>
      </w:r>
      <w:r w:rsidR="005D1F57" w:rsidRPr="00BC63A8">
        <w:t>e Net Increase/Decrease before t</w:t>
      </w:r>
      <w:r w:rsidRPr="00BC63A8">
        <w:t xml:space="preserve">ransfers to </w:t>
      </w:r>
      <w:r w:rsidR="005D1F57" w:rsidRPr="00BC63A8">
        <w:t>e</w:t>
      </w:r>
      <w:r w:rsidRPr="00BC63A8">
        <w:t xml:space="preserve">armarked </w:t>
      </w:r>
      <w:r w:rsidR="005D1F57" w:rsidRPr="00BC63A8">
        <w:t>r</w:t>
      </w:r>
      <w:r w:rsidRPr="00BC63A8">
        <w:t xml:space="preserve">eserves line shows the statutory </w:t>
      </w:r>
      <w:r w:rsidR="00F730B9" w:rsidRPr="00BC63A8">
        <w:t>County</w:t>
      </w:r>
      <w:r w:rsidRPr="00BC63A8">
        <w:t xml:space="preserve"> Fund Balance before any discretionary transfers to or from earmarked reserves undertaken by the Council.</w:t>
      </w:r>
    </w:p>
    <w:p w:rsidR="00E70CAD" w:rsidRPr="00BC63A8" w:rsidRDefault="0023689B" w:rsidP="001B7A50">
      <w:pPr>
        <w:spacing w:after="240"/>
        <w:jc w:val="both"/>
        <w:rPr>
          <w:b/>
          <w:u w:val="single"/>
        </w:rPr>
      </w:pPr>
      <w:r w:rsidRPr="00BC63A8">
        <w:rPr>
          <w:b/>
          <w:u w:val="single"/>
        </w:rPr>
        <w:t>2011/12</w:t>
      </w:r>
    </w:p>
    <w:tbl>
      <w:tblPr>
        <w:tblW w:w="0" w:type="auto"/>
        <w:tblInd w:w="103" w:type="dxa"/>
        <w:shd w:val="clear" w:color="auto" w:fill="FFFFFF" w:themeFill="background1"/>
        <w:tblLook w:val="04A0"/>
      </w:tblPr>
      <w:tblGrid>
        <w:gridCol w:w="3608"/>
        <w:gridCol w:w="910"/>
        <w:gridCol w:w="1563"/>
        <w:gridCol w:w="1015"/>
        <w:gridCol w:w="1745"/>
        <w:gridCol w:w="1315"/>
        <w:gridCol w:w="1393"/>
        <w:gridCol w:w="1260"/>
        <w:gridCol w:w="1627"/>
        <w:gridCol w:w="1075"/>
      </w:tblGrid>
      <w:tr w:rsidR="009570E9" w:rsidRPr="00B24FF2" w:rsidTr="009570E9">
        <w:trPr>
          <w:trHeight w:val="711"/>
        </w:trPr>
        <w:tc>
          <w:tcPr>
            <w:tcW w:w="0" w:type="auto"/>
            <w:tcBorders>
              <w:top w:val="single" w:sz="4" w:space="0" w:color="auto"/>
              <w:left w:val="single" w:sz="4" w:space="0" w:color="auto"/>
              <w:bottom w:val="nil"/>
              <w:right w:val="single" w:sz="4" w:space="0" w:color="auto"/>
            </w:tcBorders>
            <w:shd w:val="clear" w:color="auto" w:fill="FFFFFF" w:themeFill="background1"/>
            <w:vAlign w:val="bottom"/>
            <w:hideMark/>
          </w:tcPr>
          <w:p w:rsidR="00B24FF2" w:rsidRPr="00EE5807" w:rsidRDefault="00B24FF2" w:rsidP="00B24FF2">
            <w:pPr>
              <w:rPr>
                <w:rFonts w:ascii="Calibri" w:hAnsi="Calibri"/>
                <w:sz w:val="16"/>
                <w:szCs w:val="16"/>
              </w:rPr>
            </w:pPr>
            <w:r w:rsidRPr="00EE5807">
              <w:rPr>
                <w:rFonts w:ascii="Calibri" w:hAnsi="Calibri"/>
                <w:sz w:val="16"/>
                <w:szCs w:val="16"/>
              </w:rPr>
              <w:t> </w:t>
            </w:r>
          </w:p>
        </w:tc>
        <w:tc>
          <w:tcPr>
            <w:tcW w:w="0" w:type="auto"/>
            <w:tcBorders>
              <w:top w:val="single" w:sz="4" w:space="0" w:color="auto"/>
              <w:left w:val="nil"/>
              <w:bottom w:val="nil"/>
              <w:right w:val="single" w:sz="4" w:space="0" w:color="auto"/>
            </w:tcBorders>
            <w:shd w:val="clear" w:color="auto" w:fill="FFFFFF" w:themeFill="background1"/>
            <w:vAlign w:val="center"/>
            <w:hideMark/>
          </w:tcPr>
          <w:p w:rsidR="00B24FF2" w:rsidRPr="00EE5807" w:rsidRDefault="00F34468" w:rsidP="00B24FF2">
            <w:pPr>
              <w:jc w:val="center"/>
              <w:rPr>
                <w:rFonts w:ascii="Calibri" w:hAnsi="Calibri"/>
                <w:b/>
                <w:sz w:val="16"/>
                <w:szCs w:val="16"/>
              </w:rPr>
            </w:pPr>
            <w:r w:rsidRPr="00EE5807">
              <w:rPr>
                <w:rFonts w:ascii="Calibri" w:hAnsi="Calibri"/>
                <w:b/>
                <w:sz w:val="16"/>
                <w:szCs w:val="16"/>
              </w:rPr>
              <w:t>County</w:t>
            </w:r>
            <w:r w:rsidR="00B24FF2" w:rsidRPr="00EE5807">
              <w:rPr>
                <w:rFonts w:ascii="Calibri" w:hAnsi="Calibri"/>
                <w:b/>
                <w:sz w:val="16"/>
                <w:szCs w:val="16"/>
              </w:rPr>
              <w:t xml:space="preserve"> Fund</w:t>
            </w:r>
          </w:p>
        </w:tc>
        <w:tc>
          <w:tcPr>
            <w:tcW w:w="0" w:type="auto"/>
            <w:tcBorders>
              <w:top w:val="single" w:sz="4" w:space="0" w:color="auto"/>
              <w:left w:val="nil"/>
              <w:bottom w:val="nil"/>
              <w:right w:val="single" w:sz="4" w:space="0" w:color="auto"/>
            </w:tcBorders>
            <w:shd w:val="clear" w:color="auto" w:fill="FFFFFF" w:themeFill="background1"/>
            <w:vAlign w:val="center"/>
            <w:hideMark/>
          </w:tcPr>
          <w:p w:rsidR="00B24FF2" w:rsidRPr="00EE5807" w:rsidRDefault="00B24FF2" w:rsidP="00B24FF2">
            <w:pPr>
              <w:jc w:val="center"/>
              <w:rPr>
                <w:rFonts w:ascii="Calibri" w:hAnsi="Calibri"/>
                <w:b/>
                <w:sz w:val="16"/>
                <w:szCs w:val="16"/>
              </w:rPr>
            </w:pPr>
            <w:r w:rsidRPr="00EE5807">
              <w:rPr>
                <w:rFonts w:ascii="Calibri" w:hAnsi="Calibri"/>
                <w:b/>
                <w:sz w:val="16"/>
                <w:szCs w:val="16"/>
              </w:rPr>
              <w:t>Earmarked Revenue Reserves</w:t>
            </w:r>
          </w:p>
        </w:tc>
        <w:tc>
          <w:tcPr>
            <w:tcW w:w="0" w:type="auto"/>
            <w:tcBorders>
              <w:top w:val="single" w:sz="4" w:space="0" w:color="auto"/>
              <w:left w:val="nil"/>
              <w:bottom w:val="nil"/>
              <w:right w:val="single" w:sz="4" w:space="0" w:color="auto"/>
            </w:tcBorders>
            <w:shd w:val="clear" w:color="auto" w:fill="FFFFFF" w:themeFill="background1"/>
            <w:vAlign w:val="center"/>
            <w:hideMark/>
          </w:tcPr>
          <w:p w:rsidR="00B24FF2" w:rsidRPr="00EE5807" w:rsidRDefault="009570E9" w:rsidP="00C11E89">
            <w:pPr>
              <w:jc w:val="center"/>
              <w:rPr>
                <w:rFonts w:ascii="Calibri" w:hAnsi="Calibri"/>
                <w:b/>
                <w:sz w:val="16"/>
                <w:szCs w:val="16"/>
              </w:rPr>
            </w:pPr>
            <w:r>
              <w:rPr>
                <w:rFonts w:ascii="Calibri" w:hAnsi="Calibri"/>
                <w:b/>
                <w:sz w:val="16"/>
                <w:szCs w:val="16"/>
              </w:rPr>
              <w:t xml:space="preserve">Trading Reserve </w:t>
            </w:r>
          </w:p>
        </w:tc>
        <w:tc>
          <w:tcPr>
            <w:tcW w:w="0" w:type="auto"/>
            <w:tcBorders>
              <w:top w:val="single" w:sz="4" w:space="0" w:color="auto"/>
              <w:left w:val="nil"/>
              <w:bottom w:val="nil"/>
              <w:right w:val="single" w:sz="4" w:space="0" w:color="auto"/>
            </w:tcBorders>
            <w:shd w:val="clear" w:color="auto" w:fill="FFFFFF" w:themeFill="background1"/>
            <w:vAlign w:val="center"/>
            <w:hideMark/>
          </w:tcPr>
          <w:p w:rsidR="00B24FF2" w:rsidRPr="00EE5807" w:rsidRDefault="00B24FF2" w:rsidP="00B24FF2">
            <w:pPr>
              <w:jc w:val="center"/>
              <w:rPr>
                <w:rFonts w:ascii="Calibri" w:hAnsi="Calibri"/>
                <w:b/>
                <w:sz w:val="16"/>
                <w:szCs w:val="16"/>
              </w:rPr>
            </w:pPr>
            <w:r w:rsidRPr="00EE5807">
              <w:rPr>
                <w:rFonts w:ascii="Calibri" w:hAnsi="Calibri"/>
                <w:b/>
                <w:sz w:val="16"/>
                <w:szCs w:val="16"/>
              </w:rPr>
              <w:t>Capital Funding Reserves (Revenue)</w:t>
            </w:r>
          </w:p>
        </w:tc>
        <w:tc>
          <w:tcPr>
            <w:tcW w:w="0" w:type="auto"/>
            <w:tcBorders>
              <w:top w:val="single" w:sz="4" w:space="0" w:color="auto"/>
              <w:left w:val="nil"/>
              <w:bottom w:val="nil"/>
              <w:right w:val="nil"/>
            </w:tcBorders>
            <w:shd w:val="clear" w:color="auto" w:fill="FFFFFF" w:themeFill="background1"/>
            <w:vAlign w:val="center"/>
            <w:hideMark/>
          </w:tcPr>
          <w:p w:rsidR="00B24FF2" w:rsidRPr="00EE5807" w:rsidRDefault="00B24FF2" w:rsidP="00B24FF2">
            <w:pPr>
              <w:jc w:val="center"/>
              <w:rPr>
                <w:rFonts w:ascii="Calibri" w:hAnsi="Calibri"/>
                <w:b/>
                <w:sz w:val="16"/>
                <w:szCs w:val="16"/>
              </w:rPr>
            </w:pPr>
            <w:r w:rsidRPr="00EE5807">
              <w:rPr>
                <w:rFonts w:ascii="Calibri" w:hAnsi="Calibri"/>
                <w:b/>
                <w:sz w:val="16"/>
                <w:szCs w:val="16"/>
              </w:rPr>
              <w:t>Useable Capital Receipts</w:t>
            </w:r>
          </w:p>
        </w:tc>
        <w:tc>
          <w:tcPr>
            <w:tcW w:w="0" w:type="auto"/>
            <w:tcBorders>
              <w:top w:val="single" w:sz="4" w:space="0" w:color="auto"/>
              <w:left w:val="single" w:sz="4" w:space="0" w:color="auto"/>
              <w:bottom w:val="nil"/>
              <w:right w:val="nil"/>
            </w:tcBorders>
            <w:shd w:val="clear" w:color="auto" w:fill="FFFFFF" w:themeFill="background1"/>
            <w:vAlign w:val="center"/>
            <w:hideMark/>
          </w:tcPr>
          <w:p w:rsidR="00B24FF2" w:rsidRPr="00EE5807" w:rsidRDefault="00B24FF2" w:rsidP="00B24FF2">
            <w:pPr>
              <w:jc w:val="center"/>
              <w:rPr>
                <w:rFonts w:ascii="Calibri" w:hAnsi="Calibri"/>
                <w:b/>
                <w:sz w:val="16"/>
                <w:szCs w:val="16"/>
              </w:rPr>
            </w:pPr>
            <w:r w:rsidRPr="00EE5807">
              <w:rPr>
                <w:rFonts w:ascii="Calibri" w:hAnsi="Calibri"/>
                <w:b/>
                <w:sz w:val="16"/>
                <w:szCs w:val="16"/>
              </w:rPr>
              <w:t>Capital Grants Unapplied</w:t>
            </w:r>
          </w:p>
        </w:tc>
        <w:tc>
          <w:tcPr>
            <w:tcW w:w="0" w:type="auto"/>
            <w:tcBorders>
              <w:top w:val="single" w:sz="8" w:space="0" w:color="auto"/>
              <w:left w:val="single" w:sz="8" w:space="0" w:color="auto"/>
              <w:bottom w:val="nil"/>
              <w:right w:val="single" w:sz="8" w:space="0" w:color="auto"/>
            </w:tcBorders>
            <w:shd w:val="clear" w:color="auto" w:fill="D9D9D9" w:themeFill="background1" w:themeFillShade="D9"/>
            <w:vAlign w:val="center"/>
            <w:hideMark/>
          </w:tcPr>
          <w:p w:rsidR="00B24FF2" w:rsidRPr="00EE5807" w:rsidRDefault="00B24FF2" w:rsidP="00B24FF2">
            <w:pPr>
              <w:jc w:val="center"/>
              <w:rPr>
                <w:rFonts w:ascii="Calibri" w:hAnsi="Calibri"/>
                <w:b/>
                <w:bCs/>
                <w:sz w:val="16"/>
                <w:szCs w:val="16"/>
              </w:rPr>
            </w:pPr>
            <w:r w:rsidRPr="00EE5807">
              <w:rPr>
                <w:rFonts w:ascii="Calibri" w:hAnsi="Calibri"/>
                <w:b/>
                <w:bCs/>
                <w:sz w:val="16"/>
                <w:szCs w:val="16"/>
              </w:rPr>
              <w:t>Total Usable Reserves</w:t>
            </w:r>
          </w:p>
        </w:tc>
        <w:tc>
          <w:tcPr>
            <w:tcW w:w="0" w:type="auto"/>
            <w:tcBorders>
              <w:top w:val="single" w:sz="8" w:space="0" w:color="auto"/>
              <w:left w:val="nil"/>
              <w:bottom w:val="nil"/>
              <w:right w:val="single" w:sz="8" w:space="0" w:color="auto"/>
            </w:tcBorders>
            <w:shd w:val="clear" w:color="auto" w:fill="D9D9D9" w:themeFill="background1" w:themeFillShade="D9"/>
            <w:vAlign w:val="center"/>
            <w:hideMark/>
          </w:tcPr>
          <w:p w:rsidR="00B24FF2" w:rsidRPr="00EE5807" w:rsidRDefault="00B24FF2" w:rsidP="00B24FF2">
            <w:pPr>
              <w:jc w:val="center"/>
              <w:rPr>
                <w:rFonts w:ascii="Calibri" w:hAnsi="Calibri"/>
                <w:b/>
                <w:bCs/>
                <w:sz w:val="16"/>
                <w:szCs w:val="16"/>
              </w:rPr>
            </w:pPr>
            <w:r w:rsidRPr="00EE5807">
              <w:rPr>
                <w:rFonts w:ascii="Calibri" w:hAnsi="Calibri"/>
                <w:b/>
                <w:bCs/>
                <w:sz w:val="16"/>
                <w:szCs w:val="16"/>
              </w:rPr>
              <w:t>Total unusable Reserves</w:t>
            </w:r>
            <w:r w:rsidR="009570E9">
              <w:rPr>
                <w:rFonts w:ascii="Calibri" w:hAnsi="Calibri"/>
                <w:b/>
                <w:bCs/>
                <w:sz w:val="16"/>
                <w:szCs w:val="16"/>
              </w:rPr>
              <w:t xml:space="preserve"> (Note 8)</w:t>
            </w:r>
          </w:p>
        </w:tc>
        <w:tc>
          <w:tcPr>
            <w:tcW w:w="0" w:type="auto"/>
            <w:tcBorders>
              <w:top w:val="single" w:sz="8" w:space="0" w:color="auto"/>
              <w:left w:val="nil"/>
              <w:bottom w:val="nil"/>
              <w:right w:val="single" w:sz="8" w:space="0" w:color="auto"/>
            </w:tcBorders>
            <w:shd w:val="clear" w:color="auto" w:fill="A6A6A6" w:themeFill="background1" w:themeFillShade="A6"/>
            <w:vAlign w:val="center"/>
            <w:hideMark/>
          </w:tcPr>
          <w:p w:rsidR="00B24FF2" w:rsidRPr="00EE5807" w:rsidRDefault="00B24FF2" w:rsidP="00B24FF2">
            <w:pPr>
              <w:jc w:val="center"/>
              <w:rPr>
                <w:rFonts w:ascii="Calibri" w:hAnsi="Calibri"/>
                <w:b/>
                <w:bCs/>
                <w:sz w:val="16"/>
                <w:szCs w:val="16"/>
              </w:rPr>
            </w:pPr>
            <w:r w:rsidRPr="00EE5807">
              <w:rPr>
                <w:rFonts w:ascii="Calibri" w:hAnsi="Calibri"/>
                <w:b/>
                <w:bCs/>
                <w:sz w:val="16"/>
                <w:szCs w:val="16"/>
              </w:rPr>
              <w:t>Total Reserves</w:t>
            </w:r>
          </w:p>
        </w:tc>
      </w:tr>
      <w:tr w:rsidR="009570E9" w:rsidRPr="00B24FF2" w:rsidTr="009570E9">
        <w:trPr>
          <w:trHeight w:val="205"/>
        </w:trPr>
        <w:tc>
          <w:tcPr>
            <w:tcW w:w="0" w:type="auto"/>
            <w:tcBorders>
              <w:top w:val="single" w:sz="4" w:space="0" w:color="auto"/>
              <w:left w:val="single" w:sz="4" w:space="0" w:color="auto"/>
              <w:bottom w:val="nil"/>
              <w:right w:val="single" w:sz="4" w:space="0" w:color="auto"/>
            </w:tcBorders>
            <w:shd w:val="clear" w:color="auto" w:fill="FFFFFF" w:themeFill="background1"/>
            <w:vAlign w:val="bottom"/>
            <w:hideMark/>
          </w:tcPr>
          <w:p w:rsidR="00F34468" w:rsidRPr="00EE5807" w:rsidRDefault="00F34468" w:rsidP="00B24FF2">
            <w:pPr>
              <w:rPr>
                <w:rFonts w:ascii="Calibri" w:hAnsi="Calibri"/>
                <w:sz w:val="16"/>
                <w:szCs w:val="16"/>
              </w:rPr>
            </w:pPr>
          </w:p>
        </w:tc>
        <w:tc>
          <w:tcPr>
            <w:tcW w:w="0" w:type="auto"/>
            <w:tcBorders>
              <w:top w:val="single" w:sz="4" w:space="0" w:color="auto"/>
              <w:left w:val="nil"/>
              <w:bottom w:val="nil"/>
              <w:right w:val="single" w:sz="4" w:space="0" w:color="auto"/>
            </w:tcBorders>
            <w:shd w:val="clear" w:color="auto" w:fill="FFFFFF" w:themeFill="background1"/>
            <w:vAlign w:val="center"/>
            <w:hideMark/>
          </w:tcPr>
          <w:p w:rsidR="00F34468" w:rsidRPr="00EE5807" w:rsidRDefault="00F34468" w:rsidP="0072077D">
            <w:pPr>
              <w:jc w:val="center"/>
              <w:rPr>
                <w:rFonts w:ascii="Calibri" w:hAnsi="Calibri"/>
                <w:b/>
                <w:bCs/>
                <w:color w:val="000000"/>
                <w:sz w:val="16"/>
                <w:szCs w:val="16"/>
              </w:rPr>
            </w:pPr>
            <w:r w:rsidRPr="00EE5807">
              <w:rPr>
                <w:rFonts w:ascii="Calibri" w:hAnsi="Calibri"/>
                <w:b/>
                <w:bCs/>
                <w:color w:val="000000"/>
                <w:sz w:val="16"/>
                <w:szCs w:val="16"/>
              </w:rPr>
              <w:t>£000</w:t>
            </w:r>
          </w:p>
        </w:tc>
        <w:tc>
          <w:tcPr>
            <w:tcW w:w="0" w:type="auto"/>
            <w:tcBorders>
              <w:top w:val="single" w:sz="4" w:space="0" w:color="auto"/>
              <w:left w:val="nil"/>
              <w:bottom w:val="nil"/>
              <w:right w:val="single" w:sz="4" w:space="0" w:color="auto"/>
            </w:tcBorders>
            <w:shd w:val="clear" w:color="auto" w:fill="FFFFFF" w:themeFill="background1"/>
            <w:vAlign w:val="center"/>
            <w:hideMark/>
          </w:tcPr>
          <w:p w:rsidR="00F34468" w:rsidRPr="00EE5807" w:rsidRDefault="00F34468" w:rsidP="0072077D">
            <w:pPr>
              <w:jc w:val="center"/>
              <w:rPr>
                <w:rFonts w:ascii="Calibri" w:hAnsi="Calibri"/>
                <w:b/>
                <w:bCs/>
                <w:color w:val="000000"/>
                <w:sz w:val="16"/>
                <w:szCs w:val="16"/>
              </w:rPr>
            </w:pPr>
            <w:r w:rsidRPr="00EE5807">
              <w:rPr>
                <w:rFonts w:ascii="Calibri" w:hAnsi="Calibri"/>
                <w:b/>
                <w:bCs/>
                <w:color w:val="000000"/>
                <w:sz w:val="16"/>
                <w:szCs w:val="16"/>
              </w:rPr>
              <w:t>£000</w:t>
            </w:r>
          </w:p>
        </w:tc>
        <w:tc>
          <w:tcPr>
            <w:tcW w:w="0" w:type="auto"/>
            <w:tcBorders>
              <w:top w:val="single" w:sz="4" w:space="0" w:color="auto"/>
              <w:left w:val="nil"/>
              <w:bottom w:val="nil"/>
              <w:right w:val="single" w:sz="4" w:space="0" w:color="auto"/>
            </w:tcBorders>
            <w:shd w:val="clear" w:color="auto" w:fill="FFFFFF" w:themeFill="background1"/>
            <w:vAlign w:val="center"/>
            <w:hideMark/>
          </w:tcPr>
          <w:p w:rsidR="00F34468" w:rsidRPr="00EE5807" w:rsidRDefault="00F34468" w:rsidP="0072077D">
            <w:pPr>
              <w:jc w:val="center"/>
              <w:rPr>
                <w:rFonts w:ascii="Calibri" w:hAnsi="Calibri"/>
                <w:b/>
                <w:bCs/>
                <w:color w:val="000000"/>
                <w:sz w:val="16"/>
                <w:szCs w:val="16"/>
              </w:rPr>
            </w:pPr>
            <w:r w:rsidRPr="00EE5807">
              <w:rPr>
                <w:rFonts w:ascii="Calibri" w:hAnsi="Calibri"/>
                <w:b/>
                <w:bCs/>
                <w:color w:val="000000"/>
                <w:sz w:val="16"/>
                <w:szCs w:val="16"/>
              </w:rPr>
              <w:t>£000</w:t>
            </w:r>
          </w:p>
        </w:tc>
        <w:tc>
          <w:tcPr>
            <w:tcW w:w="0" w:type="auto"/>
            <w:tcBorders>
              <w:top w:val="single" w:sz="4" w:space="0" w:color="auto"/>
              <w:left w:val="nil"/>
              <w:bottom w:val="nil"/>
              <w:right w:val="single" w:sz="4" w:space="0" w:color="auto"/>
            </w:tcBorders>
            <w:shd w:val="clear" w:color="auto" w:fill="FFFFFF" w:themeFill="background1"/>
            <w:vAlign w:val="center"/>
            <w:hideMark/>
          </w:tcPr>
          <w:p w:rsidR="00F34468" w:rsidRPr="00EE5807" w:rsidRDefault="00F34468" w:rsidP="0072077D">
            <w:pPr>
              <w:jc w:val="center"/>
              <w:rPr>
                <w:rFonts w:ascii="Calibri" w:hAnsi="Calibri"/>
                <w:b/>
                <w:bCs/>
                <w:color w:val="000000"/>
                <w:sz w:val="16"/>
                <w:szCs w:val="16"/>
              </w:rPr>
            </w:pPr>
            <w:r w:rsidRPr="00EE5807">
              <w:rPr>
                <w:rFonts w:ascii="Calibri" w:hAnsi="Calibri"/>
                <w:b/>
                <w:bCs/>
                <w:color w:val="000000"/>
                <w:sz w:val="16"/>
                <w:szCs w:val="16"/>
              </w:rPr>
              <w:t>£000</w:t>
            </w:r>
          </w:p>
        </w:tc>
        <w:tc>
          <w:tcPr>
            <w:tcW w:w="0" w:type="auto"/>
            <w:tcBorders>
              <w:top w:val="single" w:sz="4" w:space="0" w:color="auto"/>
              <w:left w:val="nil"/>
              <w:bottom w:val="nil"/>
              <w:right w:val="nil"/>
            </w:tcBorders>
            <w:shd w:val="clear" w:color="auto" w:fill="FFFFFF" w:themeFill="background1"/>
            <w:vAlign w:val="center"/>
            <w:hideMark/>
          </w:tcPr>
          <w:p w:rsidR="00F34468" w:rsidRPr="00EE5807" w:rsidRDefault="00F34468" w:rsidP="0072077D">
            <w:pPr>
              <w:jc w:val="center"/>
              <w:rPr>
                <w:rFonts w:ascii="Calibri" w:hAnsi="Calibri"/>
                <w:b/>
                <w:bCs/>
                <w:color w:val="000000"/>
                <w:sz w:val="16"/>
                <w:szCs w:val="16"/>
              </w:rPr>
            </w:pPr>
            <w:r w:rsidRPr="00EE5807">
              <w:rPr>
                <w:rFonts w:ascii="Calibri" w:hAnsi="Calibri"/>
                <w:b/>
                <w:bCs/>
                <w:color w:val="000000"/>
                <w:sz w:val="16"/>
                <w:szCs w:val="16"/>
              </w:rPr>
              <w:t>£000</w:t>
            </w:r>
          </w:p>
        </w:tc>
        <w:tc>
          <w:tcPr>
            <w:tcW w:w="0" w:type="auto"/>
            <w:tcBorders>
              <w:top w:val="single" w:sz="4" w:space="0" w:color="auto"/>
              <w:left w:val="single" w:sz="4" w:space="0" w:color="auto"/>
              <w:bottom w:val="nil"/>
              <w:right w:val="nil"/>
            </w:tcBorders>
            <w:shd w:val="clear" w:color="auto" w:fill="FFFFFF" w:themeFill="background1"/>
            <w:vAlign w:val="center"/>
            <w:hideMark/>
          </w:tcPr>
          <w:p w:rsidR="00F34468" w:rsidRPr="00EE5807" w:rsidRDefault="00F34468" w:rsidP="0072077D">
            <w:pPr>
              <w:jc w:val="center"/>
              <w:rPr>
                <w:rFonts w:ascii="Calibri" w:hAnsi="Calibri"/>
                <w:b/>
                <w:bCs/>
                <w:color w:val="000000"/>
                <w:sz w:val="16"/>
                <w:szCs w:val="16"/>
              </w:rPr>
            </w:pPr>
            <w:r w:rsidRPr="00EE5807">
              <w:rPr>
                <w:rFonts w:ascii="Calibri" w:hAnsi="Calibri"/>
                <w:b/>
                <w:bCs/>
                <w:color w:val="000000"/>
                <w:sz w:val="16"/>
                <w:szCs w:val="16"/>
              </w:rPr>
              <w:t>£000</w:t>
            </w:r>
          </w:p>
        </w:tc>
        <w:tc>
          <w:tcPr>
            <w:tcW w:w="0" w:type="auto"/>
            <w:tcBorders>
              <w:top w:val="single" w:sz="8" w:space="0" w:color="auto"/>
              <w:left w:val="single" w:sz="8" w:space="0" w:color="auto"/>
              <w:bottom w:val="nil"/>
              <w:right w:val="single" w:sz="8" w:space="0" w:color="auto"/>
            </w:tcBorders>
            <w:shd w:val="clear" w:color="auto" w:fill="D9D9D9" w:themeFill="background1" w:themeFillShade="D9"/>
            <w:vAlign w:val="center"/>
            <w:hideMark/>
          </w:tcPr>
          <w:p w:rsidR="00F34468" w:rsidRPr="00EE5807" w:rsidRDefault="00F34468" w:rsidP="0072077D">
            <w:pPr>
              <w:jc w:val="center"/>
              <w:rPr>
                <w:rFonts w:ascii="Calibri" w:hAnsi="Calibri"/>
                <w:b/>
                <w:bCs/>
                <w:color w:val="000000"/>
                <w:sz w:val="16"/>
                <w:szCs w:val="16"/>
              </w:rPr>
            </w:pPr>
            <w:r w:rsidRPr="00EE5807">
              <w:rPr>
                <w:rFonts w:ascii="Calibri" w:hAnsi="Calibri"/>
                <w:b/>
                <w:bCs/>
                <w:color w:val="000000"/>
                <w:sz w:val="16"/>
                <w:szCs w:val="16"/>
              </w:rPr>
              <w:t>£000</w:t>
            </w:r>
          </w:p>
        </w:tc>
        <w:tc>
          <w:tcPr>
            <w:tcW w:w="0" w:type="auto"/>
            <w:tcBorders>
              <w:top w:val="single" w:sz="8" w:space="0" w:color="auto"/>
              <w:left w:val="nil"/>
              <w:bottom w:val="nil"/>
              <w:right w:val="single" w:sz="8" w:space="0" w:color="auto"/>
            </w:tcBorders>
            <w:shd w:val="clear" w:color="auto" w:fill="D9D9D9" w:themeFill="background1" w:themeFillShade="D9"/>
            <w:vAlign w:val="center"/>
            <w:hideMark/>
          </w:tcPr>
          <w:p w:rsidR="00F34468" w:rsidRPr="00EE5807" w:rsidRDefault="00F34468" w:rsidP="0072077D">
            <w:pPr>
              <w:jc w:val="center"/>
              <w:rPr>
                <w:rFonts w:ascii="Calibri" w:hAnsi="Calibri"/>
                <w:b/>
                <w:bCs/>
                <w:color w:val="000000"/>
                <w:sz w:val="16"/>
                <w:szCs w:val="16"/>
              </w:rPr>
            </w:pPr>
            <w:r w:rsidRPr="00EE5807">
              <w:rPr>
                <w:rFonts w:ascii="Calibri" w:hAnsi="Calibri"/>
                <w:b/>
                <w:bCs/>
                <w:color w:val="000000"/>
                <w:sz w:val="16"/>
                <w:szCs w:val="16"/>
              </w:rPr>
              <w:t>£000</w:t>
            </w:r>
          </w:p>
        </w:tc>
        <w:tc>
          <w:tcPr>
            <w:tcW w:w="0" w:type="auto"/>
            <w:tcBorders>
              <w:top w:val="single" w:sz="8" w:space="0" w:color="auto"/>
              <w:left w:val="nil"/>
              <w:bottom w:val="nil"/>
              <w:right w:val="single" w:sz="8" w:space="0" w:color="auto"/>
            </w:tcBorders>
            <w:shd w:val="clear" w:color="auto" w:fill="A6A6A6" w:themeFill="background1" w:themeFillShade="A6"/>
            <w:vAlign w:val="center"/>
            <w:hideMark/>
          </w:tcPr>
          <w:p w:rsidR="00F34468" w:rsidRPr="00EE5807" w:rsidRDefault="00F34468" w:rsidP="0072077D">
            <w:pPr>
              <w:jc w:val="center"/>
              <w:rPr>
                <w:rFonts w:ascii="Calibri" w:hAnsi="Calibri"/>
                <w:b/>
                <w:bCs/>
                <w:color w:val="000000"/>
                <w:sz w:val="16"/>
                <w:szCs w:val="16"/>
              </w:rPr>
            </w:pPr>
            <w:r w:rsidRPr="00EE5807">
              <w:rPr>
                <w:rFonts w:ascii="Calibri" w:hAnsi="Calibri"/>
                <w:b/>
                <w:bCs/>
                <w:color w:val="000000"/>
                <w:sz w:val="16"/>
                <w:szCs w:val="16"/>
              </w:rPr>
              <w:t>£000</w:t>
            </w:r>
          </w:p>
        </w:tc>
      </w:tr>
      <w:tr w:rsidR="009570E9" w:rsidRPr="00B24FF2" w:rsidTr="009570E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34468" w:rsidRPr="00EE5807" w:rsidRDefault="00F34468" w:rsidP="00B24FF2">
            <w:pPr>
              <w:rPr>
                <w:rFonts w:ascii="Calibri" w:hAnsi="Calibri"/>
                <w:b/>
                <w:bCs/>
                <w:color w:val="000000"/>
                <w:sz w:val="16"/>
                <w:szCs w:val="16"/>
              </w:rPr>
            </w:pPr>
            <w:r w:rsidRPr="00EE5807">
              <w:rPr>
                <w:rFonts w:ascii="Calibri" w:hAnsi="Calibri"/>
                <w:b/>
                <w:bCs/>
                <w:color w:val="000000"/>
                <w:sz w:val="16"/>
                <w:szCs w:val="16"/>
              </w:rPr>
              <w:t>Balance at 1st April 2011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color w:val="000000"/>
                <w:sz w:val="16"/>
                <w:szCs w:val="16"/>
              </w:rPr>
            </w:pPr>
            <w:r w:rsidRPr="00EE5807">
              <w:rPr>
                <w:rFonts w:ascii="Calibri" w:hAnsi="Calibri"/>
                <w:color w:val="000000"/>
                <w:sz w:val="16"/>
                <w:szCs w:val="16"/>
              </w:rPr>
              <w:t>(41,926)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color w:val="000000"/>
                <w:sz w:val="16"/>
                <w:szCs w:val="16"/>
              </w:rPr>
            </w:pPr>
            <w:r w:rsidRPr="00EE5807">
              <w:rPr>
                <w:rFonts w:ascii="Calibri" w:hAnsi="Calibri"/>
                <w:color w:val="000000"/>
                <w:sz w:val="16"/>
                <w:szCs w:val="16"/>
              </w:rPr>
              <w:t>(185,815)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color w:val="000000"/>
                <w:sz w:val="16"/>
                <w:szCs w:val="16"/>
              </w:rPr>
            </w:pPr>
            <w:r w:rsidRPr="00EE5807">
              <w:rPr>
                <w:rFonts w:ascii="Calibri" w:hAnsi="Calibri"/>
                <w:color w:val="000000"/>
                <w:sz w:val="16"/>
                <w:szCs w:val="16"/>
              </w:rPr>
              <w:t>(3,716)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color w:val="000000"/>
                <w:sz w:val="16"/>
                <w:szCs w:val="16"/>
              </w:rPr>
            </w:pPr>
            <w:r w:rsidRPr="00EE5807">
              <w:rPr>
                <w:rFonts w:ascii="Calibri" w:hAnsi="Calibri"/>
                <w:color w:val="000000"/>
                <w:sz w:val="16"/>
                <w:szCs w:val="16"/>
              </w:rPr>
              <w:t>(11,792)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color w:val="000000"/>
                <w:sz w:val="16"/>
                <w:szCs w:val="16"/>
              </w:rPr>
            </w:pPr>
            <w:r w:rsidRPr="00EE5807">
              <w:rPr>
                <w:rFonts w:ascii="Calibri" w:hAnsi="Calibri"/>
                <w:color w:val="000000"/>
                <w:sz w:val="16"/>
                <w:szCs w:val="16"/>
              </w:rPr>
              <w:t>(24,144)</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color w:val="000000"/>
                <w:sz w:val="16"/>
                <w:szCs w:val="16"/>
              </w:rPr>
            </w:pPr>
            <w:r w:rsidRPr="00EE5807">
              <w:rPr>
                <w:rFonts w:ascii="Calibri" w:hAnsi="Calibri"/>
                <w:color w:val="000000"/>
                <w:sz w:val="16"/>
                <w:szCs w:val="16"/>
              </w:rPr>
              <w:t>(58,662)</w:t>
            </w:r>
          </w:p>
        </w:tc>
        <w:tc>
          <w:tcPr>
            <w:tcW w:w="0" w:type="auto"/>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bottom"/>
            <w:hideMark/>
          </w:tcPr>
          <w:p w:rsidR="00F34468" w:rsidRPr="00EE5807" w:rsidRDefault="00F34468" w:rsidP="00B24FF2">
            <w:pPr>
              <w:jc w:val="right"/>
              <w:rPr>
                <w:rFonts w:ascii="Calibri" w:hAnsi="Calibri"/>
                <w:color w:val="000000"/>
                <w:sz w:val="16"/>
                <w:szCs w:val="16"/>
              </w:rPr>
            </w:pPr>
            <w:r w:rsidRPr="00EE5807">
              <w:rPr>
                <w:rFonts w:ascii="Calibri" w:hAnsi="Calibri"/>
                <w:color w:val="000000"/>
                <w:sz w:val="16"/>
                <w:szCs w:val="16"/>
              </w:rPr>
              <w:t>(326,054)</w:t>
            </w:r>
          </w:p>
        </w:tc>
        <w:tc>
          <w:tcPr>
            <w:tcW w:w="0" w:type="auto"/>
            <w:tcBorders>
              <w:top w:val="single" w:sz="4" w:space="0" w:color="auto"/>
              <w:left w:val="nil"/>
              <w:bottom w:val="single" w:sz="4" w:space="0" w:color="auto"/>
              <w:right w:val="single" w:sz="8" w:space="0" w:color="auto"/>
            </w:tcBorders>
            <w:shd w:val="clear" w:color="auto" w:fill="D9D9D9" w:themeFill="background1" w:themeFillShade="D9"/>
            <w:noWrap/>
            <w:vAlign w:val="bottom"/>
            <w:hideMark/>
          </w:tcPr>
          <w:p w:rsidR="00F34468" w:rsidRPr="00EE5807" w:rsidRDefault="00F34468" w:rsidP="00B24FF2">
            <w:pPr>
              <w:jc w:val="right"/>
              <w:rPr>
                <w:rFonts w:ascii="Calibri" w:hAnsi="Calibri"/>
                <w:color w:val="000000"/>
                <w:sz w:val="16"/>
                <w:szCs w:val="16"/>
              </w:rPr>
            </w:pPr>
            <w:r w:rsidRPr="00EE5807">
              <w:rPr>
                <w:rFonts w:ascii="Calibri" w:hAnsi="Calibri"/>
                <w:color w:val="000000"/>
                <w:sz w:val="16"/>
                <w:szCs w:val="16"/>
              </w:rPr>
              <w:t>(796,800)</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(1,122,854)</w:t>
            </w:r>
          </w:p>
        </w:tc>
      </w:tr>
      <w:tr w:rsidR="009570E9" w:rsidRPr="00B24FF2" w:rsidTr="009570E9">
        <w:trPr>
          <w:trHeight w:val="379"/>
        </w:trPr>
        <w:tc>
          <w:tcPr>
            <w:tcW w:w="0" w:type="auto"/>
            <w:tcBorders>
              <w:top w:val="nil"/>
              <w:left w:val="single" w:sz="4" w:space="0" w:color="auto"/>
              <w:bottom w:val="nil"/>
              <w:right w:val="single" w:sz="4" w:space="0" w:color="auto"/>
            </w:tcBorders>
            <w:shd w:val="clear" w:color="auto" w:fill="FFFFFF" w:themeFill="background1"/>
            <w:vAlign w:val="bottom"/>
            <w:hideMark/>
          </w:tcPr>
          <w:p w:rsidR="00F34468" w:rsidRPr="00EE5807" w:rsidRDefault="00F34468" w:rsidP="00B24FF2">
            <w:pPr>
              <w:rPr>
                <w:rFonts w:ascii="Calibri" w:hAnsi="Calibri"/>
                <w:color w:val="000000"/>
                <w:sz w:val="16"/>
                <w:szCs w:val="16"/>
                <w:u w:val="single"/>
              </w:rPr>
            </w:pPr>
            <w:r w:rsidRPr="00EE5807">
              <w:rPr>
                <w:rFonts w:ascii="Calibri" w:hAnsi="Calibri"/>
                <w:color w:val="000000"/>
                <w:sz w:val="16"/>
                <w:szCs w:val="16"/>
                <w:u w:val="single"/>
              </w:rPr>
              <w:t>Movement in Reserves During 2011/12</w:t>
            </w:r>
          </w:p>
        </w:tc>
        <w:tc>
          <w:tcPr>
            <w:tcW w:w="0" w:type="auto"/>
            <w:tcBorders>
              <w:top w:val="nil"/>
              <w:left w:val="nil"/>
              <w:bottom w:val="nil"/>
              <w:right w:val="single" w:sz="4" w:space="0" w:color="auto"/>
            </w:tcBorders>
            <w:shd w:val="clear" w:color="auto" w:fill="FFFFFF" w:themeFill="background1"/>
            <w:noWrap/>
            <w:vAlign w:val="bottom"/>
            <w:hideMark/>
          </w:tcPr>
          <w:p w:rsidR="00F34468" w:rsidRPr="00EE5807" w:rsidRDefault="00F34468" w:rsidP="00B24FF2">
            <w:pPr>
              <w:rPr>
                <w:rFonts w:ascii="Calibri" w:hAnsi="Calibri"/>
                <w:color w:val="000000"/>
                <w:sz w:val="16"/>
                <w:szCs w:val="16"/>
              </w:rPr>
            </w:pPr>
            <w:r w:rsidRPr="00EE5807">
              <w:rPr>
                <w:rFonts w:ascii="Calibri" w:hAnsi="Calibri"/>
                <w:color w:val="000000"/>
                <w:sz w:val="16"/>
                <w:szCs w:val="16"/>
              </w:rPr>
              <w:t> </w:t>
            </w:r>
          </w:p>
        </w:tc>
        <w:tc>
          <w:tcPr>
            <w:tcW w:w="0" w:type="auto"/>
            <w:tcBorders>
              <w:top w:val="nil"/>
              <w:left w:val="nil"/>
              <w:bottom w:val="nil"/>
              <w:right w:val="single" w:sz="4" w:space="0" w:color="auto"/>
            </w:tcBorders>
            <w:shd w:val="clear" w:color="auto" w:fill="FFFFFF" w:themeFill="background1"/>
            <w:noWrap/>
            <w:vAlign w:val="bottom"/>
            <w:hideMark/>
          </w:tcPr>
          <w:p w:rsidR="00F34468" w:rsidRPr="00EE5807" w:rsidRDefault="00F34468" w:rsidP="00B24FF2">
            <w:pPr>
              <w:rPr>
                <w:rFonts w:ascii="Calibri" w:hAnsi="Calibri"/>
                <w:color w:val="000000"/>
                <w:sz w:val="16"/>
                <w:szCs w:val="16"/>
              </w:rPr>
            </w:pPr>
            <w:r w:rsidRPr="00EE5807">
              <w:rPr>
                <w:rFonts w:ascii="Calibri" w:hAnsi="Calibri"/>
                <w:color w:val="000000"/>
                <w:sz w:val="16"/>
                <w:szCs w:val="16"/>
              </w:rPr>
              <w:t> </w:t>
            </w:r>
          </w:p>
        </w:tc>
        <w:tc>
          <w:tcPr>
            <w:tcW w:w="0" w:type="auto"/>
            <w:tcBorders>
              <w:top w:val="nil"/>
              <w:left w:val="nil"/>
              <w:bottom w:val="nil"/>
              <w:right w:val="single" w:sz="4" w:space="0" w:color="auto"/>
            </w:tcBorders>
            <w:shd w:val="clear" w:color="auto" w:fill="FFFFFF" w:themeFill="background1"/>
            <w:noWrap/>
            <w:vAlign w:val="bottom"/>
            <w:hideMark/>
          </w:tcPr>
          <w:p w:rsidR="00F34468" w:rsidRPr="00EE5807" w:rsidRDefault="00F34468" w:rsidP="00B24FF2">
            <w:pPr>
              <w:rPr>
                <w:rFonts w:ascii="Calibri" w:hAnsi="Calibri"/>
                <w:color w:val="000000"/>
                <w:sz w:val="16"/>
                <w:szCs w:val="16"/>
              </w:rPr>
            </w:pPr>
            <w:r w:rsidRPr="00EE5807">
              <w:rPr>
                <w:rFonts w:ascii="Calibri" w:hAnsi="Calibri"/>
                <w:color w:val="000000"/>
                <w:sz w:val="16"/>
                <w:szCs w:val="16"/>
              </w:rPr>
              <w:t> </w:t>
            </w:r>
          </w:p>
        </w:tc>
        <w:tc>
          <w:tcPr>
            <w:tcW w:w="0" w:type="auto"/>
            <w:tcBorders>
              <w:top w:val="nil"/>
              <w:left w:val="nil"/>
              <w:bottom w:val="nil"/>
              <w:right w:val="single" w:sz="4" w:space="0" w:color="auto"/>
            </w:tcBorders>
            <w:shd w:val="clear" w:color="auto" w:fill="FFFFFF" w:themeFill="background1"/>
            <w:noWrap/>
            <w:vAlign w:val="bottom"/>
            <w:hideMark/>
          </w:tcPr>
          <w:p w:rsidR="00F34468" w:rsidRPr="00EE5807" w:rsidRDefault="00F34468" w:rsidP="00B24FF2">
            <w:pPr>
              <w:rPr>
                <w:rFonts w:ascii="Calibri" w:hAnsi="Calibri"/>
                <w:color w:val="000000"/>
                <w:sz w:val="16"/>
                <w:szCs w:val="16"/>
              </w:rPr>
            </w:pPr>
            <w:r w:rsidRPr="00EE5807">
              <w:rPr>
                <w:rFonts w:ascii="Calibri" w:hAnsi="Calibri"/>
                <w:color w:val="000000"/>
                <w:sz w:val="16"/>
                <w:szCs w:val="16"/>
              </w:rPr>
              <w:t> </w:t>
            </w:r>
          </w:p>
        </w:tc>
        <w:tc>
          <w:tcPr>
            <w:tcW w:w="0" w:type="auto"/>
            <w:tcBorders>
              <w:top w:val="nil"/>
              <w:left w:val="nil"/>
              <w:bottom w:val="nil"/>
              <w:right w:val="nil"/>
            </w:tcBorders>
            <w:shd w:val="clear" w:color="auto" w:fill="FFFFFF" w:themeFill="background1"/>
            <w:noWrap/>
            <w:vAlign w:val="bottom"/>
            <w:hideMark/>
          </w:tcPr>
          <w:p w:rsidR="00F34468" w:rsidRPr="00EE5807" w:rsidRDefault="00F34468" w:rsidP="00B24FF2">
            <w:pPr>
              <w:rPr>
                <w:rFonts w:ascii="Calibri" w:hAnsi="Calibri"/>
                <w:color w:val="000000"/>
                <w:sz w:val="16"/>
                <w:szCs w:val="16"/>
              </w:rPr>
            </w:pPr>
            <w:r w:rsidRPr="00EE5807">
              <w:rPr>
                <w:rFonts w:ascii="Calibri" w:hAnsi="Calibri"/>
                <w:color w:val="000000"/>
                <w:sz w:val="16"/>
                <w:szCs w:val="16"/>
              </w:rPr>
              <w:t> </w:t>
            </w:r>
          </w:p>
        </w:tc>
        <w:tc>
          <w:tcPr>
            <w:tcW w:w="0" w:type="auto"/>
            <w:tcBorders>
              <w:top w:val="nil"/>
              <w:left w:val="single" w:sz="4" w:space="0" w:color="auto"/>
              <w:bottom w:val="nil"/>
              <w:right w:val="nil"/>
            </w:tcBorders>
            <w:shd w:val="clear" w:color="auto" w:fill="FFFFFF" w:themeFill="background1"/>
            <w:noWrap/>
            <w:vAlign w:val="bottom"/>
            <w:hideMark/>
          </w:tcPr>
          <w:p w:rsidR="00F34468" w:rsidRPr="00EE5807" w:rsidRDefault="00F34468" w:rsidP="00B24FF2">
            <w:pPr>
              <w:rPr>
                <w:rFonts w:ascii="Calibri" w:hAnsi="Calibri"/>
                <w:color w:val="000000"/>
                <w:sz w:val="16"/>
                <w:szCs w:val="16"/>
              </w:rPr>
            </w:pPr>
            <w:r w:rsidRPr="00EE5807">
              <w:rPr>
                <w:rFonts w:ascii="Calibri" w:hAnsi="Calibri"/>
                <w:color w:val="000000"/>
                <w:sz w:val="16"/>
                <w:szCs w:val="16"/>
              </w:rPr>
              <w:t> </w:t>
            </w:r>
          </w:p>
        </w:tc>
        <w:tc>
          <w:tcPr>
            <w:tcW w:w="0" w:type="auto"/>
            <w:tcBorders>
              <w:top w:val="nil"/>
              <w:left w:val="single" w:sz="8" w:space="0" w:color="auto"/>
              <w:bottom w:val="nil"/>
              <w:right w:val="single" w:sz="8" w:space="0" w:color="auto"/>
            </w:tcBorders>
            <w:shd w:val="clear" w:color="auto" w:fill="D9D9D9" w:themeFill="background1" w:themeFillShade="D9"/>
            <w:noWrap/>
            <w:vAlign w:val="bottom"/>
            <w:hideMark/>
          </w:tcPr>
          <w:p w:rsidR="00F34468" w:rsidRPr="00EE5807" w:rsidRDefault="00F34468" w:rsidP="00B24FF2">
            <w:pPr>
              <w:jc w:val="right"/>
              <w:rPr>
                <w:rFonts w:ascii="Calibri" w:hAnsi="Calibri"/>
                <w:color w:val="000000"/>
                <w:sz w:val="16"/>
                <w:szCs w:val="16"/>
              </w:rPr>
            </w:pPr>
          </w:p>
        </w:tc>
        <w:tc>
          <w:tcPr>
            <w:tcW w:w="0" w:type="auto"/>
            <w:tcBorders>
              <w:top w:val="nil"/>
              <w:left w:val="nil"/>
              <w:bottom w:val="nil"/>
              <w:right w:val="single" w:sz="8" w:space="0" w:color="auto"/>
            </w:tcBorders>
            <w:shd w:val="clear" w:color="auto" w:fill="D9D9D9" w:themeFill="background1" w:themeFillShade="D9"/>
            <w:noWrap/>
            <w:vAlign w:val="bottom"/>
            <w:hideMark/>
          </w:tcPr>
          <w:p w:rsidR="00F34468" w:rsidRPr="00EE5807" w:rsidRDefault="00F34468" w:rsidP="00B24FF2">
            <w:pPr>
              <w:jc w:val="right"/>
              <w:rPr>
                <w:rFonts w:ascii="Calibri" w:hAnsi="Calibri"/>
                <w:color w:val="000000"/>
                <w:sz w:val="16"/>
                <w:szCs w:val="16"/>
              </w:rPr>
            </w:pPr>
          </w:p>
        </w:tc>
        <w:tc>
          <w:tcPr>
            <w:tcW w:w="0" w:type="auto"/>
            <w:tcBorders>
              <w:top w:val="nil"/>
              <w:left w:val="nil"/>
              <w:bottom w:val="nil"/>
              <w:right w:val="single" w:sz="8" w:space="0" w:color="auto"/>
            </w:tcBorders>
            <w:shd w:val="clear" w:color="auto" w:fill="A6A6A6" w:themeFill="background1" w:themeFillShade="A6"/>
            <w:noWrap/>
            <w:vAlign w:val="bottom"/>
            <w:hideMark/>
          </w:tcPr>
          <w:p w:rsidR="00F34468" w:rsidRPr="00EE5807" w:rsidRDefault="00F34468" w:rsidP="00B24FF2">
            <w:pPr>
              <w:jc w:val="right"/>
              <w:rPr>
                <w:rFonts w:ascii="Calibri" w:hAnsi="Calibri"/>
                <w:color w:val="000000"/>
                <w:sz w:val="16"/>
                <w:szCs w:val="16"/>
              </w:rPr>
            </w:pPr>
          </w:p>
        </w:tc>
      </w:tr>
      <w:tr w:rsidR="009570E9" w:rsidRPr="00B24FF2" w:rsidTr="009570E9">
        <w:trPr>
          <w:trHeight w:val="280"/>
        </w:trPr>
        <w:tc>
          <w:tcPr>
            <w:tcW w:w="0" w:type="auto"/>
            <w:tcBorders>
              <w:top w:val="nil"/>
              <w:left w:val="single" w:sz="4" w:space="0" w:color="auto"/>
              <w:bottom w:val="nil"/>
              <w:right w:val="single" w:sz="4" w:space="0" w:color="auto"/>
            </w:tcBorders>
            <w:shd w:val="clear" w:color="auto" w:fill="FFFFFF" w:themeFill="background1"/>
            <w:vAlign w:val="bottom"/>
            <w:hideMark/>
          </w:tcPr>
          <w:p w:rsidR="00F34468" w:rsidRPr="00EE5807" w:rsidRDefault="00DE7930" w:rsidP="00B24FF2">
            <w:pPr>
              <w:rPr>
                <w:rFonts w:ascii="Calibri" w:hAnsi="Calibri"/>
                <w:sz w:val="16"/>
                <w:szCs w:val="16"/>
              </w:rPr>
            </w:pPr>
            <w:r>
              <w:rPr>
                <w:rFonts w:ascii="Calibri" w:hAnsi="Calibri"/>
                <w:sz w:val="16"/>
                <w:szCs w:val="16"/>
              </w:rPr>
              <w:t>(</w:t>
            </w:r>
            <w:r w:rsidR="001A4550">
              <w:rPr>
                <w:rFonts w:ascii="Calibri" w:hAnsi="Calibri"/>
                <w:sz w:val="16"/>
                <w:szCs w:val="16"/>
              </w:rPr>
              <w:t>Surplus</w:t>
            </w:r>
            <w:r>
              <w:rPr>
                <w:rFonts w:ascii="Calibri" w:hAnsi="Calibri"/>
                <w:sz w:val="16"/>
                <w:szCs w:val="16"/>
              </w:rPr>
              <w:t>)</w:t>
            </w:r>
            <w:r w:rsidR="001A4550">
              <w:rPr>
                <w:rFonts w:ascii="Calibri" w:hAnsi="Calibri"/>
                <w:sz w:val="16"/>
                <w:szCs w:val="16"/>
              </w:rPr>
              <w:t xml:space="preserve"> / D</w:t>
            </w:r>
            <w:r w:rsidR="00F34468" w:rsidRPr="00EE5807">
              <w:rPr>
                <w:rFonts w:ascii="Calibri" w:hAnsi="Calibri"/>
                <w:sz w:val="16"/>
                <w:szCs w:val="16"/>
              </w:rPr>
              <w:t xml:space="preserve">eficit on provision of services </w:t>
            </w:r>
          </w:p>
        </w:tc>
        <w:tc>
          <w:tcPr>
            <w:tcW w:w="0" w:type="auto"/>
            <w:tcBorders>
              <w:top w:val="nil"/>
              <w:left w:val="nil"/>
              <w:bottom w:val="nil"/>
              <w:right w:val="single" w:sz="4" w:space="0" w:color="auto"/>
            </w:tcBorders>
            <w:shd w:val="clear" w:color="auto" w:fill="FFFFFF" w:themeFill="background1"/>
            <w:noWrap/>
            <w:vAlign w:val="bottom"/>
            <w:hideMark/>
          </w:tcPr>
          <w:p w:rsidR="00F34468" w:rsidRPr="00EE5807" w:rsidRDefault="001D69FB" w:rsidP="00B24FF2">
            <w:pPr>
              <w:jc w:val="right"/>
              <w:rPr>
                <w:rFonts w:ascii="Calibri" w:hAnsi="Calibri"/>
                <w:color w:val="000000"/>
                <w:sz w:val="16"/>
                <w:szCs w:val="16"/>
              </w:rPr>
            </w:pPr>
            <w:r>
              <w:rPr>
                <w:rFonts w:ascii="Calibri" w:hAnsi="Calibri"/>
                <w:color w:val="000000"/>
                <w:sz w:val="16"/>
                <w:szCs w:val="16"/>
              </w:rPr>
              <w:t>(70,274</w:t>
            </w:r>
            <w:r w:rsidR="00F34468" w:rsidRPr="00EE5807">
              <w:rPr>
                <w:rFonts w:ascii="Calibri" w:hAnsi="Calibri"/>
                <w:color w:val="000000"/>
                <w:sz w:val="16"/>
                <w:szCs w:val="16"/>
              </w:rPr>
              <w:t>)</w:t>
            </w:r>
          </w:p>
        </w:tc>
        <w:tc>
          <w:tcPr>
            <w:tcW w:w="0" w:type="auto"/>
            <w:tcBorders>
              <w:top w:val="nil"/>
              <w:left w:val="nil"/>
              <w:bottom w:val="nil"/>
              <w:right w:val="single" w:sz="4" w:space="0" w:color="auto"/>
            </w:tcBorders>
            <w:shd w:val="clear" w:color="auto" w:fill="FFFFFF" w:themeFill="background1"/>
            <w:noWrap/>
            <w:vAlign w:val="bottom"/>
            <w:hideMark/>
          </w:tcPr>
          <w:p w:rsidR="00F34468" w:rsidRPr="00EE5807" w:rsidRDefault="00DC7184" w:rsidP="00DC7184">
            <w:pPr>
              <w:jc w:val="right"/>
              <w:rPr>
                <w:rFonts w:ascii="Calibri" w:hAnsi="Calibri"/>
                <w:color w:val="000000"/>
                <w:sz w:val="16"/>
                <w:szCs w:val="16"/>
              </w:rPr>
            </w:pPr>
            <w:r>
              <w:rPr>
                <w:rFonts w:ascii="Calibri" w:hAnsi="Calibri"/>
                <w:color w:val="000000"/>
                <w:sz w:val="16"/>
                <w:szCs w:val="16"/>
              </w:rPr>
              <w:t>-</w:t>
            </w:r>
            <w:r w:rsidR="00F34468" w:rsidRPr="00EE5807">
              <w:rPr>
                <w:rFonts w:ascii="Calibri" w:hAnsi="Calibri"/>
                <w:color w:val="000000"/>
                <w:sz w:val="16"/>
                <w:szCs w:val="16"/>
              </w:rPr>
              <w:t> </w:t>
            </w:r>
          </w:p>
        </w:tc>
        <w:tc>
          <w:tcPr>
            <w:tcW w:w="0" w:type="auto"/>
            <w:tcBorders>
              <w:top w:val="nil"/>
              <w:left w:val="nil"/>
              <w:bottom w:val="nil"/>
              <w:right w:val="single" w:sz="4" w:space="0" w:color="auto"/>
            </w:tcBorders>
            <w:shd w:val="clear" w:color="auto" w:fill="FFFFFF" w:themeFill="background1"/>
            <w:noWrap/>
            <w:vAlign w:val="bottom"/>
            <w:hideMark/>
          </w:tcPr>
          <w:p w:rsidR="00F34468" w:rsidRPr="00EE5807" w:rsidRDefault="00DC7184" w:rsidP="00DC7184">
            <w:pPr>
              <w:jc w:val="right"/>
              <w:rPr>
                <w:rFonts w:ascii="Calibri" w:hAnsi="Calibri"/>
                <w:color w:val="000000"/>
                <w:sz w:val="16"/>
                <w:szCs w:val="16"/>
              </w:rPr>
            </w:pPr>
            <w:r>
              <w:rPr>
                <w:rFonts w:ascii="Calibri" w:hAnsi="Calibri"/>
                <w:color w:val="000000"/>
                <w:sz w:val="16"/>
                <w:szCs w:val="16"/>
              </w:rPr>
              <w:t>-</w:t>
            </w:r>
          </w:p>
        </w:tc>
        <w:tc>
          <w:tcPr>
            <w:tcW w:w="0" w:type="auto"/>
            <w:tcBorders>
              <w:top w:val="nil"/>
              <w:left w:val="nil"/>
              <w:bottom w:val="nil"/>
              <w:right w:val="single" w:sz="4" w:space="0" w:color="auto"/>
            </w:tcBorders>
            <w:shd w:val="clear" w:color="auto" w:fill="FFFFFF" w:themeFill="background1"/>
            <w:noWrap/>
            <w:vAlign w:val="bottom"/>
            <w:hideMark/>
          </w:tcPr>
          <w:p w:rsidR="00F34468" w:rsidRPr="00EE5807" w:rsidRDefault="00DC7184" w:rsidP="00DC7184">
            <w:pPr>
              <w:jc w:val="right"/>
              <w:rPr>
                <w:rFonts w:ascii="Calibri" w:hAnsi="Calibri"/>
                <w:color w:val="000000"/>
                <w:sz w:val="16"/>
                <w:szCs w:val="16"/>
              </w:rPr>
            </w:pPr>
            <w:r>
              <w:rPr>
                <w:rFonts w:ascii="Calibri" w:hAnsi="Calibri"/>
                <w:color w:val="000000"/>
                <w:sz w:val="16"/>
                <w:szCs w:val="16"/>
              </w:rPr>
              <w:t>-</w:t>
            </w:r>
          </w:p>
        </w:tc>
        <w:tc>
          <w:tcPr>
            <w:tcW w:w="0" w:type="auto"/>
            <w:tcBorders>
              <w:top w:val="nil"/>
              <w:left w:val="nil"/>
              <w:bottom w:val="nil"/>
              <w:right w:val="nil"/>
            </w:tcBorders>
            <w:shd w:val="clear" w:color="auto" w:fill="FFFFFF" w:themeFill="background1"/>
            <w:noWrap/>
            <w:vAlign w:val="bottom"/>
            <w:hideMark/>
          </w:tcPr>
          <w:p w:rsidR="00F34468" w:rsidRPr="00EE5807" w:rsidRDefault="00DC7184" w:rsidP="00DC7184">
            <w:pPr>
              <w:jc w:val="right"/>
              <w:rPr>
                <w:rFonts w:ascii="Calibri" w:hAnsi="Calibri"/>
                <w:color w:val="000000"/>
                <w:sz w:val="16"/>
                <w:szCs w:val="16"/>
              </w:rPr>
            </w:pPr>
            <w:r>
              <w:rPr>
                <w:rFonts w:ascii="Calibri" w:hAnsi="Calibri"/>
                <w:color w:val="000000"/>
                <w:sz w:val="16"/>
                <w:szCs w:val="16"/>
              </w:rPr>
              <w:t>-</w:t>
            </w:r>
          </w:p>
        </w:tc>
        <w:tc>
          <w:tcPr>
            <w:tcW w:w="0" w:type="auto"/>
            <w:tcBorders>
              <w:top w:val="nil"/>
              <w:left w:val="single" w:sz="4" w:space="0" w:color="auto"/>
              <w:bottom w:val="nil"/>
              <w:right w:val="nil"/>
            </w:tcBorders>
            <w:shd w:val="clear" w:color="auto" w:fill="FFFFFF" w:themeFill="background1"/>
            <w:noWrap/>
            <w:vAlign w:val="bottom"/>
            <w:hideMark/>
          </w:tcPr>
          <w:p w:rsidR="00F34468" w:rsidRPr="00EE5807" w:rsidRDefault="00DC7184" w:rsidP="00DC7184">
            <w:pPr>
              <w:jc w:val="right"/>
              <w:rPr>
                <w:rFonts w:ascii="Calibri" w:hAnsi="Calibri"/>
                <w:color w:val="000000"/>
                <w:sz w:val="16"/>
                <w:szCs w:val="16"/>
              </w:rPr>
            </w:pPr>
            <w:r>
              <w:rPr>
                <w:rFonts w:ascii="Calibri" w:hAnsi="Calibri"/>
                <w:color w:val="000000"/>
                <w:sz w:val="16"/>
                <w:szCs w:val="16"/>
              </w:rPr>
              <w:t>-</w:t>
            </w:r>
          </w:p>
        </w:tc>
        <w:tc>
          <w:tcPr>
            <w:tcW w:w="0" w:type="auto"/>
            <w:tcBorders>
              <w:top w:val="nil"/>
              <w:left w:val="single" w:sz="8" w:space="0" w:color="auto"/>
              <w:bottom w:val="nil"/>
              <w:right w:val="single" w:sz="8" w:space="0" w:color="auto"/>
            </w:tcBorders>
            <w:shd w:val="clear" w:color="auto" w:fill="D9D9D9" w:themeFill="background1" w:themeFillShade="D9"/>
            <w:noWrap/>
            <w:vAlign w:val="bottom"/>
            <w:hideMark/>
          </w:tcPr>
          <w:p w:rsidR="00F34468" w:rsidRPr="00EE5807" w:rsidRDefault="00F34468" w:rsidP="00B24FF2">
            <w:pPr>
              <w:jc w:val="right"/>
              <w:rPr>
                <w:rFonts w:ascii="Calibri" w:hAnsi="Calibri"/>
                <w:color w:val="000000"/>
                <w:sz w:val="16"/>
                <w:szCs w:val="16"/>
              </w:rPr>
            </w:pPr>
            <w:r w:rsidRPr="00EE5807">
              <w:rPr>
                <w:rFonts w:ascii="Calibri" w:hAnsi="Calibri"/>
                <w:color w:val="000000"/>
                <w:sz w:val="16"/>
                <w:szCs w:val="16"/>
              </w:rPr>
              <w:t>(70,275)</w:t>
            </w:r>
          </w:p>
        </w:tc>
        <w:tc>
          <w:tcPr>
            <w:tcW w:w="0" w:type="auto"/>
            <w:tcBorders>
              <w:top w:val="nil"/>
              <w:left w:val="nil"/>
              <w:bottom w:val="nil"/>
              <w:right w:val="single" w:sz="8" w:space="0" w:color="auto"/>
            </w:tcBorders>
            <w:shd w:val="clear" w:color="auto" w:fill="D9D9D9" w:themeFill="background1" w:themeFillShade="D9"/>
            <w:noWrap/>
            <w:vAlign w:val="bottom"/>
            <w:hideMark/>
          </w:tcPr>
          <w:p w:rsidR="00F34468" w:rsidRPr="00EE5807" w:rsidRDefault="00F34468" w:rsidP="00B24FF2">
            <w:pPr>
              <w:jc w:val="right"/>
              <w:rPr>
                <w:rFonts w:ascii="Calibri" w:hAnsi="Calibri"/>
                <w:color w:val="000000"/>
                <w:sz w:val="16"/>
                <w:szCs w:val="16"/>
              </w:rPr>
            </w:pPr>
            <w:r w:rsidRPr="00EE5807">
              <w:rPr>
                <w:rFonts w:ascii="Calibri" w:hAnsi="Calibri"/>
                <w:color w:val="000000"/>
                <w:sz w:val="16"/>
                <w:szCs w:val="16"/>
              </w:rPr>
              <w:t>-</w:t>
            </w:r>
          </w:p>
        </w:tc>
        <w:tc>
          <w:tcPr>
            <w:tcW w:w="0" w:type="auto"/>
            <w:tcBorders>
              <w:top w:val="nil"/>
              <w:left w:val="nil"/>
              <w:bottom w:val="nil"/>
              <w:right w:val="single" w:sz="8" w:space="0" w:color="auto"/>
            </w:tcBorders>
            <w:shd w:val="clear" w:color="auto" w:fill="A6A6A6" w:themeFill="background1" w:themeFillShade="A6"/>
            <w:noWrap/>
            <w:vAlign w:val="bottom"/>
            <w:hideMark/>
          </w:tcPr>
          <w:p w:rsidR="00F34468" w:rsidRPr="00EE5807" w:rsidRDefault="00F34468" w:rsidP="00B24FF2">
            <w:pPr>
              <w:jc w:val="right"/>
              <w:rPr>
                <w:rFonts w:ascii="Calibri" w:hAnsi="Calibri"/>
                <w:color w:val="000000"/>
                <w:sz w:val="16"/>
                <w:szCs w:val="16"/>
              </w:rPr>
            </w:pPr>
            <w:r w:rsidRPr="00EE5807">
              <w:rPr>
                <w:rFonts w:ascii="Calibri" w:hAnsi="Calibri"/>
                <w:color w:val="000000"/>
                <w:sz w:val="16"/>
                <w:szCs w:val="16"/>
              </w:rPr>
              <w:t>(70,275)</w:t>
            </w:r>
          </w:p>
        </w:tc>
      </w:tr>
      <w:tr w:rsidR="009570E9" w:rsidRPr="00B24FF2" w:rsidTr="009570E9">
        <w:trPr>
          <w:trHeight w:val="284"/>
        </w:trPr>
        <w:tc>
          <w:tcPr>
            <w:tcW w:w="0" w:type="auto"/>
            <w:tcBorders>
              <w:top w:val="nil"/>
              <w:left w:val="single" w:sz="4" w:space="0" w:color="auto"/>
              <w:bottom w:val="nil"/>
              <w:right w:val="single" w:sz="4" w:space="0" w:color="auto"/>
            </w:tcBorders>
            <w:shd w:val="clear" w:color="auto" w:fill="FFFFFF" w:themeFill="background1"/>
            <w:vAlign w:val="bottom"/>
            <w:hideMark/>
          </w:tcPr>
          <w:p w:rsidR="00F34468" w:rsidRPr="00EE5807" w:rsidRDefault="00F34468" w:rsidP="009570E9">
            <w:pPr>
              <w:rPr>
                <w:rFonts w:ascii="Calibri" w:hAnsi="Calibri"/>
                <w:sz w:val="16"/>
                <w:szCs w:val="16"/>
              </w:rPr>
            </w:pPr>
            <w:r w:rsidRPr="00EE5807">
              <w:rPr>
                <w:rFonts w:ascii="Calibri" w:hAnsi="Calibri"/>
                <w:sz w:val="16"/>
                <w:szCs w:val="16"/>
              </w:rPr>
              <w:t>Other Comprehensive Income</w:t>
            </w:r>
            <w:r w:rsidR="009570E9">
              <w:rPr>
                <w:rFonts w:ascii="Calibri" w:hAnsi="Calibri"/>
                <w:sz w:val="16"/>
                <w:szCs w:val="16"/>
              </w:rPr>
              <w:t xml:space="preserve"> and Expenditure</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34468" w:rsidRPr="00EE5807" w:rsidRDefault="00F34468" w:rsidP="00B24FF2">
            <w:pPr>
              <w:rPr>
                <w:color w:val="000000"/>
                <w:sz w:val="16"/>
                <w:szCs w:val="16"/>
              </w:rPr>
            </w:pPr>
            <w:r w:rsidRPr="00EE5807">
              <w:rPr>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34468" w:rsidRPr="00EE5807" w:rsidRDefault="00DC7184" w:rsidP="00DC7184">
            <w:pPr>
              <w:jc w:val="right"/>
              <w:rPr>
                <w:rFonts w:ascii="Calibri" w:hAnsi="Calibri"/>
                <w:color w:val="000000"/>
                <w:sz w:val="16"/>
                <w:szCs w:val="16"/>
              </w:rPr>
            </w:pPr>
            <w:r>
              <w:rPr>
                <w:rFonts w:ascii="Calibri" w:hAnsi="Calibri"/>
                <w:color w:val="000000"/>
                <w:sz w:val="16"/>
                <w:szCs w:val="16"/>
              </w:rPr>
              <w:t>-</w:t>
            </w:r>
            <w:r w:rsidR="00F34468" w:rsidRPr="00EE5807">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34468" w:rsidRPr="00EE5807" w:rsidRDefault="00DC7184" w:rsidP="00DC7184">
            <w:pPr>
              <w:jc w:val="right"/>
              <w:rPr>
                <w:rFonts w:ascii="Calibri" w:hAnsi="Calibri"/>
                <w:color w:val="000000"/>
                <w:sz w:val="16"/>
                <w:szCs w:val="16"/>
              </w:rPr>
            </w:pPr>
            <w:r>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34468" w:rsidRPr="00EE5807" w:rsidRDefault="00DC7184" w:rsidP="00DC7184">
            <w:pPr>
              <w:jc w:val="right"/>
              <w:rPr>
                <w:rFonts w:ascii="Calibri" w:hAnsi="Calibri"/>
                <w:color w:val="000000"/>
                <w:sz w:val="16"/>
                <w:szCs w:val="16"/>
              </w:rPr>
            </w:pPr>
            <w:r>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34468" w:rsidRPr="00EE5807" w:rsidRDefault="00DC7184" w:rsidP="00DC7184">
            <w:pPr>
              <w:jc w:val="right"/>
              <w:rPr>
                <w:rFonts w:ascii="Calibri" w:hAnsi="Calibri"/>
                <w:color w:val="000000"/>
                <w:sz w:val="16"/>
                <w:szCs w:val="16"/>
              </w:rPr>
            </w:pPr>
            <w:r>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34468" w:rsidRPr="00EE5807" w:rsidRDefault="00DC7184" w:rsidP="00DC7184">
            <w:pPr>
              <w:jc w:val="right"/>
              <w:rPr>
                <w:rFonts w:ascii="Calibri" w:hAnsi="Calibri"/>
                <w:color w:val="000000"/>
                <w:sz w:val="16"/>
                <w:szCs w:val="16"/>
              </w:rPr>
            </w:pPr>
            <w:r>
              <w:rPr>
                <w:rFonts w:ascii="Calibri" w:hAnsi="Calibri"/>
                <w:color w:val="000000"/>
                <w:sz w:val="16"/>
                <w:szCs w:val="16"/>
              </w:rPr>
              <w:t>-</w:t>
            </w:r>
          </w:p>
        </w:tc>
        <w:tc>
          <w:tcPr>
            <w:tcW w:w="0" w:type="auto"/>
            <w:tcBorders>
              <w:top w:val="nil"/>
              <w:left w:val="single" w:sz="8" w:space="0" w:color="auto"/>
              <w:bottom w:val="nil"/>
              <w:right w:val="single" w:sz="8" w:space="0" w:color="auto"/>
            </w:tcBorders>
            <w:shd w:val="clear" w:color="auto" w:fill="D9D9D9" w:themeFill="background1" w:themeFillShade="D9"/>
            <w:noWrap/>
            <w:vAlign w:val="bottom"/>
            <w:hideMark/>
          </w:tcPr>
          <w:p w:rsidR="00F34468" w:rsidRPr="00EE5807" w:rsidRDefault="00F34468" w:rsidP="00B24FF2">
            <w:pPr>
              <w:jc w:val="right"/>
              <w:rPr>
                <w:rFonts w:ascii="Calibri" w:hAnsi="Calibri"/>
                <w:color w:val="000000"/>
                <w:sz w:val="16"/>
                <w:szCs w:val="16"/>
              </w:rPr>
            </w:pPr>
            <w:r w:rsidRPr="00EE5807">
              <w:rPr>
                <w:rFonts w:ascii="Calibri" w:hAnsi="Calibri"/>
                <w:color w:val="000000"/>
                <w:sz w:val="16"/>
                <w:szCs w:val="16"/>
              </w:rPr>
              <w:t>-</w:t>
            </w:r>
          </w:p>
        </w:tc>
        <w:tc>
          <w:tcPr>
            <w:tcW w:w="0" w:type="auto"/>
            <w:tcBorders>
              <w:top w:val="nil"/>
              <w:left w:val="nil"/>
              <w:bottom w:val="nil"/>
              <w:right w:val="single" w:sz="8" w:space="0" w:color="auto"/>
            </w:tcBorders>
            <w:shd w:val="clear" w:color="auto" w:fill="D9D9D9" w:themeFill="background1" w:themeFillShade="D9"/>
            <w:noWrap/>
            <w:vAlign w:val="bottom"/>
            <w:hideMark/>
          </w:tcPr>
          <w:p w:rsidR="00F34468" w:rsidRPr="00EE5807" w:rsidRDefault="00F34468" w:rsidP="00B24FF2">
            <w:pPr>
              <w:jc w:val="right"/>
              <w:rPr>
                <w:rFonts w:ascii="Calibri" w:hAnsi="Calibri"/>
                <w:color w:val="000000"/>
                <w:sz w:val="16"/>
                <w:szCs w:val="16"/>
              </w:rPr>
            </w:pPr>
            <w:r w:rsidRPr="00EE5807">
              <w:rPr>
                <w:rFonts w:ascii="Calibri" w:hAnsi="Calibri"/>
                <w:color w:val="000000"/>
                <w:sz w:val="16"/>
                <w:szCs w:val="16"/>
              </w:rPr>
              <w:t>165,666</w:t>
            </w:r>
          </w:p>
        </w:tc>
        <w:tc>
          <w:tcPr>
            <w:tcW w:w="0" w:type="auto"/>
            <w:tcBorders>
              <w:top w:val="nil"/>
              <w:left w:val="nil"/>
              <w:bottom w:val="nil"/>
              <w:right w:val="single" w:sz="8" w:space="0" w:color="auto"/>
            </w:tcBorders>
            <w:shd w:val="clear" w:color="auto" w:fill="A6A6A6" w:themeFill="background1" w:themeFillShade="A6"/>
            <w:noWrap/>
            <w:vAlign w:val="bottom"/>
            <w:hideMark/>
          </w:tcPr>
          <w:p w:rsidR="00F34468" w:rsidRPr="00EE5807" w:rsidRDefault="00F34468" w:rsidP="00B24FF2">
            <w:pPr>
              <w:jc w:val="right"/>
              <w:rPr>
                <w:rFonts w:ascii="Calibri" w:hAnsi="Calibri"/>
                <w:color w:val="000000"/>
                <w:sz w:val="16"/>
                <w:szCs w:val="16"/>
              </w:rPr>
            </w:pPr>
            <w:r w:rsidRPr="00EE5807">
              <w:rPr>
                <w:rFonts w:ascii="Calibri" w:hAnsi="Calibri"/>
                <w:color w:val="000000"/>
                <w:sz w:val="16"/>
                <w:szCs w:val="16"/>
              </w:rPr>
              <w:t>165,666</w:t>
            </w:r>
          </w:p>
        </w:tc>
      </w:tr>
      <w:tr w:rsidR="009570E9" w:rsidRPr="00B24FF2" w:rsidTr="009570E9">
        <w:trPr>
          <w:trHeight w:val="136"/>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34468" w:rsidRPr="00EE5807" w:rsidRDefault="00F34468" w:rsidP="009570E9">
            <w:pPr>
              <w:rPr>
                <w:rFonts w:ascii="Calibri" w:hAnsi="Calibri"/>
                <w:b/>
                <w:bCs/>
                <w:sz w:val="16"/>
                <w:szCs w:val="16"/>
              </w:rPr>
            </w:pPr>
            <w:r w:rsidRPr="00EE5807">
              <w:rPr>
                <w:rFonts w:ascii="Calibri" w:hAnsi="Calibri"/>
                <w:b/>
                <w:bCs/>
                <w:sz w:val="16"/>
                <w:szCs w:val="16"/>
              </w:rPr>
              <w:t>Total Comprehensive Income</w:t>
            </w:r>
            <w:r w:rsidR="009570E9">
              <w:rPr>
                <w:rFonts w:ascii="Calibri" w:hAnsi="Calibri"/>
                <w:b/>
                <w:bCs/>
                <w:sz w:val="16"/>
                <w:szCs w:val="16"/>
              </w:rPr>
              <w:t xml:space="preserve"> and Expenditure</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34468" w:rsidRPr="00EE5807" w:rsidRDefault="001D69FB" w:rsidP="00B24FF2">
            <w:pPr>
              <w:jc w:val="right"/>
              <w:rPr>
                <w:rFonts w:ascii="Calibri" w:hAnsi="Calibri"/>
                <w:b/>
                <w:bCs/>
                <w:color w:val="000000"/>
                <w:sz w:val="16"/>
                <w:szCs w:val="16"/>
              </w:rPr>
            </w:pPr>
            <w:r>
              <w:rPr>
                <w:rFonts w:ascii="Calibri" w:hAnsi="Calibri"/>
                <w:b/>
                <w:bCs/>
                <w:color w:val="000000"/>
                <w:sz w:val="16"/>
                <w:szCs w:val="16"/>
              </w:rPr>
              <w:t>(70,274</w:t>
            </w:r>
            <w:r w:rsidR="00F34468" w:rsidRPr="00EE5807">
              <w:rPr>
                <w:rFonts w:ascii="Calibri" w:hAnsi="Calibri"/>
                <w:b/>
                <w:bCs/>
                <w:color w:val="000000"/>
                <w:sz w:val="16"/>
                <w:szCs w:val="16"/>
              </w:rPr>
              <w:t>)</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w:t>
            </w:r>
          </w:p>
        </w:tc>
        <w:tc>
          <w:tcPr>
            <w:tcW w:w="0" w:type="auto"/>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(70,275)</w:t>
            </w:r>
          </w:p>
        </w:tc>
        <w:tc>
          <w:tcPr>
            <w:tcW w:w="0" w:type="auto"/>
            <w:tcBorders>
              <w:top w:val="single" w:sz="4" w:space="0" w:color="auto"/>
              <w:left w:val="nil"/>
              <w:bottom w:val="single" w:sz="4" w:space="0" w:color="auto"/>
              <w:right w:val="single" w:sz="8" w:space="0" w:color="auto"/>
            </w:tcBorders>
            <w:shd w:val="clear" w:color="auto" w:fill="D9D9D9" w:themeFill="background1" w:themeFillShade="D9"/>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165,666</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95,391</w:t>
            </w:r>
          </w:p>
        </w:tc>
      </w:tr>
      <w:tr w:rsidR="009570E9" w:rsidRPr="00B24FF2" w:rsidTr="00483E07">
        <w:trPr>
          <w:trHeight w:val="480"/>
        </w:trPr>
        <w:tc>
          <w:tcPr>
            <w:tcW w:w="0" w:type="auto"/>
            <w:tcBorders>
              <w:top w:val="nil"/>
              <w:left w:val="single" w:sz="4" w:space="0" w:color="auto"/>
              <w:bottom w:val="nil"/>
              <w:right w:val="single" w:sz="4" w:space="0" w:color="auto"/>
            </w:tcBorders>
            <w:shd w:val="clear" w:color="auto" w:fill="FFFFFF" w:themeFill="background1"/>
            <w:vAlign w:val="bottom"/>
            <w:hideMark/>
          </w:tcPr>
          <w:p w:rsidR="00F34468" w:rsidRPr="00EE5807" w:rsidRDefault="00F34468" w:rsidP="00B24FF2">
            <w:pPr>
              <w:rPr>
                <w:rFonts w:ascii="Calibri" w:hAnsi="Calibri"/>
                <w:color w:val="000000"/>
                <w:sz w:val="16"/>
                <w:szCs w:val="16"/>
              </w:rPr>
            </w:pPr>
            <w:r w:rsidRPr="00EE5807">
              <w:rPr>
                <w:rFonts w:ascii="Calibri" w:hAnsi="Calibri"/>
                <w:color w:val="000000"/>
                <w:sz w:val="16"/>
                <w:szCs w:val="16"/>
              </w:rPr>
              <w:t>Adjustments Between Accounting Basis &amp; Funding Basis Under Regulations</w:t>
            </w:r>
            <w:r w:rsidR="001A4550">
              <w:rPr>
                <w:rFonts w:ascii="Calibri" w:hAnsi="Calibri"/>
                <w:color w:val="000000"/>
                <w:sz w:val="16"/>
                <w:szCs w:val="16"/>
              </w:rPr>
              <w:t xml:space="preserve"> (Note 9)</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color w:val="000000"/>
                <w:sz w:val="16"/>
                <w:szCs w:val="16"/>
              </w:rPr>
            </w:pPr>
            <w:r w:rsidRPr="00EE5807">
              <w:rPr>
                <w:rFonts w:ascii="Calibri" w:hAnsi="Calibri"/>
                <w:color w:val="000000"/>
                <w:sz w:val="16"/>
                <w:szCs w:val="16"/>
              </w:rPr>
              <w:t>21,164</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color w:val="000000"/>
                <w:sz w:val="16"/>
                <w:szCs w:val="16"/>
              </w:rPr>
            </w:pPr>
            <w:r w:rsidRPr="00EE5807">
              <w:rPr>
                <w:rFonts w:ascii="Calibri" w:hAnsi="Calibri"/>
                <w:color w:val="000000"/>
                <w:sz w:val="16"/>
                <w:szCs w:val="16"/>
              </w:rPr>
              <w:t>-</w:t>
            </w:r>
          </w:p>
        </w:tc>
        <w:tc>
          <w:tcPr>
            <w:tcW w:w="0" w:type="auto"/>
            <w:tcBorders>
              <w:top w:val="nil"/>
              <w:left w:val="nil"/>
              <w:bottom w:val="nil"/>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color w:val="000000"/>
                <w:sz w:val="16"/>
                <w:szCs w:val="16"/>
              </w:rPr>
            </w:pPr>
            <w:r w:rsidRPr="00EE5807">
              <w:rPr>
                <w:rFonts w:ascii="Calibri" w:hAnsi="Calibri"/>
                <w:color w:val="000000"/>
                <w:sz w:val="16"/>
                <w:szCs w:val="16"/>
              </w:rPr>
              <w:t>-</w:t>
            </w:r>
          </w:p>
        </w:tc>
        <w:tc>
          <w:tcPr>
            <w:tcW w:w="0" w:type="auto"/>
            <w:tcBorders>
              <w:top w:val="nil"/>
              <w:left w:val="nil"/>
              <w:bottom w:val="nil"/>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color w:val="000000"/>
                <w:sz w:val="16"/>
                <w:szCs w:val="16"/>
              </w:rPr>
            </w:pPr>
            <w:r w:rsidRPr="00EE5807">
              <w:rPr>
                <w:rFonts w:ascii="Calibri" w:hAnsi="Calibri"/>
                <w:color w:val="000000"/>
                <w:sz w:val="16"/>
                <w:szCs w:val="16"/>
              </w:rPr>
              <w:t>-</w:t>
            </w:r>
          </w:p>
        </w:tc>
        <w:tc>
          <w:tcPr>
            <w:tcW w:w="0" w:type="auto"/>
            <w:tcBorders>
              <w:top w:val="nil"/>
              <w:left w:val="nil"/>
              <w:bottom w:val="nil"/>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color w:val="000000"/>
                <w:sz w:val="16"/>
                <w:szCs w:val="16"/>
              </w:rPr>
            </w:pPr>
            <w:r w:rsidRPr="00EE5807">
              <w:rPr>
                <w:rFonts w:ascii="Calibri" w:hAnsi="Calibri"/>
                <w:color w:val="000000"/>
                <w:sz w:val="16"/>
                <w:szCs w:val="16"/>
              </w:rPr>
              <w:t>1,222</w:t>
            </w:r>
          </w:p>
        </w:tc>
        <w:tc>
          <w:tcPr>
            <w:tcW w:w="0" w:type="auto"/>
            <w:tcBorders>
              <w:top w:val="nil"/>
              <w:left w:val="nil"/>
              <w:bottom w:val="nil"/>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color w:val="000000"/>
                <w:sz w:val="16"/>
                <w:szCs w:val="16"/>
              </w:rPr>
            </w:pPr>
            <w:r w:rsidRPr="00EE5807">
              <w:rPr>
                <w:rFonts w:ascii="Calibri" w:hAnsi="Calibri"/>
                <w:color w:val="000000"/>
                <w:sz w:val="16"/>
                <w:szCs w:val="16"/>
              </w:rPr>
              <w:t>(64,718)</w:t>
            </w:r>
          </w:p>
        </w:tc>
        <w:tc>
          <w:tcPr>
            <w:tcW w:w="0" w:type="auto"/>
            <w:tcBorders>
              <w:top w:val="nil"/>
              <w:left w:val="single" w:sz="8" w:space="0" w:color="auto"/>
              <w:bottom w:val="nil"/>
              <w:right w:val="single" w:sz="8" w:space="0" w:color="auto"/>
            </w:tcBorders>
            <w:shd w:val="clear" w:color="auto" w:fill="D9D9D9" w:themeFill="background1" w:themeFillShade="D9"/>
            <w:noWrap/>
            <w:vAlign w:val="bottom"/>
            <w:hideMark/>
          </w:tcPr>
          <w:p w:rsidR="00F34468" w:rsidRPr="00EE5807" w:rsidRDefault="00F34468" w:rsidP="00B24FF2">
            <w:pPr>
              <w:jc w:val="right"/>
              <w:rPr>
                <w:rFonts w:ascii="Calibri" w:hAnsi="Calibri"/>
                <w:color w:val="000000"/>
                <w:sz w:val="16"/>
                <w:szCs w:val="16"/>
              </w:rPr>
            </w:pPr>
            <w:r w:rsidRPr="00EE5807">
              <w:rPr>
                <w:rFonts w:ascii="Calibri" w:hAnsi="Calibri"/>
                <w:color w:val="000000"/>
                <w:sz w:val="16"/>
                <w:szCs w:val="16"/>
              </w:rPr>
              <w:t>(42,332)</w:t>
            </w:r>
          </w:p>
        </w:tc>
        <w:tc>
          <w:tcPr>
            <w:tcW w:w="0" w:type="auto"/>
            <w:tcBorders>
              <w:top w:val="nil"/>
              <w:left w:val="nil"/>
              <w:bottom w:val="nil"/>
              <w:right w:val="single" w:sz="8" w:space="0" w:color="auto"/>
            </w:tcBorders>
            <w:shd w:val="clear" w:color="auto" w:fill="D9D9D9" w:themeFill="background1" w:themeFillShade="D9"/>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42,332</w:t>
            </w:r>
          </w:p>
        </w:tc>
        <w:tc>
          <w:tcPr>
            <w:tcW w:w="0" w:type="auto"/>
            <w:tcBorders>
              <w:top w:val="nil"/>
              <w:left w:val="nil"/>
              <w:bottom w:val="nil"/>
              <w:right w:val="single" w:sz="8" w:space="0" w:color="auto"/>
            </w:tcBorders>
            <w:shd w:val="clear" w:color="auto" w:fill="A6A6A6" w:themeFill="background1" w:themeFillShade="A6"/>
            <w:noWrap/>
            <w:vAlign w:val="bottom"/>
            <w:hideMark/>
          </w:tcPr>
          <w:p w:rsidR="00F34468" w:rsidRPr="00EE5807" w:rsidRDefault="00F34468" w:rsidP="00B24FF2">
            <w:pPr>
              <w:jc w:val="right"/>
              <w:rPr>
                <w:rFonts w:ascii="Calibri" w:hAnsi="Calibri"/>
                <w:color w:val="000000"/>
                <w:sz w:val="16"/>
                <w:szCs w:val="16"/>
              </w:rPr>
            </w:pPr>
            <w:r w:rsidRPr="00EE5807">
              <w:rPr>
                <w:rFonts w:ascii="Calibri" w:hAnsi="Calibri"/>
                <w:color w:val="000000"/>
                <w:sz w:val="16"/>
                <w:szCs w:val="16"/>
              </w:rPr>
              <w:t>-</w:t>
            </w:r>
          </w:p>
        </w:tc>
      </w:tr>
      <w:tr w:rsidR="009570E9" w:rsidRPr="00B24FF2" w:rsidTr="00483E07">
        <w:trPr>
          <w:trHeight w:val="429"/>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34468" w:rsidRPr="00EE5807" w:rsidRDefault="00F34468" w:rsidP="00B24FF2">
            <w:pPr>
              <w:rPr>
                <w:rFonts w:ascii="Calibri" w:hAnsi="Calibri"/>
                <w:b/>
                <w:bCs/>
                <w:color w:val="000000"/>
                <w:sz w:val="16"/>
                <w:szCs w:val="16"/>
              </w:rPr>
            </w:pPr>
            <w:r w:rsidRPr="00EE5807">
              <w:rPr>
                <w:rFonts w:ascii="Calibri" w:hAnsi="Calibri"/>
                <w:b/>
                <w:bCs/>
                <w:color w:val="000000"/>
                <w:sz w:val="16"/>
                <w:szCs w:val="16"/>
              </w:rPr>
              <w:t xml:space="preserve">Net </w:t>
            </w:r>
            <w:r w:rsidR="00DE7930">
              <w:rPr>
                <w:rFonts w:ascii="Calibri" w:hAnsi="Calibri"/>
                <w:b/>
                <w:bCs/>
                <w:color w:val="000000"/>
                <w:sz w:val="16"/>
                <w:szCs w:val="16"/>
              </w:rPr>
              <w:t>(</w:t>
            </w:r>
            <w:r w:rsidRPr="00EE5807">
              <w:rPr>
                <w:rFonts w:ascii="Calibri" w:hAnsi="Calibri"/>
                <w:b/>
                <w:bCs/>
                <w:color w:val="000000"/>
                <w:sz w:val="16"/>
                <w:szCs w:val="16"/>
              </w:rPr>
              <w:t>Increase</w:t>
            </w:r>
            <w:r w:rsidR="00DE7930">
              <w:rPr>
                <w:rFonts w:ascii="Calibri" w:hAnsi="Calibri"/>
                <w:b/>
                <w:bCs/>
                <w:color w:val="000000"/>
                <w:sz w:val="16"/>
                <w:szCs w:val="16"/>
              </w:rPr>
              <w:t>)</w:t>
            </w:r>
            <w:r w:rsidRPr="00EE5807">
              <w:rPr>
                <w:rFonts w:ascii="Calibri" w:hAnsi="Calibri"/>
                <w:b/>
                <w:bCs/>
                <w:color w:val="000000"/>
                <w:sz w:val="16"/>
                <w:szCs w:val="16"/>
              </w:rPr>
              <w:t>/Decrease before Transfers to Earmarked Reserves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(49,111)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1,222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(64,718)</w:t>
            </w:r>
          </w:p>
        </w:tc>
        <w:tc>
          <w:tcPr>
            <w:tcW w:w="0" w:type="auto"/>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(112,606)</w:t>
            </w:r>
          </w:p>
        </w:tc>
        <w:tc>
          <w:tcPr>
            <w:tcW w:w="0" w:type="auto"/>
            <w:tcBorders>
              <w:top w:val="single" w:sz="4" w:space="0" w:color="auto"/>
              <w:left w:val="nil"/>
              <w:bottom w:val="single" w:sz="4" w:space="0" w:color="auto"/>
              <w:right w:val="single" w:sz="8" w:space="0" w:color="auto"/>
            </w:tcBorders>
            <w:shd w:val="clear" w:color="auto" w:fill="D9D9D9" w:themeFill="background1" w:themeFillShade="D9"/>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207,998</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95,391</w:t>
            </w:r>
          </w:p>
        </w:tc>
      </w:tr>
      <w:tr w:rsidR="009570E9" w:rsidRPr="00B24FF2" w:rsidTr="009570E9">
        <w:trPr>
          <w:trHeight w:val="280"/>
        </w:trPr>
        <w:tc>
          <w:tcPr>
            <w:tcW w:w="0" w:type="auto"/>
            <w:tcBorders>
              <w:top w:val="nil"/>
              <w:left w:val="single" w:sz="4" w:space="0" w:color="auto"/>
              <w:bottom w:val="nil"/>
              <w:right w:val="single" w:sz="4" w:space="0" w:color="auto"/>
            </w:tcBorders>
            <w:shd w:val="clear" w:color="auto" w:fill="FFFFFF" w:themeFill="background1"/>
            <w:vAlign w:val="bottom"/>
            <w:hideMark/>
          </w:tcPr>
          <w:p w:rsidR="00F34468" w:rsidRPr="00EE5807" w:rsidRDefault="00F34468" w:rsidP="00B24FF2">
            <w:pPr>
              <w:rPr>
                <w:rFonts w:ascii="Calibri" w:hAnsi="Calibri"/>
                <w:color w:val="000000"/>
                <w:sz w:val="16"/>
                <w:szCs w:val="16"/>
              </w:rPr>
            </w:pPr>
            <w:r w:rsidRPr="00EE5807">
              <w:rPr>
                <w:rFonts w:ascii="Calibri" w:hAnsi="Calibri"/>
                <w:color w:val="000000"/>
                <w:sz w:val="16"/>
                <w:szCs w:val="16"/>
              </w:rPr>
              <w:t xml:space="preserve">Transfers to/from Earmarked Reserves </w:t>
            </w:r>
            <w:r w:rsidR="001A4550">
              <w:rPr>
                <w:rFonts w:ascii="Calibri" w:hAnsi="Calibri"/>
                <w:color w:val="000000"/>
                <w:sz w:val="16"/>
                <w:szCs w:val="16"/>
              </w:rPr>
              <w:t xml:space="preserve"> (Note 11 &amp; 12)</w:t>
            </w:r>
          </w:p>
        </w:tc>
        <w:tc>
          <w:tcPr>
            <w:tcW w:w="0" w:type="auto"/>
            <w:tcBorders>
              <w:top w:val="nil"/>
              <w:left w:val="nil"/>
              <w:bottom w:val="nil"/>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color w:val="000000"/>
                <w:sz w:val="16"/>
                <w:szCs w:val="16"/>
              </w:rPr>
            </w:pPr>
            <w:r w:rsidRPr="00EE5807">
              <w:rPr>
                <w:rFonts w:ascii="Calibri" w:hAnsi="Calibri"/>
                <w:color w:val="000000"/>
                <w:sz w:val="16"/>
                <w:szCs w:val="16"/>
              </w:rPr>
              <w:t>54,663</w:t>
            </w:r>
          </w:p>
        </w:tc>
        <w:tc>
          <w:tcPr>
            <w:tcW w:w="0" w:type="auto"/>
            <w:tcBorders>
              <w:top w:val="nil"/>
              <w:left w:val="nil"/>
              <w:bottom w:val="nil"/>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color w:val="000000"/>
                <w:sz w:val="16"/>
                <w:szCs w:val="16"/>
              </w:rPr>
            </w:pPr>
            <w:r w:rsidRPr="00EE5807">
              <w:rPr>
                <w:rFonts w:ascii="Calibri" w:hAnsi="Calibri"/>
                <w:color w:val="000000"/>
                <w:sz w:val="16"/>
                <w:szCs w:val="16"/>
              </w:rPr>
              <w:t>(54,136)</w:t>
            </w:r>
          </w:p>
        </w:tc>
        <w:tc>
          <w:tcPr>
            <w:tcW w:w="0" w:type="auto"/>
            <w:tcBorders>
              <w:top w:val="nil"/>
              <w:left w:val="nil"/>
              <w:bottom w:val="nil"/>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color w:val="000000"/>
                <w:sz w:val="16"/>
                <w:szCs w:val="16"/>
              </w:rPr>
            </w:pPr>
            <w:r w:rsidRPr="00EE5807">
              <w:rPr>
                <w:rFonts w:ascii="Calibri" w:hAnsi="Calibri"/>
                <w:color w:val="000000"/>
                <w:sz w:val="16"/>
                <w:szCs w:val="16"/>
              </w:rPr>
              <w:t>786</w:t>
            </w:r>
          </w:p>
        </w:tc>
        <w:tc>
          <w:tcPr>
            <w:tcW w:w="0" w:type="auto"/>
            <w:tcBorders>
              <w:top w:val="nil"/>
              <w:left w:val="nil"/>
              <w:bottom w:val="nil"/>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color w:val="000000"/>
                <w:sz w:val="16"/>
                <w:szCs w:val="16"/>
              </w:rPr>
            </w:pPr>
            <w:r w:rsidRPr="00EE5807">
              <w:rPr>
                <w:rFonts w:ascii="Calibri" w:hAnsi="Calibri"/>
                <w:color w:val="000000"/>
                <w:sz w:val="16"/>
                <w:szCs w:val="16"/>
              </w:rPr>
              <w:t>(1,312)</w:t>
            </w:r>
          </w:p>
        </w:tc>
        <w:tc>
          <w:tcPr>
            <w:tcW w:w="0" w:type="auto"/>
            <w:tcBorders>
              <w:top w:val="nil"/>
              <w:left w:val="nil"/>
              <w:bottom w:val="nil"/>
              <w:right w:val="nil"/>
            </w:tcBorders>
            <w:shd w:val="clear" w:color="auto" w:fill="FFFFFF" w:themeFill="background1"/>
            <w:noWrap/>
            <w:vAlign w:val="bottom"/>
            <w:hideMark/>
          </w:tcPr>
          <w:p w:rsidR="00F34468" w:rsidRPr="00EE5807" w:rsidRDefault="00DC7184" w:rsidP="00DC7184">
            <w:pPr>
              <w:jc w:val="right"/>
              <w:rPr>
                <w:rFonts w:ascii="Calibri" w:hAnsi="Calibri"/>
                <w:color w:val="000000"/>
                <w:sz w:val="16"/>
                <w:szCs w:val="16"/>
              </w:rPr>
            </w:pPr>
            <w:r>
              <w:rPr>
                <w:rFonts w:ascii="Calibri" w:hAnsi="Calibri"/>
                <w:color w:val="000000"/>
                <w:sz w:val="16"/>
                <w:szCs w:val="16"/>
              </w:rPr>
              <w:t>-</w:t>
            </w:r>
            <w:r w:rsidR="00F34468" w:rsidRPr="00EE5807">
              <w:rPr>
                <w:rFonts w:ascii="Calibri" w:hAnsi="Calibri"/>
                <w:color w:val="000000"/>
                <w:sz w:val="16"/>
                <w:szCs w:val="16"/>
              </w:rPr>
              <w:t> </w:t>
            </w:r>
          </w:p>
        </w:tc>
        <w:tc>
          <w:tcPr>
            <w:tcW w:w="0" w:type="auto"/>
            <w:tcBorders>
              <w:top w:val="nil"/>
              <w:left w:val="single" w:sz="4" w:space="0" w:color="auto"/>
              <w:bottom w:val="nil"/>
              <w:right w:val="single" w:sz="8" w:space="0" w:color="auto"/>
            </w:tcBorders>
            <w:shd w:val="clear" w:color="auto" w:fill="FFFFFF" w:themeFill="background1"/>
            <w:noWrap/>
            <w:vAlign w:val="bottom"/>
            <w:hideMark/>
          </w:tcPr>
          <w:p w:rsidR="00F34468" w:rsidRPr="00EE5807" w:rsidRDefault="00DC7184" w:rsidP="00DC7184">
            <w:pPr>
              <w:jc w:val="right"/>
              <w:rPr>
                <w:color w:val="000000"/>
                <w:sz w:val="16"/>
                <w:szCs w:val="16"/>
              </w:rPr>
            </w:pPr>
            <w:r>
              <w:rPr>
                <w:color w:val="000000"/>
                <w:sz w:val="16"/>
                <w:szCs w:val="16"/>
              </w:rPr>
              <w:t>-</w:t>
            </w:r>
          </w:p>
        </w:tc>
        <w:tc>
          <w:tcPr>
            <w:tcW w:w="0" w:type="auto"/>
            <w:tcBorders>
              <w:top w:val="nil"/>
              <w:left w:val="nil"/>
              <w:bottom w:val="nil"/>
              <w:right w:val="single" w:sz="8" w:space="0" w:color="auto"/>
            </w:tcBorders>
            <w:shd w:val="clear" w:color="auto" w:fill="D9D9D9" w:themeFill="background1" w:themeFillShade="D9"/>
            <w:noWrap/>
            <w:vAlign w:val="bottom"/>
            <w:hideMark/>
          </w:tcPr>
          <w:p w:rsidR="00F34468" w:rsidRPr="00EE5807" w:rsidRDefault="00DC7184" w:rsidP="00B24FF2">
            <w:pPr>
              <w:jc w:val="right"/>
              <w:rPr>
                <w:rFonts w:ascii="Calibri" w:hAnsi="Calibri"/>
                <w:color w:val="000000"/>
                <w:sz w:val="16"/>
                <w:szCs w:val="16"/>
              </w:rPr>
            </w:pPr>
            <w:r>
              <w:rPr>
                <w:rFonts w:ascii="Calibri" w:hAnsi="Calibri"/>
                <w:color w:val="000000"/>
                <w:sz w:val="16"/>
                <w:szCs w:val="16"/>
              </w:rPr>
              <w:t>-</w:t>
            </w:r>
          </w:p>
        </w:tc>
        <w:tc>
          <w:tcPr>
            <w:tcW w:w="0" w:type="auto"/>
            <w:tcBorders>
              <w:top w:val="nil"/>
              <w:left w:val="nil"/>
              <w:bottom w:val="nil"/>
              <w:right w:val="single" w:sz="8" w:space="0" w:color="auto"/>
            </w:tcBorders>
            <w:shd w:val="clear" w:color="auto" w:fill="D9D9D9" w:themeFill="background1" w:themeFillShade="D9"/>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w:t>
            </w:r>
          </w:p>
        </w:tc>
        <w:tc>
          <w:tcPr>
            <w:tcW w:w="0" w:type="auto"/>
            <w:tcBorders>
              <w:top w:val="nil"/>
              <w:left w:val="nil"/>
              <w:bottom w:val="nil"/>
              <w:right w:val="single" w:sz="8" w:space="0" w:color="auto"/>
            </w:tcBorders>
            <w:shd w:val="clear" w:color="auto" w:fill="A6A6A6" w:themeFill="background1" w:themeFillShade="A6"/>
            <w:noWrap/>
            <w:vAlign w:val="bottom"/>
            <w:hideMark/>
          </w:tcPr>
          <w:p w:rsidR="00F34468" w:rsidRPr="00EE5807" w:rsidRDefault="00DC7184" w:rsidP="00B24FF2">
            <w:pPr>
              <w:jc w:val="right"/>
              <w:rPr>
                <w:rFonts w:ascii="Calibri" w:hAnsi="Calibri"/>
                <w:color w:val="000000"/>
                <w:sz w:val="16"/>
                <w:szCs w:val="16"/>
              </w:rPr>
            </w:pPr>
            <w:r>
              <w:rPr>
                <w:rFonts w:ascii="Calibri" w:hAnsi="Calibri"/>
                <w:color w:val="000000"/>
                <w:sz w:val="16"/>
                <w:szCs w:val="16"/>
              </w:rPr>
              <w:t>-</w:t>
            </w:r>
          </w:p>
        </w:tc>
      </w:tr>
      <w:tr w:rsidR="009570E9" w:rsidRPr="00B24FF2" w:rsidTr="009570E9">
        <w:trPr>
          <w:trHeight w:val="315"/>
        </w:trPr>
        <w:tc>
          <w:tcPr>
            <w:tcW w:w="0" w:type="auto"/>
            <w:tcBorders>
              <w:top w:val="nil"/>
              <w:left w:val="single" w:sz="4" w:space="0" w:color="auto"/>
              <w:bottom w:val="nil"/>
              <w:right w:val="single" w:sz="4" w:space="0" w:color="auto"/>
            </w:tcBorders>
            <w:shd w:val="clear" w:color="auto" w:fill="FFFFFF" w:themeFill="background1"/>
            <w:vAlign w:val="bottom"/>
            <w:hideMark/>
          </w:tcPr>
          <w:p w:rsidR="00F34468" w:rsidRPr="00EE5807" w:rsidRDefault="00F34468" w:rsidP="00B24FF2">
            <w:pPr>
              <w:rPr>
                <w:rFonts w:ascii="Calibri" w:hAnsi="Calibri"/>
                <w:sz w:val="16"/>
                <w:szCs w:val="16"/>
              </w:rPr>
            </w:pPr>
            <w:r w:rsidRPr="00EE5807">
              <w:rPr>
                <w:rFonts w:ascii="Calibri" w:hAnsi="Calibri"/>
                <w:sz w:val="16"/>
                <w:szCs w:val="16"/>
              </w:rPr>
              <w:t>Other Movements</w:t>
            </w:r>
          </w:p>
        </w:tc>
        <w:tc>
          <w:tcPr>
            <w:tcW w:w="0" w:type="auto"/>
            <w:tcBorders>
              <w:top w:val="nil"/>
              <w:left w:val="nil"/>
              <w:bottom w:val="nil"/>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color w:val="000000"/>
                <w:sz w:val="16"/>
                <w:szCs w:val="16"/>
              </w:rPr>
            </w:pPr>
            <w:r w:rsidRPr="00EE5807">
              <w:rPr>
                <w:rFonts w:ascii="Calibri" w:hAnsi="Calibri"/>
                <w:color w:val="000000"/>
                <w:sz w:val="16"/>
                <w:szCs w:val="16"/>
              </w:rPr>
              <w:t>(96)</w:t>
            </w:r>
          </w:p>
        </w:tc>
        <w:tc>
          <w:tcPr>
            <w:tcW w:w="0" w:type="auto"/>
            <w:tcBorders>
              <w:top w:val="nil"/>
              <w:left w:val="nil"/>
              <w:bottom w:val="nil"/>
              <w:right w:val="single" w:sz="4" w:space="0" w:color="auto"/>
            </w:tcBorders>
            <w:shd w:val="clear" w:color="auto" w:fill="FFFFFF" w:themeFill="background1"/>
            <w:noWrap/>
            <w:vAlign w:val="bottom"/>
            <w:hideMark/>
          </w:tcPr>
          <w:p w:rsidR="00F34468" w:rsidRPr="00EE5807" w:rsidRDefault="00F34468" w:rsidP="00B24FF2">
            <w:pPr>
              <w:rPr>
                <w:rFonts w:ascii="Calibri" w:hAnsi="Calibri"/>
                <w:color w:val="000000"/>
                <w:sz w:val="16"/>
                <w:szCs w:val="16"/>
              </w:rPr>
            </w:pPr>
            <w:r w:rsidRPr="00EE5807">
              <w:rPr>
                <w:rFonts w:ascii="Calibri" w:hAnsi="Calibri"/>
                <w:color w:val="000000"/>
                <w:sz w:val="16"/>
                <w:szCs w:val="16"/>
              </w:rPr>
              <w:t> </w:t>
            </w:r>
          </w:p>
        </w:tc>
        <w:tc>
          <w:tcPr>
            <w:tcW w:w="0" w:type="auto"/>
            <w:tcBorders>
              <w:top w:val="nil"/>
              <w:left w:val="nil"/>
              <w:bottom w:val="nil"/>
              <w:right w:val="single" w:sz="4" w:space="0" w:color="auto"/>
            </w:tcBorders>
            <w:shd w:val="clear" w:color="auto" w:fill="FFFFFF" w:themeFill="background1"/>
            <w:noWrap/>
            <w:vAlign w:val="bottom"/>
            <w:hideMark/>
          </w:tcPr>
          <w:p w:rsidR="00F34468" w:rsidRPr="00EE5807" w:rsidRDefault="00F34468" w:rsidP="00B24FF2">
            <w:pPr>
              <w:rPr>
                <w:rFonts w:ascii="Calibri" w:hAnsi="Calibri"/>
                <w:color w:val="000000"/>
                <w:sz w:val="16"/>
                <w:szCs w:val="16"/>
              </w:rPr>
            </w:pPr>
            <w:r w:rsidRPr="00EE5807">
              <w:rPr>
                <w:rFonts w:ascii="Calibri" w:hAnsi="Calibri"/>
                <w:color w:val="000000"/>
                <w:sz w:val="16"/>
                <w:szCs w:val="16"/>
              </w:rPr>
              <w:t> </w:t>
            </w:r>
          </w:p>
        </w:tc>
        <w:tc>
          <w:tcPr>
            <w:tcW w:w="0" w:type="auto"/>
            <w:tcBorders>
              <w:top w:val="nil"/>
              <w:left w:val="nil"/>
              <w:bottom w:val="nil"/>
              <w:right w:val="single" w:sz="4" w:space="0" w:color="auto"/>
            </w:tcBorders>
            <w:shd w:val="clear" w:color="auto" w:fill="FFFFFF" w:themeFill="background1"/>
            <w:noWrap/>
            <w:vAlign w:val="bottom"/>
            <w:hideMark/>
          </w:tcPr>
          <w:p w:rsidR="00F34468" w:rsidRPr="00EE5807" w:rsidRDefault="00F34468" w:rsidP="00B24FF2">
            <w:pPr>
              <w:rPr>
                <w:rFonts w:ascii="Calibri" w:hAnsi="Calibri"/>
                <w:color w:val="000000"/>
                <w:sz w:val="16"/>
                <w:szCs w:val="16"/>
              </w:rPr>
            </w:pPr>
            <w:r w:rsidRPr="00EE5807">
              <w:rPr>
                <w:rFonts w:ascii="Calibri" w:hAnsi="Calibri"/>
                <w:color w:val="000000"/>
                <w:sz w:val="16"/>
                <w:szCs w:val="16"/>
              </w:rPr>
              <w:t> </w:t>
            </w:r>
          </w:p>
        </w:tc>
        <w:tc>
          <w:tcPr>
            <w:tcW w:w="0" w:type="auto"/>
            <w:tcBorders>
              <w:top w:val="nil"/>
              <w:left w:val="nil"/>
              <w:bottom w:val="nil"/>
              <w:right w:val="single" w:sz="4" w:space="0" w:color="auto"/>
            </w:tcBorders>
            <w:shd w:val="clear" w:color="auto" w:fill="FFFFFF" w:themeFill="background1"/>
            <w:noWrap/>
            <w:vAlign w:val="bottom"/>
            <w:hideMark/>
          </w:tcPr>
          <w:p w:rsidR="00F34468" w:rsidRPr="00EE5807" w:rsidRDefault="00F34468" w:rsidP="00B24FF2">
            <w:pPr>
              <w:rPr>
                <w:rFonts w:ascii="Calibri" w:hAnsi="Calibri"/>
                <w:color w:val="000000"/>
                <w:sz w:val="16"/>
                <w:szCs w:val="16"/>
              </w:rPr>
            </w:pPr>
            <w:r w:rsidRPr="00EE5807">
              <w:rPr>
                <w:rFonts w:ascii="Calibri" w:hAnsi="Calibri"/>
                <w:color w:val="000000"/>
                <w:sz w:val="16"/>
                <w:szCs w:val="16"/>
              </w:rPr>
              <w:t> </w:t>
            </w:r>
          </w:p>
        </w:tc>
        <w:tc>
          <w:tcPr>
            <w:tcW w:w="0" w:type="auto"/>
            <w:tcBorders>
              <w:top w:val="nil"/>
              <w:left w:val="nil"/>
              <w:bottom w:val="nil"/>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color w:val="000000"/>
                <w:sz w:val="16"/>
                <w:szCs w:val="16"/>
              </w:rPr>
            </w:pPr>
            <w:r w:rsidRPr="00EE5807">
              <w:rPr>
                <w:rFonts w:ascii="Calibri" w:hAnsi="Calibri"/>
                <w:color w:val="000000"/>
                <w:sz w:val="16"/>
                <w:szCs w:val="16"/>
              </w:rPr>
              <w:t>2,085</w:t>
            </w:r>
          </w:p>
        </w:tc>
        <w:tc>
          <w:tcPr>
            <w:tcW w:w="0" w:type="auto"/>
            <w:tcBorders>
              <w:top w:val="nil"/>
              <w:left w:val="single" w:sz="8" w:space="0" w:color="auto"/>
              <w:bottom w:val="nil"/>
              <w:right w:val="single" w:sz="8" w:space="0" w:color="auto"/>
            </w:tcBorders>
            <w:shd w:val="clear" w:color="auto" w:fill="D9D9D9" w:themeFill="background1" w:themeFillShade="D9"/>
            <w:noWrap/>
            <w:vAlign w:val="bottom"/>
            <w:hideMark/>
          </w:tcPr>
          <w:p w:rsidR="00F34468" w:rsidRPr="00EE5807" w:rsidRDefault="00F34468" w:rsidP="00B24FF2">
            <w:pPr>
              <w:jc w:val="right"/>
              <w:rPr>
                <w:rFonts w:ascii="Calibri" w:hAnsi="Calibri"/>
                <w:color w:val="000000"/>
                <w:sz w:val="16"/>
                <w:szCs w:val="16"/>
              </w:rPr>
            </w:pPr>
            <w:r w:rsidRPr="00EE5807">
              <w:rPr>
                <w:rFonts w:ascii="Calibri" w:hAnsi="Calibri"/>
                <w:color w:val="000000"/>
                <w:sz w:val="16"/>
                <w:szCs w:val="16"/>
              </w:rPr>
              <w:t>1,989</w:t>
            </w:r>
          </w:p>
        </w:tc>
        <w:tc>
          <w:tcPr>
            <w:tcW w:w="0" w:type="auto"/>
            <w:tcBorders>
              <w:top w:val="nil"/>
              <w:left w:val="nil"/>
              <w:bottom w:val="nil"/>
              <w:right w:val="single" w:sz="8" w:space="0" w:color="auto"/>
            </w:tcBorders>
            <w:shd w:val="clear" w:color="auto" w:fill="D9D9D9" w:themeFill="background1" w:themeFillShade="D9"/>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(4,008)</w:t>
            </w:r>
          </w:p>
        </w:tc>
        <w:tc>
          <w:tcPr>
            <w:tcW w:w="0" w:type="auto"/>
            <w:tcBorders>
              <w:top w:val="nil"/>
              <w:left w:val="nil"/>
              <w:bottom w:val="nil"/>
              <w:right w:val="single" w:sz="8" w:space="0" w:color="auto"/>
            </w:tcBorders>
            <w:shd w:val="clear" w:color="auto" w:fill="A6A6A6" w:themeFill="background1" w:themeFillShade="A6"/>
            <w:noWrap/>
            <w:vAlign w:val="bottom"/>
            <w:hideMark/>
          </w:tcPr>
          <w:p w:rsidR="00F34468" w:rsidRPr="00EE5807" w:rsidRDefault="00F34468" w:rsidP="00B24FF2">
            <w:pPr>
              <w:jc w:val="right"/>
              <w:rPr>
                <w:rFonts w:ascii="Calibri" w:hAnsi="Calibri"/>
                <w:color w:val="000000"/>
                <w:sz w:val="16"/>
                <w:szCs w:val="16"/>
              </w:rPr>
            </w:pPr>
            <w:r w:rsidRPr="00EE5807">
              <w:rPr>
                <w:rFonts w:ascii="Calibri" w:hAnsi="Calibri"/>
                <w:color w:val="000000"/>
                <w:sz w:val="16"/>
                <w:szCs w:val="16"/>
              </w:rPr>
              <w:t>(2,019)</w:t>
            </w:r>
          </w:p>
        </w:tc>
      </w:tr>
      <w:tr w:rsidR="009570E9" w:rsidRPr="00B24FF2" w:rsidTr="009570E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34468" w:rsidRPr="00EE5807" w:rsidRDefault="00DE7930" w:rsidP="00B24FF2">
            <w:pPr>
              <w:rPr>
                <w:rFonts w:ascii="Calibri" w:hAnsi="Calibri"/>
                <w:b/>
                <w:bCs/>
                <w:color w:val="000000"/>
                <w:sz w:val="16"/>
                <w:szCs w:val="16"/>
              </w:rPr>
            </w:pPr>
            <w:r>
              <w:rPr>
                <w:rFonts w:ascii="Calibri" w:hAnsi="Calibri"/>
                <w:b/>
                <w:bCs/>
                <w:color w:val="000000"/>
                <w:sz w:val="16"/>
                <w:szCs w:val="16"/>
              </w:rPr>
              <w:t>(</w:t>
            </w:r>
            <w:r w:rsidR="00F34468" w:rsidRPr="00EE5807">
              <w:rPr>
                <w:rFonts w:ascii="Calibri" w:hAnsi="Calibri"/>
                <w:b/>
                <w:bCs/>
                <w:color w:val="000000"/>
                <w:sz w:val="16"/>
                <w:szCs w:val="16"/>
              </w:rPr>
              <w:t>Increase</w:t>
            </w:r>
            <w:r>
              <w:rPr>
                <w:rFonts w:ascii="Calibri" w:hAnsi="Calibri"/>
                <w:b/>
                <w:bCs/>
                <w:color w:val="000000"/>
                <w:sz w:val="16"/>
                <w:szCs w:val="16"/>
              </w:rPr>
              <w:t>)</w:t>
            </w:r>
            <w:r w:rsidR="00F34468" w:rsidRPr="00EE5807">
              <w:rPr>
                <w:rFonts w:ascii="Calibri" w:hAnsi="Calibri"/>
                <w:b/>
                <w:bCs/>
                <w:color w:val="000000"/>
                <w:sz w:val="16"/>
                <w:szCs w:val="16"/>
              </w:rPr>
              <w:t>/Decrease in Year</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5,456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(54,136)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786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(1,312)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1,222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(62,633)</w:t>
            </w:r>
          </w:p>
        </w:tc>
        <w:tc>
          <w:tcPr>
            <w:tcW w:w="0" w:type="auto"/>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(110,617)</w:t>
            </w:r>
          </w:p>
        </w:tc>
        <w:tc>
          <w:tcPr>
            <w:tcW w:w="0" w:type="auto"/>
            <w:tcBorders>
              <w:top w:val="single" w:sz="4" w:space="0" w:color="auto"/>
              <w:left w:val="nil"/>
              <w:bottom w:val="single" w:sz="4" w:space="0" w:color="auto"/>
              <w:right w:val="single" w:sz="8" w:space="0" w:color="auto"/>
            </w:tcBorders>
            <w:shd w:val="clear" w:color="auto" w:fill="D9D9D9" w:themeFill="background1" w:themeFillShade="D9"/>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203,990</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93,372</w:t>
            </w:r>
          </w:p>
        </w:tc>
      </w:tr>
      <w:tr w:rsidR="009570E9" w:rsidRPr="00B24FF2" w:rsidTr="009570E9">
        <w:trPr>
          <w:trHeight w:val="315"/>
        </w:trPr>
        <w:tc>
          <w:tcPr>
            <w:tcW w:w="0" w:type="auto"/>
            <w:tcBorders>
              <w:top w:val="nil"/>
              <w:left w:val="single" w:sz="4" w:space="0" w:color="auto"/>
              <w:bottom w:val="nil"/>
              <w:right w:val="single" w:sz="4" w:space="0" w:color="auto"/>
            </w:tcBorders>
            <w:shd w:val="clear" w:color="auto" w:fill="FFFFFF" w:themeFill="background1"/>
            <w:vAlign w:val="bottom"/>
            <w:hideMark/>
          </w:tcPr>
          <w:p w:rsidR="00F34468" w:rsidRPr="00EE5807" w:rsidRDefault="00F34468" w:rsidP="00B24FF2">
            <w:pPr>
              <w:rPr>
                <w:rFonts w:ascii="Calibri" w:hAnsi="Calibri"/>
                <w:b/>
                <w:bCs/>
                <w:color w:val="000000"/>
                <w:sz w:val="16"/>
                <w:szCs w:val="16"/>
              </w:rPr>
            </w:pPr>
            <w:r w:rsidRPr="00EE5807">
              <w:rPr>
                <w:rFonts w:ascii="Calibri" w:hAnsi="Calibri"/>
                <w:b/>
                <w:bCs/>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34468" w:rsidRPr="00EE5807" w:rsidRDefault="00F34468" w:rsidP="00B24FF2">
            <w:pPr>
              <w:rPr>
                <w:rFonts w:ascii="Calibri" w:hAnsi="Calibri"/>
                <w:color w:val="000000"/>
                <w:sz w:val="16"/>
                <w:szCs w:val="16"/>
              </w:rPr>
            </w:pPr>
            <w:r w:rsidRPr="00EE5807">
              <w:rPr>
                <w:rFonts w:ascii="Calibri" w:hAnsi="Calibri"/>
                <w:color w:val="000000"/>
                <w:sz w:val="16"/>
                <w:szCs w:val="16"/>
              </w:rPr>
              <w:t> </w:t>
            </w:r>
          </w:p>
        </w:tc>
        <w:tc>
          <w:tcPr>
            <w:tcW w:w="0" w:type="auto"/>
            <w:tcBorders>
              <w:top w:val="nil"/>
              <w:left w:val="nil"/>
              <w:bottom w:val="nil"/>
              <w:right w:val="single" w:sz="4" w:space="0" w:color="auto"/>
            </w:tcBorders>
            <w:shd w:val="clear" w:color="auto" w:fill="FFFFFF" w:themeFill="background1"/>
            <w:noWrap/>
            <w:vAlign w:val="bottom"/>
            <w:hideMark/>
          </w:tcPr>
          <w:p w:rsidR="00F34468" w:rsidRPr="00EE5807" w:rsidRDefault="00F34468" w:rsidP="00B24FF2">
            <w:pPr>
              <w:rPr>
                <w:rFonts w:ascii="Calibri" w:hAnsi="Calibri"/>
                <w:color w:val="000000"/>
                <w:sz w:val="16"/>
                <w:szCs w:val="16"/>
              </w:rPr>
            </w:pPr>
            <w:r w:rsidRPr="00EE5807">
              <w:rPr>
                <w:rFonts w:ascii="Calibri" w:hAnsi="Calibri"/>
                <w:color w:val="000000"/>
                <w:sz w:val="16"/>
                <w:szCs w:val="16"/>
              </w:rPr>
              <w:t> </w:t>
            </w:r>
          </w:p>
        </w:tc>
        <w:tc>
          <w:tcPr>
            <w:tcW w:w="0" w:type="auto"/>
            <w:tcBorders>
              <w:top w:val="nil"/>
              <w:left w:val="nil"/>
              <w:bottom w:val="nil"/>
              <w:right w:val="single" w:sz="4" w:space="0" w:color="auto"/>
            </w:tcBorders>
            <w:shd w:val="clear" w:color="auto" w:fill="FFFFFF" w:themeFill="background1"/>
            <w:noWrap/>
            <w:vAlign w:val="bottom"/>
            <w:hideMark/>
          </w:tcPr>
          <w:p w:rsidR="00F34468" w:rsidRPr="00EE5807" w:rsidRDefault="00F34468" w:rsidP="00B24FF2">
            <w:pPr>
              <w:rPr>
                <w:rFonts w:ascii="Calibri" w:hAnsi="Calibri"/>
                <w:color w:val="000000"/>
                <w:sz w:val="16"/>
                <w:szCs w:val="16"/>
              </w:rPr>
            </w:pPr>
            <w:r w:rsidRPr="00EE5807">
              <w:rPr>
                <w:rFonts w:ascii="Calibri" w:hAnsi="Calibri"/>
                <w:color w:val="000000"/>
                <w:sz w:val="16"/>
                <w:szCs w:val="16"/>
              </w:rPr>
              <w:t> </w:t>
            </w:r>
          </w:p>
        </w:tc>
        <w:tc>
          <w:tcPr>
            <w:tcW w:w="0" w:type="auto"/>
            <w:tcBorders>
              <w:top w:val="nil"/>
              <w:left w:val="nil"/>
              <w:bottom w:val="nil"/>
              <w:right w:val="single" w:sz="4" w:space="0" w:color="auto"/>
            </w:tcBorders>
            <w:shd w:val="clear" w:color="auto" w:fill="FFFFFF" w:themeFill="background1"/>
            <w:noWrap/>
            <w:vAlign w:val="bottom"/>
            <w:hideMark/>
          </w:tcPr>
          <w:p w:rsidR="00F34468" w:rsidRPr="00EE5807" w:rsidRDefault="00F34468" w:rsidP="00B24FF2">
            <w:pPr>
              <w:rPr>
                <w:rFonts w:ascii="Calibri" w:hAnsi="Calibri"/>
                <w:color w:val="000000"/>
                <w:sz w:val="16"/>
                <w:szCs w:val="16"/>
              </w:rPr>
            </w:pPr>
            <w:r w:rsidRPr="00EE5807">
              <w:rPr>
                <w:rFonts w:ascii="Calibri" w:hAnsi="Calibri"/>
                <w:color w:val="000000"/>
                <w:sz w:val="16"/>
                <w:szCs w:val="16"/>
              </w:rPr>
              <w:t> </w:t>
            </w:r>
          </w:p>
        </w:tc>
        <w:tc>
          <w:tcPr>
            <w:tcW w:w="0" w:type="auto"/>
            <w:tcBorders>
              <w:top w:val="nil"/>
              <w:left w:val="nil"/>
              <w:bottom w:val="nil"/>
              <w:right w:val="nil"/>
            </w:tcBorders>
            <w:shd w:val="clear" w:color="auto" w:fill="FFFFFF" w:themeFill="background1"/>
            <w:noWrap/>
            <w:vAlign w:val="bottom"/>
            <w:hideMark/>
          </w:tcPr>
          <w:p w:rsidR="00F34468" w:rsidRPr="00EE5807" w:rsidRDefault="00F34468" w:rsidP="00B24FF2">
            <w:pPr>
              <w:rPr>
                <w:rFonts w:ascii="Calibri" w:hAnsi="Calibri"/>
                <w:color w:val="000000"/>
                <w:sz w:val="16"/>
                <w:szCs w:val="16"/>
              </w:rPr>
            </w:pPr>
            <w:r w:rsidRPr="00EE5807">
              <w:rPr>
                <w:rFonts w:ascii="Calibri" w:hAnsi="Calibri"/>
                <w:color w:val="000000"/>
                <w:sz w:val="16"/>
                <w:szCs w:val="16"/>
              </w:rPr>
              <w:t> </w:t>
            </w:r>
          </w:p>
        </w:tc>
        <w:tc>
          <w:tcPr>
            <w:tcW w:w="0" w:type="auto"/>
            <w:tcBorders>
              <w:top w:val="nil"/>
              <w:left w:val="single" w:sz="4" w:space="0" w:color="auto"/>
              <w:bottom w:val="nil"/>
              <w:right w:val="nil"/>
            </w:tcBorders>
            <w:shd w:val="clear" w:color="auto" w:fill="FFFFFF" w:themeFill="background1"/>
            <w:noWrap/>
            <w:vAlign w:val="bottom"/>
            <w:hideMark/>
          </w:tcPr>
          <w:p w:rsidR="00F34468" w:rsidRPr="00EE5807" w:rsidRDefault="00F34468" w:rsidP="00B24FF2">
            <w:pPr>
              <w:rPr>
                <w:rFonts w:ascii="Calibri" w:hAnsi="Calibri"/>
                <w:color w:val="000000"/>
                <w:sz w:val="16"/>
                <w:szCs w:val="16"/>
              </w:rPr>
            </w:pPr>
            <w:r w:rsidRPr="00EE5807">
              <w:rPr>
                <w:rFonts w:ascii="Calibri" w:hAnsi="Calibri"/>
                <w:color w:val="000000"/>
                <w:sz w:val="16"/>
                <w:szCs w:val="16"/>
              </w:rPr>
              <w:t> </w:t>
            </w:r>
          </w:p>
        </w:tc>
        <w:tc>
          <w:tcPr>
            <w:tcW w:w="0" w:type="auto"/>
            <w:tcBorders>
              <w:top w:val="nil"/>
              <w:left w:val="single" w:sz="8" w:space="0" w:color="auto"/>
              <w:bottom w:val="nil"/>
              <w:right w:val="single" w:sz="8" w:space="0" w:color="auto"/>
            </w:tcBorders>
            <w:shd w:val="clear" w:color="auto" w:fill="D9D9D9" w:themeFill="background1" w:themeFillShade="D9"/>
            <w:noWrap/>
            <w:vAlign w:val="bottom"/>
            <w:hideMark/>
          </w:tcPr>
          <w:p w:rsidR="00F34468" w:rsidRPr="00EE5807" w:rsidRDefault="00F34468" w:rsidP="00B24FF2">
            <w:pPr>
              <w:rPr>
                <w:rFonts w:ascii="Calibri" w:hAnsi="Calibri"/>
                <w:color w:val="000000"/>
                <w:sz w:val="16"/>
                <w:szCs w:val="16"/>
              </w:rPr>
            </w:pPr>
            <w:r w:rsidRPr="00EE5807">
              <w:rPr>
                <w:rFonts w:ascii="Calibri" w:hAnsi="Calibri"/>
                <w:color w:val="000000"/>
                <w:sz w:val="16"/>
                <w:szCs w:val="16"/>
              </w:rPr>
              <w:t> </w:t>
            </w:r>
          </w:p>
        </w:tc>
        <w:tc>
          <w:tcPr>
            <w:tcW w:w="0" w:type="auto"/>
            <w:tcBorders>
              <w:top w:val="nil"/>
              <w:left w:val="nil"/>
              <w:bottom w:val="nil"/>
              <w:right w:val="single" w:sz="8" w:space="0" w:color="auto"/>
            </w:tcBorders>
            <w:shd w:val="clear" w:color="auto" w:fill="D9D9D9" w:themeFill="background1" w:themeFillShade="D9"/>
            <w:noWrap/>
            <w:vAlign w:val="bottom"/>
            <w:hideMark/>
          </w:tcPr>
          <w:p w:rsidR="00F34468" w:rsidRPr="00EE5807" w:rsidRDefault="00F34468" w:rsidP="00B24FF2">
            <w:pPr>
              <w:rPr>
                <w:rFonts w:ascii="Calibri" w:hAnsi="Calibri"/>
                <w:color w:val="000000"/>
                <w:sz w:val="16"/>
                <w:szCs w:val="16"/>
              </w:rPr>
            </w:pPr>
            <w:r w:rsidRPr="00EE5807">
              <w:rPr>
                <w:rFonts w:ascii="Calibri" w:hAnsi="Calibri"/>
                <w:color w:val="000000"/>
                <w:sz w:val="16"/>
                <w:szCs w:val="16"/>
              </w:rPr>
              <w:t> </w:t>
            </w:r>
          </w:p>
        </w:tc>
        <w:tc>
          <w:tcPr>
            <w:tcW w:w="0" w:type="auto"/>
            <w:tcBorders>
              <w:top w:val="nil"/>
              <w:left w:val="nil"/>
              <w:bottom w:val="nil"/>
              <w:right w:val="single" w:sz="8" w:space="0" w:color="auto"/>
            </w:tcBorders>
            <w:shd w:val="clear" w:color="auto" w:fill="A6A6A6" w:themeFill="background1" w:themeFillShade="A6"/>
            <w:noWrap/>
            <w:vAlign w:val="bottom"/>
            <w:hideMark/>
          </w:tcPr>
          <w:p w:rsidR="00F34468" w:rsidRPr="00EE5807" w:rsidRDefault="00F34468" w:rsidP="00B24FF2">
            <w:pPr>
              <w:rPr>
                <w:rFonts w:ascii="Calibri" w:hAnsi="Calibri"/>
                <w:color w:val="000000"/>
                <w:sz w:val="16"/>
                <w:szCs w:val="16"/>
              </w:rPr>
            </w:pPr>
            <w:r w:rsidRPr="00EE5807">
              <w:rPr>
                <w:rFonts w:ascii="Calibri" w:hAnsi="Calibri"/>
                <w:color w:val="000000"/>
                <w:sz w:val="16"/>
                <w:szCs w:val="16"/>
              </w:rPr>
              <w:t> </w:t>
            </w:r>
          </w:p>
        </w:tc>
      </w:tr>
      <w:tr w:rsidR="009570E9" w:rsidRPr="00B24FF2" w:rsidTr="009570E9">
        <w:trPr>
          <w:trHeight w:val="60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34468" w:rsidRPr="00EE5807" w:rsidRDefault="00F34468" w:rsidP="00B24FF2">
            <w:pPr>
              <w:rPr>
                <w:rFonts w:ascii="Calibri" w:hAnsi="Calibri"/>
                <w:b/>
                <w:bCs/>
                <w:color w:val="000000"/>
                <w:sz w:val="16"/>
                <w:szCs w:val="16"/>
              </w:rPr>
            </w:pPr>
            <w:r w:rsidRPr="00EE5807">
              <w:rPr>
                <w:rFonts w:ascii="Calibri" w:hAnsi="Calibri"/>
                <w:b/>
                <w:bCs/>
                <w:color w:val="000000"/>
                <w:sz w:val="16"/>
                <w:szCs w:val="16"/>
              </w:rPr>
              <w:t>Balance at 31st March 2012 Carried Forward</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(36,470)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(239,951)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(2,930)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(13,104)</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(22,922)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(121,295)</w:t>
            </w:r>
          </w:p>
        </w:tc>
        <w:tc>
          <w:tcPr>
            <w:tcW w:w="0" w:type="auto"/>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(436,671)</w:t>
            </w:r>
          </w:p>
        </w:tc>
        <w:tc>
          <w:tcPr>
            <w:tcW w:w="0" w:type="auto"/>
            <w:tcBorders>
              <w:top w:val="single" w:sz="4" w:space="0" w:color="auto"/>
              <w:left w:val="nil"/>
              <w:bottom w:val="single" w:sz="4" w:space="0" w:color="auto"/>
              <w:right w:val="single" w:sz="8" w:space="0" w:color="auto"/>
            </w:tcBorders>
            <w:shd w:val="clear" w:color="auto" w:fill="D9D9D9" w:themeFill="background1" w:themeFillShade="D9"/>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(592,810)</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F34468" w:rsidRPr="00EE5807" w:rsidRDefault="00F34468" w:rsidP="00B24FF2">
            <w:pPr>
              <w:jc w:val="right"/>
              <w:rPr>
                <w:rFonts w:ascii="Calibri" w:hAnsi="Calibri"/>
                <w:b/>
                <w:bCs/>
                <w:color w:val="000000"/>
                <w:sz w:val="16"/>
                <w:szCs w:val="16"/>
              </w:rPr>
            </w:pPr>
            <w:r w:rsidRPr="00EE5807">
              <w:rPr>
                <w:rFonts w:ascii="Calibri" w:hAnsi="Calibri"/>
                <w:b/>
                <w:bCs/>
                <w:color w:val="000000"/>
                <w:sz w:val="16"/>
                <w:szCs w:val="16"/>
              </w:rPr>
              <w:t>(1,029,481)</w:t>
            </w:r>
          </w:p>
        </w:tc>
      </w:tr>
    </w:tbl>
    <w:p w:rsidR="00BC63A8" w:rsidRDefault="00BC63A8" w:rsidP="001B7A50">
      <w:pPr>
        <w:spacing w:after="240"/>
        <w:jc w:val="both"/>
        <w:rPr>
          <w:b/>
          <w:highlight w:val="yellow"/>
        </w:rPr>
      </w:pPr>
    </w:p>
    <w:p w:rsidR="00D06C0B" w:rsidRDefault="00D06C0B" w:rsidP="001B7A50">
      <w:pPr>
        <w:spacing w:after="240"/>
        <w:jc w:val="both"/>
        <w:rPr>
          <w:b/>
          <w:highlight w:val="yellow"/>
        </w:rPr>
      </w:pPr>
    </w:p>
    <w:p w:rsidR="00D06C0B" w:rsidRDefault="00D06C0B" w:rsidP="001B7A50">
      <w:pPr>
        <w:spacing w:after="240"/>
        <w:jc w:val="both"/>
        <w:rPr>
          <w:b/>
          <w:highlight w:val="yellow"/>
        </w:rPr>
      </w:pPr>
    </w:p>
    <w:p w:rsidR="00D06C0B" w:rsidRPr="00BC63A8" w:rsidRDefault="00D06C0B" w:rsidP="00D06C0B">
      <w:pPr>
        <w:spacing w:after="240"/>
        <w:jc w:val="both"/>
        <w:rPr>
          <w:b/>
          <w:u w:val="single"/>
        </w:rPr>
      </w:pPr>
      <w:r w:rsidRPr="00BC63A8">
        <w:rPr>
          <w:b/>
          <w:u w:val="single"/>
        </w:rPr>
        <w:t>2010/11 Comparative Year</w:t>
      </w:r>
    </w:p>
    <w:tbl>
      <w:tblPr>
        <w:tblW w:w="15680" w:type="dxa"/>
        <w:tblInd w:w="108" w:type="dxa"/>
        <w:shd w:val="clear" w:color="auto" w:fill="FFFFFF" w:themeFill="background1"/>
        <w:tblLook w:val="04A0"/>
      </w:tblPr>
      <w:tblGrid>
        <w:gridCol w:w="3280"/>
        <w:gridCol w:w="1480"/>
        <w:gridCol w:w="1460"/>
        <w:gridCol w:w="1320"/>
        <w:gridCol w:w="1420"/>
        <w:gridCol w:w="1460"/>
        <w:gridCol w:w="1360"/>
        <w:gridCol w:w="1360"/>
        <w:gridCol w:w="1300"/>
        <w:gridCol w:w="1240"/>
      </w:tblGrid>
      <w:tr w:rsidR="00D06C0B" w:rsidRPr="00B24FF2" w:rsidTr="009570E9">
        <w:trPr>
          <w:trHeight w:val="773"/>
        </w:trPr>
        <w:tc>
          <w:tcPr>
            <w:tcW w:w="3280" w:type="dxa"/>
            <w:tcBorders>
              <w:top w:val="nil"/>
              <w:left w:val="nil"/>
              <w:bottom w:val="nil"/>
              <w:right w:val="nil"/>
            </w:tcBorders>
            <w:shd w:val="clear" w:color="auto" w:fill="FFFFFF" w:themeFill="background1"/>
            <w:vAlign w:val="bottom"/>
            <w:hideMark/>
          </w:tcPr>
          <w:p w:rsidR="00D06C0B" w:rsidRPr="00EE5807" w:rsidRDefault="00D06C0B" w:rsidP="007A18E4">
            <w:pPr>
              <w:rPr>
                <w:rFonts w:ascii="Calibri" w:hAnsi="Calibri"/>
                <w:color w:val="000000"/>
                <w:sz w:val="16"/>
                <w:szCs w:val="16"/>
              </w:rPr>
            </w:pPr>
          </w:p>
        </w:tc>
        <w:tc>
          <w:tcPr>
            <w:tcW w:w="1480" w:type="dxa"/>
            <w:tcBorders>
              <w:top w:val="single" w:sz="4" w:space="0" w:color="auto"/>
              <w:left w:val="single" w:sz="4" w:space="0" w:color="auto"/>
              <w:bottom w:val="nil"/>
              <w:right w:val="single" w:sz="4" w:space="0" w:color="auto"/>
            </w:tcBorders>
            <w:shd w:val="clear" w:color="auto" w:fill="FFFFFF" w:themeFill="background1"/>
            <w:vAlign w:val="center"/>
            <w:hideMark/>
          </w:tcPr>
          <w:p w:rsidR="00D06C0B" w:rsidRPr="00EE5807" w:rsidRDefault="00D06C0B" w:rsidP="007A18E4">
            <w:pPr>
              <w:jc w:val="center"/>
              <w:rPr>
                <w:rFonts w:ascii="Calibri" w:hAnsi="Calibri"/>
                <w:b/>
                <w:bCs/>
                <w:color w:val="000000"/>
                <w:sz w:val="16"/>
                <w:szCs w:val="16"/>
              </w:rPr>
            </w:pPr>
            <w:r w:rsidRPr="00EE5807">
              <w:rPr>
                <w:rFonts w:ascii="Calibri" w:hAnsi="Calibri"/>
                <w:b/>
                <w:bCs/>
                <w:color w:val="000000"/>
                <w:sz w:val="16"/>
                <w:szCs w:val="16"/>
              </w:rPr>
              <w:t>County Fund</w:t>
            </w:r>
          </w:p>
        </w:tc>
        <w:tc>
          <w:tcPr>
            <w:tcW w:w="1460" w:type="dxa"/>
            <w:tcBorders>
              <w:top w:val="single" w:sz="4" w:space="0" w:color="auto"/>
              <w:left w:val="nil"/>
              <w:bottom w:val="nil"/>
              <w:right w:val="single" w:sz="4" w:space="0" w:color="auto"/>
            </w:tcBorders>
            <w:shd w:val="clear" w:color="auto" w:fill="FFFFFF" w:themeFill="background1"/>
            <w:vAlign w:val="center"/>
            <w:hideMark/>
          </w:tcPr>
          <w:p w:rsidR="00D06C0B" w:rsidRPr="00EE5807" w:rsidRDefault="00D06C0B" w:rsidP="007A18E4">
            <w:pPr>
              <w:jc w:val="center"/>
              <w:rPr>
                <w:rFonts w:ascii="Calibri" w:hAnsi="Calibri"/>
                <w:b/>
                <w:bCs/>
                <w:color w:val="000000"/>
                <w:sz w:val="16"/>
                <w:szCs w:val="16"/>
              </w:rPr>
            </w:pPr>
            <w:r w:rsidRPr="00EE5807">
              <w:rPr>
                <w:rFonts w:ascii="Calibri" w:hAnsi="Calibri"/>
                <w:b/>
                <w:bCs/>
                <w:color w:val="000000"/>
                <w:sz w:val="16"/>
                <w:szCs w:val="16"/>
              </w:rPr>
              <w:t>Earmarked Revenue Reserves</w:t>
            </w:r>
          </w:p>
        </w:tc>
        <w:tc>
          <w:tcPr>
            <w:tcW w:w="1320" w:type="dxa"/>
            <w:tcBorders>
              <w:top w:val="single" w:sz="4" w:space="0" w:color="auto"/>
              <w:left w:val="nil"/>
              <w:bottom w:val="nil"/>
              <w:right w:val="single" w:sz="4" w:space="0" w:color="auto"/>
            </w:tcBorders>
            <w:shd w:val="clear" w:color="auto" w:fill="FFFFFF" w:themeFill="background1"/>
            <w:vAlign w:val="center"/>
            <w:hideMark/>
          </w:tcPr>
          <w:p w:rsidR="00D06C0B" w:rsidRPr="00EE5807" w:rsidRDefault="00D06C0B" w:rsidP="00C11E89">
            <w:pPr>
              <w:jc w:val="center"/>
              <w:rPr>
                <w:rFonts w:ascii="Calibri" w:hAnsi="Calibri"/>
                <w:b/>
                <w:bCs/>
                <w:color w:val="000000"/>
                <w:sz w:val="16"/>
                <w:szCs w:val="16"/>
              </w:rPr>
            </w:pPr>
            <w:r w:rsidRPr="00EE5807">
              <w:rPr>
                <w:rFonts w:ascii="Calibri" w:hAnsi="Calibri"/>
                <w:b/>
                <w:bCs/>
                <w:color w:val="000000"/>
                <w:sz w:val="16"/>
                <w:szCs w:val="16"/>
              </w:rPr>
              <w:t>Trading Reserve</w:t>
            </w:r>
            <w:r>
              <w:rPr>
                <w:rFonts w:ascii="Calibri" w:hAnsi="Calibri"/>
                <w:b/>
                <w:bCs/>
                <w:color w:val="000000"/>
                <w:sz w:val="16"/>
                <w:szCs w:val="16"/>
              </w:rPr>
              <w:t xml:space="preserve"> </w:t>
            </w:r>
          </w:p>
        </w:tc>
        <w:tc>
          <w:tcPr>
            <w:tcW w:w="1420" w:type="dxa"/>
            <w:tcBorders>
              <w:top w:val="single" w:sz="4" w:space="0" w:color="auto"/>
              <w:left w:val="nil"/>
              <w:bottom w:val="nil"/>
              <w:right w:val="single" w:sz="4" w:space="0" w:color="auto"/>
            </w:tcBorders>
            <w:shd w:val="clear" w:color="auto" w:fill="FFFFFF" w:themeFill="background1"/>
            <w:vAlign w:val="center"/>
            <w:hideMark/>
          </w:tcPr>
          <w:p w:rsidR="00D06C0B" w:rsidRPr="00EE5807" w:rsidRDefault="00D06C0B" w:rsidP="007A18E4">
            <w:pPr>
              <w:jc w:val="center"/>
              <w:rPr>
                <w:rFonts w:ascii="Calibri" w:hAnsi="Calibri"/>
                <w:b/>
                <w:bCs/>
                <w:color w:val="000000"/>
                <w:sz w:val="16"/>
                <w:szCs w:val="16"/>
              </w:rPr>
            </w:pPr>
            <w:r w:rsidRPr="00EE5807">
              <w:rPr>
                <w:rFonts w:ascii="Calibri" w:hAnsi="Calibri"/>
                <w:b/>
                <w:bCs/>
                <w:color w:val="000000"/>
                <w:sz w:val="16"/>
                <w:szCs w:val="16"/>
              </w:rPr>
              <w:t xml:space="preserve">Capital Funding Reserves </w:t>
            </w:r>
          </w:p>
        </w:tc>
        <w:tc>
          <w:tcPr>
            <w:tcW w:w="1460" w:type="dxa"/>
            <w:tcBorders>
              <w:top w:val="single" w:sz="4" w:space="0" w:color="auto"/>
              <w:left w:val="nil"/>
              <w:bottom w:val="nil"/>
              <w:right w:val="single" w:sz="4" w:space="0" w:color="auto"/>
            </w:tcBorders>
            <w:shd w:val="clear" w:color="auto" w:fill="FFFFFF" w:themeFill="background1"/>
            <w:vAlign w:val="center"/>
            <w:hideMark/>
          </w:tcPr>
          <w:p w:rsidR="00D06C0B" w:rsidRPr="00EE5807" w:rsidRDefault="00D06C0B" w:rsidP="007A18E4">
            <w:pPr>
              <w:jc w:val="center"/>
              <w:rPr>
                <w:rFonts w:ascii="Calibri" w:hAnsi="Calibri"/>
                <w:b/>
                <w:bCs/>
                <w:color w:val="000000"/>
                <w:sz w:val="16"/>
                <w:szCs w:val="16"/>
              </w:rPr>
            </w:pPr>
            <w:r>
              <w:rPr>
                <w:rFonts w:ascii="Calibri" w:hAnsi="Calibri"/>
                <w:b/>
                <w:bCs/>
                <w:color w:val="000000"/>
                <w:sz w:val="16"/>
                <w:szCs w:val="16"/>
              </w:rPr>
              <w:t>Us</w:t>
            </w:r>
            <w:r w:rsidRPr="00EE5807">
              <w:rPr>
                <w:rFonts w:ascii="Calibri" w:hAnsi="Calibri"/>
                <w:b/>
                <w:bCs/>
                <w:color w:val="000000"/>
                <w:sz w:val="16"/>
                <w:szCs w:val="16"/>
              </w:rPr>
              <w:t>able Capital Receipts</w:t>
            </w:r>
          </w:p>
        </w:tc>
        <w:tc>
          <w:tcPr>
            <w:tcW w:w="1360" w:type="dxa"/>
            <w:tcBorders>
              <w:top w:val="single" w:sz="4" w:space="0" w:color="auto"/>
              <w:left w:val="nil"/>
              <w:bottom w:val="nil"/>
              <w:right w:val="single" w:sz="4" w:space="0" w:color="auto"/>
            </w:tcBorders>
            <w:shd w:val="clear" w:color="auto" w:fill="FFFFFF" w:themeFill="background1"/>
            <w:vAlign w:val="center"/>
            <w:hideMark/>
          </w:tcPr>
          <w:p w:rsidR="00D06C0B" w:rsidRPr="00EE5807" w:rsidRDefault="00D06C0B" w:rsidP="007A18E4">
            <w:pPr>
              <w:jc w:val="center"/>
              <w:rPr>
                <w:rFonts w:ascii="Calibri" w:hAnsi="Calibri"/>
                <w:b/>
                <w:bCs/>
                <w:color w:val="000000"/>
                <w:sz w:val="16"/>
                <w:szCs w:val="16"/>
              </w:rPr>
            </w:pPr>
            <w:r w:rsidRPr="00EE5807">
              <w:rPr>
                <w:rFonts w:ascii="Calibri" w:hAnsi="Calibri"/>
                <w:b/>
                <w:bCs/>
                <w:color w:val="000000"/>
                <w:sz w:val="16"/>
                <w:szCs w:val="16"/>
              </w:rPr>
              <w:t>Capital Grants Unapplied</w:t>
            </w:r>
          </w:p>
        </w:tc>
        <w:tc>
          <w:tcPr>
            <w:tcW w:w="1360" w:type="dxa"/>
            <w:tcBorders>
              <w:top w:val="single" w:sz="4" w:space="0" w:color="auto"/>
              <w:left w:val="nil"/>
              <w:bottom w:val="nil"/>
              <w:right w:val="single" w:sz="4" w:space="0" w:color="auto"/>
            </w:tcBorders>
            <w:shd w:val="clear" w:color="auto" w:fill="D9D9D9" w:themeFill="background1" w:themeFillShade="D9"/>
            <w:vAlign w:val="center"/>
            <w:hideMark/>
          </w:tcPr>
          <w:p w:rsidR="00D06C0B" w:rsidRPr="00EE5807" w:rsidRDefault="00D06C0B" w:rsidP="007A18E4">
            <w:pPr>
              <w:jc w:val="center"/>
              <w:rPr>
                <w:rFonts w:ascii="Calibri" w:hAnsi="Calibri"/>
                <w:b/>
                <w:bCs/>
                <w:color w:val="000000"/>
                <w:sz w:val="16"/>
                <w:szCs w:val="16"/>
              </w:rPr>
            </w:pPr>
            <w:r w:rsidRPr="00EE5807">
              <w:rPr>
                <w:rFonts w:ascii="Calibri" w:hAnsi="Calibri"/>
                <w:b/>
                <w:bCs/>
                <w:color w:val="000000"/>
                <w:sz w:val="16"/>
                <w:szCs w:val="16"/>
              </w:rPr>
              <w:t>Total Usable Reserves</w:t>
            </w:r>
          </w:p>
        </w:tc>
        <w:tc>
          <w:tcPr>
            <w:tcW w:w="1300" w:type="dxa"/>
            <w:tcBorders>
              <w:top w:val="single" w:sz="4" w:space="0" w:color="auto"/>
              <w:left w:val="nil"/>
              <w:bottom w:val="nil"/>
              <w:right w:val="single" w:sz="4" w:space="0" w:color="auto"/>
            </w:tcBorders>
            <w:shd w:val="clear" w:color="auto" w:fill="D9D9D9" w:themeFill="background1" w:themeFillShade="D9"/>
            <w:vAlign w:val="center"/>
            <w:hideMark/>
          </w:tcPr>
          <w:p w:rsidR="00D06C0B" w:rsidRPr="00EE5807" w:rsidRDefault="00D06C0B" w:rsidP="007A18E4">
            <w:pPr>
              <w:jc w:val="center"/>
              <w:rPr>
                <w:rFonts w:ascii="Calibri" w:hAnsi="Calibri"/>
                <w:b/>
                <w:bCs/>
                <w:color w:val="000000"/>
                <w:sz w:val="16"/>
                <w:szCs w:val="16"/>
              </w:rPr>
            </w:pPr>
            <w:r w:rsidRPr="00EE5807">
              <w:rPr>
                <w:rFonts w:ascii="Calibri" w:hAnsi="Calibri"/>
                <w:b/>
                <w:bCs/>
                <w:color w:val="000000"/>
                <w:sz w:val="16"/>
                <w:szCs w:val="16"/>
              </w:rPr>
              <w:t>Total unusable Reserves</w:t>
            </w:r>
            <w:r w:rsidR="00E5136E">
              <w:rPr>
                <w:rFonts w:ascii="Calibri" w:hAnsi="Calibri"/>
                <w:b/>
                <w:bCs/>
                <w:color w:val="000000"/>
                <w:sz w:val="16"/>
                <w:szCs w:val="16"/>
              </w:rPr>
              <w:t xml:space="preserve"> Restated </w:t>
            </w:r>
            <w:r>
              <w:rPr>
                <w:rFonts w:ascii="Calibri" w:hAnsi="Calibri"/>
                <w:b/>
                <w:bCs/>
                <w:color w:val="000000"/>
                <w:sz w:val="16"/>
                <w:szCs w:val="16"/>
              </w:rPr>
              <w:t xml:space="preserve"> (note 8)</w:t>
            </w:r>
          </w:p>
        </w:tc>
        <w:tc>
          <w:tcPr>
            <w:tcW w:w="1240" w:type="dxa"/>
            <w:tcBorders>
              <w:top w:val="single" w:sz="4" w:space="0" w:color="auto"/>
              <w:left w:val="nil"/>
              <w:bottom w:val="nil"/>
              <w:right w:val="single" w:sz="4" w:space="0" w:color="auto"/>
            </w:tcBorders>
            <w:shd w:val="clear" w:color="auto" w:fill="A6A6A6" w:themeFill="background1" w:themeFillShade="A6"/>
            <w:vAlign w:val="center"/>
            <w:hideMark/>
          </w:tcPr>
          <w:p w:rsidR="00D06C0B" w:rsidRPr="00EE5807" w:rsidRDefault="00D06C0B" w:rsidP="007A18E4">
            <w:pPr>
              <w:jc w:val="center"/>
              <w:rPr>
                <w:rFonts w:ascii="Calibri" w:hAnsi="Calibri"/>
                <w:b/>
                <w:bCs/>
                <w:color w:val="000000"/>
                <w:sz w:val="16"/>
                <w:szCs w:val="16"/>
              </w:rPr>
            </w:pPr>
            <w:r w:rsidRPr="00EE5807">
              <w:rPr>
                <w:rFonts w:ascii="Calibri" w:hAnsi="Calibri"/>
                <w:b/>
                <w:bCs/>
                <w:color w:val="000000"/>
                <w:sz w:val="16"/>
                <w:szCs w:val="16"/>
              </w:rPr>
              <w:t>Total Reserves</w:t>
            </w:r>
          </w:p>
        </w:tc>
      </w:tr>
      <w:tr w:rsidR="00D06C0B" w:rsidRPr="00B24FF2" w:rsidTr="009570E9">
        <w:trPr>
          <w:trHeight w:val="340"/>
        </w:trPr>
        <w:tc>
          <w:tcPr>
            <w:tcW w:w="3280" w:type="dxa"/>
            <w:tcBorders>
              <w:top w:val="nil"/>
              <w:left w:val="nil"/>
              <w:bottom w:val="nil"/>
              <w:right w:val="nil"/>
            </w:tcBorders>
            <w:shd w:val="clear" w:color="auto" w:fill="FFFFFF" w:themeFill="background1"/>
            <w:vAlign w:val="bottom"/>
            <w:hideMark/>
          </w:tcPr>
          <w:p w:rsidR="00D06C0B" w:rsidRPr="00EE5807" w:rsidRDefault="00D06C0B" w:rsidP="007A18E4">
            <w:pPr>
              <w:rPr>
                <w:rFonts w:ascii="Calibri" w:hAnsi="Calibri"/>
                <w:color w:val="000000"/>
                <w:sz w:val="16"/>
                <w:szCs w:val="16"/>
              </w:rPr>
            </w:pPr>
          </w:p>
        </w:tc>
        <w:tc>
          <w:tcPr>
            <w:tcW w:w="1480" w:type="dxa"/>
            <w:tcBorders>
              <w:top w:val="single" w:sz="4" w:space="0" w:color="auto"/>
              <w:left w:val="single" w:sz="4" w:space="0" w:color="auto"/>
              <w:bottom w:val="nil"/>
              <w:right w:val="single" w:sz="4" w:space="0" w:color="auto"/>
            </w:tcBorders>
            <w:shd w:val="clear" w:color="auto" w:fill="FFFFFF" w:themeFill="background1"/>
            <w:vAlign w:val="center"/>
            <w:hideMark/>
          </w:tcPr>
          <w:p w:rsidR="00D06C0B" w:rsidRPr="00EE5807" w:rsidRDefault="00D06C0B" w:rsidP="007A18E4">
            <w:pPr>
              <w:jc w:val="center"/>
              <w:rPr>
                <w:rFonts w:ascii="Calibri" w:hAnsi="Calibri"/>
                <w:b/>
                <w:bCs/>
                <w:color w:val="000000"/>
                <w:sz w:val="16"/>
                <w:szCs w:val="16"/>
              </w:rPr>
            </w:pPr>
            <w:r w:rsidRPr="00EE5807">
              <w:rPr>
                <w:rFonts w:ascii="Calibri" w:hAnsi="Calibri"/>
                <w:b/>
                <w:bCs/>
                <w:color w:val="000000"/>
                <w:sz w:val="16"/>
                <w:szCs w:val="16"/>
              </w:rPr>
              <w:t>£000</w:t>
            </w:r>
          </w:p>
        </w:tc>
        <w:tc>
          <w:tcPr>
            <w:tcW w:w="1460" w:type="dxa"/>
            <w:tcBorders>
              <w:top w:val="single" w:sz="4" w:space="0" w:color="auto"/>
              <w:left w:val="nil"/>
              <w:bottom w:val="nil"/>
              <w:right w:val="single" w:sz="4" w:space="0" w:color="auto"/>
            </w:tcBorders>
            <w:shd w:val="clear" w:color="auto" w:fill="FFFFFF" w:themeFill="background1"/>
            <w:vAlign w:val="center"/>
            <w:hideMark/>
          </w:tcPr>
          <w:p w:rsidR="00D06C0B" w:rsidRPr="00EE5807" w:rsidRDefault="00D06C0B" w:rsidP="007A18E4">
            <w:pPr>
              <w:jc w:val="center"/>
              <w:rPr>
                <w:rFonts w:ascii="Calibri" w:hAnsi="Calibri"/>
                <w:b/>
                <w:bCs/>
                <w:color w:val="000000"/>
                <w:sz w:val="16"/>
                <w:szCs w:val="16"/>
              </w:rPr>
            </w:pPr>
            <w:r w:rsidRPr="00EE5807">
              <w:rPr>
                <w:rFonts w:ascii="Calibri" w:hAnsi="Calibri"/>
                <w:b/>
                <w:bCs/>
                <w:color w:val="000000"/>
                <w:sz w:val="16"/>
                <w:szCs w:val="16"/>
              </w:rPr>
              <w:t>£000</w:t>
            </w:r>
          </w:p>
        </w:tc>
        <w:tc>
          <w:tcPr>
            <w:tcW w:w="1320" w:type="dxa"/>
            <w:tcBorders>
              <w:top w:val="single" w:sz="4" w:space="0" w:color="auto"/>
              <w:left w:val="nil"/>
              <w:bottom w:val="nil"/>
              <w:right w:val="single" w:sz="4" w:space="0" w:color="auto"/>
            </w:tcBorders>
            <w:shd w:val="clear" w:color="auto" w:fill="FFFFFF" w:themeFill="background1"/>
            <w:vAlign w:val="center"/>
            <w:hideMark/>
          </w:tcPr>
          <w:p w:rsidR="00D06C0B" w:rsidRPr="00EE5807" w:rsidRDefault="00D06C0B" w:rsidP="007A18E4">
            <w:pPr>
              <w:jc w:val="center"/>
              <w:rPr>
                <w:rFonts w:ascii="Calibri" w:hAnsi="Calibri"/>
                <w:b/>
                <w:bCs/>
                <w:color w:val="000000"/>
                <w:sz w:val="16"/>
                <w:szCs w:val="16"/>
              </w:rPr>
            </w:pPr>
            <w:r w:rsidRPr="00EE5807">
              <w:rPr>
                <w:rFonts w:ascii="Calibri" w:hAnsi="Calibri"/>
                <w:b/>
                <w:bCs/>
                <w:color w:val="000000"/>
                <w:sz w:val="16"/>
                <w:szCs w:val="16"/>
              </w:rPr>
              <w:t>£000</w:t>
            </w:r>
          </w:p>
        </w:tc>
        <w:tc>
          <w:tcPr>
            <w:tcW w:w="1420" w:type="dxa"/>
            <w:tcBorders>
              <w:top w:val="single" w:sz="4" w:space="0" w:color="auto"/>
              <w:left w:val="nil"/>
              <w:bottom w:val="nil"/>
              <w:right w:val="single" w:sz="4" w:space="0" w:color="auto"/>
            </w:tcBorders>
            <w:shd w:val="clear" w:color="auto" w:fill="FFFFFF" w:themeFill="background1"/>
            <w:vAlign w:val="center"/>
            <w:hideMark/>
          </w:tcPr>
          <w:p w:rsidR="00D06C0B" w:rsidRPr="00EE5807" w:rsidRDefault="00D06C0B" w:rsidP="007A18E4">
            <w:pPr>
              <w:jc w:val="center"/>
              <w:rPr>
                <w:rFonts w:ascii="Calibri" w:hAnsi="Calibri"/>
                <w:b/>
                <w:bCs/>
                <w:color w:val="000000"/>
                <w:sz w:val="16"/>
                <w:szCs w:val="16"/>
              </w:rPr>
            </w:pPr>
            <w:r w:rsidRPr="00EE5807">
              <w:rPr>
                <w:rFonts w:ascii="Calibri" w:hAnsi="Calibri"/>
                <w:b/>
                <w:bCs/>
                <w:color w:val="000000"/>
                <w:sz w:val="16"/>
                <w:szCs w:val="16"/>
              </w:rPr>
              <w:t>£000</w:t>
            </w:r>
          </w:p>
        </w:tc>
        <w:tc>
          <w:tcPr>
            <w:tcW w:w="1460" w:type="dxa"/>
            <w:tcBorders>
              <w:top w:val="single" w:sz="4" w:space="0" w:color="auto"/>
              <w:left w:val="nil"/>
              <w:bottom w:val="nil"/>
              <w:right w:val="single" w:sz="4" w:space="0" w:color="auto"/>
            </w:tcBorders>
            <w:shd w:val="clear" w:color="auto" w:fill="FFFFFF" w:themeFill="background1"/>
            <w:vAlign w:val="center"/>
            <w:hideMark/>
          </w:tcPr>
          <w:p w:rsidR="00D06C0B" w:rsidRPr="00EE5807" w:rsidRDefault="00D06C0B" w:rsidP="007A18E4">
            <w:pPr>
              <w:jc w:val="center"/>
              <w:rPr>
                <w:rFonts w:ascii="Calibri" w:hAnsi="Calibri"/>
                <w:b/>
                <w:bCs/>
                <w:color w:val="000000"/>
                <w:sz w:val="16"/>
                <w:szCs w:val="16"/>
              </w:rPr>
            </w:pPr>
            <w:r w:rsidRPr="00EE5807">
              <w:rPr>
                <w:rFonts w:ascii="Calibri" w:hAnsi="Calibri"/>
                <w:b/>
                <w:bCs/>
                <w:color w:val="000000"/>
                <w:sz w:val="16"/>
                <w:szCs w:val="16"/>
              </w:rPr>
              <w:t>£000</w:t>
            </w:r>
          </w:p>
        </w:tc>
        <w:tc>
          <w:tcPr>
            <w:tcW w:w="1360" w:type="dxa"/>
            <w:tcBorders>
              <w:top w:val="single" w:sz="4" w:space="0" w:color="auto"/>
              <w:left w:val="nil"/>
              <w:bottom w:val="nil"/>
              <w:right w:val="single" w:sz="4" w:space="0" w:color="auto"/>
            </w:tcBorders>
            <w:shd w:val="clear" w:color="auto" w:fill="FFFFFF" w:themeFill="background1"/>
            <w:vAlign w:val="center"/>
            <w:hideMark/>
          </w:tcPr>
          <w:p w:rsidR="00D06C0B" w:rsidRPr="00EE5807" w:rsidRDefault="00D06C0B" w:rsidP="007A18E4">
            <w:pPr>
              <w:jc w:val="center"/>
              <w:rPr>
                <w:rFonts w:ascii="Calibri" w:hAnsi="Calibri"/>
                <w:b/>
                <w:bCs/>
                <w:color w:val="000000"/>
                <w:sz w:val="16"/>
                <w:szCs w:val="16"/>
              </w:rPr>
            </w:pPr>
            <w:r w:rsidRPr="00EE5807">
              <w:rPr>
                <w:rFonts w:ascii="Calibri" w:hAnsi="Calibri"/>
                <w:b/>
                <w:bCs/>
                <w:color w:val="000000"/>
                <w:sz w:val="16"/>
                <w:szCs w:val="16"/>
              </w:rPr>
              <w:t>£000</w:t>
            </w:r>
          </w:p>
        </w:tc>
        <w:tc>
          <w:tcPr>
            <w:tcW w:w="1360" w:type="dxa"/>
            <w:tcBorders>
              <w:top w:val="single" w:sz="4" w:space="0" w:color="auto"/>
              <w:left w:val="nil"/>
              <w:bottom w:val="nil"/>
              <w:right w:val="single" w:sz="4" w:space="0" w:color="auto"/>
            </w:tcBorders>
            <w:shd w:val="clear" w:color="auto" w:fill="D9D9D9" w:themeFill="background1" w:themeFillShade="D9"/>
            <w:vAlign w:val="center"/>
            <w:hideMark/>
          </w:tcPr>
          <w:p w:rsidR="00D06C0B" w:rsidRPr="00EE5807" w:rsidRDefault="00D06C0B" w:rsidP="007A18E4">
            <w:pPr>
              <w:jc w:val="center"/>
              <w:rPr>
                <w:rFonts w:ascii="Calibri" w:hAnsi="Calibri"/>
                <w:b/>
                <w:bCs/>
                <w:color w:val="000000"/>
                <w:sz w:val="16"/>
                <w:szCs w:val="16"/>
              </w:rPr>
            </w:pPr>
            <w:r w:rsidRPr="00EE5807">
              <w:rPr>
                <w:rFonts w:ascii="Calibri" w:hAnsi="Calibri"/>
                <w:b/>
                <w:bCs/>
                <w:color w:val="000000"/>
                <w:sz w:val="16"/>
                <w:szCs w:val="16"/>
              </w:rPr>
              <w:t>£000</w:t>
            </w:r>
          </w:p>
        </w:tc>
        <w:tc>
          <w:tcPr>
            <w:tcW w:w="1300" w:type="dxa"/>
            <w:tcBorders>
              <w:top w:val="single" w:sz="4" w:space="0" w:color="auto"/>
              <w:left w:val="nil"/>
              <w:bottom w:val="nil"/>
              <w:right w:val="single" w:sz="4" w:space="0" w:color="auto"/>
            </w:tcBorders>
            <w:shd w:val="clear" w:color="auto" w:fill="D9D9D9" w:themeFill="background1" w:themeFillShade="D9"/>
            <w:vAlign w:val="center"/>
            <w:hideMark/>
          </w:tcPr>
          <w:p w:rsidR="00D06C0B" w:rsidRPr="00EE5807" w:rsidRDefault="00D06C0B" w:rsidP="007A18E4">
            <w:pPr>
              <w:jc w:val="center"/>
              <w:rPr>
                <w:rFonts w:ascii="Calibri" w:hAnsi="Calibri"/>
                <w:b/>
                <w:bCs/>
                <w:color w:val="000000"/>
                <w:sz w:val="16"/>
                <w:szCs w:val="16"/>
              </w:rPr>
            </w:pPr>
            <w:r w:rsidRPr="00EE5807">
              <w:rPr>
                <w:rFonts w:ascii="Calibri" w:hAnsi="Calibri"/>
                <w:b/>
                <w:bCs/>
                <w:color w:val="000000"/>
                <w:sz w:val="16"/>
                <w:szCs w:val="16"/>
              </w:rPr>
              <w:t>£000</w:t>
            </w:r>
          </w:p>
        </w:tc>
        <w:tc>
          <w:tcPr>
            <w:tcW w:w="1240" w:type="dxa"/>
            <w:tcBorders>
              <w:top w:val="single" w:sz="4" w:space="0" w:color="auto"/>
              <w:left w:val="nil"/>
              <w:bottom w:val="nil"/>
              <w:right w:val="single" w:sz="4" w:space="0" w:color="auto"/>
            </w:tcBorders>
            <w:shd w:val="clear" w:color="auto" w:fill="A6A6A6" w:themeFill="background1" w:themeFillShade="A6"/>
            <w:vAlign w:val="center"/>
            <w:hideMark/>
          </w:tcPr>
          <w:p w:rsidR="00D06C0B" w:rsidRPr="00EE5807" w:rsidRDefault="00D06C0B" w:rsidP="007A18E4">
            <w:pPr>
              <w:jc w:val="center"/>
              <w:rPr>
                <w:rFonts w:ascii="Calibri" w:hAnsi="Calibri"/>
                <w:b/>
                <w:bCs/>
                <w:color w:val="000000"/>
                <w:sz w:val="16"/>
                <w:szCs w:val="16"/>
              </w:rPr>
            </w:pPr>
            <w:r w:rsidRPr="00EE5807">
              <w:rPr>
                <w:rFonts w:ascii="Calibri" w:hAnsi="Calibri"/>
                <w:b/>
                <w:bCs/>
                <w:color w:val="000000"/>
                <w:sz w:val="16"/>
                <w:szCs w:val="16"/>
              </w:rPr>
              <w:t>£000</w:t>
            </w:r>
          </w:p>
        </w:tc>
      </w:tr>
      <w:tr w:rsidR="00D06C0B" w:rsidRPr="00B24FF2" w:rsidTr="009570E9">
        <w:trPr>
          <w:trHeight w:val="300"/>
        </w:trPr>
        <w:tc>
          <w:tcPr>
            <w:tcW w:w="3280" w:type="dxa"/>
            <w:tcBorders>
              <w:top w:val="single" w:sz="4" w:space="0" w:color="auto"/>
              <w:left w:val="single" w:sz="4" w:space="0" w:color="auto"/>
              <w:bottom w:val="single" w:sz="4" w:space="0" w:color="auto"/>
              <w:right w:val="nil"/>
            </w:tcBorders>
            <w:shd w:val="clear" w:color="auto" w:fill="FFFFFF" w:themeFill="background1"/>
            <w:vAlign w:val="bottom"/>
            <w:hideMark/>
          </w:tcPr>
          <w:p w:rsidR="00D06C0B" w:rsidRPr="00EE5807" w:rsidRDefault="00D06C0B" w:rsidP="007A18E4">
            <w:pPr>
              <w:rPr>
                <w:rFonts w:ascii="Calibri" w:hAnsi="Calibri"/>
                <w:b/>
                <w:bCs/>
                <w:color w:val="000000"/>
                <w:sz w:val="16"/>
                <w:szCs w:val="16"/>
              </w:rPr>
            </w:pPr>
            <w:r w:rsidRPr="00EE5807">
              <w:rPr>
                <w:rFonts w:ascii="Calibri" w:hAnsi="Calibri"/>
                <w:b/>
                <w:bCs/>
                <w:color w:val="000000"/>
                <w:sz w:val="16"/>
                <w:szCs w:val="16"/>
              </w:rPr>
              <w:t>Balance at 1st April 2010</w:t>
            </w:r>
          </w:p>
        </w:tc>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06C0B" w:rsidRPr="00EE5807" w:rsidRDefault="00D06C0B" w:rsidP="007A18E4">
            <w:pPr>
              <w:jc w:val="right"/>
              <w:rPr>
                <w:rFonts w:ascii="Calibri" w:hAnsi="Calibri"/>
                <w:color w:val="000000"/>
                <w:sz w:val="16"/>
                <w:szCs w:val="16"/>
              </w:rPr>
            </w:pPr>
            <w:r w:rsidRPr="00EE5807">
              <w:rPr>
                <w:rFonts w:ascii="Calibri" w:hAnsi="Calibri"/>
                <w:color w:val="000000"/>
                <w:sz w:val="16"/>
                <w:szCs w:val="16"/>
              </w:rPr>
              <w:t>(56,844)</w:t>
            </w:r>
          </w:p>
        </w:tc>
        <w:tc>
          <w:tcPr>
            <w:tcW w:w="14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06C0B" w:rsidRPr="00EE5807" w:rsidRDefault="00D06C0B" w:rsidP="007A18E4">
            <w:pPr>
              <w:jc w:val="right"/>
              <w:rPr>
                <w:rFonts w:ascii="Calibri" w:hAnsi="Calibri"/>
                <w:color w:val="000000"/>
                <w:sz w:val="16"/>
                <w:szCs w:val="16"/>
              </w:rPr>
            </w:pPr>
            <w:r w:rsidRPr="00EE5807">
              <w:rPr>
                <w:rFonts w:ascii="Calibri" w:hAnsi="Calibri"/>
                <w:color w:val="000000"/>
                <w:sz w:val="16"/>
                <w:szCs w:val="16"/>
              </w:rPr>
              <w:t>(135,139)</w:t>
            </w:r>
          </w:p>
        </w:tc>
        <w:tc>
          <w:tcPr>
            <w:tcW w:w="13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06C0B" w:rsidRPr="00EE5807" w:rsidRDefault="00D06C0B" w:rsidP="007A18E4">
            <w:pPr>
              <w:jc w:val="right"/>
              <w:rPr>
                <w:rFonts w:ascii="Calibri" w:hAnsi="Calibri"/>
                <w:color w:val="000000"/>
                <w:sz w:val="16"/>
                <w:szCs w:val="16"/>
              </w:rPr>
            </w:pPr>
            <w:r w:rsidRPr="00EE5807">
              <w:rPr>
                <w:rFonts w:ascii="Calibri" w:hAnsi="Calibri"/>
                <w:color w:val="000000"/>
                <w:sz w:val="16"/>
                <w:szCs w:val="16"/>
              </w:rPr>
              <w:t>(2,234)</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06C0B" w:rsidRPr="00EE5807" w:rsidRDefault="00D06C0B" w:rsidP="007A18E4">
            <w:pPr>
              <w:jc w:val="right"/>
              <w:rPr>
                <w:rFonts w:ascii="Calibri" w:hAnsi="Calibri"/>
                <w:color w:val="000000"/>
                <w:sz w:val="16"/>
                <w:szCs w:val="16"/>
              </w:rPr>
            </w:pPr>
            <w:r w:rsidRPr="00EE5807">
              <w:rPr>
                <w:rFonts w:ascii="Calibri" w:hAnsi="Calibri"/>
                <w:color w:val="000000"/>
                <w:sz w:val="16"/>
                <w:szCs w:val="16"/>
              </w:rPr>
              <w:t>(9,854)</w:t>
            </w:r>
          </w:p>
        </w:tc>
        <w:tc>
          <w:tcPr>
            <w:tcW w:w="14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06C0B" w:rsidRPr="00EE5807" w:rsidRDefault="00D06C0B" w:rsidP="007A18E4">
            <w:pPr>
              <w:jc w:val="right"/>
              <w:rPr>
                <w:rFonts w:ascii="Calibri" w:hAnsi="Calibri"/>
                <w:color w:val="000000"/>
                <w:sz w:val="16"/>
                <w:szCs w:val="16"/>
              </w:rPr>
            </w:pPr>
            <w:r w:rsidRPr="00EE5807">
              <w:rPr>
                <w:rFonts w:ascii="Calibri" w:hAnsi="Calibri"/>
                <w:color w:val="000000"/>
                <w:sz w:val="16"/>
                <w:szCs w:val="16"/>
              </w:rPr>
              <w:t>(21,248)</w:t>
            </w:r>
          </w:p>
        </w:tc>
        <w:tc>
          <w:tcPr>
            <w:tcW w:w="13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06C0B" w:rsidRPr="00EE5807" w:rsidRDefault="00D06C0B" w:rsidP="007A18E4">
            <w:pPr>
              <w:jc w:val="right"/>
              <w:rPr>
                <w:rFonts w:ascii="Calibri" w:hAnsi="Calibri"/>
                <w:color w:val="000000"/>
                <w:sz w:val="16"/>
                <w:szCs w:val="16"/>
              </w:rPr>
            </w:pPr>
            <w:r w:rsidRPr="00EE5807">
              <w:rPr>
                <w:rFonts w:ascii="Calibri" w:hAnsi="Calibri"/>
                <w:color w:val="000000"/>
                <w:sz w:val="16"/>
                <w:szCs w:val="16"/>
              </w:rPr>
              <w:t>(56,537)</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06C0B" w:rsidRPr="00EE5807" w:rsidRDefault="00D06C0B" w:rsidP="007A18E4">
            <w:pPr>
              <w:jc w:val="right"/>
              <w:rPr>
                <w:rFonts w:ascii="Calibri" w:hAnsi="Calibri"/>
                <w:color w:val="000000"/>
                <w:sz w:val="16"/>
                <w:szCs w:val="16"/>
              </w:rPr>
            </w:pPr>
            <w:r w:rsidRPr="00EE5807">
              <w:rPr>
                <w:rFonts w:ascii="Calibri" w:hAnsi="Calibri"/>
                <w:color w:val="000000"/>
                <w:sz w:val="16"/>
                <w:szCs w:val="16"/>
              </w:rPr>
              <w:t>(281,856)</w:t>
            </w:r>
          </w:p>
        </w:tc>
        <w:tc>
          <w:tcPr>
            <w:tcW w:w="13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06C0B" w:rsidRPr="00EE5807" w:rsidRDefault="00D06C0B" w:rsidP="007A18E4">
            <w:pPr>
              <w:jc w:val="right"/>
              <w:rPr>
                <w:rFonts w:ascii="Calibri" w:hAnsi="Calibri"/>
                <w:color w:val="000000"/>
                <w:sz w:val="16"/>
                <w:szCs w:val="16"/>
              </w:rPr>
            </w:pPr>
            <w:r w:rsidRPr="00EE5807">
              <w:rPr>
                <w:rFonts w:ascii="Calibri" w:hAnsi="Calibri"/>
                <w:color w:val="000000"/>
                <w:sz w:val="16"/>
                <w:szCs w:val="16"/>
              </w:rPr>
              <w:t>(424,453)</w:t>
            </w:r>
          </w:p>
        </w:tc>
        <w:tc>
          <w:tcPr>
            <w:tcW w:w="1240"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D06C0B" w:rsidRPr="00EE5807" w:rsidRDefault="00D06C0B" w:rsidP="00D27354">
            <w:pPr>
              <w:jc w:val="right"/>
              <w:rPr>
                <w:rFonts w:ascii="Calibri" w:hAnsi="Calibri"/>
                <w:b/>
                <w:bCs/>
                <w:color w:val="000000"/>
                <w:sz w:val="16"/>
                <w:szCs w:val="16"/>
              </w:rPr>
            </w:pPr>
            <w:r w:rsidRPr="00EE5807">
              <w:rPr>
                <w:rFonts w:ascii="Calibri" w:hAnsi="Calibri"/>
                <w:b/>
                <w:bCs/>
                <w:color w:val="000000"/>
                <w:sz w:val="16"/>
                <w:szCs w:val="16"/>
              </w:rPr>
              <w:t>(</w:t>
            </w:r>
            <w:r w:rsidR="00D27354">
              <w:rPr>
                <w:rFonts w:ascii="Calibri" w:hAnsi="Calibri"/>
                <w:b/>
                <w:bCs/>
                <w:color w:val="000000"/>
                <w:sz w:val="16"/>
                <w:szCs w:val="16"/>
              </w:rPr>
              <w:t>706,309</w:t>
            </w:r>
            <w:r w:rsidRPr="00EE5807">
              <w:rPr>
                <w:rFonts w:ascii="Calibri" w:hAnsi="Calibri"/>
                <w:b/>
                <w:bCs/>
                <w:color w:val="000000"/>
                <w:sz w:val="16"/>
                <w:szCs w:val="16"/>
              </w:rPr>
              <w:t>)</w:t>
            </w:r>
          </w:p>
        </w:tc>
      </w:tr>
      <w:tr w:rsidR="00D06C0B" w:rsidRPr="00B24FF2" w:rsidTr="009570E9">
        <w:trPr>
          <w:trHeight w:val="326"/>
        </w:trPr>
        <w:tc>
          <w:tcPr>
            <w:tcW w:w="3280" w:type="dxa"/>
            <w:tcBorders>
              <w:top w:val="nil"/>
              <w:left w:val="single" w:sz="4" w:space="0" w:color="auto"/>
              <w:bottom w:val="nil"/>
              <w:right w:val="nil"/>
            </w:tcBorders>
            <w:shd w:val="clear" w:color="auto" w:fill="FFFFFF" w:themeFill="background1"/>
            <w:vAlign w:val="bottom"/>
            <w:hideMark/>
          </w:tcPr>
          <w:p w:rsidR="00D06C0B" w:rsidRPr="00EE5807" w:rsidRDefault="00D06C0B" w:rsidP="007A18E4">
            <w:pPr>
              <w:rPr>
                <w:rFonts w:ascii="Calibri" w:hAnsi="Calibri"/>
                <w:color w:val="000000"/>
                <w:sz w:val="16"/>
                <w:szCs w:val="16"/>
                <w:u w:val="single"/>
              </w:rPr>
            </w:pPr>
            <w:r w:rsidRPr="00EE5807">
              <w:rPr>
                <w:rFonts w:ascii="Calibri" w:hAnsi="Calibri"/>
                <w:color w:val="000000"/>
                <w:sz w:val="16"/>
                <w:szCs w:val="16"/>
                <w:u w:val="single"/>
              </w:rPr>
              <w:t>Movement in Reserves During 2010/11</w:t>
            </w:r>
          </w:p>
        </w:tc>
        <w:tc>
          <w:tcPr>
            <w:tcW w:w="1480" w:type="dxa"/>
            <w:tcBorders>
              <w:top w:val="nil"/>
              <w:left w:val="single" w:sz="4" w:space="0" w:color="auto"/>
              <w:bottom w:val="nil"/>
              <w:right w:val="single" w:sz="4" w:space="0" w:color="auto"/>
            </w:tcBorders>
            <w:shd w:val="clear" w:color="auto" w:fill="FFFFFF" w:themeFill="background1"/>
            <w:noWrap/>
            <w:vAlign w:val="bottom"/>
            <w:hideMark/>
          </w:tcPr>
          <w:p w:rsidR="00D06C0B" w:rsidRPr="00EE5807" w:rsidRDefault="00D06C0B" w:rsidP="007A18E4">
            <w:pPr>
              <w:rPr>
                <w:rFonts w:ascii="Calibri" w:hAnsi="Calibri"/>
                <w:color w:val="000000"/>
                <w:sz w:val="16"/>
                <w:szCs w:val="16"/>
              </w:rPr>
            </w:pPr>
            <w:r w:rsidRPr="00EE5807">
              <w:rPr>
                <w:rFonts w:ascii="Calibri" w:hAnsi="Calibri"/>
                <w:color w:val="000000"/>
                <w:sz w:val="16"/>
                <w:szCs w:val="16"/>
              </w:rPr>
              <w:t> </w:t>
            </w:r>
          </w:p>
        </w:tc>
        <w:tc>
          <w:tcPr>
            <w:tcW w:w="1460" w:type="dxa"/>
            <w:tcBorders>
              <w:top w:val="nil"/>
              <w:left w:val="nil"/>
              <w:bottom w:val="nil"/>
              <w:right w:val="single" w:sz="4" w:space="0" w:color="auto"/>
            </w:tcBorders>
            <w:shd w:val="clear" w:color="auto" w:fill="FFFFFF" w:themeFill="background1"/>
            <w:noWrap/>
            <w:vAlign w:val="bottom"/>
            <w:hideMark/>
          </w:tcPr>
          <w:p w:rsidR="00D06C0B" w:rsidRPr="00EE5807" w:rsidRDefault="00D06C0B" w:rsidP="007A18E4">
            <w:pPr>
              <w:rPr>
                <w:rFonts w:ascii="Calibri" w:hAnsi="Calibri"/>
                <w:color w:val="000000"/>
                <w:sz w:val="16"/>
                <w:szCs w:val="16"/>
              </w:rPr>
            </w:pPr>
            <w:r w:rsidRPr="00EE5807">
              <w:rPr>
                <w:rFonts w:ascii="Calibri" w:hAnsi="Calibri"/>
                <w:color w:val="000000"/>
                <w:sz w:val="16"/>
                <w:szCs w:val="16"/>
              </w:rPr>
              <w:t> </w:t>
            </w:r>
          </w:p>
        </w:tc>
        <w:tc>
          <w:tcPr>
            <w:tcW w:w="1320" w:type="dxa"/>
            <w:tcBorders>
              <w:top w:val="nil"/>
              <w:left w:val="nil"/>
              <w:bottom w:val="nil"/>
              <w:right w:val="single" w:sz="4" w:space="0" w:color="auto"/>
            </w:tcBorders>
            <w:shd w:val="clear" w:color="auto" w:fill="FFFFFF" w:themeFill="background1"/>
            <w:noWrap/>
            <w:vAlign w:val="bottom"/>
            <w:hideMark/>
          </w:tcPr>
          <w:p w:rsidR="00D06C0B" w:rsidRPr="00EE5807" w:rsidRDefault="00D06C0B" w:rsidP="007A18E4">
            <w:pPr>
              <w:rPr>
                <w:rFonts w:ascii="Calibri" w:hAnsi="Calibri"/>
                <w:color w:val="000000"/>
                <w:sz w:val="16"/>
                <w:szCs w:val="16"/>
              </w:rPr>
            </w:pPr>
            <w:r w:rsidRPr="00EE5807">
              <w:rPr>
                <w:rFonts w:ascii="Calibri" w:hAnsi="Calibri"/>
                <w:color w:val="000000"/>
                <w:sz w:val="16"/>
                <w:szCs w:val="16"/>
              </w:rPr>
              <w:t> </w:t>
            </w:r>
          </w:p>
        </w:tc>
        <w:tc>
          <w:tcPr>
            <w:tcW w:w="1420" w:type="dxa"/>
            <w:tcBorders>
              <w:top w:val="nil"/>
              <w:left w:val="nil"/>
              <w:bottom w:val="nil"/>
              <w:right w:val="single" w:sz="4" w:space="0" w:color="auto"/>
            </w:tcBorders>
            <w:shd w:val="clear" w:color="auto" w:fill="FFFFFF" w:themeFill="background1"/>
            <w:noWrap/>
            <w:vAlign w:val="bottom"/>
            <w:hideMark/>
          </w:tcPr>
          <w:p w:rsidR="00D06C0B" w:rsidRPr="00EE5807" w:rsidRDefault="00D06C0B" w:rsidP="007A18E4">
            <w:pPr>
              <w:rPr>
                <w:rFonts w:ascii="Calibri" w:hAnsi="Calibri"/>
                <w:color w:val="000000"/>
                <w:sz w:val="16"/>
                <w:szCs w:val="16"/>
              </w:rPr>
            </w:pPr>
            <w:r w:rsidRPr="00EE5807">
              <w:rPr>
                <w:rFonts w:ascii="Calibri" w:hAnsi="Calibri"/>
                <w:color w:val="000000"/>
                <w:sz w:val="16"/>
                <w:szCs w:val="16"/>
              </w:rPr>
              <w:t> </w:t>
            </w:r>
          </w:p>
        </w:tc>
        <w:tc>
          <w:tcPr>
            <w:tcW w:w="1460" w:type="dxa"/>
            <w:tcBorders>
              <w:top w:val="nil"/>
              <w:left w:val="nil"/>
              <w:bottom w:val="nil"/>
              <w:right w:val="single" w:sz="4" w:space="0" w:color="auto"/>
            </w:tcBorders>
            <w:shd w:val="clear" w:color="auto" w:fill="FFFFFF" w:themeFill="background1"/>
            <w:noWrap/>
            <w:vAlign w:val="bottom"/>
            <w:hideMark/>
          </w:tcPr>
          <w:p w:rsidR="00D06C0B" w:rsidRPr="00EE5807" w:rsidRDefault="00D06C0B" w:rsidP="007A18E4">
            <w:pPr>
              <w:rPr>
                <w:rFonts w:ascii="Calibri" w:hAnsi="Calibri"/>
                <w:color w:val="000000"/>
                <w:sz w:val="16"/>
                <w:szCs w:val="16"/>
              </w:rPr>
            </w:pPr>
            <w:r w:rsidRPr="00EE5807">
              <w:rPr>
                <w:rFonts w:ascii="Calibri" w:hAnsi="Calibri"/>
                <w:color w:val="000000"/>
                <w:sz w:val="16"/>
                <w:szCs w:val="16"/>
              </w:rPr>
              <w:t> </w:t>
            </w:r>
          </w:p>
        </w:tc>
        <w:tc>
          <w:tcPr>
            <w:tcW w:w="1360" w:type="dxa"/>
            <w:tcBorders>
              <w:top w:val="nil"/>
              <w:left w:val="nil"/>
              <w:bottom w:val="nil"/>
              <w:right w:val="single" w:sz="4" w:space="0" w:color="auto"/>
            </w:tcBorders>
            <w:shd w:val="clear" w:color="auto" w:fill="FFFFFF" w:themeFill="background1"/>
            <w:noWrap/>
            <w:vAlign w:val="bottom"/>
            <w:hideMark/>
          </w:tcPr>
          <w:p w:rsidR="00D06C0B" w:rsidRPr="00EE5807" w:rsidRDefault="00D06C0B" w:rsidP="007A18E4">
            <w:pPr>
              <w:rPr>
                <w:rFonts w:ascii="Calibri" w:hAnsi="Calibri"/>
                <w:color w:val="000000"/>
                <w:sz w:val="16"/>
                <w:szCs w:val="16"/>
              </w:rPr>
            </w:pPr>
            <w:r w:rsidRPr="00EE5807">
              <w:rPr>
                <w:rFonts w:ascii="Calibri" w:hAnsi="Calibri"/>
                <w:color w:val="000000"/>
                <w:sz w:val="16"/>
                <w:szCs w:val="16"/>
              </w:rPr>
              <w:t> </w:t>
            </w:r>
          </w:p>
        </w:tc>
        <w:tc>
          <w:tcPr>
            <w:tcW w:w="1360" w:type="dxa"/>
            <w:tcBorders>
              <w:top w:val="nil"/>
              <w:left w:val="nil"/>
              <w:bottom w:val="nil"/>
              <w:right w:val="single" w:sz="4" w:space="0" w:color="auto"/>
            </w:tcBorders>
            <w:shd w:val="clear" w:color="auto" w:fill="D9D9D9" w:themeFill="background1" w:themeFillShade="D9"/>
            <w:noWrap/>
            <w:vAlign w:val="bottom"/>
            <w:hideMark/>
          </w:tcPr>
          <w:p w:rsidR="00D06C0B" w:rsidRPr="00EE5807" w:rsidRDefault="00D06C0B" w:rsidP="007A18E4">
            <w:pPr>
              <w:rPr>
                <w:rFonts w:ascii="Calibri" w:hAnsi="Calibri"/>
                <w:color w:val="000000"/>
                <w:sz w:val="16"/>
                <w:szCs w:val="16"/>
              </w:rPr>
            </w:pPr>
            <w:r w:rsidRPr="00EE5807">
              <w:rPr>
                <w:rFonts w:ascii="Calibri" w:hAnsi="Calibri"/>
                <w:color w:val="000000"/>
                <w:sz w:val="16"/>
                <w:szCs w:val="16"/>
              </w:rPr>
              <w:t> </w:t>
            </w:r>
          </w:p>
        </w:tc>
        <w:tc>
          <w:tcPr>
            <w:tcW w:w="1300" w:type="dxa"/>
            <w:tcBorders>
              <w:top w:val="nil"/>
              <w:left w:val="nil"/>
              <w:bottom w:val="nil"/>
              <w:right w:val="single" w:sz="4" w:space="0" w:color="auto"/>
            </w:tcBorders>
            <w:shd w:val="clear" w:color="auto" w:fill="D9D9D9" w:themeFill="background1" w:themeFillShade="D9"/>
            <w:noWrap/>
            <w:vAlign w:val="bottom"/>
            <w:hideMark/>
          </w:tcPr>
          <w:p w:rsidR="00D06C0B" w:rsidRPr="00EE5807" w:rsidRDefault="00D06C0B" w:rsidP="007A18E4">
            <w:pPr>
              <w:rPr>
                <w:rFonts w:ascii="Calibri" w:hAnsi="Calibri"/>
                <w:color w:val="000000"/>
                <w:sz w:val="16"/>
                <w:szCs w:val="16"/>
              </w:rPr>
            </w:pPr>
            <w:r w:rsidRPr="00EE5807">
              <w:rPr>
                <w:rFonts w:ascii="Calibri" w:hAnsi="Calibri"/>
                <w:color w:val="000000"/>
                <w:sz w:val="16"/>
                <w:szCs w:val="16"/>
              </w:rPr>
              <w:t> </w:t>
            </w:r>
          </w:p>
        </w:tc>
        <w:tc>
          <w:tcPr>
            <w:tcW w:w="1240" w:type="dxa"/>
            <w:tcBorders>
              <w:top w:val="nil"/>
              <w:left w:val="nil"/>
              <w:bottom w:val="nil"/>
              <w:right w:val="single" w:sz="4" w:space="0" w:color="auto"/>
            </w:tcBorders>
            <w:shd w:val="clear" w:color="auto" w:fill="A6A6A6" w:themeFill="background1" w:themeFillShade="A6"/>
            <w:noWrap/>
            <w:vAlign w:val="bottom"/>
            <w:hideMark/>
          </w:tcPr>
          <w:p w:rsidR="00D06C0B" w:rsidRPr="00EE5807" w:rsidRDefault="00D06C0B" w:rsidP="007A18E4">
            <w:pPr>
              <w:rPr>
                <w:rFonts w:ascii="Calibri" w:hAnsi="Calibri"/>
                <w:b/>
                <w:bCs/>
                <w:color w:val="000000"/>
                <w:sz w:val="16"/>
                <w:szCs w:val="16"/>
              </w:rPr>
            </w:pPr>
            <w:r w:rsidRPr="00EE5807">
              <w:rPr>
                <w:rFonts w:ascii="Calibri" w:hAnsi="Calibri"/>
                <w:b/>
                <w:bCs/>
                <w:color w:val="000000"/>
                <w:sz w:val="16"/>
                <w:szCs w:val="16"/>
              </w:rPr>
              <w:t> </w:t>
            </w:r>
          </w:p>
        </w:tc>
      </w:tr>
      <w:tr w:rsidR="00D06C0B" w:rsidRPr="00B24FF2" w:rsidTr="009570E9">
        <w:trPr>
          <w:trHeight w:val="284"/>
        </w:trPr>
        <w:tc>
          <w:tcPr>
            <w:tcW w:w="3280" w:type="dxa"/>
            <w:tcBorders>
              <w:top w:val="nil"/>
              <w:left w:val="single" w:sz="4" w:space="0" w:color="auto"/>
              <w:bottom w:val="nil"/>
              <w:right w:val="nil"/>
            </w:tcBorders>
            <w:shd w:val="clear" w:color="auto" w:fill="FFFFFF" w:themeFill="background1"/>
            <w:vAlign w:val="bottom"/>
            <w:hideMark/>
          </w:tcPr>
          <w:p w:rsidR="00D06C0B" w:rsidRPr="00EE5807" w:rsidRDefault="00DE7930" w:rsidP="007A18E4">
            <w:pPr>
              <w:rPr>
                <w:rFonts w:ascii="Calibri" w:hAnsi="Calibri"/>
                <w:color w:val="000000"/>
                <w:sz w:val="16"/>
                <w:szCs w:val="16"/>
              </w:rPr>
            </w:pPr>
            <w:r>
              <w:rPr>
                <w:rFonts w:ascii="Calibri" w:hAnsi="Calibri"/>
                <w:color w:val="000000"/>
                <w:sz w:val="16"/>
                <w:szCs w:val="16"/>
              </w:rPr>
              <w:t>(</w:t>
            </w:r>
            <w:r w:rsidR="00D06C0B">
              <w:rPr>
                <w:rFonts w:ascii="Calibri" w:hAnsi="Calibri"/>
                <w:color w:val="000000"/>
                <w:sz w:val="16"/>
                <w:szCs w:val="16"/>
              </w:rPr>
              <w:t>Surplus</w:t>
            </w:r>
            <w:r>
              <w:rPr>
                <w:rFonts w:ascii="Calibri" w:hAnsi="Calibri"/>
                <w:color w:val="000000"/>
                <w:sz w:val="16"/>
                <w:szCs w:val="16"/>
              </w:rPr>
              <w:t>)</w:t>
            </w:r>
            <w:r w:rsidR="00D06C0B">
              <w:rPr>
                <w:rFonts w:ascii="Calibri" w:hAnsi="Calibri"/>
                <w:color w:val="000000"/>
                <w:sz w:val="16"/>
                <w:szCs w:val="16"/>
              </w:rPr>
              <w:t>/D</w:t>
            </w:r>
            <w:r w:rsidR="00D06C0B" w:rsidRPr="00EE5807">
              <w:rPr>
                <w:rFonts w:ascii="Calibri" w:hAnsi="Calibri"/>
                <w:color w:val="000000"/>
                <w:sz w:val="16"/>
                <w:szCs w:val="16"/>
              </w:rPr>
              <w:t>eficit</w:t>
            </w:r>
            <w:r>
              <w:rPr>
                <w:rFonts w:ascii="Calibri" w:hAnsi="Calibri"/>
                <w:color w:val="000000"/>
                <w:sz w:val="16"/>
                <w:szCs w:val="16"/>
              </w:rPr>
              <w:t xml:space="preserve"> </w:t>
            </w:r>
            <w:r w:rsidR="00D06C0B" w:rsidRPr="00EE5807">
              <w:rPr>
                <w:rFonts w:ascii="Calibri" w:hAnsi="Calibri"/>
                <w:color w:val="000000"/>
                <w:sz w:val="16"/>
                <w:szCs w:val="16"/>
              </w:rPr>
              <w:t xml:space="preserve">on provision of services </w:t>
            </w:r>
          </w:p>
        </w:tc>
        <w:tc>
          <w:tcPr>
            <w:tcW w:w="1480" w:type="dxa"/>
            <w:tcBorders>
              <w:top w:val="nil"/>
              <w:left w:val="single" w:sz="4" w:space="0" w:color="auto"/>
              <w:bottom w:val="nil"/>
              <w:right w:val="single" w:sz="4" w:space="0" w:color="auto"/>
            </w:tcBorders>
            <w:shd w:val="clear" w:color="auto" w:fill="FFFFFF" w:themeFill="background1"/>
            <w:noWrap/>
            <w:vAlign w:val="bottom"/>
            <w:hideMark/>
          </w:tcPr>
          <w:p w:rsidR="00D06C0B" w:rsidRPr="00EE5807" w:rsidRDefault="00D06C0B" w:rsidP="007A18E4">
            <w:pPr>
              <w:jc w:val="right"/>
              <w:rPr>
                <w:rFonts w:ascii="Calibri" w:hAnsi="Calibri"/>
                <w:color w:val="000000"/>
                <w:sz w:val="16"/>
                <w:szCs w:val="16"/>
              </w:rPr>
            </w:pPr>
            <w:r w:rsidRPr="00EE5807">
              <w:rPr>
                <w:rFonts w:ascii="Calibri" w:hAnsi="Calibri"/>
                <w:color w:val="000000"/>
                <w:sz w:val="16"/>
                <w:szCs w:val="16"/>
              </w:rPr>
              <w:t>(128,034)</w:t>
            </w:r>
          </w:p>
        </w:tc>
        <w:tc>
          <w:tcPr>
            <w:tcW w:w="1460" w:type="dxa"/>
            <w:tcBorders>
              <w:top w:val="nil"/>
              <w:left w:val="nil"/>
              <w:bottom w:val="nil"/>
              <w:right w:val="single" w:sz="4" w:space="0" w:color="auto"/>
            </w:tcBorders>
            <w:shd w:val="clear" w:color="auto" w:fill="FFFFFF" w:themeFill="background1"/>
            <w:noWrap/>
            <w:vAlign w:val="bottom"/>
            <w:hideMark/>
          </w:tcPr>
          <w:p w:rsidR="00D06C0B" w:rsidRPr="00EE5807" w:rsidRDefault="00DC7184" w:rsidP="00DC7184">
            <w:pPr>
              <w:jc w:val="right"/>
              <w:rPr>
                <w:rFonts w:ascii="Calibri" w:hAnsi="Calibri"/>
                <w:color w:val="000000"/>
                <w:sz w:val="16"/>
                <w:szCs w:val="16"/>
              </w:rPr>
            </w:pPr>
            <w:r>
              <w:rPr>
                <w:rFonts w:ascii="Calibri" w:hAnsi="Calibri"/>
                <w:color w:val="000000"/>
                <w:sz w:val="16"/>
                <w:szCs w:val="16"/>
              </w:rPr>
              <w:t>-</w:t>
            </w:r>
          </w:p>
        </w:tc>
        <w:tc>
          <w:tcPr>
            <w:tcW w:w="1320" w:type="dxa"/>
            <w:tcBorders>
              <w:top w:val="nil"/>
              <w:left w:val="nil"/>
              <w:bottom w:val="nil"/>
              <w:right w:val="single" w:sz="4" w:space="0" w:color="auto"/>
            </w:tcBorders>
            <w:shd w:val="clear" w:color="auto" w:fill="FFFFFF" w:themeFill="background1"/>
            <w:noWrap/>
            <w:vAlign w:val="bottom"/>
            <w:hideMark/>
          </w:tcPr>
          <w:p w:rsidR="00D06C0B" w:rsidRPr="00EE5807" w:rsidRDefault="00DC7184" w:rsidP="00DC7184">
            <w:pPr>
              <w:jc w:val="right"/>
              <w:rPr>
                <w:rFonts w:ascii="Calibri" w:hAnsi="Calibri"/>
                <w:color w:val="000000"/>
                <w:sz w:val="16"/>
                <w:szCs w:val="16"/>
              </w:rPr>
            </w:pPr>
            <w:r>
              <w:rPr>
                <w:rFonts w:ascii="Calibri" w:hAnsi="Calibri"/>
                <w:color w:val="000000"/>
                <w:sz w:val="16"/>
                <w:szCs w:val="16"/>
              </w:rPr>
              <w:t>-</w:t>
            </w:r>
          </w:p>
        </w:tc>
        <w:tc>
          <w:tcPr>
            <w:tcW w:w="1420" w:type="dxa"/>
            <w:tcBorders>
              <w:top w:val="nil"/>
              <w:left w:val="nil"/>
              <w:bottom w:val="nil"/>
              <w:right w:val="single" w:sz="4" w:space="0" w:color="auto"/>
            </w:tcBorders>
            <w:shd w:val="clear" w:color="auto" w:fill="FFFFFF" w:themeFill="background1"/>
            <w:noWrap/>
            <w:vAlign w:val="bottom"/>
            <w:hideMark/>
          </w:tcPr>
          <w:p w:rsidR="00D06C0B" w:rsidRPr="00EE5807" w:rsidRDefault="00DC7184" w:rsidP="00DC7184">
            <w:pPr>
              <w:jc w:val="right"/>
              <w:rPr>
                <w:rFonts w:ascii="Calibri" w:hAnsi="Calibri"/>
                <w:color w:val="000000"/>
                <w:sz w:val="16"/>
                <w:szCs w:val="16"/>
              </w:rPr>
            </w:pPr>
            <w:r>
              <w:rPr>
                <w:rFonts w:ascii="Calibri" w:hAnsi="Calibri"/>
                <w:color w:val="000000"/>
                <w:sz w:val="16"/>
                <w:szCs w:val="16"/>
              </w:rPr>
              <w:t>-</w:t>
            </w:r>
          </w:p>
        </w:tc>
        <w:tc>
          <w:tcPr>
            <w:tcW w:w="1460" w:type="dxa"/>
            <w:tcBorders>
              <w:top w:val="nil"/>
              <w:left w:val="nil"/>
              <w:bottom w:val="nil"/>
              <w:right w:val="single" w:sz="4" w:space="0" w:color="auto"/>
            </w:tcBorders>
            <w:shd w:val="clear" w:color="auto" w:fill="FFFFFF" w:themeFill="background1"/>
            <w:noWrap/>
            <w:vAlign w:val="bottom"/>
            <w:hideMark/>
          </w:tcPr>
          <w:p w:rsidR="00D06C0B" w:rsidRPr="00EE5807" w:rsidRDefault="00DC7184" w:rsidP="00DC7184">
            <w:pPr>
              <w:jc w:val="right"/>
              <w:rPr>
                <w:rFonts w:ascii="Calibri" w:hAnsi="Calibri"/>
                <w:color w:val="000000"/>
                <w:sz w:val="16"/>
                <w:szCs w:val="16"/>
              </w:rPr>
            </w:pPr>
            <w:r>
              <w:rPr>
                <w:rFonts w:ascii="Calibri" w:hAnsi="Calibri"/>
                <w:color w:val="000000"/>
                <w:sz w:val="16"/>
                <w:szCs w:val="16"/>
              </w:rPr>
              <w:t>-</w:t>
            </w:r>
          </w:p>
        </w:tc>
        <w:tc>
          <w:tcPr>
            <w:tcW w:w="1360" w:type="dxa"/>
            <w:tcBorders>
              <w:top w:val="nil"/>
              <w:left w:val="nil"/>
              <w:bottom w:val="nil"/>
              <w:right w:val="single" w:sz="4" w:space="0" w:color="auto"/>
            </w:tcBorders>
            <w:shd w:val="clear" w:color="auto" w:fill="FFFFFF" w:themeFill="background1"/>
            <w:noWrap/>
            <w:vAlign w:val="bottom"/>
            <w:hideMark/>
          </w:tcPr>
          <w:p w:rsidR="00D06C0B" w:rsidRPr="00EE5807" w:rsidRDefault="00DC7184" w:rsidP="00DC7184">
            <w:pPr>
              <w:jc w:val="right"/>
              <w:rPr>
                <w:rFonts w:ascii="Calibri" w:hAnsi="Calibri"/>
                <w:color w:val="000000"/>
                <w:sz w:val="16"/>
                <w:szCs w:val="16"/>
              </w:rPr>
            </w:pPr>
            <w:r>
              <w:rPr>
                <w:rFonts w:ascii="Calibri" w:hAnsi="Calibri"/>
                <w:color w:val="000000"/>
                <w:sz w:val="16"/>
                <w:szCs w:val="16"/>
              </w:rPr>
              <w:t>-</w:t>
            </w:r>
          </w:p>
        </w:tc>
        <w:tc>
          <w:tcPr>
            <w:tcW w:w="1360" w:type="dxa"/>
            <w:tcBorders>
              <w:top w:val="nil"/>
              <w:left w:val="nil"/>
              <w:bottom w:val="nil"/>
              <w:right w:val="single" w:sz="4" w:space="0" w:color="auto"/>
            </w:tcBorders>
            <w:shd w:val="clear" w:color="auto" w:fill="D9D9D9" w:themeFill="background1" w:themeFillShade="D9"/>
            <w:noWrap/>
            <w:vAlign w:val="bottom"/>
            <w:hideMark/>
          </w:tcPr>
          <w:p w:rsidR="00D06C0B" w:rsidRPr="00EE5807" w:rsidRDefault="00D06C0B" w:rsidP="007A18E4">
            <w:pPr>
              <w:jc w:val="right"/>
              <w:rPr>
                <w:rFonts w:ascii="Calibri" w:hAnsi="Calibri"/>
                <w:color w:val="000000"/>
                <w:sz w:val="16"/>
                <w:szCs w:val="16"/>
              </w:rPr>
            </w:pPr>
            <w:r w:rsidRPr="00EE5807">
              <w:rPr>
                <w:rFonts w:ascii="Calibri" w:hAnsi="Calibri"/>
                <w:color w:val="000000"/>
                <w:sz w:val="16"/>
                <w:szCs w:val="16"/>
              </w:rPr>
              <w:t>(128,034)</w:t>
            </w:r>
          </w:p>
        </w:tc>
        <w:tc>
          <w:tcPr>
            <w:tcW w:w="1300" w:type="dxa"/>
            <w:tcBorders>
              <w:top w:val="nil"/>
              <w:left w:val="nil"/>
              <w:bottom w:val="nil"/>
              <w:right w:val="single" w:sz="4" w:space="0" w:color="auto"/>
            </w:tcBorders>
            <w:shd w:val="clear" w:color="auto" w:fill="D9D9D9" w:themeFill="background1" w:themeFillShade="D9"/>
            <w:noWrap/>
            <w:vAlign w:val="bottom"/>
            <w:hideMark/>
          </w:tcPr>
          <w:p w:rsidR="00D06C0B" w:rsidRPr="00EE5807" w:rsidRDefault="00DC7184" w:rsidP="00DC7184">
            <w:pPr>
              <w:jc w:val="right"/>
              <w:rPr>
                <w:rFonts w:ascii="Calibri" w:hAnsi="Calibri"/>
                <w:color w:val="000000"/>
                <w:sz w:val="16"/>
                <w:szCs w:val="16"/>
              </w:rPr>
            </w:pPr>
            <w:r>
              <w:rPr>
                <w:rFonts w:ascii="Calibri" w:hAnsi="Calibri"/>
                <w:color w:val="000000"/>
                <w:sz w:val="16"/>
                <w:szCs w:val="16"/>
              </w:rPr>
              <w:t>-</w:t>
            </w:r>
          </w:p>
        </w:tc>
        <w:tc>
          <w:tcPr>
            <w:tcW w:w="1240" w:type="dxa"/>
            <w:tcBorders>
              <w:top w:val="nil"/>
              <w:left w:val="nil"/>
              <w:bottom w:val="nil"/>
              <w:right w:val="single" w:sz="4" w:space="0" w:color="auto"/>
            </w:tcBorders>
            <w:shd w:val="clear" w:color="auto" w:fill="A6A6A6" w:themeFill="background1" w:themeFillShade="A6"/>
            <w:noWrap/>
            <w:vAlign w:val="bottom"/>
            <w:hideMark/>
          </w:tcPr>
          <w:p w:rsidR="00D06C0B" w:rsidRPr="00EE5807" w:rsidRDefault="00D06C0B" w:rsidP="007A18E4">
            <w:pPr>
              <w:jc w:val="right"/>
              <w:rPr>
                <w:rFonts w:ascii="Calibri" w:hAnsi="Calibri"/>
                <w:b/>
                <w:bCs/>
                <w:color w:val="000000"/>
                <w:sz w:val="16"/>
                <w:szCs w:val="16"/>
              </w:rPr>
            </w:pPr>
            <w:r w:rsidRPr="00EE5807">
              <w:rPr>
                <w:rFonts w:ascii="Calibri" w:hAnsi="Calibri"/>
                <w:b/>
                <w:bCs/>
                <w:color w:val="000000"/>
                <w:sz w:val="16"/>
                <w:szCs w:val="16"/>
              </w:rPr>
              <w:t>(128,034)</w:t>
            </w:r>
          </w:p>
        </w:tc>
      </w:tr>
      <w:tr w:rsidR="00D06C0B" w:rsidRPr="00B24FF2" w:rsidTr="009570E9">
        <w:trPr>
          <w:trHeight w:val="288"/>
        </w:trPr>
        <w:tc>
          <w:tcPr>
            <w:tcW w:w="3280" w:type="dxa"/>
            <w:tcBorders>
              <w:top w:val="nil"/>
              <w:left w:val="single" w:sz="4" w:space="0" w:color="auto"/>
              <w:bottom w:val="nil"/>
              <w:right w:val="nil"/>
            </w:tcBorders>
            <w:shd w:val="clear" w:color="auto" w:fill="FFFFFF" w:themeFill="background1"/>
            <w:vAlign w:val="bottom"/>
            <w:hideMark/>
          </w:tcPr>
          <w:p w:rsidR="00D06C0B" w:rsidRPr="00EE5807" w:rsidRDefault="00D06C0B" w:rsidP="007A18E4">
            <w:pPr>
              <w:rPr>
                <w:rFonts w:ascii="Calibri" w:hAnsi="Calibri"/>
                <w:color w:val="000000"/>
                <w:sz w:val="16"/>
                <w:szCs w:val="16"/>
              </w:rPr>
            </w:pPr>
            <w:r w:rsidRPr="00EE5807">
              <w:rPr>
                <w:rFonts w:ascii="Calibri" w:hAnsi="Calibri"/>
                <w:color w:val="000000"/>
                <w:sz w:val="16"/>
                <w:szCs w:val="16"/>
              </w:rPr>
              <w:t>Other Comprehensive</w:t>
            </w:r>
            <w:r>
              <w:rPr>
                <w:rFonts w:ascii="Calibri" w:hAnsi="Calibri"/>
                <w:color w:val="000000"/>
                <w:sz w:val="16"/>
                <w:szCs w:val="16"/>
              </w:rPr>
              <w:t xml:space="preserve"> Income and</w:t>
            </w:r>
            <w:r w:rsidRPr="00EE5807">
              <w:rPr>
                <w:rFonts w:ascii="Calibri" w:hAnsi="Calibri"/>
                <w:color w:val="000000"/>
                <w:sz w:val="16"/>
                <w:szCs w:val="16"/>
              </w:rPr>
              <w:t xml:space="preserve"> Expenditure</w:t>
            </w:r>
            <w:r>
              <w:rPr>
                <w:rFonts w:ascii="Calibri" w:hAnsi="Calibri"/>
                <w:color w:val="000000"/>
                <w:sz w:val="16"/>
                <w:szCs w:val="16"/>
              </w:rPr>
              <w:t xml:space="preserve"> (Note 10)</w:t>
            </w:r>
            <w:r w:rsidRPr="00EE5807">
              <w:rPr>
                <w:rFonts w:ascii="Calibri" w:hAnsi="Calibri"/>
                <w:color w:val="000000"/>
                <w:sz w:val="16"/>
                <w:szCs w:val="16"/>
              </w:rPr>
              <w:t xml:space="preserve"> </w:t>
            </w:r>
          </w:p>
        </w:tc>
        <w:tc>
          <w:tcPr>
            <w:tcW w:w="14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06C0B" w:rsidRPr="00EE5807" w:rsidRDefault="00DC7184" w:rsidP="00DC7184">
            <w:pPr>
              <w:jc w:val="right"/>
              <w:rPr>
                <w:rFonts w:ascii="Calibri" w:hAnsi="Calibri"/>
                <w:color w:val="000000"/>
                <w:sz w:val="16"/>
                <w:szCs w:val="16"/>
              </w:rPr>
            </w:pPr>
            <w:r>
              <w:rPr>
                <w:rFonts w:ascii="Calibri" w:hAnsi="Calibri"/>
                <w:color w:val="000000"/>
                <w:sz w:val="16"/>
                <w:szCs w:val="16"/>
              </w:rPr>
              <w:t>-</w:t>
            </w:r>
          </w:p>
        </w:tc>
        <w:tc>
          <w:tcPr>
            <w:tcW w:w="1460" w:type="dxa"/>
            <w:tcBorders>
              <w:top w:val="nil"/>
              <w:left w:val="nil"/>
              <w:bottom w:val="nil"/>
              <w:right w:val="single" w:sz="4" w:space="0" w:color="auto"/>
            </w:tcBorders>
            <w:shd w:val="clear" w:color="auto" w:fill="FFFFFF" w:themeFill="background1"/>
            <w:noWrap/>
            <w:vAlign w:val="bottom"/>
            <w:hideMark/>
          </w:tcPr>
          <w:p w:rsidR="00D06C0B" w:rsidRPr="00EE5807" w:rsidRDefault="00DC7184" w:rsidP="00DC7184">
            <w:pPr>
              <w:jc w:val="right"/>
              <w:rPr>
                <w:rFonts w:ascii="Calibri" w:hAnsi="Calibri"/>
                <w:color w:val="000000"/>
                <w:sz w:val="16"/>
                <w:szCs w:val="16"/>
              </w:rPr>
            </w:pPr>
            <w:r>
              <w:rPr>
                <w:rFonts w:ascii="Calibri" w:hAnsi="Calibri"/>
                <w:color w:val="000000"/>
                <w:sz w:val="16"/>
                <w:szCs w:val="16"/>
              </w:rPr>
              <w:t>-</w:t>
            </w:r>
          </w:p>
        </w:tc>
        <w:tc>
          <w:tcPr>
            <w:tcW w:w="1320" w:type="dxa"/>
            <w:tcBorders>
              <w:top w:val="nil"/>
              <w:left w:val="nil"/>
              <w:bottom w:val="nil"/>
              <w:right w:val="single" w:sz="4" w:space="0" w:color="auto"/>
            </w:tcBorders>
            <w:shd w:val="clear" w:color="auto" w:fill="FFFFFF" w:themeFill="background1"/>
            <w:noWrap/>
            <w:vAlign w:val="bottom"/>
            <w:hideMark/>
          </w:tcPr>
          <w:p w:rsidR="00D06C0B" w:rsidRPr="00EE5807" w:rsidRDefault="00DC7184" w:rsidP="00DC7184">
            <w:pPr>
              <w:jc w:val="right"/>
              <w:rPr>
                <w:rFonts w:ascii="Calibri" w:hAnsi="Calibri"/>
                <w:color w:val="000000"/>
                <w:sz w:val="16"/>
                <w:szCs w:val="16"/>
              </w:rPr>
            </w:pPr>
            <w:r>
              <w:rPr>
                <w:rFonts w:ascii="Calibri" w:hAnsi="Calibri"/>
                <w:color w:val="000000"/>
                <w:sz w:val="16"/>
                <w:szCs w:val="16"/>
              </w:rPr>
              <w:t>-</w:t>
            </w:r>
          </w:p>
        </w:tc>
        <w:tc>
          <w:tcPr>
            <w:tcW w:w="1420" w:type="dxa"/>
            <w:tcBorders>
              <w:top w:val="nil"/>
              <w:left w:val="nil"/>
              <w:bottom w:val="nil"/>
              <w:right w:val="single" w:sz="4" w:space="0" w:color="auto"/>
            </w:tcBorders>
            <w:shd w:val="clear" w:color="auto" w:fill="FFFFFF" w:themeFill="background1"/>
            <w:noWrap/>
            <w:vAlign w:val="bottom"/>
            <w:hideMark/>
          </w:tcPr>
          <w:p w:rsidR="00D06C0B" w:rsidRPr="00EE5807" w:rsidRDefault="00DC7184" w:rsidP="00DC7184">
            <w:pPr>
              <w:jc w:val="right"/>
              <w:rPr>
                <w:rFonts w:ascii="Calibri" w:hAnsi="Calibri"/>
                <w:color w:val="000000"/>
                <w:sz w:val="16"/>
                <w:szCs w:val="16"/>
              </w:rPr>
            </w:pPr>
            <w:r>
              <w:rPr>
                <w:rFonts w:ascii="Calibri" w:hAnsi="Calibri"/>
                <w:color w:val="000000"/>
                <w:sz w:val="16"/>
                <w:szCs w:val="16"/>
              </w:rPr>
              <w:t>-</w:t>
            </w:r>
          </w:p>
        </w:tc>
        <w:tc>
          <w:tcPr>
            <w:tcW w:w="1460" w:type="dxa"/>
            <w:tcBorders>
              <w:top w:val="nil"/>
              <w:left w:val="nil"/>
              <w:bottom w:val="nil"/>
              <w:right w:val="single" w:sz="4" w:space="0" w:color="auto"/>
            </w:tcBorders>
            <w:shd w:val="clear" w:color="auto" w:fill="FFFFFF" w:themeFill="background1"/>
            <w:noWrap/>
            <w:vAlign w:val="bottom"/>
            <w:hideMark/>
          </w:tcPr>
          <w:p w:rsidR="00D06C0B" w:rsidRPr="00EE5807" w:rsidRDefault="00DC7184" w:rsidP="00DC7184">
            <w:pPr>
              <w:jc w:val="right"/>
              <w:rPr>
                <w:rFonts w:ascii="Calibri" w:hAnsi="Calibri"/>
                <w:color w:val="000000"/>
                <w:sz w:val="16"/>
                <w:szCs w:val="16"/>
              </w:rPr>
            </w:pPr>
            <w:r>
              <w:rPr>
                <w:rFonts w:ascii="Calibri" w:hAnsi="Calibri"/>
                <w:color w:val="000000"/>
                <w:sz w:val="16"/>
                <w:szCs w:val="16"/>
              </w:rPr>
              <w:t>-</w:t>
            </w:r>
          </w:p>
        </w:tc>
        <w:tc>
          <w:tcPr>
            <w:tcW w:w="1360" w:type="dxa"/>
            <w:tcBorders>
              <w:top w:val="nil"/>
              <w:left w:val="nil"/>
              <w:bottom w:val="nil"/>
              <w:right w:val="single" w:sz="4" w:space="0" w:color="auto"/>
            </w:tcBorders>
            <w:shd w:val="clear" w:color="auto" w:fill="FFFFFF" w:themeFill="background1"/>
            <w:noWrap/>
            <w:vAlign w:val="bottom"/>
            <w:hideMark/>
          </w:tcPr>
          <w:p w:rsidR="00D06C0B" w:rsidRPr="00EE5807" w:rsidRDefault="00DC7184" w:rsidP="00DC7184">
            <w:pPr>
              <w:jc w:val="right"/>
              <w:rPr>
                <w:rFonts w:ascii="Calibri" w:hAnsi="Calibri"/>
                <w:color w:val="000000"/>
                <w:sz w:val="16"/>
                <w:szCs w:val="16"/>
              </w:rPr>
            </w:pPr>
            <w:r>
              <w:rPr>
                <w:rFonts w:ascii="Calibri" w:hAnsi="Calibri"/>
                <w:color w:val="000000"/>
                <w:sz w:val="16"/>
                <w:szCs w:val="16"/>
              </w:rPr>
              <w:t>-</w:t>
            </w:r>
          </w:p>
        </w:tc>
        <w:tc>
          <w:tcPr>
            <w:tcW w:w="1360" w:type="dxa"/>
            <w:tcBorders>
              <w:top w:val="nil"/>
              <w:left w:val="nil"/>
              <w:bottom w:val="nil"/>
              <w:right w:val="single" w:sz="4" w:space="0" w:color="auto"/>
            </w:tcBorders>
            <w:shd w:val="clear" w:color="auto" w:fill="D9D9D9" w:themeFill="background1" w:themeFillShade="D9"/>
            <w:noWrap/>
            <w:vAlign w:val="bottom"/>
            <w:hideMark/>
          </w:tcPr>
          <w:p w:rsidR="00D06C0B" w:rsidRPr="00EE5807" w:rsidRDefault="00DC7184" w:rsidP="00DC7184">
            <w:pPr>
              <w:jc w:val="right"/>
              <w:rPr>
                <w:rFonts w:ascii="Calibri" w:hAnsi="Calibri"/>
                <w:color w:val="000000"/>
                <w:sz w:val="16"/>
                <w:szCs w:val="16"/>
              </w:rPr>
            </w:pPr>
            <w:r>
              <w:rPr>
                <w:rFonts w:ascii="Calibri" w:hAnsi="Calibri"/>
                <w:color w:val="000000"/>
                <w:sz w:val="16"/>
                <w:szCs w:val="16"/>
              </w:rPr>
              <w:t>-</w:t>
            </w:r>
          </w:p>
        </w:tc>
        <w:tc>
          <w:tcPr>
            <w:tcW w:w="1300" w:type="dxa"/>
            <w:tcBorders>
              <w:top w:val="nil"/>
              <w:left w:val="nil"/>
              <w:bottom w:val="nil"/>
              <w:right w:val="single" w:sz="4" w:space="0" w:color="auto"/>
            </w:tcBorders>
            <w:shd w:val="clear" w:color="auto" w:fill="D9D9D9" w:themeFill="background1" w:themeFillShade="D9"/>
            <w:noWrap/>
            <w:vAlign w:val="bottom"/>
            <w:hideMark/>
          </w:tcPr>
          <w:p w:rsidR="00D06C0B" w:rsidRPr="00EE5807" w:rsidRDefault="00D06C0B" w:rsidP="007A18E4">
            <w:pPr>
              <w:jc w:val="right"/>
              <w:rPr>
                <w:rFonts w:ascii="Calibri" w:hAnsi="Calibri"/>
                <w:color w:val="000000"/>
                <w:sz w:val="16"/>
                <w:szCs w:val="16"/>
              </w:rPr>
            </w:pPr>
            <w:r w:rsidRPr="00EE5807">
              <w:rPr>
                <w:rFonts w:ascii="Calibri" w:hAnsi="Calibri"/>
                <w:color w:val="000000"/>
                <w:sz w:val="16"/>
                <w:szCs w:val="16"/>
              </w:rPr>
              <w:t>(297,648)</w:t>
            </w:r>
          </w:p>
        </w:tc>
        <w:tc>
          <w:tcPr>
            <w:tcW w:w="1240" w:type="dxa"/>
            <w:tcBorders>
              <w:top w:val="nil"/>
              <w:left w:val="nil"/>
              <w:bottom w:val="nil"/>
              <w:right w:val="single" w:sz="4" w:space="0" w:color="auto"/>
            </w:tcBorders>
            <w:shd w:val="clear" w:color="auto" w:fill="A6A6A6" w:themeFill="background1" w:themeFillShade="A6"/>
            <w:noWrap/>
            <w:vAlign w:val="bottom"/>
            <w:hideMark/>
          </w:tcPr>
          <w:p w:rsidR="00D06C0B" w:rsidRPr="00EE5807" w:rsidRDefault="00D06C0B" w:rsidP="007A18E4">
            <w:pPr>
              <w:jc w:val="right"/>
              <w:rPr>
                <w:rFonts w:ascii="Calibri" w:hAnsi="Calibri"/>
                <w:b/>
                <w:bCs/>
                <w:color w:val="000000"/>
                <w:sz w:val="16"/>
                <w:szCs w:val="16"/>
              </w:rPr>
            </w:pPr>
            <w:r w:rsidRPr="00EE5807">
              <w:rPr>
                <w:rFonts w:ascii="Calibri" w:hAnsi="Calibri"/>
                <w:b/>
                <w:bCs/>
                <w:color w:val="000000"/>
                <w:sz w:val="16"/>
                <w:szCs w:val="16"/>
              </w:rPr>
              <w:t>(297,648)</w:t>
            </w:r>
          </w:p>
        </w:tc>
      </w:tr>
      <w:tr w:rsidR="00D06C0B" w:rsidRPr="00B24FF2" w:rsidTr="009570E9">
        <w:trPr>
          <w:trHeight w:val="396"/>
        </w:trPr>
        <w:tc>
          <w:tcPr>
            <w:tcW w:w="3280" w:type="dxa"/>
            <w:tcBorders>
              <w:top w:val="single" w:sz="4" w:space="0" w:color="auto"/>
              <w:left w:val="single" w:sz="4" w:space="0" w:color="auto"/>
              <w:bottom w:val="single" w:sz="4" w:space="0" w:color="auto"/>
              <w:right w:val="nil"/>
            </w:tcBorders>
            <w:shd w:val="clear" w:color="auto" w:fill="FFFFFF" w:themeFill="background1"/>
            <w:vAlign w:val="bottom"/>
            <w:hideMark/>
          </w:tcPr>
          <w:p w:rsidR="00D06C0B" w:rsidRPr="009570E9" w:rsidRDefault="00D06C0B" w:rsidP="001A4550">
            <w:pPr>
              <w:rPr>
                <w:rFonts w:ascii="Calibri" w:hAnsi="Calibri"/>
                <w:b/>
                <w:bCs/>
                <w:color w:val="000000"/>
                <w:sz w:val="16"/>
                <w:szCs w:val="16"/>
              </w:rPr>
            </w:pPr>
            <w:r w:rsidRPr="009570E9">
              <w:rPr>
                <w:rFonts w:ascii="Calibri" w:hAnsi="Calibri"/>
                <w:b/>
                <w:bCs/>
                <w:color w:val="000000"/>
                <w:sz w:val="16"/>
                <w:szCs w:val="16"/>
              </w:rPr>
              <w:t>Total Comprehensive Income</w:t>
            </w:r>
            <w:r w:rsidR="001A4550">
              <w:rPr>
                <w:rFonts w:ascii="Calibri" w:hAnsi="Calibri"/>
                <w:b/>
                <w:bCs/>
                <w:color w:val="000000"/>
                <w:sz w:val="16"/>
                <w:szCs w:val="16"/>
              </w:rPr>
              <w:t xml:space="preserve"> and Expenditure</w:t>
            </w:r>
          </w:p>
        </w:tc>
        <w:tc>
          <w:tcPr>
            <w:tcW w:w="14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(128,034)</w:t>
            </w:r>
          </w:p>
        </w:tc>
        <w:tc>
          <w:tcPr>
            <w:tcW w:w="14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w:t>
            </w:r>
          </w:p>
        </w:tc>
        <w:tc>
          <w:tcPr>
            <w:tcW w:w="13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w:t>
            </w:r>
          </w:p>
        </w:tc>
        <w:tc>
          <w:tcPr>
            <w:tcW w:w="14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w:t>
            </w:r>
          </w:p>
        </w:tc>
        <w:tc>
          <w:tcPr>
            <w:tcW w:w="13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(128,034)</w:t>
            </w:r>
          </w:p>
        </w:tc>
        <w:tc>
          <w:tcPr>
            <w:tcW w:w="13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(297,648)</w:t>
            </w:r>
          </w:p>
        </w:tc>
        <w:tc>
          <w:tcPr>
            <w:tcW w:w="1240"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D06C0B" w:rsidRPr="009570E9" w:rsidRDefault="00D06C0B" w:rsidP="007A18E4">
            <w:pPr>
              <w:jc w:val="right"/>
              <w:rPr>
                <w:rFonts w:ascii="Calibri" w:hAnsi="Calibri"/>
                <w:b/>
                <w:bCs/>
                <w:color w:val="000000"/>
                <w:sz w:val="16"/>
                <w:szCs w:val="16"/>
              </w:rPr>
            </w:pPr>
            <w:r w:rsidRPr="009570E9">
              <w:rPr>
                <w:rFonts w:ascii="Calibri" w:hAnsi="Calibri"/>
                <w:b/>
                <w:bCs/>
                <w:color w:val="000000"/>
                <w:sz w:val="16"/>
                <w:szCs w:val="16"/>
              </w:rPr>
              <w:t>(425,682)</w:t>
            </w:r>
          </w:p>
        </w:tc>
      </w:tr>
      <w:tr w:rsidR="00D06C0B" w:rsidRPr="00B24FF2" w:rsidTr="009570E9">
        <w:trPr>
          <w:trHeight w:val="416"/>
        </w:trPr>
        <w:tc>
          <w:tcPr>
            <w:tcW w:w="3280" w:type="dxa"/>
            <w:tcBorders>
              <w:top w:val="nil"/>
              <w:left w:val="single" w:sz="4" w:space="0" w:color="auto"/>
              <w:bottom w:val="nil"/>
              <w:right w:val="nil"/>
            </w:tcBorders>
            <w:shd w:val="clear" w:color="auto" w:fill="FFFFFF" w:themeFill="background1"/>
            <w:vAlign w:val="bottom"/>
            <w:hideMark/>
          </w:tcPr>
          <w:p w:rsidR="00D06C0B" w:rsidRPr="009570E9" w:rsidRDefault="00D06C0B" w:rsidP="007A18E4">
            <w:pPr>
              <w:rPr>
                <w:rFonts w:ascii="Calibri" w:hAnsi="Calibri"/>
                <w:color w:val="000000"/>
                <w:sz w:val="16"/>
                <w:szCs w:val="16"/>
              </w:rPr>
            </w:pPr>
            <w:r w:rsidRPr="009570E9">
              <w:rPr>
                <w:rFonts w:ascii="Calibri" w:hAnsi="Calibri"/>
                <w:color w:val="000000"/>
                <w:sz w:val="16"/>
                <w:szCs w:val="16"/>
              </w:rPr>
              <w:t>Adjustments Between Accounting Basis &amp; Funding Basis Under Regulations (Note 9)</w:t>
            </w:r>
          </w:p>
        </w:tc>
        <w:tc>
          <w:tcPr>
            <w:tcW w:w="1480" w:type="dxa"/>
            <w:tcBorders>
              <w:top w:val="nil"/>
              <w:left w:val="single" w:sz="4" w:space="0" w:color="auto"/>
              <w:bottom w:val="nil"/>
              <w:right w:val="single" w:sz="4" w:space="0" w:color="auto"/>
            </w:tcBorders>
            <w:shd w:val="clear" w:color="auto" w:fill="FFFFFF" w:themeFill="background1"/>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88,790</w:t>
            </w:r>
          </w:p>
        </w:tc>
        <w:tc>
          <w:tcPr>
            <w:tcW w:w="1460" w:type="dxa"/>
            <w:tcBorders>
              <w:top w:val="nil"/>
              <w:left w:val="nil"/>
              <w:bottom w:val="nil"/>
              <w:right w:val="single" w:sz="4" w:space="0" w:color="auto"/>
            </w:tcBorders>
            <w:shd w:val="clear" w:color="auto" w:fill="FFFFFF" w:themeFill="background1"/>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w:t>
            </w:r>
          </w:p>
        </w:tc>
        <w:tc>
          <w:tcPr>
            <w:tcW w:w="1320" w:type="dxa"/>
            <w:tcBorders>
              <w:top w:val="nil"/>
              <w:left w:val="nil"/>
              <w:bottom w:val="nil"/>
              <w:right w:val="single" w:sz="4" w:space="0" w:color="auto"/>
            </w:tcBorders>
            <w:shd w:val="clear" w:color="auto" w:fill="FFFFFF" w:themeFill="background1"/>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w:t>
            </w:r>
          </w:p>
        </w:tc>
        <w:tc>
          <w:tcPr>
            <w:tcW w:w="1420" w:type="dxa"/>
            <w:tcBorders>
              <w:top w:val="nil"/>
              <w:left w:val="nil"/>
              <w:bottom w:val="nil"/>
              <w:right w:val="single" w:sz="4" w:space="0" w:color="auto"/>
            </w:tcBorders>
            <w:shd w:val="clear" w:color="auto" w:fill="FFFFFF" w:themeFill="background1"/>
            <w:noWrap/>
            <w:vAlign w:val="bottom"/>
            <w:hideMark/>
          </w:tcPr>
          <w:p w:rsidR="00D06C0B" w:rsidRPr="009570E9" w:rsidRDefault="00DC7184" w:rsidP="00DC7184">
            <w:pPr>
              <w:jc w:val="right"/>
              <w:rPr>
                <w:rFonts w:ascii="Calibri" w:hAnsi="Calibri"/>
                <w:color w:val="000000"/>
                <w:sz w:val="16"/>
                <w:szCs w:val="16"/>
              </w:rPr>
            </w:pPr>
            <w:r w:rsidRPr="009570E9">
              <w:rPr>
                <w:rFonts w:ascii="Calibri" w:hAnsi="Calibri"/>
                <w:color w:val="000000"/>
                <w:sz w:val="16"/>
                <w:szCs w:val="16"/>
              </w:rPr>
              <w:t>-</w:t>
            </w:r>
          </w:p>
        </w:tc>
        <w:tc>
          <w:tcPr>
            <w:tcW w:w="1460" w:type="dxa"/>
            <w:tcBorders>
              <w:top w:val="nil"/>
              <w:left w:val="nil"/>
              <w:bottom w:val="nil"/>
              <w:right w:val="single" w:sz="4" w:space="0" w:color="auto"/>
            </w:tcBorders>
            <w:shd w:val="clear" w:color="auto" w:fill="FFFFFF" w:themeFill="background1"/>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(2,896)</w:t>
            </w:r>
          </w:p>
        </w:tc>
        <w:tc>
          <w:tcPr>
            <w:tcW w:w="1360" w:type="dxa"/>
            <w:tcBorders>
              <w:top w:val="nil"/>
              <w:left w:val="nil"/>
              <w:bottom w:val="nil"/>
              <w:right w:val="single" w:sz="4" w:space="0" w:color="auto"/>
            </w:tcBorders>
            <w:shd w:val="clear" w:color="auto" w:fill="FFFFFF" w:themeFill="background1"/>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(2,125)</w:t>
            </w:r>
          </w:p>
        </w:tc>
        <w:tc>
          <w:tcPr>
            <w:tcW w:w="1360" w:type="dxa"/>
            <w:tcBorders>
              <w:top w:val="nil"/>
              <w:left w:val="nil"/>
              <w:bottom w:val="nil"/>
              <w:right w:val="single" w:sz="4" w:space="0" w:color="auto"/>
            </w:tcBorders>
            <w:shd w:val="clear" w:color="auto" w:fill="D9D9D9" w:themeFill="background1" w:themeFillShade="D9"/>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83,769</w:t>
            </w:r>
          </w:p>
        </w:tc>
        <w:tc>
          <w:tcPr>
            <w:tcW w:w="1300" w:type="dxa"/>
            <w:tcBorders>
              <w:top w:val="nil"/>
              <w:left w:val="nil"/>
              <w:bottom w:val="nil"/>
              <w:right w:val="single" w:sz="4" w:space="0" w:color="auto"/>
            </w:tcBorders>
            <w:shd w:val="clear" w:color="auto" w:fill="D9D9D9" w:themeFill="background1" w:themeFillShade="D9"/>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(83,769)</w:t>
            </w:r>
          </w:p>
        </w:tc>
        <w:tc>
          <w:tcPr>
            <w:tcW w:w="1240" w:type="dxa"/>
            <w:tcBorders>
              <w:top w:val="nil"/>
              <w:left w:val="nil"/>
              <w:bottom w:val="nil"/>
              <w:right w:val="single" w:sz="4" w:space="0" w:color="auto"/>
            </w:tcBorders>
            <w:shd w:val="clear" w:color="auto" w:fill="A6A6A6" w:themeFill="background1" w:themeFillShade="A6"/>
            <w:noWrap/>
            <w:vAlign w:val="bottom"/>
            <w:hideMark/>
          </w:tcPr>
          <w:p w:rsidR="00D06C0B" w:rsidRPr="009570E9" w:rsidRDefault="00D06C0B" w:rsidP="007A18E4">
            <w:pPr>
              <w:jc w:val="right"/>
              <w:rPr>
                <w:rFonts w:ascii="Calibri" w:hAnsi="Calibri"/>
                <w:b/>
                <w:bCs/>
                <w:color w:val="000000"/>
                <w:sz w:val="16"/>
                <w:szCs w:val="16"/>
              </w:rPr>
            </w:pPr>
            <w:r w:rsidRPr="009570E9">
              <w:rPr>
                <w:rFonts w:ascii="Calibri" w:hAnsi="Calibri"/>
                <w:b/>
                <w:bCs/>
                <w:color w:val="000000"/>
                <w:sz w:val="16"/>
                <w:szCs w:val="16"/>
              </w:rPr>
              <w:t>-</w:t>
            </w:r>
          </w:p>
        </w:tc>
      </w:tr>
      <w:tr w:rsidR="00D06C0B" w:rsidRPr="00B24FF2" w:rsidTr="009570E9">
        <w:trPr>
          <w:trHeight w:val="435"/>
        </w:trPr>
        <w:tc>
          <w:tcPr>
            <w:tcW w:w="3280" w:type="dxa"/>
            <w:tcBorders>
              <w:top w:val="single" w:sz="4" w:space="0" w:color="auto"/>
              <w:left w:val="single" w:sz="4" w:space="0" w:color="auto"/>
              <w:bottom w:val="single" w:sz="4" w:space="0" w:color="auto"/>
              <w:right w:val="nil"/>
            </w:tcBorders>
            <w:shd w:val="clear" w:color="auto" w:fill="FFFFFF" w:themeFill="background1"/>
            <w:vAlign w:val="bottom"/>
            <w:hideMark/>
          </w:tcPr>
          <w:p w:rsidR="00D06C0B" w:rsidRPr="009570E9" w:rsidRDefault="00D06C0B" w:rsidP="00DE7930">
            <w:pPr>
              <w:rPr>
                <w:rFonts w:ascii="Calibri" w:hAnsi="Calibri"/>
                <w:b/>
                <w:bCs/>
                <w:color w:val="000000"/>
                <w:sz w:val="16"/>
                <w:szCs w:val="16"/>
              </w:rPr>
            </w:pPr>
            <w:r w:rsidRPr="009570E9">
              <w:rPr>
                <w:rFonts w:ascii="Calibri" w:hAnsi="Calibri"/>
                <w:b/>
                <w:bCs/>
                <w:color w:val="000000"/>
                <w:sz w:val="16"/>
                <w:szCs w:val="16"/>
              </w:rPr>
              <w:t xml:space="preserve">Net </w:t>
            </w:r>
            <w:r w:rsidR="00DE7930">
              <w:rPr>
                <w:rFonts w:ascii="Calibri" w:hAnsi="Calibri"/>
                <w:b/>
                <w:bCs/>
                <w:color w:val="000000"/>
                <w:sz w:val="16"/>
                <w:szCs w:val="16"/>
              </w:rPr>
              <w:t>(</w:t>
            </w:r>
            <w:r w:rsidRPr="009570E9">
              <w:rPr>
                <w:rFonts w:ascii="Calibri" w:hAnsi="Calibri"/>
                <w:b/>
                <w:bCs/>
                <w:color w:val="000000"/>
                <w:sz w:val="16"/>
                <w:szCs w:val="16"/>
              </w:rPr>
              <w:t>Increase</w:t>
            </w:r>
            <w:r w:rsidR="00DE7930">
              <w:rPr>
                <w:rFonts w:ascii="Calibri" w:hAnsi="Calibri"/>
                <w:b/>
                <w:bCs/>
                <w:color w:val="000000"/>
                <w:sz w:val="16"/>
                <w:szCs w:val="16"/>
              </w:rPr>
              <w:t>)</w:t>
            </w:r>
            <w:r w:rsidRPr="009570E9">
              <w:rPr>
                <w:rFonts w:ascii="Calibri" w:hAnsi="Calibri"/>
                <w:b/>
                <w:bCs/>
                <w:color w:val="000000"/>
                <w:sz w:val="16"/>
                <w:szCs w:val="16"/>
              </w:rPr>
              <w:t>/Decrease before Transfers to Earmarked Reserves</w:t>
            </w:r>
          </w:p>
        </w:tc>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(39,244)</w:t>
            </w:r>
          </w:p>
        </w:tc>
        <w:tc>
          <w:tcPr>
            <w:tcW w:w="14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w:t>
            </w:r>
          </w:p>
        </w:tc>
        <w:tc>
          <w:tcPr>
            <w:tcW w:w="13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w:t>
            </w:r>
          </w:p>
        </w:tc>
        <w:tc>
          <w:tcPr>
            <w:tcW w:w="14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(2,896)</w:t>
            </w:r>
          </w:p>
        </w:tc>
        <w:tc>
          <w:tcPr>
            <w:tcW w:w="13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(2,125)</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(44,265)</w:t>
            </w:r>
          </w:p>
        </w:tc>
        <w:tc>
          <w:tcPr>
            <w:tcW w:w="13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(381,417)</w:t>
            </w:r>
          </w:p>
        </w:tc>
        <w:tc>
          <w:tcPr>
            <w:tcW w:w="1240"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D06C0B" w:rsidRPr="009570E9" w:rsidRDefault="00D06C0B" w:rsidP="007A18E4">
            <w:pPr>
              <w:jc w:val="right"/>
              <w:rPr>
                <w:rFonts w:ascii="Calibri" w:hAnsi="Calibri"/>
                <w:b/>
                <w:bCs/>
                <w:color w:val="000000"/>
                <w:sz w:val="16"/>
                <w:szCs w:val="16"/>
              </w:rPr>
            </w:pPr>
            <w:r w:rsidRPr="009570E9">
              <w:rPr>
                <w:rFonts w:ascii="Calibri" w:hAnsi="Calibri"/>
                <w:b/>
                <w:bCs/>
                <w:color w:val="000000"/>
                <w:sz w:val="16"/>
                <w:szCs w:val="16"/>
              </w:rPr>
              <w:t>(425,682)</w:t>
            </w:r>
          </w:p>
        </w:tc>
      </w:tr>
      <w:tr w:rsidR="00D06C0B" w:rsidRPr="00B24FF2" w:rsidTr="009570E9">
        <w:trPr>
          <w:trHeight w:val="258"/>
        </w:trPr>
        <w:tc>
          <w:tcPr>
            <w:tcW w:w="3280" w:type="dxa"/>
            <w:tcBorders>
              <w:top w:val="nil"/>
              <w:left w:val="single" w:sz="4" w:space="0" w:color="auto"/>
              <w:bottom w:val="nil"/>
              <w:right w:val="nil"/>
            </w:tcBorders>
            <w:shd w:val="clear" w:color="auto" w:fill="FFFFFF" w:themeFill="background1"/>
            <w:vAlign w:val="bottom"/>
            <w:hideMark/>
          </w:tcPr>
          <w:p w:rsidR="00D06C0B" w:rsidRPr="009570E9" w:rsidRDefault="00D06C0B" w:rsidP="007A18E4">
            <w:pPr>
              <w:rPr>
                <w:rFonts w:ascii="Calibri" w:hAnsi="Calibri"/>
                <w:color w:val="000000"/>
                <w:sz w:val="16"/>
                <w:szCs w:val="16"/>
              </w:rPr>
            </w:pPr>
            <w:r w:rsidRPr="009570E9">
              <w:rPr>
                <w:rFonts w:ascii="Calibri" w:hAnsi="Calibri"/>
                <w:color w:val="000000"/>
                <w:sz w:val="16"/>
                <w:szCs w:val="16"/>
              </w:rPr>
              <w:t>Transfers to/from Earmarked Reserves  (Note 11 and 12)</w:t>
            </w:r>
          </w:p>
        </w:tc>
        <w:tc>
          <w:tcPr>
            <w:tcW w:w="1480" w:type="dxa"/>
            <w:tcBorders>
              <w:top w:val="nil"/>
              <w:left w:val="single" w:sz="4" w:space="0" w:color="auto"/>
              <w:bottom w:val="nil"/>
              <w:right w:val="single" w:sz="4" w:space="0" w:color="auto"/>
            </w:tcBorders>
            <w:shd w:val="clear" w:color="auto" w:fill="FFFFFF" w:themeFill="background1"/>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54,094</w:t>
            </w:r>
          </w:p>
        </w:tc>
        <w:tc>
          <w:tcPr>
            <w:tcW w:w="1460" w:type="dxa"/>
            <w:tcBorders>
              <w:top w:val="nil"/>
              <w:left w:val="nil"/>
              <w:bottom w:val="nil"/>
              <w:right w:val="single" w:sz="4" w:space="0" w:color="auto"/>
            </w:tcBorders>
            <w:shd w:val="clear" w:color="auto" w:fill="FFFFFF" w:themeFill="background1"/>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(50,676)</w:t>
            </w:r>
          </w:p>
        </w:tc>
        <w:tc>
          <w:tcPr>
            <w:tcW w:w="1320" w:type="dxa"/>
            <w:tcBorders>
              <w:top w:val="nil"/>
              <w:left w:val="nil"/>
              <w:bottom w:val="nil"/>
              <w:right w:val="single" w:sz="4" w:space="0" w:color="auto"/>
            </w:tcBorders>
            <w:shd w:val="clear" w:color="auto" w:fill="FFFFFF" w:themeFill="background1"/>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(1,481)</w:t>
            </w:r>
          </w:p>
        </w:tc>
        <w:tc>
          <w:tcPr>
            <w:tcW w:w="1420" w:type="dxa"/>
            <w:tcBorders>
              <w:top w:val="nil"/>
              <w:left w:val="nil"/>
              <w:bottom w:val="nil"/>
              <w:right w:val="single" w:sz="4" w:space="0" w:color="auto"/>
            </w:tcBorders>
            <w:shd w:val="clear" w:color="auto" w:fill="FFFFFF" w:themeFill="background1"/>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(1,937)</w:t>
            </w:r>
          </w:p>
        </w:tc>
        <w:tc>
          <w:tcPr>
            <w:tcW w:w="1460" w:type="dxa"/>
            <w:tcBorders>
              <w:top w:val="nil"/>
              <w:left w:val="nil"/>
              <w:bottom w:val="nil"/>
              <w:right w:val="single" w:sz="4" w:space="0" w:color="auto"/>
            </w:tcBorders>
            <w:shd w:val="clear" w:color="auto" w:fill="FFFFFF" w:themeFill="background1"/>
            <w:noWrap/>
            <w:vAlign w:val="bottom"/>
            <w:hideMark/>
          </w:tcPr>
          <w:p w:rsidR="00D06C0B" w:rsidRPr="009570E9" w:rsidRDefault="00DC7184" w:rsidP="00DC7184">
            <w:pPr>
              <w:jc w:val="right"/>
              <w:rPr>
                <w:rFonts w:ascii="Calibri" w:hAnsi="Calibri"/>
                <w:color w:val="000000"/>
                <w:sz w:val="16"/>
                <w:szCs w:val="16"/>
              </w:rPr>
            </w:pPr>
            <w:r w:rsidRPr="009570E9">
              <w:rPr>
                <w:rFonts w:ascii="Calibri" w:hAnsi="Calibri"/>
                <w:color w:val="000000"/>
                <w:sz w:val="16"/>
                <w:szCs w:val="16"/>
              </w:rPr>
              <w:t>-</w:t>
            </w:r>
          </w:p>
        </w:tc>
        <w:tc>
          <w:tcPr>
            <w:tcW w:w="1360" w:type="dxa"/>
            <w:tcBorders>
              <w:top w:val="nil"/>
              <w:left w:val="nil"/>
              <w:bottom w:val="nil"/>
              <w:right w:val="single" w:sz="4" w:space="0" w:color="auto"/>
            </w:tcBorders>
            <w:shd w:val="clear" w:color="auto" w:fill="FFFFFF" w:themeFill="background1"/>
            <w:noWrap/>
            <w:vAlign w:val="bottom"/>
            <w:hideMark/>
          </w:tcPr>
          <w:p w:rsidR="00D06C0B" w:rsidRPr="009570E9" w:rsidRDefault="00DC7184" w:rsidP="00DC7184">
            <w:pPr>
              <w:jc w:val="right"/>
              <w:rPr>
                <w:rFonts w:ascii="Calibri" w:hAnsi="Calibri"/>
                <w:color w:val="000000"/>
                <w:sz w:val="16"/>
                <w:szCs w:val="16"/>
              </w:rPr>
            </w:pPr>
            <w:r w:rsidRPr="009570E9">
              <w:rPr>
                <w:rFonts w:ascii="Calibri" w:hAnsi="Calibri"/>
                <w:color w:val="000000"/>
                <w:sz w:val="16"/>
                <w:szCs w:val="16"/>
              </w:rPr>
              <w:t>-</w:t>
            </w:r>
          </w:p>
        </w:tc>
        <w:tc>
          <w:tcPr>
            <w:tcW w:w="1360" w:type="dxa"/>
            <w:tcBorders>
              <w:top w:val="nil"/>
              <w:left w:val="nil"/>
              <w:bottom w:val="nil"/>
              <w:right w:val="single" w:sz="4" w:space="0" w:color="auto"/>
            </w:tcBorders>
            <w:shd w:val="clear" w:color="auto" w:fill="D9D9D9" w:themeFill="background1" w:themeFillShade="D9"/>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w:t>
            </w:r>
          </w:p>
        </w:tc>
        <w:tc>
          <w:tcPr>
            <w:tcW w:w="1300" w:type="dxa"/>
            <w:tcBorders>
              <w:top w:val="nil"/>
              <w:left w:val="nil"/>
              <w:bottom w:val="nil"/>
              <w:right w:val="single" w:sz="4" w:space="0" w:color="auto"/>
            </w:tcBorders>
            <w:shd w:val="clear" w:color="auto" w:fill="D9D9D9" w:themeFill="background1" w:themeFillShade="D9"/>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w:t>
            </w:r>
          </w:p>
        </w:tc>
        <w:tc>
          <w:tcPr>
            <w:tcW w:w="1240" w:type="dxa"/>
            <w:tcBorders>
              <w:top w:val="nil"/>
              <w:left w:val="nil"/>
              <w:bottom w:val="nil"/>
              <w:right w:val="single" w:sz="4" w:space="0" w:color="auto"/>
            </w:tcBorders>
            <w:shd w:val="clear" w:color="auto" w:fill="A6A6A6" w:themeFill="background1" w:themeFillShade="A6"/>
            <w:noWrap/>
            <w:vAlign w:val="bottom"/>
            <w:hideMark/>
          </w:tcPr>
          <w:p w:rsidR="00D06C0B" w:rsidRPr="009570E9" w:rsidRDefault="00D06C0B" w:rsidP="007A18E4">
            <w:pPr>
              <w:jc w:val="right"/>
              <w:rPr>
                <w:rFonts w:ascii="Calibri" w:hAnsi="Calibri"/>
                <w:b/>
                <w:bCs/>
                <w:color w:val="000000"/>
                <w:sz w:val="16"/>
                <w:szCs w:val="16"/>
              </w:rPr>
            </w:pPr>
            <w:r w:rsidRPr="009570E9">
              <w:rPr>
                <w:rFonts w:ascii="Calibri" w:hAnsi="Calibri"/>
                <w:b/>
                <w:bCs/>
                <w:color w:val="000000"/>
                <w:sz w:val="16"/>
                <w:szCs w:val="16"/>
              </w:rPr>
              <w:t>-</w:t>
            </w:r>
          </w:p>
        </w:tc>
      </w:tr>
      <w:tr w:rsidR="00D06C0B" w:rsidRPr="00B24FF2" w:rsidTr="009570E9">
        <w:trPr>
          <w:trHeight w:val="300"/>
        </w:trPr>
        <w:tc>
          <w:tcPr>
            <w:tcW w:w="3280" w:type="dxa"/>
            <w:tcBorders>
              <w:top w:val="nil"/>
              <w:left w:val="single" w:sz="4" w:space="0" w:color="auto"/>
              <w:bottom w:val="nil"/>
              <w:right w:val="nil"/>
            </w:tcBorders>
            <w:shd w:val="clear" w:color="auto" w:fill="FFFFFF" w:themeFill="background1"/>
            <w:vAlign w:val="bottom"/>
            <w:hideMark/>
          </w:tcPr>
          <w:p w:rsidR="00D06C0B" w:rsidRPr="009570E9" w:rsidRDefault="00D06C0B" w:rsidP="007A18E4">
            <w:pPr>
              <w:rPr>
                <w:rFonts w:ascii="Calibri" w:hAnsi="Calibri"/>
                <w:color w:val="000000"/>
                <w:sz w:val="16"/>
                <w:szCs w:val="16"/>
              </w:rPr>
            </w:pPr>
            <w:r w:rsidRPr="009570E9">
              <w:rPr>
                <w:rFonts w:ascii="Calibri" w:hAnsi="Calibri"/>
                <w:color w:val="000000"/>
                <w:sz w:val="16"/>
                <w:szCs w:val="16"/>
              </w:rPr>
              <w:t>Other Movements</w:t>
            </w:r>
          </w:p>
        </w:tc>
        <w:tc>
          <w:tcPr>
            <w:tcW w:w="1480" w:type="dxa"/>
            <w:tcBorders>
              <w:top w:val="nil"/>
              <w:left w:val="single" w:sz="4" w:space="0" w:color="auto"/>
              <w:bottom w:val="nil"/>
              <w:right w:val="single" w:sz="4" w:space="0" w:color="auto"/>
            </w:tcBorders>
            <w:shd w:val="clear" w:color="auto" w:fill="FFFFFF" w:themeFill="background1"/>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69</w:t>
            </w:r>
          </w:p>
        </w:tc>
        <w:tc>
          <w:tcPr>
            <w:tcW w:w="1460" w:type="dxa"/>
            <w:tcBorders>
              <w:top w:val="nil"/>
              <w:left w:val="nil"/>
              <w:bottom w:val="nil"/>
              <w:right w:val="single" w:sz="4" w:space="0" w:color="auto"/>
            </w:tcBorders>
            <w:shd w:val="clear" w:color="auto" w:fill="FFFFFF" w:themeFill="background1"/>
            <w:noWrap/>
            <w:vAlign w:val="bottom"/>
            <w:hideMark/>
          </w:tcPr>
          <w:p w:rsidR="00D06C0B" w:rsidRPr="009570E9" w:rsidRDefault="00DC7184" w:rsidP="00DC7184">
            <w:pPr>
              <w:jc w:val="right"/>
              <w:rPr>
                <w:rFonts w:ascii="Calibri" w:hAnsi="Calibri"/>
                <w:color w:val="000000"/>
                <w:sz w:val="16"/>
                <w:szCs w:val="16"/>
              </w:rPr>
            </w:pPr>
            <w:r w:rsidRPr="009570E9">
              <w:rPr>
                <w:rFonts w:ascii="Calibri" w:hAnsi="Calibri"/>
                <w:color w:val="000000"/>
                <w:sz w:val="16"/>
                <w:szCs w:val="16"/>
              </w:rPr>
              <w:t>-</w:t>
            </w:r>
            <w:r w:rsidR="00D06C0B" w:rsidRPr="009570E9">
              <w:rPr>
                <w:rFonts w:ascii="Calibri" w:hAnsi="Calibri"/>
                <w:color w:val="000000"/>
                <w:sz w:val="16"/>
                <w:szCs w:val="16"/>
              </w:rPr>
              <w:t> </w:t>
            </w:r>
          </w:p>
        </w:tc>
        <w:tc>
          <w:tcPr>
            <w:tcW w:w="1320" w:type="dxa"/>
            <w:tcBorders>
              <w:top w:val="nil"/>
              <w:left w:val="nil"/>
              <w:bottom w:val="nil"/>
              <w:right w:val="single" w:sz="4" w:space="0" w:color="auto"/>
            </w:tcBorders>
            <w:shd w:val="clear" w:color="auto" w:fill="FFFFFF" w:themeFill="background1"/>
            <w:noWrap/>
            <w:vAlign w:val="bottom"/>
            <w:hideMark/>
          </w:tcPr>
          <w:p w:rsidR="00D06C0B" w:rsidRPr="009570E9" w:rsidRDefault="00DC7184" w:rsidP="00DC7184">
            <w:pPr>
              <w:jc w:val="right"/>
              <w:rPr>
                <w:rFonts w:ascii="Calibri" w:hAnsi="Calibri"/>
                <w:color w:val="000000"/>
                <w:sz w:val="16"/>
                <w:szCs w:val="16"/>
              </w:rPr>
            </w:pPr>
            <w:r w:rsidRPr="009570E9">
              <w:rPr>
                <w:rFonts w:ascii="Calibri" w:hAnsi="Calibri"/>
                <w:color w:val="000000"/>
                <w:sz w:val="16"/>
                <w:szCs w:val="16"/>
              </w:rPr>
              <w:t>-</w:t>
            </w:r>
          </w:p>
        </w:tc>
        <w:tc>
          <w:tcPr>
            <w:tcW w:w="1420" w:type="dxa"/>
            <w:tcBorders>
              <w:top w:val="nil"/>
              <w:left w:val="nil"/>
              <w:bottom w:val="nil"/>
              <w:right w:val="single" w:sz="4" w:space="0" w:color="auto"/>
            </w:tcBorders>
            <w:shd w:val="clear" w:color="auto" w:fill="FFFFFF" w:themeFill="background1"/>
            <w:noWrap/>
            <w:vAlign w:val="bottom"/>
            <w:hideMark/>
          </w:tcPr>
          <w:p w:rsidR="00D06C0B" w:rsidRPr="009570E9" w:rsidRDefault="00DC7184" w:rsidP="00DC7184">
            <w:pPr>
              <w:jc w:val="right"/>
              <w:rPr>
                <w:rFonts w:ascii="Calibri" w:hAnsi="Calibri"/>
                <w:color w:val="000000"/>
                <w:sz w:val="16"/>
                <w:szCs w:val="16"/>
              </w:rPr>
            </w:pPr>
            <w:r w:rsidRPr="009570E9">
              <w:rPr>
                <w:rFonts w:ascii="Calibri" w:hAnsi="Calibri"/>
                <w:color w:val="000000"/>
                <w:sz w:val="16"/>
                <w:szCs w:val="16"/>
              </w:rPr>
              <w:t>-</w:t>
            </w:r>
          </w:p>
        </w:tc>
        <w:tc>
          <w:tcPr>
            <w:tcW w:w="1460" w:type="dxa"/>
            <w:tcBorders>
              <w:top w:val="nil"/>
              <w:left w:val="nil"/>
              <w:bottom w:val="nil"/>
              <w:right w:val="single" w:sz="4" w:space="0" w:color="auto"/>
            </w:tcBorders>
            <w:shd w:val="clear" w:color="auto" w:fill="FFFFFF" w:themeFill="background1"/>
            <w:noWrap/>
            <w:vAlign w:val="bottom"/>
            <w:hideMark/>
          </w:tcPr>
          <w:p w:rsidR="00D06C0B" w:rsidRPr="009570E9" w:rsidRDefault="00DC7184" w:rsidP="00DC7184">
            <w:pPr>
              <w:jc w:val="right"/>
              <w:rPr>
                <w:rFonts w:ascii="Calibri" w:hAnsi="Calibri"/>
                <w:color w:val="000000"/>
                <w:sz w:val="16"/>
                <w:szCs w:val="16"/>
              </w:rPr>
            </w:pPr>
            <w:r w:rsidRPr="009570E9">
              <w:rPr>
                <w:rFonts w:ascii="Calibri" w:hAnsi="Calibri"/>
                <w:color w:val="000000"/>
                <w:sz w:val="16"/>
                <w:szCs w:val="16"/>
              </w:rPr>
              <w:t>-</w:t>
            </w:r>
          </w:p>
        </w:tc>
        <w:tc>
          <w:tcPr>
            <w:tcW w:w="1360" w:type="dxa"/>
            <w:tcBorders>
              <w:top w:val="nil"/>
              <w:left w:val="nil"/>
              <w:bottom w:val="nil"/>
              <w:right w:val="single" w:sz="4" w:space="0" w:color="auto"/>
            </w:tcBorders>
            <w:shd w:val="clear" w:color="auto" w:fill="FFFFFF" w:themeFill="background1"/>
            <w:noWrap/>
            <w:vAlign w:val="bottom"/>
            <w:hideMark/>
          </w:tcPr>
          <w:p w:rsidR="00D06C0B" w:rsidRPr="009570E9" w:rsidRDefault="00DC7184" w:rsidP="00DC7184">
            <w:pPr>
              <w:jc w:val="right"/>
              <w:rPr>
                <w:rFonts w:ascii="Calibri" w:hAnsi="Calibri"/>
                <w:color w:val="000000"/>
                <w:sz w:val="16"/>
                <w:szCs w:val="16"/>
              </w:rPr>
            </w:pPr>
            <w:r w:rsidRPr="009570E9">
              <w:rPr>
                <w:rFonts w:ascii="Calibri" w:hAnsi="Calibri"/>
                <w:color w:val="000000"/>
                <w:sz w:val="16"/>
                <w:szCs w:val="16"/>
              </w:rPr>
              <w:t>-</w:t>
            </w:r>
          </w:p>
        </w:tc>
        <w:tc>
          <w:tcPr>
            <w:tcW w:w="1360" w:type="dxa"/>
            <w:tcBorders>
              <w:top w:val="nil"/>
              <w:left w:val="nil"/>
              <w:bottom w:val="nil"/>
              <w:right w:val="single" w:sz="4" w:space="0" w:color="auto"/>
            </w:tcBorders>
            <w:shd w:val="clear" w:color="auto" w:fill="D9D9D9" w:themeFill="background1" w:themeFillShade="D9"/>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69</w:t>
            </w:r>
          </w:p>
        </w:tc>
        <w:tc>
          <w:tcPr>
            <w:tcW w:w="1300" w:type="dxa"/>
            <w:tcBorders>
              <w:top w:val="nil"/>
              <w:left w:val="nil"/>
              <w:bottom w:val="nil"/>
              <w:right w:val="single" w:sz="4" w:space="0" w:color="auto"/>
            </w:tcBorders>
            <w:shd w:val="clear" w:color="auto" w:fill="D9D9D9" w:themeFill="background1" w:themeFillShade="D9"/>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9,070</w:t>
            </w:r>
          </w:p>
        </w:tc>
        <w:tc>
          <w:tcPr>
            <w:tcW w:w="1240" w:type="dxa"/>
            <w:tcBorders>
              <w:top w:val="nil"/>
              <w:left w:val="nil"/>
              <w:bottom w:val="nil"/>
              <w:right w:val="single" w:sz="4" w:space="0" w:color="auto"/>
            </w:tcBorders>
            <w:shd w:val="clear" w:color="auto" w:fill="A6A6A6" w:themeFill="background1" w:themeFillShade="A6"/>
            <w:noWrap/>
            <w:vAlign w:val="bottom"/>
            <w:hideMark/>
          </w:tcPr>
          <w:p w:rsidR="00D06C0B" w:rsidRPr="009570E9" w:rsidRDefault="00D06C0B" w:rsidP="007A18E4">
            <w:pPr>
              <w:jc w:val="right"/>
              <w:rPr>
                <w:rFonts w:ascii="Calibri" w:hAnsi="Calibri"/>
                <w:b/>
                <w:bCs/>
                <w:color w:val="000000"/>
                <w:sz w:val="16"/>
                <w:szCs w:val="16"/>
              </w:rPr>
            </w:pPr>
            <w:r w:rsidRPr="009570E9">
              <w:rPr>
                <w:rFonts w:ascii="Calibri" w:hAnsi="Calibri"/>
                <w:b/>
                <w:bCs/>
                <w:color w:val="000000"/>
                <w:sz w:val="16"/>
                <w:szCs w:val="16"/>
              </w:rPr>
              <w:t>9,139</w:t>
            </w:r>
          </w:p>
        </w:tc>
      </w:tr>
      <w:tr w:rsidR="00D06C0B" w:rsidRPr="00B24FF2" w:rsidTr="009570E9">
        <w:trPr>
          <w:trHeight w:val="300"/>
        </w:trPr>
        <w:tc>
          <w:tcPr>
            <w:tcW w:w="3280" w:type="dxa"/>
            <w:tcBorders>
              <w:top w:val="single" w:sz="4" w:space="0" w:color="auto"/>
              <w:left w:val="single" w:sz="4" w:space="0" w:color="auto"/>
              <w:bottom w:val="single" w:sz="4" w:space="0" w:color="auto"/>
              <w:right w:val="nil"/>
            </w:tcBorders>
            <w:shd w:val="clear" w:color="auto" w:fill="FFFFFF" w:themeFill="background1"/>
            <w:vAlign w:val="bottom"/>
            <w:hideMark/>
          </w:tcPr>
          <w:p w:rsidR="00D06C0B" w:rsidRPr="009570E9" w:rsidRDefault="00DE7930" w:rsidP="007A18E4">
            <w:pPr>
              <w:rPr>
                <w:rFonts w:ascii="Calibri" w:hAnsi="Calibri"/>
                <w:b/>
                <w:bCs/>
                <w:color w:val="000000"/>
                <w:sz w:val="16"/>
                <w:szCs w:val="16"/>
              </w:rPr>
            </w:pPr>
            <w:r>
              <w:rPr>
                <w:rFonts w:ascii="Calibri" w:hAnsi="Calibri"/>
                <w:b/>
                <w:bCs/>
                <w:color w:val="000000"/>
                <w:sz w:val="16"/>
                <w:szCs w:val="16"/>
              </w:rPr>
              <w:t>(</w:t>
            </w:r>
            <w:r w:rsidR="00D06C0B" w:rsidRPr="009570E9">
              <w:rPr>
                <w:rFonts w:ascii="Calibri" w:hAnsi="Calibri"/>
                <w:b/>
                <w:bCs/>
                <w:color w:val="000000"/>
                <w:sz w:val="16"/>
                <w:szCs w:val="16"/>
              </w:rPr>
              <w:t>Increase</w:t>
            </w:r>
            <w:r>
              <w:rPr>
                <w:rFonts w:ascii="Calibri" w:hAnsi="Calibri"/>
                <w:b/>
                <w:bCs/>
                <w:color w:val="000000"/>
                <w:sz w:val="16"/>
                <w:szCs w:val="16"/>
              </w:rPr>
              <w:t>)</w:t>
            </w:r>
            <w:r w:rsidR="00D06C0B" w:rsidRPr="009570E9">
              <w:rPr>
                <w:rFonts w:ascii="Calibri" w:hAnsi="Calibri"/>
                <w:b/>
                <w:bCs/>
                <w:color w:val="000000"/>
                <w:sz w:val="16"/>
                <w:szCs w:val="16"/>
              </w:rPr>
              <w:t>/Decrease in Year</w:t>
            </w:r>
          </w:p>
        </w:tc>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14,919</w:t>
            </w:r>
          </w:p>
        </w:tc>
        <w:tc>
          <w:tcPr>
            <w:tcW w:w="14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(50,676)</w:t>
            </w:r>
          </w:p>
        </w:tc>
        <w:tc>
          <w:tcPr>
            <w:tcW w:w="13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(1,481)</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(1,937)</w:t>
            </w:r>
          </w:p>
        </w:tc>
        <w:tc>
          <w:tcPr>
            <w:tcW w:w="14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(2,896)</w:t>
            </w:r>
          </w:p>
        </w:tc>
        <w:tc>
          <w:tcPr>
            <w:tcW w:w="13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(2,125)</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(44,196)</w:t>
            </w:r>
          </w:p>
        </w:tc>
        <w:tc>
          <w:tcPr>
            <w:tcW w:w="13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(372,347)</w:t>
            </w:r>
          </w:p>
        </w:tc>
        <w:tc>
          <w:tcPr>
            <w:tcW w:w="1240"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D06C0B" w:rsidRPr="009570E9" w:rsidRDefault="00D06C0B" w:rsidP="007A18E4">
            <w:pPr>
              <w:jc w:val="right"/>
              <w:rPr>
                <w:rFonts w:ascii="Calibri" w:hAnsi="Calibri"/>
                <w:b/>
                <w:bCs/>
                <w:color w:val="000000"/>
                <w:sz w:val="16"/>
                <w:szCs w:val="16"/>
              </w:rPr>
            </w:pPr>
            <w:r w:rsidRPr="009570E9">
              <w:rPr>
                <w:rFonts w:ascii="Calibri" w:hAnsi="Calibri"/>
                <w:b/>
                <w:bCs/>
                <w:color w:val="000000"/>
                <w:sz w:val="16"/>
                <w:szCs w:val="16"/>
              </w:rPr>
              <w:t>(416,543)</w:t>
            </w:r>
          </w:p>
        </w:tc>
      </w:tr>
      <w:tr w:rsidR="00D06C0B" w:rsidRPr="00B24FF2" w:rsidTr="009570E9">
        <w:trPr>
          <w:trHeight w:val="300"/>
        </w:trPr>
        <w:tc>
          <w:tcPr>
            <w:tcW w:w="3280" w:type="dxa"/>
            <w:tcBorders>
              <w:top w:val="nil"/>
              <w:left w:val="single" w:sz="4" w:space="0" w:color="auto"/>
              <w:bottom w:val="nil"/>
              <w:right w:val="nil"/>
            </w:tcBorders>
            <w:shd w:val="clear" w:color="auto" w:fill="FFFFFF" w:themeFill="background1"/>
            <w:vAlign w:val="bottom"/>
            <w:hideMark/>
          </w:tcPr>
          <w:p w:rsidR="00D06C0B" w:rsidRPr="009570E9" w:rsidRDefault="00D06C0B" w:rsidP="007A18E4">
            <w:pPr>
              <w:rPr>
                <w:rFonts w:ascii="Calibri" w:hAnsi="Calibri"/>
                <w:color w:val="000000"/>
                <w:sz w:val="16"/>
                <w:szCs w:val="16"/>
              </w:rPr>
            </w:pPr>
            <w:r w:rsidRPr="009570E9">
              <w:rPr>
                <w:rFonts w:ascii="Calibri" w:hAnsi="Calibri"/>
                <w:color w:val="000000"/>
                <w:sz w:val="16"/>
                <w:szCs w:val="16"/>
              </w:rPr>
              <w:t> </w:t>
            </w:r>
          </w:p>
        </w:tc>
        <w:tc>
          <w:tcPr>
            <w:tcW w:w="1480" w:type="dxa"/>
            <w:tcBorders>
              <w:top w:val="nil"/>
              <w:left w:val="single" w:sz="4" w:space="0" w:color="auto"/>
              <w:bottom w:val="nil"/>
              <w:right w:val="single" w:sz="4" w:space="0" w:color="auto"/>
            </w:tcBorders>
            <w:shd w:val="clear" w:color="auto" w:fill="FFFFFF" w:themeFill="background1"/>
            <w:noWrap/>
            <w:vAlign w:val="bottom"/>
            <w:hideMark/>
          </w:tcPr>
          <w:p w:rsidR="00D06C0B" w:rsidRPr="009570E9" w:rsidRDefault="00D06C0B" w:rsidP="007A18E4">
            <w:pPr>
              <w:rPr>
                <w:rFonts w:ascii="Calibri" w:hAnsi="Calibri"/>
                <w:color w:val="000000"/>
                <w:sz w:val="16"/>
                <w:szCs w:val="16"/>
              </w:rPr>
            </w:pPr>
            <w:r w:rsidRPr="009570E9">
              <w:rPr>
                <w:rFonts w:ascii="Calibri" w:hAnsi="Calibri"/>
                <w:color w:val="000000"/>
                <w:sz w:val="16"/>
                <w:szCs w:val="16"/>
              </w:rPr>
              <w:t> </w:t>
            </w:r>
          </w:p>
        </w:tc>
        <w:tc>
          <w:tcPr>
            <w:tcW w:w="1460" w:type="dxa"/>
            <w:tcBorders>
              <w:top w:val="nil"/>
              <w:left w:val="nil"/>
              <w:bottom w:val="nil"/>
              <w:right w:val="single" w:sz="4" w:space="0" w:color="auto"/>
            </w:tcBorders>
            <w:shd w:val="clear" w:color="auto" w:fill="FFFFFF" w:themeFill="background1"/>
            <w:noWrap/>
            <w:vAlign w:val="bottom"/>
            <w:hideMark/>
          </w:tcPr>
          <w:p w:rsidR="00D06C0B" w:rsidRPr="009570E9" w:rsidRDefault="00D06C0B" w:rsidP="007A18E4">
            <w:pPr>
              <w:rPr>
                <w:rFonts w:ascii="Calibri" w:hAnsi="Calibri"/>
                <w:color w:val="000000"/>
                <w:sz w:val="16"/>
                <w:szCs w:val="16"/>
              </w:rPr>
            </w:pPr>
            <w:r w:rsidRPr="009570E9">
              <w:rPr>
                <w:rFonts w:ascii="Calibri" w:hAnsi="Calibri"/>
                <w:color w:val="000000"/>
                <w:sz w:val="16"/>
                <w:szCs w:val="16"/>
              </w:rPr>
              <w:t> </w:t>
            </w:r>
          </w:p>
        </w:tc>
        <w:tc>
          <w:tcPr>
            <w:tcW w:w="1320" w:type="dxa"/>
            <w:tcBorders>
              <w:top w:val="nil"/>
              <w:left w:val="nil"/>
              <w:bottom w:val="nil"/>
              <w:right w:val="single" w:sz="4" w:space="0" w:color="auto"/>
            </w:tcBorders>
            <w:shd w:val="clear" w:color="auto" w:fill="FFFFFF" w:themeFill="background1"/>
            <w:noWrap/>
            <w:vAlign w:val="bottom"/>
            <w:hideMark/>
          </w:tcPr>
          <w:p w:rsidR="00D06C0B" w:rsidRPr="009570E9" w:rsidRDefault="00D06C0B" w:rsidP="007A18E4">
            <w:pPr>
              <w:rPr>
                <w:rFonts w:ascii="Calibri" w:hAnsi="Calibri"/>
                <w:color w:val="000000"/>
                <w:sz w:val="16"/>
                <w:szCs w:val="16"/>
              </w:rPr>
            </w:pPr>
            <w:r w:rsidRPr="009570E9">
              <w:rPr>
                <w:rFonts w:ascii="Calibri" w:hAnsi="Calibri"/>
                <w:color w:val="000000"/>
                <w:sz w:val="16"/>
                <w:szCs w:val="16"/>
              </w:rPr>
              <w:t> </w:t>
            </w:r>
          </w:p>
        </w:tc>
        <w:tc>
          <w:tcPr>
            <w:tcW w:w="1420" w:type="dxa"/>
            <w:tcBorders>
              <w:top w:val="nil"/>
              <w:left w:val="nil"/>
              <w:bottom w:val="nil"/>
              <w:right w:val="single" w:sz="4" w:space="0" w:color="auto"/>
            </w:tcBorders>
            <w:shd w:val="clear" w:color="auto" w:fill="FFFFFF" w:themeFill="background1"/>
            <w:noWrap/>
            <w:vAlign w:val="bottom"/>
            <w:hideMark/>
          </w:tcPr>
          <w:p w:rsidR="00D06C0B" w:rsidRPr="009570E9" w:rsidRDefault="00D06C0B" w:rsidP="007A18E4">
            <w:pPr>
              <w:rPr>
                <w:rFonts w:ascii="Calibri" w:hAnsi="Calibri"/>
                <w:color w:val="000000"/>
                <w:sz w:val="16"/>
                <w:szCs w:val="16"/>
              </w:rPr>
            </w:pPr>
            <w:r w:rsidRPr="009570E9">
              <w:rPr>
                <w:rFonts w:ascii="Calibri" w:hAnsi="Calibri"/>
                <w:color w:val="000000"/>
                <w:sz w:val="16"/>
                <w:szCs w:val="16"/>
              </w:rPr>
              <w:t> </w:t>
            </w:r>
          </w:p>
        </w:tc>
        <w:tc>
          <w:tcPr>
            <w:tcW w:w="1460" w:type="dxa"/>
            <w:tcBorders>
              <w:top w:val="nil"/>
              <w:left w:val="nil"/>
              <w:bottom w:val="nil"/>
              <w:right w:val="single" w:sz="4" w:space="0" w:color="auto"/>
            </w:tcBorders>
            <w:shd w:val="clear" w:color="auto" w:fill="FFFFFF" w:themeFill="background1"/>
            <w:noWrap/>
            <w:vAlign w:val="bottom"/>
            <w:hideMark/>
          </w:tcPr>
          <w:p w:rsidR="00D06C0B" w:rsidRPr="009570E9" w:rsidRDefault="00D06C0B" w:rsidP="007A18E4">
            <w:pPr>
              <w:rPr>
                <w:rFonts w:ascii="Calibri" w:hAnsi="Calibri"/>
                <w:color w:val="000000"/>
                <w:sz w:val="16"/>
                <w:szCs w:val="16"/>
              </w:rPr>
            </w:pPr>
            <w:r w:rsidRPr="009570E9">
              <w:rPr>
                <w:rFonts w:ascii="Calibri" w:hAnsi="Calibri"/>
                <w:color w:val="000000"/>
                <w:sz w:val="16"/>
                <w:szCs w:val="16"/>
              </w:rPr>
              <w:t> </w:t>
            </w:r>
          </w:p>
        </w:tc>
        <w:tc>
          <w:tcPr>
            <w:tcW w:w="1360" w:type="dxa"/>
            <w:tcBorders>
              <w:top w:val="nil"/>
              <w:left w:val="nil"/>
              <w:bottom w:val="nil"/>
              <w:right w:val="single" w:sz="4" w:space="0" w:color="auto"/>
            </w:tcBorders>
            <w:shd w:val="clear" w:color="auto" w:fill="FFFFFF" w:themeFill="background1"/>
            <w:noWrap/>
            <w:vAlign w:val="bottom"/>
            <w:hideMark/>
          </w:tcPr>
          <w:p w:rsidR="00D06C0B" w:rsidRPr="009570E9" w:rsidRDefault="00D06C0B" w:rsidP="007A18E4">
            <w:pPr>
              <w:rPr>
                <w:rFonts w:ascii="Calibri" w:hAnsi="Calibri"/>
                <w:color w:val="000000"/>
                <w:sz w:val="16"/>
                <w:szCs w:val="16"/>
              </w:rPr>
            </w:pPr>
            <w:r w:rsidRPr="009570E9">
              <w:rPr>
                <w:rFonts w:ascii="Calibri" w:hAnsi="Calibri"/>
                <w:color w:val="000000"/>
                <w:sz w:val="16"/>
                <w:szCs w:val="16"/>
              </w:rPr>
              <w:t> </w:t>
            </w:r>
          </w:p>
        </w:tc>
        <w:tc>
          <w:tcPr>
            <w:tcW w:w="1360" w:type="dxa"/>
            <w:tcBorders>
              <w:top w:val="nil"/>
              <w:left w:val="nil"/>
              <w:bottom w:val="nil"/>
              <w:right w:val="single" w:sz="4" w:space="0" w:color="auto"/>
            </w:tcBorders>
            <w:shd w:val="clear" w:color="auto" w:fill="D9D9D9" w:themeFill="background1" w:themeFillShade="D9"/>
            <w:noWrap/>
            <w:vAlign w:val="bottom"/>
            <w:hideMark/>
          </w:tcPr>
          <w:p w:rsidR="00D06C0B" w:rsidRPr="009570E9" w:rsidRDefault="00D06C0B" w:rsidP="007A18E4">
            <w:pPr>
              <w:rPr>
                <w:rFonts w:ascii="Calibri" w:hAnsi="Calibri"/>
                <w:color w:val="000000"/>
                <w:sz w:val="16"/>
                <w:szCs w:val="16"/>
              </w:rPr>
            </w:pPr>
            <w:r w:rsidRPr="009570E9">
              <w:rPr>
                <w:rFonts w:ascii="Calibri" w:hAnsi="Calibri"/>
                <w:color w:val="000000"/>
                <w:sz w:val="16"/>
                <w:szCs w:val="16"/>
              </w:rPr>
              <w:t> </w:t>
            </w:r>
          </w:p>
        </w:tc>
        <w:tc>
          <w:tcPr>
            <w:tcW w:w="1300" w:type="dxa"/>
            <w:tcBorders>
              <w:top w:val="nil"/>
              <w:left w:val="nil"/>
              <w:bottom w:val="nil"/>
              <w:right w:val="single" w:sz="4" w:space="0" w:color="auto"/>
            </w:tcBorders>
            <w:shd w:val="clear" w:color="auto" w:fill="D9D9D9" w:themeFill="background1" w:themeFillShade="D9"/>
            <w:noWrap/>
            <w:vAlign w:val="bottom"/>
            <w:hideMark/>
          </w:tcPr>
          <w:p w:rsidR="00D06C0B" w:rsidRPr="009570E9" w:rsidRDefault="00D06C0B" w:rsidP="007A18E4">
            <w:pPr>
              <w:rPr>
                <w:rFonts w:ascii="Calibri" w:hAnsi="Calibri"/>
                <w:color w:val="000000"/>
                <w:sz w:val="16"/>
                <w:szCs w:val="16"/>
              </w:rPr>
            </w:pPr>
            <w:r w:rsidRPr="009570E9">
              <w:rPr>
                <w:rFonts w:ascii="Calibri" w:hAnsi="Calibri"/>
                <w:color w:val="000000"/>
                <w:sz w:val="16"/>
                <w:szCs w:val="16"/>
              </w:rPr>
              <w:t> </w:t>
            </w:r>
          </w:p>
        </w:tc>
        <w:tc>
          <w:tcPr>
            <w:tcW w:w="1240" w:type="dxa"/>
            <w:tcBorders>
              <w:top w:val="nil"/>
              <w:left w:val="nil"/>
              <w:bottom w:val="nil"/>
              <w:right w:val="single" w:sz="4" w:space="0" w:color="auto"/>
            </w:tcBorders>
            <w:shd w:val="clear" w:color="auto" w:fill="A6A6A6" w:themeFill="background1" w:themeFillShade="A6"/>
            <w:noWrap/>
            <w:vAlign w:val="bottom"/>
            <w:hideMark/>
          </w:tcPr>
          <w:p w:rsidR="00D06C0B" w:rsidRPr="009570E9" w:rsidRDefault="00D06C0B" w:rsidP="007A18E4">
            <w:pPr>
              <w:rPr>
                <w:rFonts w:ascii="Calibri" w:hAnsi="Calibri"/>
                <w:b/>
                <w:bCs/>
                <w:color w:val="000000"/>
                <w:sz w:val="16"/>
                <w:szCs w:val="16"/>
              </w:rPr>
            </w:pPr>
            <w:r w:rsidRPr="009570E9">
              <w:rPr>
                <w:rFonts w:ascii="Calibri" w:hAnsi="Calibri"/>
                <w:b/>
                <w:bCs/>
                <w:color w:val="000000"/>
                <w:sz w:val="16"/>
                <w:szCs w:val="16"/>
              </w:rPr>
              <w:t> </w:t>
            </w:r>
          </w:p>
        </w:tc>
      </w:tr>
      <w:tr w:rsidR="00D06C0B" w:rsidRPr="00B24FF2" w:rsidTr="009570E9">
        <w:trPr>
          <w:trHeight w:val="615"/>
        </w:trPr>
        <w:tc>
          <w:tcPr>
            <w:tcW w:w="3280" w:type="dxa"/>
            <w:tcBorders>
              <w:top w:val="single" w:sz="4" w:space="0" w:color="auto"/>
              <w:left w:val="single" w:sz="4" w:space="0" w:color="auto"/>
              <w:bottom w:val="single" w:sz="8" w:space="0" w:color="auto"/>
              <w:right w:val="nil"/>
            </w:tcBorders>
            <w:shd w:val="clear" w:color="auto" w:fill="FFFFFF" w:themeFill="background1"/>
            <w:vAlign w:val="bottom"/>
            <w:hideMark/>
          </w:tcPr>
          <w:p w:rsidR="00D06C0B" w:rsidRPr="009570E9" w:rsidRDefault="00D06C0B" w:rsidP="007A18E4">
            <w:pPr>
              <w:rPr>
                <w:rFonts w:ascii="Calibri" w:hAnsi="Calibri"/>
                <w:b/>
                <w:bCs/>
                <w:color w:val="000000"/>
                <w:sz w:val="16"/>
                <w:szCs w:val="16"/>
              </w:rPr>
            </w:pPr>
            <w:r w:rsidRPr="009570E9">
              <w:rPr>
                <w:rFonts w:ascii="Calibri" w:hAnsi="Calibri"/>
                <w:b/>
                <w:bCs/>
                <w:color w:val="000000"/>
                <w:sz w:val="16"/>
                <w:szCs w:val="16"/>
              </w:rPr>
              <w:t>Balance at 31st March 2011 Carried Forward</w:t>
            </w:r>
          </w:p>
        </w:tc>
        <w:tc>
          <w:tcPr>
            <w:tcW w:w="1480" w:type="dxa"/>
            <w:tcBorders>
              <w:top w:val="single" w:sz="4" w:space="0" w:color="auto"/>
              <w:left w:val="single" w:sz="4" w:space="0" w:color="auto"/>
              <w:bottom w:val="single" w:sz="8" w:space="0" w:color="auto"/>
              <w:right w:val="single" w:sz="4" w:space="0" w:color="auto"/>
            </w:tcBorders>
            <w:shd w:val="clear" w:color="auto" w:fill="FFFFFF" w:themeFill="background1"/>
            <w:noWrap/>
            <w:vAlign w:val="bottom"/>
            <w:hideMark/>
          </w:tcPr>
          <w:p w:rsidR="00D06C0B" w:rsidRPr="009570E9" w:rsidRDefault="00D06C0B" w:rsidP="00D27354">
            <w:pPr>
              <w:jc w:val="right"/>
              <w:rPr>
                <w:rFonts w:ascii="Calibri" w:hAnsi="Calibri"/>
                <w:color w:val="000000"/>
                <w:sz w:val="16"/>
                <w:szCs w:val="16"/>
              </w:rPr>
            </w:pPr>
            <w:r w:rsidRPr="009570E9">
              <w:rPr>
                <w:rFonts w:ascii="Calibri" w:hAnsi="Calibri"/>
                <w:color w:val="000000"/>
                <w:sz w:val="16"/>
                <w:szCs w:val="16"/>
              </w:rPr>
              <w:t>(41,92</w:t>
            </w:r>
            <w:r w:rsidR="00D27354">
              <w:rPr>
                <w:rFonts w:ascii="Calibri" w:hAnsi="Calibri"/>
                <w:color w:val="000000"/>
                <w:sz w:val="16"/>
                <w:szCs w:val="16"/>
              </w:rPr>
              <w:t>6</w:t>
            </w:r>
            <w:r w:rsidRPr="009570E9">
              <w:rPr>
                <w:rFonts w:ascii="Calibri" w:hAnsi="Calibri"/>
                <w:color w:val="000000"/>
                <w:sz w:val="16"/>
                <w:szCs w:val="16"/>
              </w:rPr>
              <w:t>)</w:t>
            </w:r>
          </w:p>
        </w:tc>
        <w:tc>
          <w:tcPr>
            <w:tcW w:w="1460" w:type="dxa"/>
            <w:tcBorders>
              <w:top w:val="single" w:sz="4" w:space="0" w:color="auto"/>
              <w:left w:val="nil"/>
              <w:bottom w:val="single" w:sz="8" w:space="0" w:color="auto"/>
              <w:right w:val="single" w:sz="4" w:space="0" w:color="auto"/>
            </w:tcBorders>
            <w:shd w:val="clear" w:color="auto" w:fill="FFFFFF" w:themeFill="background1"/>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(185,815)</w:t>
            </w:r>
          </w:p>
        </w:tc>
        <w:tc>
          <w:tcPr>
            <w:tcW w:w="1320" w:type="dxa"/>
            <w:tcBorders>
              <w:top w:val="single" w:sz="4" w:space="0" w:color="auto"/>
              <w:left w:val="nil"/>
              <w:bottom w:val="single" w:sz="8" w:space="0" w:color="auto"/>
              <w:right w:val="single" w:sz="4" w:space="0" w:color="auto"/>
            </w:tcBorders>
            <w:shd w:val="clear" w:color="auto" w:fill="FFFFFF" w:themeFill="background1"/>
            <w:noWrap/>
            <w:vAlign w:val="bottom"/>
            <w:hideMark/>
          </w:tcPr>
          <w:p w:rsidR="00D06C0B" w:rsidRPr="009570E9" w:rsidRDefault="00D06C0B" w:rsidP="00D27354">
            <w:pPr>
              <w:jc w:val="right"/>
              <w:rPr>
                <w:rFonts w:ascii="Calibri" w:hAnsi="Calibri"/>
                <w:color w:val="000000"/>
                <w:sz w:val="16"/>
                <w:szCs w:val="16"/>
              </w:rPr>
            </w:pPr>
            <w:r w:rsidRPr="009570E9">
              <w:rPr>
                <w:rFonts w:ascii="Calibri" w:hAnsi="Calibri"/>
                <w:color w:val="000000"/>
                <w:sz w:val="16"/>
                <w:szCs w:val="16"/>
              </w:rPr>
              <w:t>(3,71</w:t>
            </w:r>
            <w:r w:rsidR="00D27354">
              <w:rPr>
                <w:rFonts w:ascii="Calibri" w:hAnsi="Calibri"/>
                <w:color w:val="000000"/>
                <w:sz w:val="16"/>
                <w:szCs w:val="16"/>
              </w:rPr>
              <w:t>6</w:t>
            </w:r>
            <w:r w:rsidRPr="009570E9">
              <w:rPr>
                <w:rFonts w:ascii="Calibri" w:hAnsi="Calibri"/>
                <w:color w:val="000000"/>
                <w:sz w:val="16"/>
                <w:szCs w:val="16"/>
              </w:rPr>
              <w:t>)</w:t>
            </w:r>
          </w:p>
        </w:tc>
        <w:tc>
          <w:tcPr>
            <w:tcW w:w="1420" w:type="dxa"/>
            <w:tcBorders>
              <w:top w:val="single" w:sz="4" w:space="0" w:color="auto"/>
              <w:left w:val="nil"/>
              <w:bottom w:val="single" w:sz="8" w:space="0" w:color="auto"/>
              <w:right w:val="single" w:sz="4" w:space="0" w:color="auto"/>
            </w:tcBorders>
            <w:shd w:val="clear" w:color="auto" w:fill="FFFFFF" w:themeFill="background1"/>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(11,79</w:t>
            </w:r>
            <w:r w:rsidR="00D27354">
              <w:rPr>
                <w:rFonts w:ascii="Calibri" w:hAnsi="Calibri"/>
                <w:color w:val="000000"/>
                <w:sz w:val="16"/>
                <w:szCs w:val="16"/>
              </w:rPr>
              <w:t>2</w:t>
            </w:r>
            <w:r w:rsidRPr="009570E9">
              <w:rPr>
                <w:rFonts w:ascii="Calibri" w:hAnsi="Calibri"/>
                <w:color w:val="000000"/>
                <w:sz w:val="16"/>
                <w:szCs w:val="16"/>
              </w:rPr>
              <w:t>)</w:t>
            </w:r>
          </w:p>
        </w:tc>
        <w:tc>
          <w:tcPr>
            <w:tcW w:w="1460" w:type="dxa"/>
            <w:tcBorders>
              <w:top w:val="single" w:sz="4" w:space="0" w:color="auto"/>
              <w:left w:val="nil"/>
              <w:bottom w:val="single" w:sz="8" w:space="0" w:color="auto"/>
              <w:right w:val="single" w:sz="4" w:space="0" w:color="auto"/>
            </w:tcBorders>
            <w:shd w:val="clear" w:color="auto" w:fill="FFFFFF" w:themeFill="background1"/>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(24,144)</w:t>
            </w:r>
          </w:p>
        </w:tc>
        <w:tc>
          <w:tcPr>
            <w:tcW w:w="1360" w:type="dxa"/>
            <w:tcBorders>
              <w:top w:val="single" w:sz="4" w:space="0" w:color="auto"/>
              <w:left w:val="nil"/>
              <w:bottom w:val="single" w:sz="8" w:space="0" w:color="auto"/>
              <w:right w:val="single" w:sz="4" w:space="0" w:color="auto"/>
            </w:tcBorders>
            <w:shd w:val="clear" w:color="auto" w:fill="FFFFFF" w:themeFill="background1"/>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(58,662)</w:t>
            </w:r>
          </w:p>
        </w:tc>
        <w:tc>
          <w:tcPr>
            <w:tcW w:w="1360" w:type="dxa"/>
            <w:tcBorders>
              <w:top w:val="single" w:sz="4" w:space="0" w:color="auto"/>
              <w:left w:val="nil"/>
              <w:bottom w:val="single" w:sz="8" w:space="0" w:color="auto"/>
              <w:right w:val="single" w:sz="4" w:space="0" w:color="auto"/>
            </w:tcBorders>
            <w:shd w:val="clear" w:color="auto" w:fill="D9D9D9" w:themeFill="background1" w:themeFillShade="D9"/>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(326,05</w:t>
            </w:r>
            <w:r w:rsidR="00D27354">
              <w:rPr>
                <w:rFonts w:ascii="Calibri" w:hAnsi="Calibri"/>
                <w:color w:val="000000"/>
                <w:sz w:val="16"/>
                <w:szCs w:val="16"/>
              </w:rPr>
              <w:t>4</w:t>
            </w:r>
            <w:r w:rsidRPr="009570E9">
              <w:rPr>
                <w:rFonts w:ascii="Calibri" w:hAnsi="Calibri"/>
                <w:color w:val="000000"/>
                <w:sz w:val="16"/>
                <w:szCs w:val="16"/>
              </w:rPr>
              <w:t>)</w:t>
            </w:r>
          </w:p>
        </w:tc>
        <w:tc>
          <w:tcPr>
            <w:tcW w:w="1300" w:type="dxa"/>
            <w:tcBorders>
              <w:top w:val="single" w:sz="4" w:space="0" w:color="auto"/>
              <w:left w:val="nil"/>
              <w:bottom w:val="single" w:sz="8" w:space="0" w:color="auto"/>
              <w:right w:val="single" w:sz="4" w:space="0" w:color="auto"/>
            </w:tcBorders>
            <w:shd w:val="clear" w:color="auto" w:fill="D9D9D9" w:themeFill="background1" w:themeFillShade="D9"/>
            <w:noWrap/>
            <w:vAlign w:val="bottom"/>
            <w:hideMark/>
          </w:tcPr>
          <w:p w:rsidR="00D06C0B" w:rsidRPr="009570E9" w:rsidRDefault="00D06C0B" w:rsidP="007A18E4">
            <w:pPr>
              <w:jc w:val="right"/>
              <w:rPr>
                <w:rFonts w:ascii="Calibri" w:hAnsi="Calibri"/>
                <w:color w:val="000000"/>
                <w:sz w:val="16"/>
                <w:szCs w:val="16"/>
              </w:rPr>
            </w:pPr>
            <w:r w:rsidRPr="009570E9">
              <w:rPr>
                <w:rFonts w:ascii="Calibri" w:hAnsi="Calibri"/>
                <w:color w:val="000000"/>
                <w:sz w:val="16"/>
                <w:szCs w:val="16"/>
              </w:rPr>
              <w:t>(796,800)</w:t>
            </w:r>
          </w:p>
        </w:tc>
        <w:tc>
          <w:tcPr>
            <w:tcW w:w="1240" w:type="dxa"/>
            <w:tcBorders>
              <w:top w:val="single" w:sz="4" w:space="0" w:color="auto"/>
              <w:left w:val="nil"/>
              <w:bottom w:val="single" w:sz="8" w:space="0" w:color="auto"/>
              <w:right w:val="single" w:sz="4" w:space="0" w:color="auto"/>
            </w:tcBorders>
            <w:shd w:val="clear" w:color="auto" w:fill="A6A6A6" w:themeFill="background1" w:themeFillShade="A6"/>
            <w:noWrap/>
            <w:vAlign w:val="bottom"/>
            <w:hideMark/>
          </w:tcPr>
          <w:p w:rsidR="00D06C0B" w:rsidRPr="009570E9" w:rsidRDefault="00D27354" w:rsidP="007A18E4">
            <w:pPr>
              <w:jc w:val="right"/>
              <w:rPr>
                <w:rFonts w:ascii="Calibri" w:hAnsi="Calibri"/>
                <w:color w:val="000000"/>
                <w:sz w:val="16"/>
                <w:szCs w:val="16"/>
              </w:rPr>
            </w:pPr>
            <w:r>
              <w:rPr>
                <w:rFonts w:ascii="Calibri" w:hAnsi="Calibri"/>
                <w:color w:val="000000"/>
                <w:sz w:val="16"/>
                <w:szCs w:val="16"/>
              </w:rPr>
              <w:t>(1,122,854</w:t>
            </w:r>
            <w:r w:rsidR="00D06C0B" w:rsidRPr="009570E9">
              <w:rPr>
                <w:rFonts w:ascii="Calibri" w:hAnsi="Calibri"/>
                <w:color w:val="000000"/>
                <w:sz w:val="16"/>
                <w:szCs w:val="16"/>
              </w:rPr>
              <w:t>)</w:t>
            </w:r>
          </w:p>
        </w:tc>
      </w:tr>
    </w:tbl>
    <w:p w:rsidR="00D06C0B" w:rsidRPr="00286C0E" w:rsidRDefault="00D06C0B" w:rsidP="001B7A50">
      <w:pPr>
        <w:spacing w:after="240"/>
        <w:jc w:val="both"/>
        <w:rPr>
          <w:b/>
          <w:highlight w:val="yellow"/>
        </w:rPr>
        <w:sectPr w:rsidR="00D06C0B" w:rsidRPr="00286C0E" w:rsidSect="003018D5">
          <w:pgSz w:w="16838" w:h="11906" w:orient="landscape" w:code="9"/>
          <w:pgMar w:top="720" w:right="720" w:bottom="720" w:left="720" w:header="709" w:footer="709" w:gutter="0"/>
          <w:cols w:space="708"/>
          <w:docGrid w:linePitch="360"/>
        </w:sectPr>
      </w:pPr>
    </w:p>
    <w:tbl>
      <w:tblPr>
        <w:tblW w:w="5000" w:type="pct"/>
        <w:tblLook w:val="0000"/>
      </w:tblPr>
      <w:tblGrid>
        <w:gridCol w:w="10682"/>
      </w:tblGrid>
      <w:tr w:rsidR="006658C3" w:rsidRPr="007545B3" w:rsidTr="00C323B5">
        <w:trPr>
          <w:trHeight w:hRule="exact" w:val="480"/>
        </w:trPr>
        <w:tc>
          <w:tcPr>
            <w:tcW w:w="5000" w:type="pct"/>
          </w:tcPr>
          <w:p w:rsidR="006658C3" w:rsidRPr="007545B3" w:rsidRDefault="00035B99" w:rsidP="002F1EB5">
            <w:pPr>
              <w:pStyle w:val="Footer"/>
              <w:tabs>
                <w:tab w:val="clear" w:pos="4153"/>
                <w:tab w:val="clear" w:pos="8306"/>
              </w:tabs>
              <w:rPr>
                <w:sz w:val="18"/>
              </w:rPr>
            </w:pPr>
            <w:r w:rsidRPr="007545B3">
              <w:rPr>
                <w:b/>
              </w:rPr>
              <w:lastRenderedPageBreak/>
              <w:t xml:space="preserve">Comprehensive </w:t>
            </w:r>
            <w:r w:rsidR="00C323B5" w:rsidRPr="007545B3">
              <w:rPr>
                <w:b/>
              </w:rPr>
              <w:t xml:space="preserve">Income and </w:t>
            </w:r>
            <w:r w:rsidR="002F1EB5" w:rsidRPr="007545B3">
              <w:rPr>
                <w:b/>
              </w:rPr>
              <w:t>E</w:t>
            </w:r>
            <w:r w:rsidR="00C64115" w:rsidRPr="007545B3">
              <w:rPr>
                <w:b/>
              </w:rPr>
              <w:t xml:space="preserve">xpenditure </w:t>
            </w:r>
            <w:r w:rsidR="002F1EB5" w:rsidRPr="007545B3">
              <w:rPr>
                <w:b/>
              </w:rPr>
              <w:t>S</w:t>
            </w:r>
            <w:r w:rsidRPr="007545B3">
              <w:rPr>
                <w:b/>
              </w:rPr>
              <w:t>tatement</w:t>
            </w:r>
          </w:p>
        </w:tc>
      </w:tr>
    </w:tbl>
    <w:p w:rsidR="006A74DD" w:rsidRPr="007545B3" w:rsidRDefault="006A74DD" w:rsidP="00C323B5">
      <w:pPr>
        <w:jc w:val="both"/>
      </w:pPr>
      <w:r w:rsidRPr="007545B3">
        <w:t>This statement shows the accounting cost in year of providing services in accordance with generally accepted practices, rather than the amount to be funded from taxation. Authorities raise taxation to cover expenditure in accordance with regulations; this may be different from accounting costs. The taxation is shown in the Movement in Reserves Statement.</w:t>
      </w:r>
    </w:p>
    <w:p w:rsidR="00674851" w:rsidRPr="007545B3" w:rsidRDefault="00674851" w:rsidP="00C64115"/>
    <w:tbl>
      <w:tblPr>
        <w:tblW w:w="10523" w:type="dxa"/>
        <w:tblLayout w:type="fixed"/>
        <w:tblLook w:val="04A0"/>
      </w:tblPr>
      <w:tblGrid>
        <w:gridCol w:w="3063"/>
        <w:gridCol w:w="1267"/>
        <w:gridCol w:w="141"/>
        <w:gridCol w:w="1126"/>
        <w:gridCol w:w="1126"/>
        <w:gridCol w:w="281"/>
        <w:gridCol w:w="1126"/>
        <w:gridCol w:w="282"/>
        <w:gridCol w:w="985"/>
        <w:gridCol w:w="1126"/>
      </w:tblGrid>
      <w:tr w:rsidR="006658C3" w:rsidRPr="007545B3" w:rsidTr="00D1374B">
        <w:trPr>
          <w:trHeight w:val="277"/>
        </w:trPr>
        <w:tc>
          <w:tcPr>
            <w:tcW w:w="3063" w:type="dxa"/>
            <w:tcBorders>
              <w:top w:val="nil"/>
              <w:left w:val="nil"/>
              <w:bottom w:val="nil"/>
              <w:right w:val="nil"/>
            </w:tcBorders>
            <w:shd w:val="clear" w:color="auto" w:fill="auto"/>
            <w:noWrap/>
            <w:vAlign w:val="bottom"/>
            <w:hideMark/>
          </w:tcPr>
          <w:p w:rsidR="006658C3" w:rsidRPr="007545B3" w:rsidRDefault="006658C3" w:rsidP="006658C3">
            <w:pPr>
              <w:rPr>
                <w:color w:val="000000"/>
                <w:sz w:val="20"/>
                <w:szCs w:val="20"/>
              </w:rPr>
            </w:pPr>
          </w:p>
        </w:tc>
        <w:tc>
          <w:tcPr>
            <w:tcW w:w="1267" w:type="dxa"/>
            <w:tcBorders>
              <w:top w:val="nil"/>
              <w:left w:val="single" w:sz="4" w:space="0" w:color="auto"/>
              <w:bottom w:val="nil"/>
              <w:right w:val="nil"/>
            </w:tcBorders>
            <w:shd w:val="clear" w:color="000000" w:fill="D8D8D8"/>
            <w:hideMark/>
          </w:tcPr>
          <w:p w:rsidR="006658C3" w:rsidRPr="007545B3" w:rsidRDefault="0023689B" w:rsidP="006658C3">
            <w:pPr>
              <w:jc w:val="center"/>
              <w:rPr>
                <w:b/>
                <w:bCs/>
                <w:sz w:val="20"/>
                <w:szCs w:val="20"/>
              </w:rPr>
            </w:pPr>
            <w:r w:rsidRPr="007545B3">
              <w:rPr>
                <w:b/>
                <w:bCs/>
                <w:sz w:val="20"/>
                <w:szCs w:val="20"/>
              </w:rPr>
              <w:t>2011/12</w:t>
            </w:r>
          </w:p>
        </w:tc>
        <w:tc>
          <w:tcPr>
            <w:tcW w:w="1267" w:type="dxa"/>
            <w:gridSpan w:val="2"/>
            <w:tcBorders>
              <w:top w:val="nil"/>
              <w:left w:val="nil"/>
              <w:bottom w:val="nil"/>
              <w:right w:val="nil"/>
            </w:tcBorders>
            <w:shd w:val="clear" w:color="000000" w:fill="D8D8D8"/>
            <w:hideMark/>
          </w:tcPr>
          <w:p w:rsidR="006658C3" w:rsidRPr="007545B3" w:rsidRDefault="0023689B" w:rsidP="006658C3">
            <w:pPr>
              <w:jc w:val="center"/>
              <w:rPr>
                <w:b/>
                <w:bCs/>
                <w:sz w:val="20"/>
                <w:szCs w:val="20"/>
              </w:rPr>
            </w:pPr>
            <w:r w:rsidRPr="007545B3">
              <w:rPr>
                <w:b/>
                <w:bCs/>
                <w:sz w:val="20"/>
                <w:szCs w:val="20"/>
              </w:rPr>
              <w:t>2011/12</w:t>
            </w:r>
          </w:p>
        </w:tc>
        <w:tc>
          <w:tcPr>
            <w:tcW w:w="1126" w:type="dxa"/>
            <w:tcBorders>
              <w:top w:val="nil"/>
              <w:left w:val="nil"/>
              <w:bottom w:val="nil"/>
              <w:right w:val="single" w:sz="4" w:space="0" w:color="auto"/>
            </w:tcBorders>
            <w:shd w:val="clear" w:color="000000" w:fill="D8D8D8"/>
            <w:hideMark/>
          </w:tcPr>
          <w:p w:rsidR="006658C3" w:rsidRPr="007545B3" w:rsidRDefault="006658C3" w:rsidP="0023689B">
            <w:pPr>
              <w:jc w:val="center"/>
              <w:rPr>
                <w:b/>
                <w:bCs/>
                <w:sz w:val="20"/>
                <w:szCs w:val="20"/>
              </w:rPr>
            </w:pPr>
            <w:r w:rsidRPr="007545B3">
              <w:rPr>
                <w:b/>
                <w:bCs/>
                <w:sz w:val="20"/>
                <w:szCs w:val="20"/>
              </w:rPr>
              <w:t>201</w:t>
            </w:r>
            <w:r w:rsidR="0023689B" w:rsidRPr="007545B3">
              <w:rPr>
                <w:b/>
                <w:bCs/>
                <w:sz w:val="20"/>
                <w:szCs w:val="20"/>
              </w:rPr>
              <w:t>1</w:t>
            </w:r>
            <w:r w:rsidRPr="007545B3">
              <w:rPr>
                <w:b/>
                <w:bCs/>
                <w:sz w:val="20"/>
                <w:szCs w:val="20"/>
              </w:rPr>
              <w:t>/1</w:t>
            </w:r>
            <w:r w:rsidR="0023689B" w:rsidRPr="007545B3">
              <w:rPr>
                <w:b/>
                <w:bCs/>
                <w:sz w:val="20"/>
                <w:szCs w:val="20"/>
              </w:rPr>
              <w:t>2</w:t>
            </w:r>
          </w:p>
        </w:tc>
        <w:tc>
          <w:tcPr>
            <w:tcW w:w="281" w:type="dxa"/>
            <w:tcBorders>
              <w:top w:val="nil"/>
              <w:left w:val="nil"/>
              <w:bottom w:val="nil"/>
              <w:right w:val="nil"/>
            </w:tcBorders>
            <w:shd w:val="clear" w:color="auto" w:fill="auto"/>
            <w:hideMark/>
          </w:tcPr>
          <w:p w:rsidR="006658C3" w:rsidRPr="007545B3" w:rsidRDefault="006658C3" w:rsidP="006658C3">
            <w:pPr>
              <w:jc w:val="center"/>
              <w:rPr>
                <w:b/>
                <w:bCs/>
                <w:sz w:val="20"/>
                <w:szCs w:val="20"/>
              </w:rPr>
            </w:pPr>
          </w:p>
        </w:tc>
        <w:tc>
          <w:tcPr>
            <w:tcW w:w="1126" w:type="dxa"/>
            <w:tcBorders>
              <w:top w:val="nil"/>
              <w:left w:val="single" w:sz="4" w:space="0" w:color="auto"/>
              <w:bottom w:val="nil"/>
              <w:right w:val="nil"/>
            </w:tcBorders>
            <w:shd w:val="clear" w:color="000000" w:fill="D8D8D8"/>
            <w:hideMark/>
          </w:tcPr>
          <w:p w:rsidR="006658C3" w:rsidRPr="007545B3" w:rsidRDefault="0023689B" w:rsidP="0023689B">
            <w:pPr>
              <w:jc w:val="center"/>
              <w:rPr>
                <w:b/>
                <w:bCs/>
                <w:sz w:val="20"/>
                <w:szCs w:val="20"/>
              </w:rPr>
            </w:pPr>
            <w:r w:rsidRPr="007545B3">
              <w:rPr>
                <w:b/>
                <w:bCs/>
                <w:sz w:val="20"/>
                <w:szCs w:val="20"/>
              </w:rPr>
              <w:t>2010</w:t>
            </w:r>
            <w:r w:rsidR="006658C3" w:rsidRPr="007545B3">
              <w:rPr>
                <w:b/>
                <w:bCs/>
                <w:sz w:val="20"/>
                <w:szCs w:val="20"/>
              </w:rPr>
              <w:t>/1</w:t>
            </w:r>
            <w:r w:rsidRPr="007545B3">
              <w:rPr>
                <w:b/>
                <w:bCs/>
                <w:sz w:val="20"/>
                <w:szCs w:val="20"/>
              </w:rPr>
              <w:t>1</w:t>
            </w:r>
          </w:p>
        </w:tc>
        <w:tc>
          <w:tcPr>
            <w:tcW w:w="1267" w:type="dxa"/>
            <w:gridSpan w:val="2"/>
            <w:tcBorders>
              <w:top w:val="nil"/>
              <w:left w:val="nil"/>
              <w:bottom w:val="nil"/>
              <w:right w:val="nil"/>
            </w:tcBorders>
            <w:shd w:val="clear" w:color="000000" w:fill="D8D8D8"/>
            <w:hideMark/>
          </w:tcPr>
          <w:p w:rsidR="006658C3" w:rsidRPr="007545B3" w:rsidRDefault="006658C3" w:rsidP="0023689B">
            <w:pPr>
              <w:jc w:val="center"/>
              <w:rPr>
                <w:b/>
                <w:bCs/>
                <w:sz w:val="20"/>
                <w:szCs w:val="20"/>
              </w:rPr>
            </w:pPr>
            <w:r w:rsidRPr="007545B3">
              <w:rPr>
                <w:b/>
                <w:bCs/>
                <w:sz w:val="20"/>
                <w:szCs w:val="20"/>
              </w:rPr>
              <w:t>20</w:t>
            </w:r>
            <w:r w:rsidR="0023689B" w:rsidRPr="007545B3">
              <w:rPr>
                <w:b/>
                <w:bCs/>
                <w:sz w:val="20"/>
                <w:szCs w:val="20"/>
              </w:rPr>
              <w:t>10</w:t>
            </w:r>
            <w:r w:rsidRPr="007545B3">
              <w:rPr>
                <w:b/>
                <w:bCs/>
                <w:sz w:val="20"/>
                <w:szCs w:val="20"/>
              </w:rPr>
              <w:t>/1</w:t>
            </w:r>
            <w:r w:rsidR="0023689B" w:rsidRPr="007545B3">
              <w:rPr>
                <w:b/>
                <w:bCs/>
                <w:sz w:val="20"/>
                <w:szCs w:val="20"/>
              </w:rPr>
              <w:t>1</w:t>
            </w:r>
          </w:p>
        </w:tc>
        <w:tc>
          <w:tcPr>
            <w:tcW w:w="1126" w:type="dxa"/>
            <w:tcBorders>
              <w:top w:val="nil"/>
              <w:left w:val="nil"/>
              <w:bottom w:val="nil"/>
              <w:right w:val="single" w:sz="4" w:space="0" w:color="auto"/>
            </w:tcBorders>
            <w:shd w:val="clear" w:color="000000" w:fill="D8D8D8"/>
            <w:hideMark/>
          </w:tcPr>
          <w:p w:rsidR="006658C3" w:rsidRPr="007545B3" w:rsidRDefault="006658C3" w:rsidP="0023689B">
            <w:pPr>
              <w:jc w:val="center"/>
              <w:rPr>
                <w:b/>
                <w:bCs/>
                <w:sz w:val="20"/>
                <w:szCs w:val="20"/>
              </w:rPr>
            </w:pPr>
            <w:r w:rsidRPr="007545B3">
              <w:rPr>
                <w:b/>
                <w:bCs/>
                <w:sz w:val="20"/>
                <w:szCs w:val="20"/>
              </w:rPr>
              <w:t>20</w:t>
            </w:r>
            <w:r w:rsidR="0023689B" w:rsidRPr="007545B3">
              <w:rPr>
                <w:b/>
                <w:bCs/>
                <w:sz w:val="20"/>
                <w:szCs w:val="20"/>
              </w:rPr>
              <w:t>10</w:t>
            </w:r>
            <w:r w:rsidRPr="007545B3">
              <w:rPr>
                <w:b/>
                <w:bCs/>
                <w:sz w:val="20"/>
                <w:szCs w:val="20"/>
              </w:rPr>
              <w:t>/1</w:t>
            </w:r>
            <w:r w:rsidR="0023689B" w:rsidRPr="007545B3">
              <w:rPr>
                <w:b/>
                <w:bCs/>
                <w:sz w:val="20"/>
                <w:szCs w:val="20"/>
              </w:rPr>
              <w:t>1</w:t>
            </w:r>
          </w:p>
        </w:tc>
      </w:tr>
      <w:tr w:rsidR="006658C3" w:rsidRPr="007545B3" w:rsidTr="00D1374B">
        <w:trPr>
          <w:trHeight w:val="277"/>
        </w:trPr>
        <w:tc>
          <w:tcPr>
            <w:tcW w:w="3063" w:type="dxa"/>
            <w:tcBorders>
              <w:top w:val="nil"/>
              <w:left w:val="nil"/>
              <w:bottom w:val="nil"/>
              <w:right w:val="nil"/>
            </w:tcBorders>
            <w:shd w:val="clear" w:color="auto" w:fill="auto"/>
            <w:noWrap/>
            <w:vAlign w:val="bottom"/>
            <w:hideMark/>
          </w:tcPr>
          <w:p w:rsidR="006658C3" w:rsidRPr="007545B3" w:rsidRDefault="006658C3" w:rsidP="006658C3">
            <w:pPr>
              <w:rPr>
                <w:color w:val="000000"/>
                <w:sz w:val="20"/>
                <w:szCs w:val="20"/>
              </w:rPr>
            </w:pPr>
          </w:p>
        </w:tc>
        <w:tc>
          <w:tcPr>
            <w:tcW w:w="1267" w:type="dxa"/>
            <w:tcBorders>
              <w:top w:val="nil"/>
              <w:left w:val="single" w:sz="4" w:space="0" w:color="auto"/>
              <w:bottom w:val="nil"/>
              <w:right w:val="nil"/>
            </w:tcBorders>
            <w:shd w:val="clear" w:color="000000" w:fill="D8D8D8"/>
            <w:hideMark/>
          </w:tcPr>
          <w:p w:rsidR="006658C3" w:rsidRPr="007545B3" w:rsidRDefault="006658C3" w:rsidP="006658C3">
            <w:pPr>
              <w:jc w:val="center"/>
              <w:rPr>
                <w:b/>
                <w:bCs/>
                <w:sz w:val="20"/>
                <w:szCs w:val="20"/>
              </w:rPr>
            </w:pPr>
            <w:r w:rsidRPr="007545B3">
              <w:rPr>
                <w:b/>
                <w:bCs/>
                <w:sz w:val="20"/>
                <w:szCs w:val="20"/>
              </w:rPr>
              <w:t>Gross</w:t>
            </w:r>
          </w:p>
        </w:tc>
        <w:tc>
          <w:tcPr>
            <w:tcW w:w="1267" w:type="dxa"/>
            <w:gridSpan w:val="2"/>
            <w:tcBorders>
              <w:top w:val="nil"/>
              <w:left w:val="nil"/>
              <w:bottom w:val="nil"/>
              <w:right w:val="nil"/>
            </w:tcBorders>
            <w:shd w:val="clear" w:color="000000" w:fill="D8D8D8"/>
            <w:hideMark/>
          </w:tcPr>
          <w:p w:rsidR="006658C3" w:rsidRPr="007545B3" w:rsidRDefault="006658C3" w:rsidP="006658C3">
            <w:pPr>
              <w:jc w:val="center"/>
              <w:rPr>
                <w:b/>
                <w:bCs/>
                <w:sz w:val="20"/>
                <w:szCs w:val="20"/>
              </w:rPr>
            </w:pPr>
            <w:r w:rsidRPr="007545B3">
              <w:rPr>
                <w:b/>
                <w:bCs/>
                <w:sz w:val="20"/>
                <w:szCs w:val="20"/>
              </w:rPr>
              <w:t>Gross</w:t>
            </w:r>
          </w:p>
        </w:tc>
        <w:tc>
          <w:tcPr>
            <w:tcW w:w="1126" w:type="dxa"/>
            <w:tcBorders>
              <w:top w:val="nil"/>
              <w:left w:val="nil"/>
              <w:bottom w:val="nil"/>
              <w:right w:val="single" w:sz="4" w:space="0" w:color="auto"/>
            </w:tcBorders>
            <w:shd w:val="clear" w:color="000000" w:fill="D8D8D8"/>
            <w:hideMark/>
          </w:tcPr>
          <w:p w:rsidR="006658C3" w:rsidRPr="007545B3" w:rsidRDefault="006658C3" w:rsidP="006658C3">
            <w:pPr>
              <w:rPr>
                <w:sz w:val="20"/>
                <w:szCs w:val="20"/>
              </w:rPr>
            </w:pPr>
            <w:r w:rsidRPr="007545B3">
              <w:rPr>
                <w:sz w:val="20"/>
                <w:szCs w:val="20"/>
              </w:rPr>
              <w:t> </w:t>
            </w:r>
          </w:p>
        </w:tc>
        <w:tc>
          <w:tcPr>
            <w:tcW w:w="281" w:type="dxa"/>
            <w:tcBorders>
              <w:top w:val="nil"/>
              <w:left w:val="nil"/>
              <w:bottom w:val="nil"/>
              <w:right w:val="nil"/>
            </w:tcBorders>
            <w:shd w:val="clear" w:color="auto" w:fill="auto"/>
            <w:hideMark/>
          </w:tcPr>
          <w:p w:rsidR="006658C3" w:rsidRPr="007545B3" w:rsidRDefault="006658C3" w:rsidP="006658C3">
            <w:pPr>
              <w:jc w:val="center"/>
              <w:rPr>
                <w:b/>
                <w:bCs/>
                <w:sz w:val="20"/>
                <w:szCs w:val="20"/>
              </w:rPr>
            </w:pPr>
          </w:p>
        </w:tc>
        <w:tc>
          <w:tcPr>
            <w:tcW w:w="1126" w:type="dxa"/>
            <w:tcBorders>
              <w:top w:val="nil"/>
              <w:left w:val="single" w:sz="4" w:space="0" w:color="auto"/>
              <w:bottom w:val="nil"/>
              <w:right w:val="nil"/>
            </w:tcBorders>
            <w:shd w:val="clear" w:color="000000" w:fill="D8D8D8"/>
            <w:hideMark/>
          </w:tcPr>
          <w:p w:rsidR="006658C3" w:rsidRPr="007545B3" w:rsidRDefault="006658C3" w:rsidP="006658C3">
            <w:pPr>
              <w:jc w:val="center"/>
              <w:rPr>
                <w:b/>
                <w:bCs/>
                <w:sz w:val="20"/>
                <w:szCs w:val="20"/>
              </w:rPr>
            </w:pPr>
            <w:r w:rsidRPr="007545B3">
              <w:rPr>
                <w:b/>
                <w:bCs/>
                <w:sz w:val="20"/>
                <w:szCs w:val="20"/>
              </w:rPr>
              <w:t>Gross</w:t>
            </w:r>
          </w:p>
        </w:tc>
        <w:tc>
          <w:tcPr>
            <w:tcW w:w="1267" w:type="dxa"/>
            <w:gridSpan w:val="2"/>
            <w:tcBorders>
              <w:top w:val="nil"/>
              <w:left w:val="nil"/>
              <w:bottom w:val="nil"/>
              <w:right w:val="nil"/>
            </w:tcBorders>
            <w:shd w:val="clear" w:color="000000" w:fill="D8D8D8"/>
            <w:hideMark/>
          </w:tcPr>
          <w:p w:rsidR="006658C3" w:rsidRPr="007545B3" w:rsidRDefault="006658C3" w:rsidP="006658C3">
            <w:pPr>
              <w:jc w:val="center"/>
              <w:rPr>
                <w:b/>
                <w:bCs/>
                <w:sz w:val="20"/>
                <w:szCs w:val="20"/>
              </w:rPr>
            </w:pPr>
            <w:r w:rsidRPr="007545B3">
              <w:rPr>
                <w:b/>
                <w:bCs/>
                <w:sz w:val="20"/>
                <w:szCs w:val="20"/>
              </w:rPr>
              <w:t>Gross</w:t>
            </w:r>
          </w:p>
        </w:tc>
        <w:tc>
          <w:tcPr>
            <w:tcW w:w="1126" w:type="dxa"/>
            <w:tcBorders>
              <w:top w:val="nil"/>
              <w:left w:val="nil"/>
              <w:bottom w:val="nil"/>
              <w:right w:val="single" w:sz="4" w:space="0" w:color="auto"/>
            </w:tcBorders>
            <w:shd w:val="clear" w:color="000000" w:fill="D8D8D8"/>
            <w:hideMark/>
          </w:tcPr>
          <w:p w:rsidR="006658C3" w:rsidRPr="007545B3" w:rsidRDefault="006658C3" w:rsidP="006658C3">
            <w:pPr>
              <w:rPr>
                <w:sz w:val="20"/>
                <w:szCs w:val="20"/>
              </w:rPr>
            </w:pPr>
            <w:r w:rsidRPr="007545B3">
              <w:rPr>
                <w:sz w:val="20"/>
                <w:szCs w:val="20"/>
              </w:rPr>
              <w:t> </w:t>
            </w:r>
          </w:p>
        </w:tc>
      </w:tr>
      <w:tr w:rsidR="006658C3" w:rsidRPr="007545B3" w:rsidTr="00B47868">
        <w:trPr>
          <w:trHeight w:val="283"/>
        </w:trPr>
        <w:tc>
          <w:tcPr>
            <w:tcW w:w="3063" w:type="dxa"/>
            <w:tcBorders>
              <w:top w:val="nil"/>
              <w:left w:val="nil"/>
              <w:bottom w:val="nil"/>
              <w:right w:val="nil"/>
            </w:tcBorders>
            <w:shd w:val="clear" w:color="auto" w:fill="auto"/>
            <w:noWrap/>
            <w:vAlign w:val="bottom"/>
            <w:hideMark/>
          </w:tcPr>
          <w:p w:rsidR="006658C3" w:rsidRPr="007545B3" w:rsidRDefault="006658C3" w:rsidP="006658C3">
            <w:pPr>
              <w:rPr>
                <w:color w:val="000000"/>
                <w:sz w:val="20"/>
                <w:szCs w:val="20"/>
              </w:rPr>
            </w:pPr>
          </w:p>
        </w:tc>
        <w:tc>
          <w:tcPr>
            <w:tcW w:w="1408" w:type="dxa"/>
            <w:gridSpan w:val="2"/>
            <w:tcBorders>
              <w:top w:val="nil"/>
              <w:left w:val="single" w:sz="4" w:space="0" w:color="auto"/>
              <w:bottom w:val="nil"/>
              <w:right w:val="nil"/>
            </w:tcBorders>
            <w:shd w:val="clear" w:color="000000" w:fill="D8D8D8"/>
            <w:hideMark/>
          </w:tcPr>
          <w:p w:rsidR="006658C3" w:rsidRPr="007545B3" w:rsidRDefault="002D74DC" w:rsidP="006658C3">
            <w:pPr>
              <w:jc w:val="center"/>
              <w:rPr>
                <w:b/>
                <w:bCs/>
                <w:sz w:val="20"/>
                <w:szCs w:val="20"/>
              </w:rPr>
            </w:pPr>
            <w:r>
              <w:rPr>
                <w:b/>
                <w:bCs/>
                <w:sz w:val="20"/>
                <w:szCs w:val="20"/>
              </w:rPr>
              <w:t>E</w:t>
            </w:r>
            <w:r w:rsidR="006658C3" w:rsidRPr="007545B3">
              <w:rPr>
                <w:b/>
                <w:bCs/>
                <w:sz w:val="20"/>
                <w:szCs w:val="20"/>
              </w:rPr>
              <w:t>xpenditure</w:t>
            </w:r>
          </w:p>
        </w:tc>
        <w:tc>
          <w:tcPr>
            <w:tcW w:w="1126" w:type="dxa"/>
            <w:tcBorders>
              <w:top w:val="nil"/>
              <w:left w:val="nil"/>
              <w:bottom w:val="nil"/>
              <w:right w:val="nil"/>
            </w:tcBorders>
            <w:shd w:val="clear" w:color="000000" w:fill="D8D8D8"/>
            <w:hideMark/>
          </w:tcPr>
          <w:p w:rsidR="006658C3" w:rsidRPr="007545B3" w:rsidRDefault="006658C3" w:rsidP="006658C3">
            <w:pPr>
              <w:jc w:val="center"/>
              <w:rPr>
                <w:b/>
                <w:bCs/>
                <w:sz w:val="20"/>
                <w:szCs w:val="20"/>
              </w:rPr>
            </w:pPr>
            <w:r w:rsidRPr="007545B3">
              <w:rPr>
                <w:b/>
                <w:bCs/>
                <w:sz w:val="20"/>
                <w:szCs w:val="20"/>
              </w:rPr>
              <w:t>Income</w:t>
            </w:r>
          </w:p>
        </w:tc>
        <w:tc>
          <w:tcPr>
            <w:tcW w:w="1126" w:type="dxa"/>
            <w:tcBorders>
              <w:top w:val="nil"/>
              <w:left w:val="nil"/>
              <w:bottom w:val="nil"/>
              <w:right w:val="single" w:sz="4" w:space="0" w:color="auto"/>
            </w:tcBorders>
            <w:shd w:val="clear" w:color="000000" w:fill="D8D8D8"/>
            <w:hideMark/>
          </w:tcPr>
          <w:p w:rsidR="006658C3" w:rsidRPr="007545B3" w:rsidRDefault="006658C3" w:rsidP="006658C3">
            <w:pPr>
              <w:jc w:val="center"/>
              <w:rPr>
                <w:b/>
                <w:bCs/>
                <w:sz w:val="20"/>
                <w:szCs w:val="20"/>
              </w:rPr>
            </w:pPr>
            <w:r w:rsidRPr="007545B3">
              <w:rPr>
                <w:b/>
                <w:bCs/>
                <w:sz w:val="20"/>
                <w:szCs w:val="20"/>
              </w:rPr>
              <w:t>Net</w:t>
            </w:r>
          </w:p>
        </w:tc>
        <w:tc>
          <w:tcPr>
            <w:tcW w:w="281" w:type="dxa"/>
            <w:tcBorders>
              <w:top w:val="nil"/>
              <w:left w:val="nil"/>
              <w:bottom w:val="nil"/>
              <w:right w:val="nil"/>
            </w:tcBorders>
            <w:shd w:val="clear" w:color="auto" w:fill="auto"/>
            <w:hideMark/>
          </w:tcPr>
          <w:p w:rsidR="006658C3" w:rsidRPr="007545B3" w:rsidRDefault="006658C3" w:rsidP="006658C3">
            <w:pPr>
              <w:jc w:val="center"/>
              <w:rPr>
                <w:b/>
                <w:bCs/>
                <w:sz w:val="20"/>
                <w:szCs w:val="20"/>
              </w:rPr>
            </w:pPr>
          </w:p>
        </w:tc>
        <w:tc>
          <w:tcPr>
            <w:tcW w:w="1408" w:type="dxa"/>
            <w:gridSpan w:val="2"/>
            <w:tcBorders>
              <w:top w:val="nil"/>
              <w:left w:val="single" w:sz="4" w:space="0" w:color="auto"/>
              <w:bottom w:val="nil"/>
              <w:right w:val="nil"/>
            </w:tcBorders>
            <w:shd w:val="clear" w:color="000000" w:fill="D8D8D8"/>
            <w:hideMark/>
          </w:tcPr>
          <w:p w:rsidR="006658C3" w:rsidRPr="007545B3" w:rsidRDefault="002D74DC" w:rsidP="002D5F3B">
            <w:pPr>
              <w:rPr>
                <w:b/>
                <w:bCs/>
                <w:sz w:val="20"/>
                <w:szCs w:val="20"/>
              </w:rPr>
            </w:pPr>
            <w:r>
              <w:rPr>
                <w:b/>
                <w:bCs/>
                <w:sz w:val="20"/>
                <w:szCs w:val="20"/>
              </w:rPr>
              <w:t>E</w:t>
            </w:r>
            <w:r w:rsidR="006658C3" w:rsidRPr="007545B3">
              <w:rPr>
                <w:b/>
                <w:bCs/>
                <w:sz w:val="20"/>
                <w:szCs w:val="20"/>
              </w:rPr>
              <w:t>xpenditure</w:t>
            </w:r>
          </w:p>
        </w:tc>
        <w:tc>
          <w:tcPr>
            <w:tcW w:w="985" w:type="dxa"/>
            <w:tcBorders>
              <w:top w:val="nil"/>
              <w:left w:val="nil"/>
              <w:bottom w:val="nil"/>
              <w:right w:val="nil"/>
            </w:tcBorders>
            <w:shd w:val="clear" w:color="000000" w:fill="D8D8D8"/>
            <w:hideMark/>
          </w:tcPr>
          <w:p w:rsidR="006658C3" w:rsidRPr="007545B3" w:rsidRDefault="006658C3" w:rsidP="002D5F3B">
            <w:pPr>
              <w:rPr>
                <w:b/>
                <w:bCs/>
                <w:sz w:val="20"/>
                <w:szCs w:val="20"/>
              </w:rPr>
            </w:pPr>
            <w:r w:rsidRPr="007545B3">
              <w:rPr>
                <w:b/>
                <w:bCs/>
                <w:sz w:val="20"/>
                <w:szCs w:val="20"/>
              </w:rPr>
              <w:t>Income</w:t>
            </w:r>
          </w:p>
        </w:tc>
        <w:tc>
          <w:tcPr>
            <w:tcW w:w="1126" w:type="dxa"/>
            <w:tcBorders>
              <w:top w:val="nil"/>
              <w:left w:val="nil"/>
              <w:bottom w:val="nil"/>
              <w:right w:val="single" w:sz="4" w:space="0" w:color="auto"/>
            </w:tcBorders>
            <w:shd w:val="clear" w:color="000000" w:fill="D8D8D8"/>
            <w:hideMark/>
          </w:tcPr>
          <w:p w:rsidR="006658C3" w:rsidRPr="007545B3" w:rsidRDefault="006658C3" w:rsidP="006658C3">
            <w:pPr>
              <w:jc w:val="center"/>
              <w:rPr>
                <w:b/>
                <w:bCs/>
                <w:sz w:val="20"/>
                <w:szCs w:val="20"/>
              </w:rPr>
            </w:pPr>
            <w:r w:rsidRPr="007545B3">
              <w:rPr>
                <w:b/>
                <w:bCs/>
                <w:sz w:val="20"/>
                <w:szCs w:val="20"/>
              </w:rPr>
              <w:t>Net</w:t>
            </w:r>
          </w:p>
        </w:tc>
      </w:tr>
      <w:tr w:rsidR="006658C3" w:rsidRPr="007545B3" w:rsidTr="00D1374B">
        <w:trPr>
          <w:trHeight w:val="277"/>
        </w:trPr>
        <w:tc>
          <w:tcPr>
            <w:tcW w:w="3063" w:type="dxa"/>
            <w:tcBorders>
              <w:top w:val="nil"/>
              <w:left w:val="nil"/>
              <w:bottom w:val="nil"/>
              <w:right w:val="nil"/>
            </w:tcBorders>
            <w:shd w:val="clear" w:color="auto" w:fill="auto"/>
            <w:noWrap/>
            <w:vAlign w:val="bottom"/>
            <w:hideMark/>
          </w:tcPr>
          <w:p w:rsidR="006658C3" w:rsidRPr="007545B3" w:rsidRDefault="006658C3" w:rsidP="006658C3">
            <w:pPr>
              <w:rPr>
                <w:color w:val="000000"/>
                <w:sz w:val="20"/>
                <w:szCs w:val="20"/>
              </w:rPr>
            </w:pPr>
          </w:p>
        </w:tc>
        <w:tc>
          <w:tcPr>
            <w:tcW w:w="1267" w:type="dxa"/>
            <w:tcBorders>
              <w:top w:val="nil"/>
              <w:left w:val="single" w:sz="4" w:space="0" w:color="auto"/>
              <w:bottom w:val="nil"/>
              <w:right w:val="nil"/>
            </w:tcBorders>
            <w:shd w:val="clear" w:color="000000" w:fill="D8D8D8"/>
            <w:hideMark/>
          </w:tcPr>
          <w:p w:rsidR="006658C3" w:rsidRPr="007545B3" w:rsidRDefault="006658C3" w:rsidP="006658C3">
            <w:pPr>
              <w:jc w:val="center"/>
              <w:rPr>
                <w:b/>
                <w:bCs/>
                <w:sz w:val="20"/>
                <w:szCs w:val="20"/>
              </w:rPr>
            </w:pPr>
            <w:r w:rsidRPr="007545B3">
              <w:rPr>
                <w:b/>
                <w:bCs/>
                <w:sz w:val="20"/>
                <w:szCs w:val="20"/>
              </w:rPr>
              <w:t>£000</w:t>
            </w:r>
          </w:p>
        </w:tc>
        <w:tc>
          <w:tcPr>
            <w:tcW w:w="1267" w:type="dxa"/>
            <w:gridSpan w:val="2"/>
            <w:tcBorders>
              <w:top w:val="nil"/>
              <w:left w:val="nil"/>
              <w:bottom w:val="nil"/>
              <w:right w:val="nil"/>
            </w:tcBorders>
            <w:shd w:val="clear" w:color="000000" w:fill="D8D8D8"/>
            <w:hideMark/>
          </w:tcPr>
          <w:p w:rsidR="006658C3" w:rsidRPr="007545B3" w:rsidRDefault="006658C3" w:rsidP="006658C3">
            <w:pPr>
              <w:jc w:val="center"/>
              <w:rPr>
                <w:b/>
                <w:bCs/>
                <w:sz w:val="20"/>
                <w:szCs w:val="20"/>
              </w:rPr>
            </w:pPr>
            <w:r w:rsidRPr="007545B3">
              <w:rPr>
                <w:b/>
                <w:bCs/>
                <w:sz w:val="20"/>
                <w:szCs w:val="20"/>
              </w:rPr>
              <w:t>£000</w:t>
            </w:r>
          </w:p>
        </w:tc>
        <w:tc>
          <w:tcPr>
            <w:tcW w:w="1126" w:type="dxa"/>
            <w:tcBorders>
              <w:top w:val="nil"/>
              <w:left w:val="nil"/>
              <w:bottom w:val="nil"/>
              <w:right w:val="single" w:sz="4" w:space="0" w:color="auto"/>
            </w:tcBorders>
            <w:shd w:val="clear" w:color="000000" w:fill="D8D8D8"/>
            <w:hideMark/>
          </w:tcPr>
          <w:p w:rsidR="006658C3" w:rsidRPr="007545B3" w:rsidRDefault="006658C3" w:rsidP="006658C3">
            <w:pPr>
              <w:jc w:val="center"/>
              <w:rPr>
                <w:b/>
                <w:bCs/>
                <w:sz w:val="20"/>
                <w:szCs w:val="20"/>
              </w:rPr>
            </w:pPr>
            <w:r w:rsidRPr="007545B3">
              <w:rPr>
                <w:b/>
                <w:bCs/>
                <w:sz w:val="20"/>
                <w:szCs w:val="20"/>
              </w:rPr>
              <w:t>£000</w:t>
            </w:r>
          </w:p>
        </w:tc>
        <w:tc>
          <w:tcPr>
            <w:tcW w:w="281" w:type="dxa"/>
            <w:tcBorders>
              <w:top w:val="nil"/>
              <w:left w:val="nil"/>
              <w:bottom w:val="nil"/>
              <w:right w:val="nil"/>
            </w:tcBorders>
            <w:shd w:val="clear" w:color="auto" w:fill="auto"/>
            <w:hideMark/>
          </w:tcPr>
          <w:p w:rsidR="006658C3" w:rsidRPr="007545B3" w:rsidRDefault="006658C3" w:rsidP="006658C3">
            <w:pPr>
              <w:jc w:val="center"/>
              <w:rPr>
                <w:b/>
                <w:bCs/>
                <w:sz w:val="20"/>
                <w:szCs w:val="20"/>
              </w:rPr>
            </w:pPr>
          </w:p>
        </w:tc>
        <w:tc>
          <w:tcPr>
            <w:tcW w:w="1126" w:type="dxa"/>
            <w:tcBorders>
              <w:top w:val="nil"/>
              <w:left w:val="single" w:sz="4" w:space="0" w:color="auto"/>
              <w:bottom w:val="nil"/>
              <w:right w:val="nil"/>
            </w:tcBorders>
            <w:shd w:val="clear" w:color="000000" w:fill="D8D8D8"/>
            <w:hideMark/>
          </w:tcPr>
          <w:p w:rsidR="006658C3" w:rsidRPr="007545B3" w:rsidRDefault="006658C3" w:rsidP="006658C3">
            <w:pPr>
              <w:jc w:val="center"/>
              <w:rPr>
                <w:b/>
                <w:bCs/>
                <w:sz w:val="20"/>
                <w:szCs w:val="20"/>
              </w:rPr>
            </w:pPr>
            <w:r w:rsidRPr="007545B3">
              <w:rPr>
                <w:b/>
                <w:bCs/>
                <w:sz w:val="20"/>
                <w:szCs w:val="20"/>
              </w:rPr>
              <w:t>£000</w:t>
            </w:r>
          </w:p>
        </w:tc>
        <w:tc>
          <w:tcPr>
            <w:tcW w:w="1267" w:type="dxa"/>
            <w:gridSpan w:val="2"/>
            <w:tcBorders>
              <w:top w:val="nil"/>
              <w:left w:val="nil"/>
              <w:bottom w:val="nil"/>
              <w:right w:val="nil"/>
            </w:tcBorders>
            <w:shd w:val="clear" w:color="000000" w:fill="D8D8D8"/>
            <w:hideMark/>
          </w:tcPr>
          <w:p w:rsidR="006658C3" w:rsidRPr="007545B3" w:rsidRDefault="006658C3" w:rsidP="006658C3">
            <w:pPr>
              <w:jc w:val="center"/>
              <w:rPr>
                <w:b/>
                <w:bCs/>
                <w:sz w:val="20"/>
                <w:szCs w:val="20"/>
              </w:rPr>
            </w:pPr>
            <w:r w:rsidRPr="007545B3">
              <w:rPr>
                <w:b/>
                <w:bCs/>
                <w:sz w:val="20"/>
                <w:szCs w:val="20"/>
              </w:rPr>
              <w:t>£000</w:t>
            </w:r>
          </w:p>
        </w:tc>
        <w:tc>
          <w:tcPr>
            <w:tcW w:w="1126" w:type="dxa"/>
            <w:tcBorders>
              <w:top w:val="nil"/>
              <w:left w:val="nil"/>
              <w:bottom w:val="nil"/>
              <w:right w:val="single" w:sz="4" w:space="0" w:color="auto"/>
            </w:tcBorders>
            <w:shd w:val="clear" w:color="000000" w:fill="D8D8D8"/>
            <w:hideMark/>
          </w:tcPr>
          <w:p w:rsidR="006658C3" w:rsidRPr="007545B3" w:rsidRDefault="006658C3" w:rsidP="006658C3">
            <w:pPr>
              <w:jc w:val="center"/>
              <w:rPr>
                <w:b/>
                <w:bCs/>
                <w:sz w:val="20"/>
                <w:szCs w:val="20"/>
              </w:rPr>
            </w:pPr>
            <w:r w:rsidRPr="007545B3">
              <w:rPr>
                <w:b/>
                <w:bCs/>
                <w:sz w:val="20"/>
                <w:szCs w:val="20"/>
              </w:rPr>
              <w:t>£000</w:t>
            </w:r>
          </w:p>
        </w:tc>
      </w:tr>
      <w:tr w:rsidR="006658C3" w:rsidRPr="007545B3" w:rsidTr="00D1374B">
        <w:trPr>
          <w:trHeight w:val="277"/>
        </w:trPr>
        <w:tc>
          <w:tcPr>
            <w:tcW w:w="3063" w:type="dxa"/>
            <w:tcBorders>
              <w:top w:val="nil"/>
              <w:left w:val="nil"/>
              <w:bottom w:val="nil"/>
              <w:right w:val="nil"/>
            </w:tcBorders>
            <w:shd w:val="clear" w:color="auto" w:fill="auto"/>
            <w:noWrap/>
            <w:vAlign w:val="bottom"/>
            <w:hideMark/>
          </w:tcPr>
          <w:p w:rsidR="006658C3" w:rsidRPr="007545B3" w:rsidRDefault="006658C3" w:rsidP="006658C3">
            <w:pPr>
              <w:rPr>
                <w:color w:val="000000"/>
                <w:sz w:val="20"/>
                <w:szCs w:val="20"/>
              </w:rPr>
            </w:pPr>
          </w:p>
        </w:tc>
        <w:tc>
          <w:tcPr>
            <w:tcW w:w="1267" w:type="dxa"/>
            <w:tcBorders>
              <w:top w:val="nil"/>
              <w:left w:val="single" w:sz="4" w:space="0" w:color="auto"/>
              <w:bottom w:val="nil"/>
              <w:right w:val="nil"/>
            </w:tcBorders>
            <w:shd w:val="clear" w:color="auto" w:fill="auto"/>
            <w:hideMark/>
          </w:tcPr>
          <w:p w:rsidR="006658C3" w:rsidRPr="007545B3" w:rsidRDefault="006658C3" w:rsidP="006658C3">
            <w:pPr>
              <w:rPr>
                <w:sz w:val="20"/>
                <w:szCs w:val="20"/>
              </w:rPr>
            </w:pPr>
            <w:r w:rsidRPr="007545B3">
              <w:rPr>
                <w:sz w:val="20"/>
                <w:szCs w:val="20"/>
              </w:rPr>
              <w:t> </w:t>
            </w:r>
          </w:p>
        </w:tc>
        <w:tc>
          <w:tcPr>
            <w:tcW w:w="1267" w:type="dxa"/>
            <w:gridSpan w:val="2"/>
            <w:tcBorders>
              <w:top w:val="nil"/>
              <w:left w:val="nil"/>
              <w:bottom w:val="nil"/>
              <w:right w:val="nil"/>
            </w:tcBorders>
            <w:shd w:val="clear" w:color="auto" w:fill="auto"/>
            <w:hideMark/>
          </w:tcPr>
          <w:p w:rsidR="006658C3" w:rsidRPr="007545B3" w:rsidRDefault="006658C3" w:rsidP="006658C3">
            <w:pPr>
              <w:rPr>
                <w:sz w:val="20"/>
                <w:szCs w:val="20"/>
              </w:rPr>
            </w:pPr>
          </w:p>
        </w:tc>
        <w:tc>
          <w:tcPr>
            <w:tcW w:w="1126" w:type="dxa"/>
            <w:tcBorders>
              <w:top w:val="nil"/>
              <w:left w:val="nil"/>
              <w:bottom w:val="nil"/>
              <w:right w:val="single" w:sz="4" w:space="0" w:color="auto"/>
            </w:tcBorders>
            <w:shd w:val="clear" w:color="auto" w:fill="auto"/>
            <w:hideMark/>
          </w:tcPr>
          <w:p w:rsidR="006658C3" w:rsidRPr="007545B3" w:rsidRDefault="006658C3" w:rsidP="006658C3">
            <w:pPr>
              <w:rPr>
                <w:sz w:val="20"/>
                <w:szCs w:val="20"/>
              </w:rPr>
            </w:pPr>
            <w:r w:rsidRPr="007545B3">
              <w:rPr>
                <w:sz w:val="20"/>
                <w:szCs w:val="20"/>
              </w:rPr>
              <w:t> </w:t>
            </w:r>
          </w:p>
        </w:tc>
        <w:tc>
          <w:tcPr>
            <w:tcW w:w="281" w:type="dxa"/>
            <w:tcBorders>
              <w:top w:val="nil"/>
              <w:left w:val="nil"/>
              <w:bottom w:val="nil"/>
              <w:right w:val="nil"/>
            </w:tcBorders>
            <w:shd w:val="clear" w:color="auto" w:fill="auto"/>
            <w:hideMark/>
          </w:tcPr>
          <w:p w:rsidR="006658C3" w:rsidRPr="007545B3" w:rsidRDefault="006658C3" w:rsidP="006658C3">
            <w:pPr>
              <w:rPr>
                <w:sz w:val="20"/>
                <w:szCs w:val="20"/>
              </w:rPr>
            </w:pPr>
          </w:p>
        </w:tc>
        <w:tc>
          <w:tcPr>
            <w:tcW w:w="1126" w:type="dxa"/>
            <w:tcBorders>
              <w:top w:val="nil"/>
              <w:left w:val="single" w:sz="4" w:space="0" w:color="auto"/>
              <w:bottom w:val="nil"/>
              <w:right w:val="nil"/>
            </w:tcBorders>
            <w:shd w:val="clear" w:color="auto" w:fill="auto"/>
            <w:hideMark/>
          </w:tcPr>
          <w:p w:rsidR="006658C3" w:rsidRPr="007545B3" w:rsidRDefault="006658C3" w:rsidP="006658C3">
            <w:pPr>
              <w:rPr>
                <w:sz w:val="20"/>
                <w:szCs w:val="20"/>
              </w:rPr>
            </w:pPr>
            <w:r w:rsidRPr="007545B3">
              <w:rPr>
                <w:sz w:val="20"/>
                <w:szCs w:val="20"/>
              </w:rPr>
              <w:t> </w:t>
            </w:r>
          </w:p>
        </w:tc>
        <w:tc>
          <w:tcPr>
            <w:tcW w:w="1267" w:type="dxa"/>
            <w:gridSpan w:val="2"/>
            <w:tcBorders>
              <w:top w:val="nil"/>
              <w:left w:val="nil"/>
              <w:bottom w:val="nil"/>
              <w:right w:val="nil"/>
            </w:tcBorders>
            <w:shd w:val="clear" w:color="auto" w:fill="auto"/>
            <w:hideMark/>
          </w:tcPr>
          <w:p w:rsidR="006658C3" w:rsidRPr="007545B3" w:rsidRDefault="006658C3" w:rsidP="006658C3">
            <w:pPr>
              <w:rPr>
                <w:sz w:val="20"/>
                <w:szCs w:val="20"/>
              </w:rPr>
            </w:pPr>
          </w:p>
        </w:tc>
        <w:tc>
          <w:tcPr>
            <w:tcW w:w="1126" w:type="dxa"/>
            <w:tcBorders>
              <w:top w:val="nil"/>
              <w:left w:val="nil"/>
              <w:bottom w:val="nil"/>
              <w:right w:val="single" w:sz="4" w:space="0" w:color="auto"/>
            </w:tcBorders>
            <w:shd w:val="clear" w:color="auto" w:fill="auto"/>
            <w:hideMark/>
          </w:tcPr>
          <w:p w:rsidR="006658C3" w:rsidRPr="007545B3" w:rsidRDefault="006658C3" w:rsidP="006658C3">
            <w:pPr>
              <w:rPr>
                <w:sz w:val="20"/>
                <w:szCs w:val="20"/>
              </w:rPr>
            </w:pPr>
            <w:r w:rsidRPr="007545B3">
              <w:rPr>
                <w:sz w:val="20"/>
                <w:szCs w:val="20"/>
              </w:rPr>
              <w:t> </w:t>
            </w:r>
          </w:p>
        </w:tc>
      </w:tr>
      <w:tr w:rsidR="00B92F0C" w:rsidRPr="007545B3" w:rsidTr="00D1374B">
        <w:trPr>
          <w:trHeight w:val="277"/>
        </w:trPr>
        <w:tc>
          <w:tcPr>
            <w:tcW w:w="3063" w:type="dxa"/>
            <w:tcBorders>
              <w:top w:val="nil"/>
              <w:left w:val="nil"/>
              <w:bottom w:val="nil"/>
              <w:right w:val="nil"/>
            </w:tcBorders>
            <w:shd w:val="clear" w:color="auto" w:fill="auto"/>
            <w:hideMark/>
          </w:tcPr>
          <w:p w:rsidR="00B92F0C" w:rsidRPr="007545B3" w:rsidRDefault="00B92F0C" w:rsidP="006658C3">
            <w:pPr>
              <w:rPr>
                <w:sz w:val="20"/>
                <w:szCs w:val="20"/>
              </w:rPr>
            </w:pPr>
            <w:r w:rsidRPr="007545B3">
              <w:rPr>
                <w:sz w:val="20"/>
                <w:szCs w:val="20"/>
              </w:rPr>
              <w:t>Cultural</w:t>
            </w:r>
            <w:r w:rsidR="006B6ED5">
              <w:rPr>
                <w:sz w:val="20"/>
                <w:szCs w:val="20"/>
              </w:rPr>
              <w:t xml:space="preserve"> and Related</w:t>
            </w:r>
            <w:r w:rsidRPr="007545B3">
              <w:rPr>
                <w:sz w:val="20"/>
                <w:szCs w:val="20"/>
              </w:rPr>
              <w:t xml:space="preserve"> Services</w:t>
            </w:r>
          </w:p>
        </w:tc>
        <w:tc>
          <w:tcPr>
            <w:tcW w:w="1267" w:type="dxa"/>
            <w:tcBorders>
              <w:top w:val="nil"/>
              <w:left w:val="single" w:sz="4" w:space="0" w:color="auto"/>
              <w:bottom w:val="nil"/>
              <w:right w:val="nil"/>
            </w:tcBorders>
            <w:shd w:val="clear" w:color="auto" w:fill="auto"/>
            <w:vAlign w:val="bottom"/>
            <w:hideMark/>
          </w:tcPr>
          <w:p w:rsidR="00B92F0C" w:rsidRDefault="00B92F0C">
            <w:pPr>
              <w:jc w:val="right"/>
              <w:rPr>
                <w:sz w:val="18"/>
                <w:szCs w:val="18"/>
              </w:rPr>
            </w:pPr>
            <w:r>
              <w:rPr>
                <w:sz w:val="18"/>
                <w:szCs w:val="18"/>
              </w:rPr>
              <w:t>30,988</w:t>
            </w:r>
          </w:p>
        </w:tc>
        <w:tc>
          <w:tcPr>
            <w:tcW w:w="1267" w:type="dxa"/>
            <w:gridSpan w:val="2"/>
            <w:tcBorders>
              <w:top w:val="nil"/>
              <w:left w:val="nil"/>
              <w:bottom w:val="nil"/>
              <w:right w:val="nil"/>
            </w:tcBorders>
            <w:shd w:val="clear" w:color="auto" w:fill="auto"/>
            <w:vAlign w:val="bottom"/>
            <w:hideMark/>
          </w:tcPr>
          <w:p w:rsidR="00B92F0C" w:rsidRDefault="00BE731B">
            <w:pPr>
              <w:jc w:val="right"/>
              <w:rPr>
                <w:sz w:val="18"/>
                <w:szCs w:val="18"/>
              </w:rPr>
            </w:pPr>
            <w:r>
              <w:rPr>
                <w:sz w:val="18"/>
                <w:szCs w:val="18"/>
              </w:rPr>
              <w:t>(</w:t>
            </w:r>
            <w:r w:rsidR="00B92F0C">
              <w:rPr>
                <w:sz w:val="18"/>
                <w:szCs w:val="18"/>
              </w:rPr>
              <w:t>6,438</w:t>
            </w:r>
            <w:r>
              <w:rPr>
                <w:sz w:val="18"/>
                <w:szCs w:val="18"/>
              </w:rPr>
              <w:t>)</w:t>
            </w:r>
          </w:p>
        </w:tc>
        <w:tc>
          <w:tcPr>
            <w:tcW w:w="1126" w:type="dxa"/>
            <w:tcBorders>
              <w:top w:val="nil"/>
              <w:left w:val="nil"/>
              <w:bottom w:val="nil"/>
              <w:right w:val="single" w:sz="4" w:space="0" w:color="auto"/>
            </w:tcBorders>
            <w:shd w:val="clear" w:color="auto" w:fill="auto"/>
            <w:vAlign w:val="bottom"/>
            <w:hideMark/>
          </w:tcPr>
          <w:p w:rsidR="00B92F0C" w:rsidRDefault="00B92F0C">
            <w:pPr>
              <w:jc w:val="right"/>
              <w:rPr>
                <w:sz w:val="18"/>
                <w:szCs w:val="18"/>
              </w:rPr>
            </w:pPr>
            <w:r>
              <w:rPr>
                <w:sz w:val="18"/>
                <w:szCs w:val="18"/>
              </w:rPr>
              <w:t>24,550</w:t>
            </w:r>
          </w:p>
        </w:tc>
        <w:tc>
          <w:tcPr>
            <w:tcW w:w="281" w:type="dxa"/>
            <w:tcBorders>
              <w:top w:val="nil"/>
              <w:left w:val="nil"/>
              <w:bottom w:val="nil"/>
              <w:right w:val="nil"/>
            </w:tcBorders>
            <w:shd w:val="clear" w:color="auto" w:fill="auto"/>
            <w:vAlign w:val="bottom"/>
            <w:hideMark/>
          </w:tcPr>
          <w:p w:rsidR="00B92F0C" w:rsidRPr="007545B3" w:rsidRDefault="00B92F0C" w:rsidP="00EE5F45">
            <w:pPr>
              <w:jc w:val="right"/>
              <w:rPr>
                <w:sz w:val="20"/>
                <w:szCs w:val="20"/>
              </w:rPr>
            </w:pPr>
          </w:p>
        </w:tc>
        <w:tc>
          <w:tcPr>
            <w:tcW w:w="1126" w:type="dxa"/>
            <w:tcBorders>
              <w:top w:val="nil"/>
              <w:left w:val="single" w:sz="4" w:space="0" w:color="auto"/>
              <w:bottom w:val="nil"/>
              <w:right w:val="nil"/>
            </w:tcBorders>
            <w:shd w:val="clear" w:color="auto" w:fill="auto"/>
            <w:vAlign w:val="bottom"/>
            <w:hideMark/>
          </w:tcPr>
          <w:p w:rsidR="00B92F0C" w:rsidRDefault="00B92F0C">
            <w:pPr>
              <w:jc w:val="right"/>
              <w:rPr>
                <w:sz w:val="18"/>
                <w:szCs w:val="18"/>
              </w:rPr>
            </w:pPr>
            <w:r>
              <w:rPr>
                <w:sz w:val="18"/>
                <w:szCs w:val="18"/>
              </w:rPr>
              <w:t>35,677</w:t>
            </w:r>
          </w:p>
        </w:tc>
        <w:tc>
          <w:tcPr>
            <w:tcW w:w="1267" w:type="dxa"/>
            <w:gridSpan w:val="2"/>
            <w:tcBorders>
              <w:top w:val="nil"/>
              <w:left w:val="nil"/>
              <w:bottom w:val="nil"/>
              <w:right w:val="nil"/>
            </w:tcBorders>
            <w:shd w:val="clear" w:color="auto" w:fill="auto"/>
            <w:vAlign w:val="bottom"/>
            <w:hideMark/>
          </w:tcPr>
          <w:p w:rsidR="00B92F0C" w:rsidRDefault="00BE731B">
            <w:pPr>
              <w:jc w:val="right"/>
              <w:rPr>
                <w:sz w:val="18"/>
                <w:szCs w:val="18"/>
              </w:rPr>
            </w:pPr>
            <w:r>
              <w:rPr>
                <w:sz w:val="18"/>
                <w:szCs w:val="18"/>
              </w:rPr>
              <w:t>(</w:t>
            </w:r>
            <w:r w:rsidR="00B92F0C">
              <w:rPr>
                <w:sz w:val="18"/>
                <w:szCs w:val="18"/>
              </w:rPr>
              <w:t>6,777</w:t>
            </w:r>
            <w:r>
              <w:rPr>
                <w:sz w:val="18"/>
                <w:szCs w:val="18"/>
              </w:rPr>
              <w:t>)</w:t>
            </w:r>
          </w:p>
        </w:tc>
        <w:tc>
          <w:tcPr>
            <w:tcW w:w="1126" w:type="dxa"/>
            <w:tcBorders>
              <w:top w:val="nil"/>
              <w:left w:val="nil"/>
              <w:bottom w:val="nil"/>
              <w:right w:val="single" w:sz="4" w:space="0" w:color="auto"/>
            </w:tcBorders>
            <w:shd w:val="clear" w:color="auto" w:fill="auto"/>
            <w:vAlign w:val="bottom"/>
            <w:hideMark/>
          </w:tcPr>
          <w:p w:rsidR="00B92F0C" w:rsidRDefault="00B92F0C">
            <w:pPr>
              <w:jc w:val="right"/>
              <w:rPr>
                <w:sz w:val="18"/>
                <w:szCs w:val="18"/>
              </w:rPr>
            </w:pPr>
            <w:r>
              <w:rPr>
                <w:sz w:val="18"/>
                <w:szCs w:val="18"/>
              </w:rPr>
              <w:t>28,900</w:t>
            </w:r>
          </w:p>
        </w:tc>
      </w:tr>
      <w:tr w:rsidR="00B92F0C" w:rsidRPr="007545B3" w:rsidTr="00D1374B">
        <w:trPr>
          <w:trHeight w:val="277"/>
        </w:trPr>
        <w:tc>
          <w:tcPr>
            <w:tcW w:w="3063" w:type="dxa"/>
            <w:tcBorders>
              <w:top w:val="nil"/>
              <w:left w:val="nil"/>
              <w:bottom w:val="nil"/>
              <w:right w:val="nil"/>
            </w:tcBorders>
            <w:shd w:val="clear" w:color="auto" w:fill="auto"/>
            <w:hideMark/>
          </w:tcPr>
          <w:p w:rsidR="00B92F0C" w:rsidRPr="00C24B9D" w:rsidRDefault="00B92F0C" w:rsidP="006658C3">
            <w:pPr>
              <w:rPr>
                <w:sz w:val="20"/>
                <w:szCs w:val="20"/>
              </w:rPr>
            </w:pPr>
            <w:r w:rsidRPr="00C24B9D">
              <w:rPr>
                <w:sz w:val="20"/>
                <w:szCs w:val="20"/>
              </w:rPr>
              <w:t>Environmental and Regulatory Services</w:t>
            </w:r>
          </w:p>
        </w:tc>
        <w:tc>
          <w:tcPr>
            <w:tcW w:w="1267" w:type="dxa"/>
            <w:tcBorders>
              <w:top w:val="nil"/>
              <w:left w:val="single" w:sz="4" w:space="0" w:color="auto"/>
              <w:bottom w:val="nil"/>
              <w:right w:val="nil"/>
            </w:tcBorders>
            <w:shd w:val="clear" w:color="auto" w:fill="auto"/>
            <w:vAlign w:val="bottom"/>
            <w:hideMark/>
          </w:tcPr>
          <w:p w:rsidR="00B92F0C" w:rsidRDefault="00B92F0C">
            <w:pPr>
              <w:jc w:val="right"/>
              <w:rPr>
                <w:sz w:val="18"/>
                <w:szCs w:val="18"/>
              </w:rPr>
            </w:pPr>
            <w:r>
              <w:rPr>
                <w:sz w:val="18"/>
                <w:szCs w:val="18"/>
              </w:rPr>
              <w:t>70,193</w:t>
            </w:r>
          </w:p>
        </w:tc>
        <w:tc>
          <w:tcPr>
            <w:tcW w:w="1267" w:type="dxa"/>
            <w:gridSpan w:val="2"/>
            <w:tcBorders>
              <w:top w:val="nil"/>
              <w:left w:val="nil"/>
              <w:bottom w:val="nil"/>
              <w:right w:val="nil"/>
            </w:tcBorders>
            <w:shd w:val="clear" w:color="auto" w:fill="auto"/>
            <w:vAlign w:val="bottom"/>
            <w:hideMark/>
          </w:tcPr>
          <w:p w:rsidR="00B92F0C" w:rsidRDefault="00BE731B">
            <w:pPr>
              <w:jc w:val="right"/>
              <w:rPr>
                <w:sz w:val="18"/>
                <w:szCs w:val="18"/>
              </w:rPr>
            </w:pPr>
            <w:r>
              <w:rPr>
                <w:sz w:val="18"/>
                <w:szCs w:val="18"/>
              </w:rPr>
              <w:t>(</w:t>
            </w:r>
            <w:r w:rsidR="00B92F0C">
              <w:rPr>
                <w:sz w:val="18"/>
                <w:szCs w:val="18"/>
              </w:rPr>
              <w:t>22,176</w:t>
            </w:r>
            <w:r>
              <w:rPr>
                <w:sz w:val="18"/>
                <w:szCs w:val="18"/>
              </w:rPr>
              <w:t>)</w:t>
            </w:r>
          </w:p>
        </w:tc>
        <w:tc>
          <w:tcPr>
            <w:tcW w:w="1126" w:type="dxa"/>
            <w:tcBorders>
              <w:top w:val="nil"/>
              <w:left w:val="nil"/>
              <w:bottom w:val="nil"/>
              <w:right w:val="single" w:sz="4" w:space="0" w:color="auto"/>
            </w:tcBorders>
            <w:shd w:val="clear" w:color="auto" w:fill="auto"/>
            <w:vAlign w:val="bottom"/>
            <w:hideMark/>
          </w:tcPr>
          <w:p w:rsidR="00B92F0C" w:rsidRDefault="00B92F0C">
            <w:pPr>
              <w:jc w:val="right"/>
              <w:rPr>
                <w:sz w:val="18"/>
                <w:szCs w:val="18"/>
              </w:rPr>
            </w:pPr>
            <w:r>
              <w:rPr>
                <w:sz w:val="18"/>
                <w:szCs w:val="18"/>
              </w:rPr>
              <w:t>48,017</w:t>
            </w:r>
          </w:p>
        </w:tc>
        <w:tc>
          <w:tcPr>
            <w:tcW w:w="281" w:type="dxa"/>
            <w:tcBorders>
              <w:top w:val="nil"/>
              <w:left w:val="nil"/>
              <w:bottom w:val="nil"/>
              <w:right w:val="nil"/>
            </w:tcBorders>
            <w:shd w:val="clear" w:color="auto" w:fill="auto"/>
            <w:vAlign w:val="bottom"/>
            <w:hideMark/>
          </w:tcPr>
          <w:p w:rsidR="00B92F0C" w:rsidRPr="00C24B9D" w:rsidRDefault="00B92F0C" w:rsidP="00EE5F45">
            <w:pPr>
              <w:jc w:val="right"/>
              <w:rPr>
                <w:sz w:val="20"/>
                <w:szCs w:val="20"/>
              </w:rPr>
            </w:pPr>
          </w:p>
        </w:tc>
        <w:tc>
          <w:tcPr>
            <w:tcW w:w="1126" w:type="dxa"/>
            <w:tcBorders>
              <w:top w:val="nil"/>
              <w:left w:val="single" w:sz="4" w:space="0" w:color="auto"/>
              <w:bottom w:val="nil"/>
              <w:right w:val="nil"/>
            </w:tcBorders>
            <w:shd w:val="clear" w:color="auto" w:fill="auto"/>
            <w:vAlign w:val="bottom"/>
            <w:hideMark/>
          </w:tcPr>
          <w:p w:rsidR="00B92F0C" w:rsidRDefault="00B92F0C">
            <w:pPr>
              <w:jc w:val="right"/>
              <w:rPr>
                <w:sz w:val="18"/>
                <w:szCs w:val="18"/>
              </w:rPr>
            </w:pPr>
            <w:r>
              <w:rPr>
                <w:sz w:val="18"/>
                <w:szCs w:val="18"/>
              </w:rPr>
              <w:t>106,028</w:t>
            </w:r>
          </w:p>
        </w:tc>
        <w:tc>
          <w:tcPr>
            <w:tcW w:w="1267" w:type="dxa"/>
            <w:gridSpan w:val="2"/>
            <w:tcBorders>
              <w:top w:val="nil"/>
              <w:left w:val="nil"/>
              <w:bottom w:val="nil"/>
              <w:right w:val="nil"/>
            </w:tcBorders>
            <w:shd w:val="clear" w:color="auto" w:fill="auto"/>
            <w:vAlign w:val="bottom"/>
            <w:hideMark/>
          </w:tcPr>
          <w:p w:rsidR="00B92F0C" w:rsidRDefault="00BE731B">
            <w:pPr>
              <w:jc w:val="right"/>
              <w:rPr>
                <w:sz w:val="18"/>
                <w:szCs w:val="18"/>
              </w:rPr>
            </w:pPr>
            <w:r>
              <w:rPr>
                <w:sz w:val="18"/>
                <w:szCs w:val="18"/>
              </w:rPr>
              <w:t>(</w:t>
            </w:r>
            <w:r w:rsidR="00B92F0C">
              <w:rPr>
                <w:sz w:val="18"/>
                <w:szCs w:val="18"/>
              </w:rPr>
              <w:t>17,932</w:t>
            </w:r>
            <w:r>
              <w:rPr>
                <w:sz w:val="18"/>
                <w:szCs w:val="18"/>
              </w:rPr>
              <w:t>)</w:t>
            </w:r>
          </w:p>
        </w:tc>
        <w:tc>
          <w:tcPr>
            <w:tcW w:w="1126" w:type="dxa"/>
            <w:tcBorders>
              <w:top w:val="nil"/>
              <w:left w:val="nil"/>
              <w:bottom w:val="nil"/>
              <w:right w:val="single" w:sz="4" w:space="0" w:color="auto"/>
            </w:tcBorders>
            <w:shd w:val="clear" w:color="auto" w:fill="auto"/>
            <w:vAlign w:val="bottom"/>
            <w:hideMark/>
          </w:tcPr>
          <w:p w:rsidR="00B92F0C" w:rsidRDefault="00B92F0C">
            <w:pPr>
              <w:jc w:val="right"/>
              <w:rPr>
                <w:sz w:val="18"/>
                <w:szCs w:val="18"/>
              </w:rPr>
            </w:pPr>
            <w:r>
              <w:rPr>
                <w:sz w:val="18"/>
                <w:szCs w:val="18"/>
              </w:rPr>
              <w:t>88,096</w:t>
            </w:r>
          </w:p>
        </w:tc>
      </w:tr>
      <w:tr w:rsidR="00B92F0C" w:rsidRPr="007545B3" w:rsidTr="00D1374B">
        <w:trPr>
          <w:trHeight w:val="277"/>
        </w:trPr>
        <w:tc>
          <w:tcPr>
            <w:tcW w:w="3063" w:type="dxa"/>
            <w:tcBorders>
              <w:top w:val="nil"/>
              <w:left w:val="nil"/>
              <w:bottom w:val="nil"/>
              <w:right w:val="nil"/>
            </w:tcBorders>
            <w:shd w:val="clear" w:color="auto" w:fill="auto"/>
            <w:hideMark/>
          </w:tcPr>
          <w:p w:rsidR="00B92F0C" w:rsidRPr="00C24B9D" w:rsidRDefault="00B92F0C" w:rsidP="006658C3">
            <w:pPr>
              <w:rPr>
                <w:sz w:val="20"/>
                <w:szCs w:val="20"/>
              </w:rPr>
            </w:pPr>
            <w:r w:rsidRPr="00C24B9D">
              <w:rPr>
                <w:sz w:val="20"/>
                <w:szCs w:val="20"/>
              </w:rPr>
              <w:t>Planning Services</w:t>
            </w:r>
          </w:p>
        </w:tc>
        <w:tc>
          <w:tcPr>
            <w:tcW w:w="1267" w:type="dxa"/>
            <w:tcBorders>
              <w:top w:val="nil"/>
              <w:left w:val="single" w:sz="4" w:space="0" w:color="auto"/>
              <w:bottom w:val="nil"/>
              <w:right w:val="nil"/>
            </w:tcBorders>
            <w:shd w:val="clear" w:color="auto" w:fill="auto"/>
            <w:vAlign w:val="bottom"/>
            <w:hideMark/>
          </w:tcPr>
          <w:p w:rsidR="00B92F0C" w:rsidRDefault="00B92F0C">
            <w:pPr>
              <w:jc w:val="right"/>
              <w:rPr>
                <w:sz w:val="18"/>
                <w:szCs w:val="18"/>
              </w:rPr>
            </w:pPr>
            <w:r>
              <w:rPr>
                <w:sz w:val="18"/>
                <w:szCs w:val="18"/>
              </w:rPr>
              <w:t>6,690</w:t>
            </w:r>
          </w:p>
        </w:tc>
        <w:tc>
          <w:tcPr>
            <w:tcW w:w="1267" w:type="dxa"/>
            <w:gridSpan w:val="2"/>
            <w:tcBorders>
              <w:top w:val="nil"/>
              <w:left w:val="nil"/>
              <w:bottom w:val="nil"/>
              <w:right w:val="nil"/>
            </w:tcBorders>
            <w:shd w:val="clear" w:color="auto" w:fill="auto"/>
            <w:vAlign w:val="bottom"/>
            <w:hideMark/>
          </w:tcPr>
          <w:p w:rsidR="00B92F0C" w:rsidRDefault="00BE731B">
            <w:pPr>
              <w:jc w:val="right"/>
              <w:rPr>
                <w:sz w:val="18"/>
                <w:szCs w:val="18"/>
              </w:rPr>
            </w:pPr>
            <w:r>
              <w:rPr>
                <w:sz w:val="18"/>
                <w:szCs w:val="18"/>
              </w:rPr>
              <w:t>(</w:t>
            </w:r>
            <w:r w:rsidR="00B92F0C">
              <w:rPr>
                <w:sz w:val="18"/>
                <w:szCs w:val="18"/>
              </w:rPr>
              <w:t>594</w:t>
            </w:r>
            <w:r>
              <w:rPr>
                <w:sz w:val="18"/>
                <w:szCs w:val="18"/>
              </w:rPr>
              <w:t>)</w:t>
            </w:r>
          </w:p>
        </w:tc>
        <w:tc>
          <w:tcPr>
            <w:tcW w:w="1126" w:type="dxa"/>
            <w:tcBorders>
              <w:top w:val="nil"/>
              <w:left w:val="nil"/>
              <w:bottom w:val="nil"/>
              <w:right w:val="single" w:sz="4" w:space="0" w:color="auto"/>
            </w:tcBorders>
            <w:shd w:val="clear" w:color="auto" w:fill="auto"/>
            <w:vAlign w:val="bottom"/>
            <w:hideMark/>
          </w:tcPr>
          <w:p w:rsidR="00B92F0C" w:rsidRDefault="00B92F0C">
            <w:pPr>
              <w:jc w:val="right"/>
              <w:rPr>
                <w:sz w:val="18"/>
                <w:szCs w:val="18"/>
              </w:rPr>
            </w:pPr>
            <w:r>
              <w:rPr>
                <w:sz w:val="18"/>
                <w:szCs w:val="18"/>
              </w:rPr>
              <w:t>6,096</w:t>
            </w:r>
          </w:p>
        </w:tc>
        <w:tc>
          <w:tcPr>
            <w:tcW w:w="281" w:type="dxa"/>
            <w:tcBorders>
              <w:top w:val="nil"/>
              <w:left w:val="nil"/>
              <w:bottom w:val="nil"/>
              <w:right w:val="nil"/>
            </w:tcBorders>
            <w:shd w:val="clear" w:color="auto" w:fill="auto"/>
            <w:vAlign w:val="bottom"/>
            <w:hideMark/>
          </w:tcPr>
          <w:p w:rsidR="00B92F0C" w:rsidRPr="00C24B9D" w:rsidRDefault="00B92F0C" w:rsidP="00EE5F45">
            <w:pPr>
              <w:jc w:val="right"/>
              <w:rPr>
                <w:sz w:val="20"/>
                <w:szCs w:val="20"/>
              </w:rPr>
            </w:pPr>
          </w:p>
        </w:tc>
        <w:tc>
          <w:tcPr>
            <w:tcW w:w="1126" w:type="dxa"/>
            <w:tcBorders>
              <w:top w:val="nil"/>
              <w:left w:val="single" w:sz="4" w:space="0" w:color="auto"/>
              <w:bottom w:val="nil"/>
              <w:right w:val="nil"/>
            </w:tcBorders>
            <w:shd w:val="clear" w:color="auto" w:fill="auto"/>
            <w:vAlign w:val="bottom"/>
            <w:hideMark/>
          </w:tcPr>
          <w:p w:rsidR="00B92F0C" w:rsidRDefault="00B92F0C">
            <w:pPr>
              <w:jc w:val="right"/>
              <w:rPr>
                <w:sz w:val="18"/>
                <w:szCs w:val="18"/>
              </w:rPr>
            </w:pPr>
            <w:r>
              <w:rPr>
                <w:sz w:val="18"/>
                <w:szCs w:val="18"/>
              </w:rPr>
              <w:t>8,415</w:t>
            </w:r>
          </w:p>
        </w:tc>
        <w:tc>
          <w:tcPr>
            <w:tcW w:w="1267" w:type="dxa"/>
            <w:gridSpan w:val="2"/>
            <w:tcBorders>
              <w:top w:val="nil"/>
              <w:left w:val="nil"/>
              <w:bottom w:val="nil"/>
              <w:right w:val="nil"/>
            </w:tcBorders>
            <w:shd w:val="clear" w:color="auto" w:fill="auto"/>
            <w:vAlign w:val="bottom"/>
            <w:hideMark/>
          </w:tcPr>
          <w:p w:rsidR="00B92F0C" w:rsidRDefault="00BE731B">
            <w:pPr>
              <w:jc w:val="right"/>
              <w:rPr>
                <w:sz w:val="18"/>
                <w:szCs w:val="18"/>
              </w:rPr>
            </w:pPr>
            <w:r>
              <w:rPr>
                <w:sz w:val="18"/>
                <w:szCs w:val="18"/>
              </w:rPr>
              <w:t>(</w:t>
            </w:r>
            <w:r w:rsidR="00B92F0C">
              <w:rPr>
                <w:sz w:val="18"/>
                <w:szCs w:val="18"/>
              </w:rPr>
              <w:t>895</w:t>
            </w:r>
            <w:r>
              <w:rPr>
                <w:sz w:val="18"/>
                <w:szCs w:val="18"/>
              </w:rPr>
              <w:t>)</w:t>
            </w:r>
          </w:p>
        </w:tc>
        <w:tc>
          <w:tcPr>
            <w:tcW w:w="1126" w:type="dxa"/>
            <w:tcBorders>
              <w:top w:val="nil"/>
              <w:left w:val="nil"/>
              <w:bottom w:val="nil"/>
              <w:right w:val="single" w:sz="4" w:space="0" w:color="auto"/>
            </w:tcBorders>
            <w:shd w:val="clear" w:color="auto" w:fill="auto"/>
            <w:vAlign w:val="bottom"/>
            <w:hideMark/>
          </w:tcPr>
          <w:p w:rsidR="00B92F0C" w:rsidRDefault="00B92F0C">
            <w:pPr>
              <w:jc w:val="right"/>
              <w:rPr>
                <w:sz w:val="18"/>
                <w:szCs w:val="18"/>
              </w:rPr>
            </w:pPr>
            <w:r>
              <w:rPr>
                <w:sz w:val="18"/>
                <w:szCs w:val="18"/>
              </w:rPr>
              <w:t>7,520</w:t>
            </w:r>
          </w:p>
        </w:tc>
      </w:tr>
      <w:tr w:rsidR="00B92F0C" w:rsidRPr="007545B3" w:rsidTr="00D1374B">
        <w:trPr>
          <w:trHeight w:val="277"/>
        </w:trPr>
        <w:tc>
          <w:tcPr>
            <w:tcW w:w="3063" w:type="dxa"/>
            <w:tcBorders>
              <w:top w:val="nil"/>
              <w:left w:val="nil"/>
              <w:bottom w:val="nil"/>
              <w:right w:val="nil"/>
            </w:tcBorders>
            <w:shd w:val="clear" w:color="auto" w:fill="auto"/>
            <w:hideMark/>
          </w:tcPr>
          <w:p w:rsidR="00B92F0C" w:rsidRPr="007545B3" w:rsidRDefault="00B92F0C" w:rsidP="006658C3">
            <w:pPr>
              <w:rPr>
                <w:sz w:val="20"/>
                <w:szCs w:val="20"/>
              </w:rPr>
            </w:pPr>
            <w:r w:rsidRPr="007545B3">
              <w:rPr>
                <w:sz w:val="20"/>
                <w:szCs w:val="20"/>
              </w:rPr>
              <w:t>Children's and Education Services</w:t>
            </w:r>
          </w:p>
        </w:tc>
        <w:tc>
          <w:tcPr>
            <w:tcW w:w="1267" w:type="dxa"/>
            <w:tcBorders>
              <w:top w:val="nil"/>
              <w:left w:val="single" w:sz="4" w:space="0" w:color="auto"/>
              <w:bottom w:val="nil"/>
              <w:right w:val="nil"/>
            </w:tcBorders>
            <w:shd w:val="clear" w:color="auto" w:fill="auto"/>
            <w:vAlign w:val="bottom"/>
            <w:hideMark/>
          </w:tcPr>
          <w:p w:rsidR="00B92F0C" w:rsidRDefault="00B92F0C">
            <w:pPr>
              <w:jc w:val="right"/>
              <w:rPr>
                <w:sz w:val="18"/>
                <w:szCs w:val="18"/>
              </w:rPr>
            </w:pPr>
            <w:r>
              <w:rPr>
                <w:sz w:val="18"/>
                <w:szCs w:val="18"/>
              </w:rPr>
              <w:t>1,115,275</w:t>
            </w:r>
          </w:p>
        </w:tc>
        <w:tc>
          <w:tcPr>
            <w:tcW w:w="1267" w:type="dxa"/>
            <w:gridSpan w:val="2"/>
            <w:tcBorders>
              <w:top w:val="nil"/>
              <w:left w:val="nil"/>
              <w:bottom w:val="nil"/>
              <w:right w:val="nil"/>
            </w:tcBorders>
            <w:shd w:val="clear" w:color="auto" w:fill="auto"/>
            <w:vAlign w:val="bottom"/>
            <w:hideMark/>
          </w:tcPr>
          <w:p w:rsidR="00B92F0C" w:rsidRDefault="00BE731B">
            <w:pPr>
              <w:jc w:val="right"/>
              <w:rPr>
                <w:sz w:val="18"/>
                <w:szCs w:val="18"/>
              </w:rPr>
            </w:pPr>
            <w:r>
              <w:rPr>
                <w:sz w:val="18"/>
                <w:szCs w:val="18"/>
              </w:rPr>
              <w:t>(</w:t>
            </w:r>
            <w:r w:rsidR="00B92F0C">
              <w:rPr>
                <w:sz w:val="18"/>
                <w:szCs w:val="18"/>
              </w:rPr>
              <w:t>961,144</w:t>
            </w:r>
            <w:r>
              <w:rPr>
                <w:sz w:val="18"/>
                <w:szCs w:val="18"/>
              </w:rPr>
              <w:t>)</w:t>
            </w:r>
          </w:p>
        </w:tc>
        <w:tc>
          <w:tcPr>
            <w:tcW w:w="1126" w:type="dxa"/>
            <w:tcBorders>
              <w:top w:val="nil"/>
              <w:left w:val="nil"/>
              <w:bottom w:val="nil"/>
              <w:right w:val="single" w:sz="4" w:space="0" w:color="auto"/>
            </w:tcBorders>
            <w:shd w:val="clear" w:color="auto" w:fill="auto"/>
            <w:vAlign w:val="bottom"/>
            <w:hideMark/>
          </w:tcPr>
          <w:p w:rsidR="00B92F0C" w:rsidRDefault="00B92F0C">
            <w:pPr>
              <w:jc w:val="right"/>
              <w:rPr>
                <w:sz w:val="18"/>
                <w:szCs w:val="18"/>
              </w:rPr>
            </w:pPr>
            <w:r>
              <w:rPr>
                <w:sz w:val="18"/>
                <w:szCs w:val="18"/>
              </w:rPr>
              <w:t>154,131</w:t>
            </w:r>
          </w:p>
        </w:tc>
        <w:tc>
          <w:tcPr>
            <w:tcW w:w="281" w:type="dxa"/>
            <w:tcBorders>
              <w:top w:val="nil"/>
              <w:left w:val="nil"/>
              <w:bottom w:val="nil"/>
              <w:right w:val="nil"/>
            </w:tcBorders>
            <w:shd w:val="clear" w:color="auto" w:fill="auto"/>
            <w:vAlign w:val="bottom"/>
            <w:hideMark/>
          </w:tcPr>
          <w:p w:rsidR="00B92F0C" w:rsidRPr="007545B3" w:rsidRDefault="00B92F0C" w:rsidP="00EE5F45">
            <w:pPr>
              <w:jc w:val="right"/>
              <w:rPr>
                <w:sz w:val="20"/>
                <w:szCs w:val="20"/>
              </w:rPr>
            </w:pPr>
          </w:p>
        </w:tc>
        <w:tc>
          <w:tcPr>
            <w:tcW w:w="1126" w:type="dxa"/>
            <w:tcBorders>
              <w:top w:val="nil"/>
              <w:left w:val="single" w:sz="4" w:space="0" w:color="auto"/>
              <w:bottom w:val="nil"/>
              <w:right w:val="nil"/>
            </w:tcBorders>
            <w:shd w:val="clear" w:color="auto" w:fill="auto"/>
            <w:vAlign w:val="bottom"/>
            <w:hideMark/>
          </w:tcPr>
          <w:p w:rsidR="00B92F0C" w:rsidRDefault="00B92F0C">
            <w:pPr>
              <w:jc w:val="right"/>
              <w:rPr>
                <w:sz w:val="18"/>
                <w:szCs w:val="18"/>
              </w:rPr>
            </w:pPr>
            <w:r>
              <w:rPr>
                <w:sz w:val="18"/>
                <w:szCs w:val="18"/>
              </w:rPr>
              <w:t>1,267,765</w:t>
            </w:r>
          </w:p>
        </w:tc>
        <w:tc>
          <w:tcPr>
            <w:tcW w:w="1267" w:type="dxa"/>
            <w:gridSpan w:val="2"/>
            <w:tcBorders>
              <w:top w:val="nil"/>
              <w:left w:val="nil"/>
              <w:bottom w:val="nil"/>
              <w:right w:val="nil"/>
            </w:tcBorders>
            <w:shd w:val="clear" w:color="auto" w:fill="auto"/>
            <w:vAlign w:val="bottom"/>
            <w:hideMark/>
          </w:tcPr>
          <w:p w:rsidR="00B92F0C" w:rsidRDefault="00BE731B">
            <w:pPr>
              <w:jc w:val="right"/>
              <w:rPr>
                <w:sz w:val="18"/>
                <w:szCs w:val="18"/>
              </w:rPr>
            </w:pPr>
            <w:r>
              <w:rPr>
                <w:sz w:val="18"/>
                <w:szCs w:val="18"/>
              </w:rPr>
              <w:t>(</w:t>
            </w:r>
            <w:r w:rsidR="00B92F0C">
              <w:rPr>
                <w:sz w:val="18"/>
                <w:szCs w:val="18"/>
              </w:rPr>
              <w:t>1,030,660</w:t>
            </w:r>
            <w:r>
              <w:rPr>
                <w:sz w:val="18"/>
                <w:szCs w:val="18"/>
              </w:rPr>
              <w:t>)</w:t>
            </w:r>
          </w:p>
        </w:tc>
        <w:tc>
          <w:tcPr>
            <w:tcW w:w="1126" w:type="dxa"/>
            <w:tcBorders>
              <w:top w:val="nil"/>
              <w:left w:val="nil"/>
              <w:bottom w:val="nil"/>
              <w:right w:val="single" w:sz="4" w:space="0" w:color="auto"/>
            </w:tcBorders>
            <w:shd w:val="clear" w:color="auto" w:fill="auto"/>
            <w:vAlign w:val="bottom"/>
            <w:hideMark/>
          </w:tcPr>
          <w:p w:rsidR="00B92F0C" w:rsidRDefault="00B92F0C">
            <w:pPr>
              <w:jc w:val="right"/>
              <w:rPr>
                <w:sz w:val="18"/>
                <w:szCs w:val="18"/>
              </w:rPr>
            </w:pPr>
            <w:r>
              <w:rPr>
                <w:sz w:val="18"/>
                <w:szCs w:val="18"/>
              </w:rPr>
              <w:t>237,105</w:t>
            </w:r>
          </w:p>
        </w:tc>
      </w:tr>
      <w:tr w:rsidR="00B92F0C" w:rsidRPr="007545B3" w:rsidTr="00D1374B">
        <w:trPr>
          <w:trHeight w:val="277"/>
        </w:trPr>
        <w:tc>
          <w:tcPr>
            <w:tcW w:w="3063" w:type="dxa"/>
            <w:tcBorders>
              <w:top w:val="nil"/>
              <w:left w:val="nil"/>
              <w:bottom w:val="nil"/>
              <w:right w:val="nil"/>
            </w:tcBorders>
            <w:shd w:val="clear" w:color="auto" w:fill="auto"/>
            <w:hideMark/>
          </w:tcPr>
          <w:p w:rsidR="00B92F0C" w:rsidRPr="007545B3" w:rsidRDefault="00B92F0C" w:rsidP="006658C3">
            <w:pPr>
              <w:rPr>
                <w:sz w:val="20"/>
                <w:szCs w:val="20"/>
              </w:rPr>
            </w:pPr>
            <w:r w:rsidRPr="007545B3">
              <w:rPr>
                <w:sz w:val="20"/>
                <w:szCs w:val="20"/>
              </w:rPr>
              <w:t>Highways and Transport Services</w:t>
            </w:r>
          </w:p>
        </w:tc>
        <w:tc>
          <w:tcPr>
            <w:tcW w:w="1267" w:type="dxa"/>
            <w:tcBorders>
              <w:top w:val="nil"/>
              <w:left w:val="single" w:sz="4" w:space="0" w:color="auto"/>
              <w:bottom w:val="nil"/>
              <w:right w:val="nil"/>
            </w:tcBorders>
            <w:shd w:val="clear" w:color="auto" w:fill="auto"/>
            <w:vAlign w:val="bottom"/>
            <w:hideMark/>
          </w:tcPr>
          <w:p w:rsidR="00B92F0C" w:rsidRDefault="00B92F0C">
            <w:pPr>
              <w:jc w:val="right"/>
              <w:rPr>
                <w:sz w:val="18"/>
                <w:szCs w:val="18"/>
              </w:rPr>
            </w:pPr>
            <w:r>
              <w:rPr>
                <w:sz w:val="18"/>
                <w:szCs w:val="18"/>
              </w:rPr>
              <w:t>122,448</w:t>
            </w:r>
          </w:p>
        </w:tc>
        <w:tc>
          <w:tcPr>
            <w:tcW w:w="1267" w:type="dxa"/>
            <w:gridSpan w:val="2"/>
            <w:tcBorders>
              <w:top w:val="nil"/>
              <w:left w:val="nil"/>
              <w:bottom w:val="nil"/>
              <w:right w:val="nil"/>
            </w:tcBorders>
            <w:shd w:val="clear" w:color="auto" w:fill="auto"/>
            <w:vAlign w:val="bottom"/>
            <w:hideMark/>
          </w:tcPr>
          <w:p w:rsidR="00B92F0C" w:rsidRDefault="00BE731B">
            <w:pPr>
              <w:jc w:val="right"/>
              <w:rPr>
                <w:sz w:val="18"/>
                <w:szCs w:val="18"/>
              </w:rPr>
            </w:pPr>
            <w:r>
              <w:rPr>
                <w:sz w:val="18"/>
                <w:szCs w:val="18"/>
              </w:rPr>
              <w:t>(</w:t>
            </w:r>
            <w:r w:rsidR="00B92F0C">
              <w:rPr>
                <w:sz w:val="18"/>
                <w:szCs w:val="18"/>
              </w:rPr>
              <w:t>15,659</w:t>
            </w:r>
            <w:r>
              <w:rPr>
                <w:sz w:val="18"/>
                <w:szCs w:val="18"/>
              </w:rPr>
              <w:t>)</w:t>
            </w:r>
          </w:p>
        </w:tc>
        <w:tc>
          <w:tcPr>
            <w:tcW w:w="1126" w:type="dxa"/>
            <w:tcBorders>
              <w:top w:val="nil"/>
              <w:left w:val="nil"/>
              <w:bottom w:val="nil"/>
              <w:right w:val="single" w:sz="4" w:space="0" w:color="auto"/>
            </w:tcBorders>
            <w:shd w:val="clear" w:color="auto" w:fill="auto"/>
            <w:vAlign w:val="bottom"/>
            <w:hideMark/>
          </w:tcPr>
          <w:p w:rsidR="00B92F0C" w:rsidRDefault="00B92F0C">
            <w:pPr>
              <w:jc w:val="right"/>
              <w:rPr>
                <w:sz w:val="18"/>
                <w:szCs w:val="18"/>
              </w:rPr>
            </w:pPr>
            <w:r>
              <w:rPr>
                <w:sz w:val="18"/>
                <w:szCs w:val="18"/>
              </w:rPr>
              <w:t>106,789</w:t>
            </w:r>
          </w:p>
        </w:tc>
        <w:tc>
          <w:tcPr>
            <w:tcW w:w="281" w:type="dxa"/>
            <w:tcBorders>
              <w:top w:val="nil"/>
              <w:left w:val="nil"/>
              <w:bottom w:val="nil"/>
              <w:right w:val="nil"/>
            </w:tcBorders>
            <w:shd w:val="clear" w:color="auto" w:fill="auto"/>
            <w:vAlign w:val="bottom"/>
            <w:hideMark/>
          </w:tcPr>
          <w:p w:rsidR="00B92F0C" w:rsidRPr="007545B3" w:rsidRDefault="00B92F0C" w:rsidP="00EE5F45">
            <w:pPr>
              <w:jc w:val="right"/>
              <w:rPr>
                <w:sz w:val="20"/>
                <w:szCs w:val="20"/>
              </w:rPr>
            </w:pPr>
          </w:p>
        </w:tc>
        <w:tc>
          <w:tcPr>
            <w:tcW w:w="1126" w:type="dxa"/>
            <w:tcBorders>
              <w:top w:val="nil"/>
              <w:left w:val="single" w:sz="4" w:space="0" w:color="auto"/>
              <w:bottom w:val="nil"/>
              <w:right w:val="nil"/>
            </w:tcBorders>
            <w:shd w:val="clear" w:color="auto" w:fill="auto"/>
            <w:vAlign w:val="bottom"/>
            <w:hideMark/>
          </w:tcPr>
          <w:p w:rsidR="00B92F0C" w:rsidRDefault="00B92F0C">
            <w:pPr>
              <w:jc w:val="right"/>
              <w:rPr>
                <w:sz w:val="18"/>
                <w:szCs w:val="18"/>
              </w:rPr>
            </w:pPr>
            <w:r>
              <w:rPr>
                <w:sz w:val="18"/>
                <w:szCs w:val="18"/>
              </w:rPr>
              <w:t>120,327</w:t>
            </w:r>
          </w:p>
        </w:tc>
        <w:tc>
          <w:tcPr>
            <w:tcW w:w="1267" w:type="dxa"/>
            <w:gridSpan w:val="2"/>
            <w:tcBorders>
              <w:top w:val="nil"/>
              <w:left w:val="nil"/>
              <w:bottom w:val="nil"/>
              <w:right w:val="nil"/>
            </w:tcBorders>
            <w:shd w:val="clear" w:color="auto" w:fill="auto"/>
            <w:vAlign w:val="bottom"/>
            <w:hideMark/>
          </w:tcPr>
          <w:p w:rsidR="00B92F0C" w:rsidRDefault="00BE731B">
            <w:pPr>
              <w:jc w:val="right"/>
              <w:rPr>
                <w:sz w:val="18"/>
                <w:szCs w:val="18"/>
              </w:rPr>
            </w:pPr>
            <w:r>
              <w:rPr>
                <w:sz w:val="18"/>
                <w:szCs w:val="18"/>
              </w:rPr>
              <w:t>(</w:t>
            </w:r>
            <w:r w:rsidR="00B92F0C">
              <w:rPr>
                <w:sz w:val="18"/>
                <w:szCs w:val="18"/>
              </w:rPr>
              <w:t>24,016</w:t>
            </w:r>
            <w:r>
              <w:rPr>
                <w:sz w:val="18"/>
                <w:szCs w:val="18"/>
              </w:rPr>
              <w:t>)</w:t>
            </w:r>
          </w:p>
        </w:tc>
        <w:tc>
          <w:tcPr>
            <w:tcW w:w="1126" w:type="dxa"/>
            <w:tcBorders>
              <w:top w:val="nil"/>
              <w:left w:val="nil"/>
              <w:bottom w:val="nil"/>
              <w:right w:val="single" w:sz="4" w:space="0" w:color="auto"/>
            </w:tcBorders>
            <w:shd w:val="clear" w:color="auto" w:fill="auto"/>
            <w:vAlign w:val="bottom"/>
            <w:hideMark/>
          </w:tcPr>
          <w:p w:rsidR="00B92F0C" w:rsidRDefault="00B92F0C">
            <w:pPr>
              <w:jc w:val="right"/>
              <w:rPr>
                <w:sz w:val="18"/>
                <w:szCs w:val="18"/>
              </w:rPr>
            </w:pPr>
            <w:r>
              <w:rPr>
                <w:sz w:val="18"/>
                <w:szCs w:val="18"/>
              </w:rPr>
              <w:t>96,311</w:t>
            </w:r>
          </w:p>
        </w:tc>
      </w:tr>
      <w:tr w:rsidR="00B92F0C" w:rsidRPr="007545B3" w:rsidTr="00D1374B">
        <w:trPr>
          <w:trHeight w:val="277"/>
        </w:trPr>
        <w:tc>
          <w:tcPr>
            <w:tcW w:w="3063" w:type="dxa"/>
            <w:tcBorders>
              <w:top w:val="nil"/>
              <w:left w:val="nil"/>
              <w:bottom w:val="nil"/>
              <w:right w:val="nil"/>
            </w:tcBorders>
            <w:shd w:val="clear" w:color="auto" w:fill="auto"/>
            <w:hideMark/>
          </w:tcPr>
          <w:p w:rsidR="00B92F0C" w:rsidRPr="007545B3" w:rsidRDefault="00B92F0C" w:rsidP="006658C3">
            <w:pPr>
              <w:rPr>
                <w:sz w:val="20"/>
                <w:szCs w:val="20"/>
              </w:rPr>
            </w:pPr>
            <w:r w:rsidRPr="007545B3">
              <w:rPr>
                <w:sz w:val="20"/>
                <w:szCs w:val="20"/>
              </w:rPr>
              <w:t>Adult Social Care</w:t>
            </w:r>
          </w:p>
        </w:tc>
        <w:tc>
          <w:tcPr>
            <w:tcW w:w="1267" w:type="dxa"/>
            <w:tcBorders>
              <w:top w:val="nil"/>
              <w:left w:val="single" w:sz="4" w:space="0" w:color="auto"/>
              <w:bottom w:val="nil"/>
              <w:right w:val="nil"/>
            </w:tcBorders>
            <w:shd w:val="clear" w:color="auto" w:fill="auto"/>
            <w:vAlign w:val="bottom"/>
            <w:hideMark/>
          </w:tcPr>
          <w:p w:rsidR="00B92F0C" w:rsidRDefault="00B92F0C">
            <w:pPr>
              <w:jc w:val="right"/>
              <w:rPr>
                <w:sz w:val="18"/>
                <w:szCs w:val="18"/>
              </w:rPr>
            </w:pPr>
            <w:r>
              <w:rPr>
                <w:sz w:val="18"/>
                <w:szCs w:val="18"/>
              </w:rPr>
              <w:t>456,712</w:t>
            </w:r>
          </w:p>
        </w:tc>
        <w:tc>
          <w:tcPr>
            <w:tcW w:w="1267" w:type="dxa"/>
            <w:gridSpan w:val="2"/>
            <w:tcBorders>
              <w:top w:val="nil"/>
              <w:left w:val="nil"/>
              <w:bottom w:val="nil"/>
              <w:right w:val="nil"/>
            </w:tcBorders>
            <w:shd w:val="clear" w:color="auto" w:fill="auto"/>
            <w:vAlign w:val="bottom"/>
            <w:hideMark/>
          </w:tcPr>
          <w:p w:rsidR="00B92F0C" w:rsidRDefault="00BE731B">
            <w:pPr>
              <w:jc w:val="right"/>
              <w:rPr>
                <w:sz w:val="18"/>
                <w:szCs w:val="18"/>
              </w:rPr>
            </w:pPr>
            <w:r>
              <w:rPr>
                <w:sz w:val="18"/>
                <w:szCs w:val="18"/>
              </w:rPr>
              <w:t>(</w:t>
            </w:r>
            <w:r w:rsidR="00B92F0C">
              <w:rPr>
                <w:sz w:val="18"/>
                <w:szCs w:val="18"/>
              </w:rPr>
              <w:t>136,027</w:t>
            </w:r>
            <w:r>
              <w:rPr>
                <w:sz w:val="18"/>
                <w:szCs w:val="18"/>
              </w:rPr>
              <w:t>)</w:t>
            </w:r>
          </w:p>
        </w:tc>
        <w:tc>
          <w:tcPr>
            <w:tcW w:w="1126" w:type="dxa"/>
            <w:tcBorders>
              <w:top w:val="nil"/>
              <w:left w:val="nil"/>
              <w:bottom w:val="nil"/>
              <w:right w:val="single" w:sz="4" w:space="0" w:color="auto"/>
            </w:tcBorders>
            <w:shd w:val="clear" w:color="auto" w:fill="auto"/>
            <w:vAlign w:val="bottom"/>
            <w:hideMark/>
          </w:tcPr>
          <w:p w:rsidR="00B92F0C" w:rsidRDefault="00B92F0C">
            <w:pPr>
              <w:jc w:val="right"/>
              <w:rPr>
                <w:sz w:val="18"/>
                <w:szCs w:val="18"/>
              </w:rPr>
            </w:pPr>
            <w:r>
              <w:rPr>
                <w:sz w:val="18"/>
                <w:szCs w:val="18"/>
              </w:rPr>
              <w:t>320,685</w:t>
            </w:r>
          </w:p>
        </w:tc>
        <w:tc>
          <w:tcPr>
            <w:tcW w:w="281" w:type="dxa"/>
            <w:tcBorders>
              <w:top w:val="nil"/>
              <w:left w:val="nil"/>
              <w:bottom w:val="nil"/>
              <w:right w:val="nil"/>
            </w:tcBorders>
            <w:shd w:val="clear" w:color="auto" w:fill="auto"/>
            <w:vAlign w:val="bottom"/>
            <w:hideMark/>
          </w:tcPr>
          <w:p w:rsidR="00B92F0C" w:rsidRPr="007545B3" w:rsidRDefault="00B92F0C" w:rsidP="00EE5F45">
            <w:pPr>
              <w:jc w:val="right"/>
              <w:rPr>
                <w:sz w:val="20"/>
                <w:szCs w:val="20"/>
              </w:rPr>
            </w:pPr>
          </w:p>
        </w:tc>
        <w:tc>
          <w:tcPr>
            <w:tcW w:w="1126" w:type="dxa"/>
            <w:tcBorders>
              <w:top w:val="nil"/>
              <w:left w:val="single" w:sz="4" w:space="0" w:color="auto"/>
              <w:bottom w:val="nil"/>
              <w:right w:val="nil"/>
            </w:tcBorders>
            <w:shd w:val="clear" w:color="auto" w:fill="auto"/>
            <w:vAlign w:val="bottom"/>
            <w:hideMark/>
          </w:tcPr>
          <w:p w:rsidR="00B92F0C" w:rsidRDefault="00B92F0C">
            <w:pPr>
              <w:jc w:val="right"/>
              <w:rPr>
                <w:sz w:val="18"/>
                <w:szCs w:val="18"/>
              </w:rPr>
            </w:pPr>
            <w:r>
              <w:rPr>
                <w:sz w:val="18"/>
                <w:szCs w:val="18"/>
              </w:rPr>
              <w:t>477,315</w:t>
            </w:r>
          </w:p>
        </w:tc>
        <w:tc>
          <w:tcPr>
            <w:tcW w:w="1267" w:type="dxa"/>
            <w:gridSpan w:val="2"/>
            <w:tcBorders>
              <w:top w:val="nil"/>
              <w:left w:val="nil"/>
              <w:bottom w:val="nil"/>
              <w:right w:val="nil"/>
            </w:tcBorders>
            <w:shd w:val="clear" w:color="auto" w:fill="auto"/>
            <w:vAlign w:val="bottom"/>
            <w:hideMark/>
          </w:tcPr>
          <w:p w:rsidR="00B92F0C" w:rsidRDefault="00BE731B">
            <w:pPr>
              <w:jc w:val="right"/>
              <w:rPr>
                <w:sz w:val="18"/>
                <w:szCs w:val="18"/>
              </w:rPr>
            </w:pPr>
            <w:r>
              <w:rPr>
                <w:sz w:val="18"/>
                <w:szCs w:val="18"/>
              </w:rPr>
              <w:t>(</w:t>
            </w:r>
            <w:r w:rsidR="00B92F0C">
              <w:rPr>
                <w:sz w:val="18"/>
                <w:szCs w:val="18"/>
              </w:rPr>
              <w:t>124,518</w:t>
            </w:r>
            <w:r>
              <w:rPr>
                <w:sz w:val="18"/>
                <w:szCs w:val="18"/>
              </w:rPr>
              <w:t>)</w:t>
            </w:r>
          </w:p>
        </w:tc>
        <w:tc>
          <w:tcPr>
            <w:tcW w:w="1126" w:type="dxa"/>
            <w:tcBorders>
              <w:top w:val="nil"/>
              <w:left w:val="nil"/>
              <w:bottom w:val="nil"/>
              <w:right w:val="single" w:sz="4" w:space="0" w:color="auto"/>
            </w:tcBorders>
            <w:shd w:val="clear" w:color="auto" w:fill="auto"/>
            <w:vAlign w:val="bottom"/>
            <w:hideMark/>
          </w:tcPr>
          <w:p w:rsidR="00B92F0C" w:rsidRDefault="00B92F0C">
            <w:pPr>
              <w:jc w:val="right"/>
              <w:rPr>
                <w:sz w:val="18"/>
                <w:szCs w:val="18"/>
              </w:rPr>
            </w:pPr>
            <w:r>
              <w:rPr>
                <w:sz w:val="18"/>
                <w:szCs w:val="18"/>
              </w:rPr>
              <w:t>352,797</w:t>
            </w:r>
          </w:p>
        </w:tc>
      </w:tr>
      <w:tr w:rsidR="00B92F0C" w:rsidRPr="007545B3" w:rsidTr="00D1374B">
        <w:trPr>
          <w:trHeight w:val="277"/>
        </w:trPr>
        <w:tc>
          <w:tcPr>
            <w:tcW w:w="3063" w:type="dxa"/>
            <w:tcBorders>
              <w:top w:val="nil"/>
              <w:left w:val="nil"/>
              <w:bottom w:val="nil"/>
              <w:right w:val="nil"/>
            </w:tcBorders>
            <w:shd w:val="clear" w:color="auto" w:fill="auto"/>
            <w:hideMark/>
          </w:tcPr>
          <w:p w:rsidR="00B92F0C" w:rsidRPr="007545B3" w:rsidRDefault="00B92F0C" w:rsidP="006658C3">
            <w:pPr>
              <w:rPr>
                <w:sz w:val="20"/>
                <w:szCs w:val="20"/>
              </w:rPr>
            </w:pPr>
            <w:r w:rsidRPr="007545B3">
              <w:rPr>
                <w:sz w:val="20"/>
                <w:szCs w:val="20"/>
              </w:rPr>
              <w:t>Central Services to the Public</w:t>
            </w:r>
          </w:p>
        </w:tc>
        <w:tc>
          <w:tcPr>
            <w:tcW w:w="1267" w:type="dxa"/>
            <w:tcBorders>
              <w:top w:val="nil"/>
              <w:left w:val="single" w:sz="4" w:space="0" w:color="auto"/>
              <w:bottom w:val="nil"/>
              <w:right w:val="nil"/>
            </w:tcBorders>
            <w:shd w:val="clear" w:color="auto" w:fill="auto"/>
            <w:vAlign w:val="bottom"/>
            <w:hideMark/>
          </w:tcPr>
          <w:p w:rsidR="00B92F0C" w:rsidRDefault="00B92F0C">
            <w:pPr>
              <w:jc w:val="right"/>
              <w:rPr>
                <w:sz w:val="18"/>
                <w:szCs w:val="18"/>
              </w:rPr>
            </w:pPr>
            <w:r>
              <w:rPr>
                <w:sz w:val="18"/>
                <w:szCs w:val="18"/>
              </w:rPr>
              <w:t>6,027</w:t>
            </w:r>
          </w:p>
        </w:tc>
        <w:tc>
          <w:tcPr>
            <w:tcW w:w="1267" w:type="dxa"/>
            <w:gridSpan w:val="2"/>
            <w:tcBorders>
              <w:top w:val="nil"/>
              <w:left w:val="nil"/>
              <w:bottom w:val="nil"/>
              <w:right w:val="nil"/>
            </w:tcBorders>
            <w:shd w:val="clear" w:color="auto" w:fill="auto"/>
            <w:vAlign w:val="bottom"/>
            <w:hideMark/>
          </w:tcPr>
          <w:p w:rsidR="00B92F0C" w:rsidRDefault="00BE731B">
            <w:pPr>
              <w:jc w:val="right"/>
              <w:rPr>
                <w:sz w:val="18"/>
                <w:szCs w:val="18"/>
              </w:rPr>
            </w:pPr>
            <w:r>
              <w:rPr>
                <w:sz w:val="18"/>
                <w:szCs w:val="18"/>
              </w:rPr>
              <w:t>(</w:t>
            </w:r>
            <w:r w:rsidR="00B92F0C">
              <w:rPr>
                <w:sz w:val="18"/>
                <w:szCs w:val="18"/>
              </w:rPr>
              <w:t>1,739</w:t>
            </w:r>
            <w:r>
              <w:rPr>
                <w:sz w:val="18"/>
                <w:szCs w:val="18"/>
              </w:rPr>
              <w:t>)</w:t>
            </w:r>
          </w:p>
        </w:tc>
        <w:tc>
          <w:tcPr>
            <w:tcW w:w="1126" w:type="dxa"/>
            <w:tcBorders>
              <w:top w:val="nil"/>
              <w:left w:val="nil"/>
              <w:bottom w:val="nil"/>
              <w:right w:val="single" w:sz="4" w:space="0" w:color="auto"/>
            </w:tcBorders>
            <w:shd w:val="clear" w:color="auto" w:fill="auto"/>
            <w:vAlign w:val="bottom"/>
            <w:hideMark/>
          </w:tcPr>
          <w:p w:rsidR="00B92F0C" w:rsidRDefault="00B92F0C">
            <w:pPr>
              <w:jc w:val="right"/>
              <w:rPr>
                <w:sz w:val="18"/>
                <w:szCs w:val="18"/>
              </w:rPr>
            </w:pPr>
            <w:r>
              <w:rPr>
                <w:sz w:val="18"/>
                <w:szCs w:val="18"/>
              </w:rPr>
              <w:t>4,288</w:t>
            </w:r>
          </w:p>
        </w:tc>
        <w:tc>
          <w:tcPr>
            <w:tcW w:w="281" w:type="dxa"/>
            <w:tcBorders>
              <w:top w:val="nil"/>
              <w:left w:val="nil"/>
              <w:bottom w:val="nil"/>
              <w:right w:val="nil"/>
            </w:tcBorders>
            <w:shd w:val="clear" w:color="auto" w:fill="auto"/>
            <w:vAlign w:val="bottom"/>
            <w:hideMark/>
          </w:tcPr>
          <w:p w:rsidR="00B92F0C" w:rsidRPr="007545B3" w:rsidRDefault="00B92F0C" w:rsidP="00EE5F45">
            <w:pPr>
              <w:jc w:val="right"/>
              <w:rPr>
                <w:sz w:val="20"/>
                <w:szCs w:val="20"/>
              </w:rPr>
            </w:pPr>
          </w:p>
        </w:tc>
        <w:tc>
          <w:tcPr>
            <w:tcW w:w="1126" w:type="dxa"/>
            <w:tcBorders>
              <w:top w:val="nil"/>
              <w:left w:val="single" w:sz="4" w:space="0" w:color="auto"/>
              <w:bottom w:val="nil"/>
              <w:right w:val="nil"/>
            </w:tcBorders>
            <w:shd w:val="clear" w:color="auto" w:fill="auto"/>
            <w:vAlign w:val="bottom"/>
            <w:hideMark/>
          </w:tcPr>
          <w:p w:rsidR="00B92F0C" w:rsidRDefault="00B92F0C">
            <w:pPr>
              <w:jc w:val="right"/>
              <w:rPr>
                <w:sz w:val="18"/>
                <w:szCs w:val="18"/>
              </w:rPr>
            </w:pPr>
            <w:r>
              <w:rPr>
                <w:sz w:val="18"/>
                <w:szCs w:val="18"/>
              </w:rPr>
              <w:t>6,924</w:t>
            </w:r>
          </w:p>
        </w:tc>
        <w:tc>
          <w:tcPr>
            <w:tcW w:w="1267" w:type="dxa"/>
            <w:gridSpan w:val="2"/>
            <w:tcBorders>
              <w:top w:val="nil"/>
              <w:left w:val="nil"/>
              <w:bottom w:val="nil"/>
              <w:right w:val="nil"/>
            </w:tcBorders>
            <w:shd w:val="clear" w:color="auto" w:fill="auto"/>
            <w:vAlign w:val="bottom"/>
            <w:hideMark/>
          </w:tcPr>
          <w:p w:rsidR="00B92F0C" w:rsidRDefault="00BE731B">
            <w:pPr>
              <w:jc w:val="right"/>
              <w:rPr>
                <w:sz w:val="18"/>
                <w:szCs w:val="18"/>
              </w:rPr>
            </w:pPr>
            <w:r>
              <w:rPr>
                <w:sz w:val="18"/>
                <w:szCs w:val="18"/>
              </w:rPr>
              <w:t>(</w:t>
            </w:r>
            <w:r w:rsidR="00B92F0C">
              <w:rPr>
                <w:sz w:val="18"/>
                <w:szCs w:val="18"/>
              </w:rPr>
              <w:t>1,799</w:t>
            </w:r>
            <w:r>
              <w:rPr>
                <w:sz w:val="18"/>
                <w:szCs w:val="18"/>
              </w:rPr>
              <w:t>)</w:t>
            </w:r>
          </w:p>
        </w:tc>
        <w:tc>
          <w:tcPr>
            <w:tcW w:w="1126" w:type="dxa"/>
            <w:tcBorders>
              <w:top w:val="nil"/>
              <w:left w:val="nil"/>
              <w:bottom w:val="nil"/>
              <w:right w:val="single" w:sz="4" w:space="0" w:color="auto"/>
            </w:tcBorders>
            <w:shd w:val="clear" w:color="auto" w:fill="auto"/>
            <w:vAlign w:val="bottom"/>
            <w:hideMark/>
          </w:tcPr>
          <w:p w:rsidR="00B92F0C" w:rsidRDefault="00B92F0C">
            <w:pPr>
              <w:jc w:val="right"/>
              <w:rPr>
                <w:sz w:val="18"/>
                <w:szCs w:val="18"/>
              </w:rPr>
            </w:pPr>
            <w:r>
              <w:rPr>
                <w:sz w:val="18"/>
                <w:szCs w:val="18"/>
              </w:rPr>
              <w:t>5,125</w:t>
            </w:r>
          </w:p>
        </w:tc>
      </w:tr>
      <w:tr w:rsidR="00B92F0C" w:rsidRPr="007545B3" w:rsidTr="00D1374B">
        <w:trPr>
          <w:trHeight w:val="277"/>
        </w:trPr>
        <w:tc>
          <w:tcPr>
            <w:tcW w:w="3063" w:type="dxa"/>
            <w:tcBorders>
              <w:top w:val="nil"/>
              <w:left w:val="nil"/>
              <w:bottom w:val="nil"/>
              <w:right w:val="nil"/>
            </w:tcBorders>
            <w:shd w:val="clear" w:color="auto" w:fill="auto"/>
            <w:hideMark/>
          </w:tcPr>
          <w:p w:rsidR="00B92F0C" w:rsidRPr="007545B3" w:rsidRDefault="00B92F0C" w:rsidP="006658C3">
            <w:pPr>
              <w:rPr>
                <w:sz w:val="20"/>
                <w:szCs w:val="20"/>
              </w:rPr>
            </w:pPr>
            <w:r w:rsidRPr="007545B3">
              <w:rPr>
                <w:sz w:val="20"/>
                <w:szCs w:val="20"/>
              </w:rPr>
              <w:t>Corporate and Democratic core</w:t>
            </w:r>
          </w:p>
        </w:tc>
        <w:tc>
          <w:tcPr>
            <w:tcW w:w="1267" w:type="dxa"/>
            <w:tcBorders>
              <w:top w:val="nil"/>
              <w:left w:val="single" w:sz="4" w:space="0" w:color="auto"/>
              <w:bottom w:val="nil"/>
              <w:right w:val="nil"/>
            </w:tcBorders>
            <w:shd w:val="clear" w:color="auto" w:fill="auto"/>
            <w:vAlign w:val="bottom"/>
            <w:hideMark/>
          </w:tcPr>
          <w:p w:rsidR="00B92F0C" w:rsidRDefault="00B92F0C">
            <w:pPr>
              <w:jc w:val="right"/>
              <w:rPr>
                <w:sz w:val="18"/>
                <w:szCs w:val="18"/>
              </w:rPr>
            </w:pPr>
            <w:r>
              <w:rPr>
                <w:sz w:val="18"/>
                <w:szCs w:val="18"/>
              </w:rPr>
              <w:t>29,683</w:t>
            </w:r>
          </w:p>
        </w:tc>
        <w:tc>
          <w:tcPr>
            <w:tcW w:w="1267" w:type="dxa"/>
            <w:gridSpan w:val="2"/>
            <w:tcBorders>
              <w:top w:val="nil"/>
              <w:left w:val="nil"/>
              <w:bottom w:val="nil"/>
              <w:right w:val="nil"/>
            </w:tcBorders>
            <w:shd w:val="clear" w:color="auto" w:fill="auto"/>
            <w:vAlign w:val="bottom"/>
            <w:hideMark/>
          </w:tcPr>
          <w:p w:rsidR="00B92F0C" w:rsidRDefault="00BE731B">
            <w:pPr>
              <w:jc w:val="right"/>
              <w:rPr>
                <w:sz w:val="18"/>
                <w:szCs w:val="18"/>
              </w:rPr>
            </w:pPr>
            <w:r>
              <w:rPr>
                <w:sz w:val="18"/>
                <w:szCs w:val="18"/>
              </w:rPr>
              <w:t>(</w:t>
            </w:r>
            <w:r w:rsidR="00B92F0C">
              <w:rPr>
                <w:sz w:val="18"/>
                <w:szCs w:val="18"/>
              </w:rPr>
              <w:t>9,413</w:t>
            </w:r>
            <w:r>
              <w:rPr>
                <w:sz w:val="18"/>
                <w:szCs w:val="18"/>
              </w:rPr>
              <w:t>)</w:t>
            </w:r>
          </w:p>
        </w:tc>
        <w:tc>
          <w:tcPr>
            <w:tcW w:w="1126" w:type="dxa"/>
            <w:tcBorders>
              <w:top w:val="nil"/>
              <w:left w:val="nil"/>
              <w:bottom w:val="nil"/>
              <w:right w:val="single" w:sz="4" w:space="0" w:color="auto"/>
            </w:tcBorders>
            <w:shd w:val="clear" w:color="auto" w:fill="auto"/>
            <w:vAlign w:val="bottom"/>
            <w:hideMark/>
          </w:tcPr>
          <w:p w:rsidR="00B92F0C" w:rsidRDefault="00B92F0C">
            <w:pPr>
              <w:jc w:val="right"/>
              <w:rPr>
                <w:sz w:val="18"/>
                <w:szCs w:val="18"/>
              </w:rPr>
            </w:pPr>
            <w:r>
              <w:rPr>
                <w:sz w:val="18"/>
                <w:szCs w:val="18"/>
              </w:rPr>
              <w:t>20,270</w:t>
            </w:r>
          </w:p>
        </w:tc>
        <w:tc>
          <w:tcPr>
            <w:tcW w:w="281" w:type="dxa"/>
            <w:tcBorders>
              <w:top w:val="nil"/>
              <w:left w:val="nil"/>
              <w:bottom w:val="nil"/>
              <w:right w:val="nil"/>
            </w:tcBorders>
            <w:shd w:val="clear" w:color="auto" w:fill="auto"/>
            <w:vAlign w:val="bottom"/>
            <w:hideMark/>
          </w:tcPr>
          <w:p w:rsidR="00B92F0C" w:rsidRPr="007545B3" w:rsidRDefault="00B92F0C" w:rsidP="00EE5F45">
            <w:pPr>
              <w:jc w:val="right"/>
              <w:rPr>
                <w:sz w:val="20"/>
                <w:szCs w:val="20"/>
              </w:rPr>
            </w:pPr>
          </w:p>
        </w:tc>
        <w:tc>
          <w:tcPr>
            <w:tcW w:w="1126" w:type="dxa"/>
            <w:tcBorders>
              <w:top w:val="nil"/>
              <w:left w:val="single" w:sz="4" w:space="0" w:color="auto"/>
              <w:bottom w:val="nil"/>
              <w:right w:val="nil"/>
            </w:tcBorders>
            <w:shd w:val="clear" w:color="auto" w:fill="auto"/>
            <w:vAlign w:val="bottom"/>
            <w:hideMark/>
          </w:tcPr>
          <w:p w:rsidR="00B92F0C" w:rsidRDefault="00B92F0C">
            <w:pPr>
              <w:jc w:val="right"/>
              <w:rPr>
                <w:sz w:val="18"/>
                <w:szCs w:val="18"/>
              </w:rPr>
            </w:pPr>
            <w:r>
              <w:rPr>
                <w:sz w:val="18"/>
                <w:szCs w:val="18"/>
              </w:rPr>
              <w:t>28,046</w:t>
            </w:r>
          </w:p>
        </w:tc>
        <w:tc>
          <w:tcPr>
            <w:tcW w:w="1267" w:type="dxa"/>
            <w:gridSpan w:val="2"/>
            <w:tcBorders>
              <w:top w:val="nil"/>
              <w:left w:val="nil"/>
              <w:bottom w:val="nil"/>
              <w:right w:val="nil"/>
            </w:tcBorders>
            <w:shd w:val="clear" w:color="auto" w:fill="auto"/>
            <w:vAlign w:val="bottom"/>
            <w:hideMark/>
          </w:tcPr>
          <w:p w:rsidR="00B92F0C" w:rsidRDefault="00BE731B">
            <w:pPr>
              <w:jc w:val="right"/>
              <w:rPr>
                <w:sz w:val="18"/>
                <w:szCs w:val="18"/>
              </w:rPr>
            </w:pPr>
            <w:r>
              <w:rPr>
                <w:sz w:val="18"/>
                <w:szCs w:val="18"/>
              </w:rPr>
              <w:t>(</w:t>
            </w:r>
            <w:r w:rsidR="00B92F0C">
              <w:rPr>
                <w:sz w:val="18"/>
                <w:szCs w:val="18"/>
              </w:rPr>
              <w:t>13,784</w:t>
            </w:r>
            <w:r>
              <w:rPr>
                <w:sz w:val="18"/>
                <w:szCs w:val="18"/>
              </w:rPr>
              <w:t>)</w:t>
            </w:r>
          </w:p>
        </w:tc>
        <w:tc>
          <w:tcPr>
            <w:tcW w:w="1126" w:type="dxa"/>
            <w:tcBorders>
              <w:top w:val="nil"/>
              <w:left w:val="nil"/>
              <w:bottom w:val="nil"/>
              <w:right w:val="single" w:sz="4" w:space="0" w:color="auto"/>
            </w:tcBorders>
            <w:shd w:val="clear" w:color="auto" w:fill="auto"/>
            <w:vAlign w:val="bottom"/>
            <w:hideMark/>
          </w:tcPr>
          <w:p w:rsidR="00B92F0C" w:rsidRDefault="00B92F0C">
            <w:pPr>
              <w:jc w:val="right"/>
              <w:rPr>
                <w:sz w:val="18"/>
                <w:szCs w:val="18"/>
              </w:rPr>
            </w:pPr>
            <w:r>
              <w:rPr>
                <w:sz w:val="18"/>
                <w:szCs w:val="18"/>
              </w:rPr>
              <w:t>14,262</w:t>
            </w:r>
          </w:p>
        </w:tc>
      </w:tr>
      <w:tr w:rsidR="00B92F0C" w:rsidRPr="007545B3" w:rsidTr="00D1374B">
        <w:trPr>
          <w:trHeight w:val="277"/>
        </w:trPr>
        <w:tc>
          <w:tcPr>
            <w:tcW w:w="3063" w:type="dxa"/>
            <w:tcBorders>
              <w:top w:val="nil"/>
              <w:left w:val="nil"/>
              <w:bottom w:val="nil"/>
              <w:right w:val="nil"/>
            </w:tcBorders>
            <w:shd w:val="clear" w:color="auto" w:fill="auto"/>
            <w:hideMark/>
          </w:tcPr>
          <w:p w:rsidR="00B92F0C" w:rsidRPr="007545B3" w:rsidRDefault="00B92F0C" w:rsidP="006658C3">
            <w:pPr>
              <w:rPr>
                <w:sz w:val="20"/>
                <w:szCs w:val="20"/>
              </w:rPr>
            </w:pPr>
            <w:r w:rsidRPr="007545B3">
              <w:rPr>
                <w:sz w:val="20"/>
                <w:szCs w:val="20"/>
              </w:rPr>
              <w:t>Non Distributed Costs</w:t>
            </w:r>
            <w:r w:rsidR="005C1384">
              <w:rPr>
                <w:sz w:val="20"/>
                <w:szCs w:val="20"/>
              </w:rPr>
              <w:t>*</w:t>
            </w:r>
          </w:p>
        </w:tc>
        <w:tc>
          <w:tcPr>
            <w:tcW w:w="1267" w:type="dxa"/>
            <w:tcBorders>
              <w:top w:val="nil"/>
              <w:left w:val="single" w:sz="4" w:space="0" w:color="auto"/>
              <w:bottom w:val="nil"/>
              <w:right w:val="nil"/>
            </w:tcBorders>
            <w:shd w:val="clear" w:color="auto" w:fill="auto"/>
            <w:vAlign w:val="bottom"/>
            <w:hideMark/>
          </w:tcPr>
          <w:p w:rsidR="00B92F0C" w:rsidRDefault="00B92F0C">
            <w:pPr>
              <w:jc w:val="right"/>
              <w:rPr>
                <w:sz w:val="18"/>
                <w:szCs w:val="18"/>
              </w:rPr>
            </w:pPr>
            <w:r>
              <w:rPr>
                <w:sz w:val="18"/>
                <w:szCs w:val="18"/>
              </w:rPr>
              <w:t>60,359</w:t>
            </w:r>
          </w:p>
        </w:tc>
        <w:tc>
          <w:tcPr>
            <w:tcW w:w="1267" w:type="dxa"/>
            <w:gridSpan w:val="2"/>
            <w:tcBorders>
              <w:top w:val="nil"/>
              <w:left w:val="nil"/>
              <w:bottom w:val="nil"/>
              <w:right w:val="nil"/>
            </w:tcBorders>
            <w:shd w:val="clear" w:color="auto" w:fill="auto"/>
            <w:vAlign w:val="bottom"/>
            <w:hideMark/>
          </w:tcPr>
          <w:p w:rsidR="00B92F0C" w:rsidRDefault="00BE731B">
            <w:pPr>
              <w:jc w:val="right"/>
              <w:rPr>
                <w:sz w:val="18"/>
                <w:szCs w:val="18"/>
              </w:rPr>
            </w:pPr>
            <w:r>
              <w:rPr>
                <w:sz w:val="18"/>
                <w:szCs w:val="18"/>
              </w:rPr>
              <w:t>(</w:t>
            </w:r>
            <w:r w:rsidR="00B92F0C">
              <w:rPr>
                <w:sz w:val="18"/>
                <w:szCs w:val="18"/>
              </w:rPr>
              <w:t>71,945</w:t>
            </w:r>
            <w:r>
              <w:rPr>
                <w:sz w:val="18"/>
                <w:szCs w:val="18"/>
              </w:rPr>
              <w:t>)</w:t>
            </w:r>
          </w:p>
        </w:tc>
        <w:tc>
          <w:tcPr>
            <w:tcW w:w="1126" w:type="dxa"/>
            <w:tcBorders>
              <w:top w:val="nil"/>
              <w:left w:val="nil"/>
              <w:bottom w:val="nil"/>
              <w:right w:val="single" w:sz="4" w:space="0" w:color="auto"/>
            </w:tcBorders>
            <w:shd w:val="clear" w:color="auto" w:fill="auto"/>
            <w:vAlign w:val="bottom"/>
            <w:hideMark/>
          </w:tcPr>
          <w:p w:rsidR="00B92F0C" w:rsidRDefault="00B92F0C">
            <w:pPr>
              <w:jc w:val="right"/>
              <w:rPr>
                <w:sz w:val="18"/>
                <w:szCs w:val="18"/>
              </w:rPr>
            </w:pPr>
            <w:r>
              <w:rPr>
                <w:sz w:val="18"/>
                <w:szCs w:val="18"/>
              </w:rPr>
              <w:t>(11,586)</w:t>
            </w:r>
          </w:p>
        </w:tc>
        <w:tc>
          <w:tcPr>
            <w:tcW w:w="281" w:type="dxa"/>
            <w:tcBorders>
              <w:top w:val="nil"/>
              <w:left w:val="nil"/>
              <w:bottom w:val="nil"/>
              <w:right w:val="nil"/>
            </w:tcBorders>
            <w:shd w:val="clear" w:color="auto" w:fill="auto"/>
            <w:vAlign w:val="bottom"/>
            <w:hideMark/>
          </w:tcPr>
          <w:p w:rsidR="00B92F0C" w:rsidRPr="007545B3" w:rsidRDefault="00B92F0C" w:rsidP="00EE5F45">
            <w:pPr>
              <w:jc w:val="right"/>
              <w:rPr>
                <w:sz w:val="20"/>
                <w:szCs w:val="20"/>
              </w:rPr>
            </w:pPr>
          </w:p>
        </w:tc>
        <w:tc>
          <w:tcPr>
            <w:tcW w:w="1126" w:type="dxa"/>
            <w:tcBorders>
              <w:top w:val="nil"/>
              <w:left w:val="single" w:sz="4" w:space="0" w:color="auto"/>
              <w:bottom w:val="nil"/>
              <w:right w:val="nil"/>
            </w:tcBorders>
            <w:shd w:val="clear" w:color="auto" w:fill="auto"/>
            <w:vAlign w:val="bottom"/>
            <w:hideMark/>
          </w:tcPr>
          <w:p w:rsidR="00B92F0C" w:rsidRDefault="00B92F0C">
            <w:pPr>
              <w:jc w:val="right"/>
              <w:rPr>
                <w:sz w:val="18"/>
                <w:szCs w:val="18"/>
              </w:rPr>
            </w:pPr>
            <w:r>
              <w:rPr>
                <w:sz w:val="18"/>
                <w:szCs w:val="18"/>
              </w:rPr>
              <w:t>23,002</w:t>
            </w:r>
          </w:p>
        </w:tc>
        <w:tc>
          <w:tcPr>
            <w:tcW w:w="1267" w:type="dxa"/>
            <w:gridSpan w:val="2"/>
            <w:tcBorders>
              <w:top w:val="nil"/>
              <w:left w:val="nil"/>
              <w:bottom w:val="nil"/>
              <w:right w:val="nil"/>
            </w:tcBorders>
            <w:shd w:val="clear" w:color="auto" w:fill="auto"/>
            <w:vAlign w:val="bottom"/>
            <w:hideMark/>
          </w:tcPr>
          <w:p w:rsidR="00B92F0C" w:rsidRDefault="00BE731B">
            <w:pPr>
              <w:jc w:val="right"/>
              <w:rPr>
                <w:sz w:val="18"/>
                <w:szCs w:val="18"/>
              </w:rPr>
            </w:pPr>
            <w:r>
              <w:rPr>
                <w:sz w:val="18"/>
                <w:szCs w:val="18"/>
              </w:rPr>
              <w:t>(</w:t>
            </w:r>
            <w:r w:rsidR="00B92F0C">
              <w:rPr>
                <w:sz w:val="18"/>
                <w:szCs w:val="18"/>
              </w:rPr>
              <w:t>28,596</w:t>
            </w:r>
            <w:r>
              <w:rPr>
                <w:sz w:val="18"/>
                <w:szCs w:val="18"/>
              </w:rPr>
              <w:t>)</w:t>
            </w:r>
          </w:p>
        </w:tc>
        <w:tc>
          <w:tcPr>
            <w:tcW w:w="1126" w:type="dxa"/>
            <w:tcBorders>
              <w:top w:val="nil"/>
              <w:left w:val="nil"/>
              <w:bottom w:val="nil"/>
              <w:right w:val="single" w:sz="4" w:space="0" w:color="auto"/>
            </w:tcBorders>
            <w:shd w:val="clear" w:color="auto" w:fill="auto"/>
            <w:vAlign w:val="bottom"/>
            <w:hideMark/>
          </w:tcPr>
          <w:p w:rsidR="00B92F0C" w:rsidRDefault="00B92F0C">
            <w:pPr>
              <w:jc w:val="right"/>
              <w:rPr>
                <w:sz w:val="18"/>
                <w:szCs w:val="18"/>
              </w:rPr>
            </w:pPr>
            <w:r>
              <w:rPr>
                <w:sz w:val="18"/>
                <w:szCs w:val="18"/>
              </w:rPr>
              <w:t>(5,594)</w:t>
            </w:r>
          </w:p>
        </w:tc>
      </w:tr>
      <w:tr w:rsidR="00B92F0C" w:rsidRPr="007545B3" w:rsidTr="00D1374B">
        <w:trPr>
          <w:trHeight w:val="277"/>
        </w:trPr>
        <w:tc>
          <w:tcPr>
            <w:tcW w:w="3063" w:type="dxa"/>
            <w:tcBorders>
              <w:top w:val="nil"/>
              <w:left w:val="nil"/>
              <w:bottom w:val="nil"/>
              <w:right w:val="nil"/>
            </w:tcBorders>
            <w:shd w:val="clear" w:color="auto" w:fill="auto"/>
            <w:hideMark/>
          </w:tcPr>
          <w:p w:rsidR="00B92F0C" w:rsidRPr="007545B3" w:rsidRDefault="00B92F0C" w:rsidP="006658C3">
            <w:pPr>
              <w:rPr>
                <w:sz w:val="20"/>
                <w:szCs w:val="20"/>
              </w:rPr>
            </w:pPr>
            <w:r w:rsidRPr="007545B3">
              <w:rPr>
                <w:sz w:val="20"/>
                <w:szCs w:val="20"/>
              </w:rPr>
              <w:t xml:space="preserve">NDC – Past Service Costs </w:t>
            </w:r>
          </w:p>
        </w:tc>
        <w:tc>
          <w:tcPr>
            <w:tcW w:w="1267" w:type="dxa"/>
            <w:tcBorders>
              <w:top w:val="nil"/>
              <w:left w:val="single" w:sz="4" w:space="0" w:color="auto"/>
              <w:bottom w:val="nil"/>
              <w:right w:val="nil"/>
            </w:tcBorders>
            <w:shd w:val="clear" w:color="auto" w:fill="auto"/>
            <w:vAlign w:val="bottom"/>
            <w:hideMark/>
          </w:tcPr>
          <w:p w:rsidR="00B92F0C" w:rsidRDefault="00B92F0C">
            <w:pPr>
              <w:jc w:val="right"/>
              <w:rPr>
                <w:sz w:val="18"/>
                <w:szCs w:val="18"/>
              </w:rPr>
            </w:pPr>
            <w:r>
              <w:rPr>
                <w:sz w:val="18"/>
                <w:szCs w:val="18"/>
              </w:rPr>
              <w:t>(24)</w:t>
            </w:r>
          </w:p>
        </w:tc>
        <w:tc>
          <w:tcPr>
            <w:tcW w:w="1267" w:type="dxa"/>
            <w:gridSpan w:val="2"/>
            <w:tcBorders>
              <w:top w:val="nil"/>
              <w:left w:val="nil"/>
              <w:bottom w:val="nil"/>
              <w:right w:val="nil"/>
            </w:tcBorders>
            <w:shd w:val="clear" w:color="auto" w:fill="auto"/>
            <w:vAlign w:val="bottom"/>
            <w:hideMark/>
          </w:tcPr>
          <w:p w:rsidR="00B92F0C" w:rsidRDefault="00DC7184">
            <w:pPr>
              <w:jc w:val="right"/>
              <w:rPr>
                <w:sz w:val="18"/>
                <w:szCs w:val="18"/>
              </w:rPr>
            </w:pPr>
            <w:r>
              <w:rPr>
                <w:sz w:val="18"/>
                <w:szCs w:val="18"/>
              </w:rPr>
              <w:t>-</w:t>
            </w:r>
          </w:p>
        </w:tc>
        <w:tc>
          <w:tcPr>
            <w:tcW w:w="1126" w:type="dxa"/>
            <w:tcBorders>
              <w:top w:val="nil"/>
              <w:left w:val="nil"/>
              <w:bottom w:val="nil"/>
              <w:right w:val="single" w:sz="4" w:space="0" w:color="auto"/>
            </w:tcBorders>
            <w:shd w:val="clear" w:color="auto" w:fill="auto"/>
            <w:vAlign w:val="bottom"/>
            <w:hideMark/>
          </w:tcPr>
          <w:p w:rsidR="00B92F0C" w:rsidRDefault="00B92F0C">
            <w:pPr>
              <w:jc w:val="right"/>
              <w:rPr>
                <w:sz w:val="18"/>
                <w:szCs w:val="18"/>
              </w:rPr>
            </w:pPr>
            <w:r>
              <w:rPr>
                <w:sz w:val="18"/>
                <w:szCs w:val="18"/>
              </w:rPr>
              <w:t>(24)</w:t>
            </w:r>
          </w:p>
        </w:tc>
        <w:tc>
          <w:tcPr>
            <w:tcW w:w="281" w:type="dxa"/>
            <w:tcBorders>
              <w:top w:val="nil"/>
              <w:left w:val="nil"/>
              <w:bottom w:val="nil"/>
              <w:right w:val="nil"/>
            </w:tcBorders>
            <w:shd w:val="clear" w:color="auto" w:fill="auto"/>
            <w:vAlign w:val="bottom"/>
            <w:hideMark/>
          </w:tcPr>
          <w:p w:rsidR="00B92F0C" w:rsidRPr="007545B3" w:rsidRDefault="00B92F0C" w:rsidP="00EE5F45">
            <w:pPr>
              <w:jc w:val="right"/>
              <w:rPr>
                <w:sz w:val="20"/>
                <w:szCs w:val="20"/>
              </w:rPr>
            </w:pPr>
          </w:p>
        </w:tc>
        <w:tc>
          <w:tcPr>
            <w:tcW w:w="1126" w:type="dxa"/>
            <w:tcBorders>
              <w:top w:val="nil"/>
              <w:left w:val="single" w:sz="4" w:space="0" w:color="auto"/>
              <w:bottom w:val="nil"/>
              <w:right w:val="nil"/>
            </w:tcBorders>
            <w:shd w:val="clear" w:color="auto" w:fill="auto"/>
            <w:vAlign w:val="bottom"/>
            <w:hideMark/>
          </w:tcPr>
          <w:p w:rsidR="00B92F0C" w:rsidRDefault="00B92F0C">
            <w:pPr>
              <w:jc w:val="right"/>
              <w:rPr>
                <w:sz w:val="18"/>
                <w:szCs w:val="18"/>
              </w:rPr>
            </w:pPr>
            <w:r>
              <w:rPr>
                <w:sz w:val="18"/>
                <w:szCs w:val="18"/>
              </w:rPr>
              <w:t>(153,463)</w:t>
            </w:r>
          </w:p>
        </w:tc>
        <w:tc>
          <w:tcPr>
            <w:tcW w:w="1267" w:type="dxa"/>
            <w:gridSpan w:val="2"/>
            <w:tcBorders>
              <w:top w:val="nil"/>
              <w:left w:val="nil"/>
              <w:bottom w:val="nil"/>
              <w:right w:val="nil"/>
            </w:tcBorders>
            <w:shd w:val="clear" w:color="auto" w:fill="auto"/>
            <w:vAlign w:val="bottom"/>
            <w:hideMark/>
          </w:tcPr>
          <w:p w:rsidR="00B92F0C" w:rsidRDefault="00DC7184">
            <w:pPr>
              <w:jc w:val="right"/>
              <w:rPr>
                <w:sz w:val="18"/>
                <w:szCs w:val="18"/>
              </w:rPr>
            </w:pPr>
            <w:r>
              <w:rPr>
                <w:sz w:val="18"/>
                <w:szCs w:val="18"/>
              </w:rPr>
              <w:t>-</w:t>
            </w:r>
          </w:p>
        </w:tc>
        <w:tc>
          <w:tcPr>
            <w:tcW w:w="1126" w:type="dxa"/>
            <w:tcBorders>
              <w:top w:val="nil"/>
              <w:left w:val="nil"/>
              <w:bottom w:val="nil"/>
              <w:right w:val="single" w:sz="4" w:space="0" w:color="auto"/>
            </w:tcBorders>
            <w:shd w:val="clear" w:color="auto" w:fill="auto"/>
            <w:vAlign w:val="bottom"/>
            <w:hideMark/>
          </w:tcPr>
          <w:p w:rsidR="00B92F0C" w:rsidRDefault="00B92F0C">
            <w:pPr>
              <w:jc w:val="right"/>
              <w:rPr>
                <w:sz w:val="18"/>
                <w:szCs w:val="18"/>
              </w:rPr>
            </w:pPr>
            <w:r>
              <w:rPr>
                <w:sz w:val="18"/>
                <w:szCs w:val="18"/>
              </w:rPr>
              <w:t>(153,463)</w:t>
            </w:r>
          </w:p>
        </w:tc>
      </w:tr>
      <w:tr w:rsidR="00B92F0C" w:rsidRPr="007545B3" w:rsidTr="00D1374B">
        <w:trPr>
          <w:trHeight w:val="277"/>
        </w:trPr>
        <w:tc>
          <w:tcPr>
            <w:tcW w:w="3063" w:type="dxa"/>
            <w:tcBorders>
              <w:top w:val="nil"/>
              <w:left w:val="nil"/>
              <w:bottom w:val="nil"/>
              <w:right w:val="nil"/>
            </w:tcBorders>
            <w:shd w:val="clear" w:color="auto" w:fill="auto"/>
            <w:hideMark/>
          </w:tcPr>
          <w:p w:rsidR="00B92F0C" w:rsidRPr="007545B3" w:rsidRDefault="00B92F0C" w:rsidP="006658C3">
            <w:pPr>
              <w:rPr>
                <w:sz w:val="20"/>
                <w:szCs w:val="20"/>
              </w:rPr>
            </w:pPr>
            <w:r w:rsidRPr="007545B3">
              <w:rPr>
                <w:sz w:val="20"/>
                <w:szCs w:val="20"/>
              </w:rPr>
              <w:t>Travellers’ Sites</w:t>
            </w:r>
          </w:p>
        </w:tc>
        <w:tc>
          <w:tcPr>
            <w:tcW w:w="1267" w:type="dxa"/>
            <w:tcBorders>
              <w:top w:val="nil"/>
              <w:left w:val="single" w:sz="4" w:space="0" w:color="auto"/>
              <w:bottom w:val="nil"/>
              <w:right w:val="nil"/>
            </w:tcBorders>
            <w:shd w:val="clear" w:color="auto" w:fill="auto"/>
            <w:vAlign w:val="bottom"/>
            <w:hideMark/>
          </w:tcPr>
          <w:p w:rsidR="00B92F0C" w:rsidRDefault="00B92F0C">
            <w:pPr>
              <w:jc w:val="right"/>
              <w:rPr>
                <w:sz w:val="18"/>
                <w:szCs w:val="18"/>
              </w:rPr>
            </w:pPr>
            <w:r>
              <w:rPr>
                <w:sz w:val="18"/>
                <w:szCs w:val="18"/>
              </w:rPr>
              <w:t>160</w:t>
            </w:r>
          </w:p>
        </w:tc>
        <w:tc>
          <w:tcPr>
            <w:tcW w:w="1267" w:type="dxa"/>
            <w:gridSpan w:val="2"/>
            <w:tcBorders>
              <w:top w:val="nil"/>
              <w:left w:val="nil"/>
              <w:bottom w:val="nil"/>
              <w:right w:val="nil"/>
            </w:tcBorders>
            <w:shd w:val="clear" w:color="auto" w:fill="auto"/>
            <w:vAlign w:val="bottom"/>
            <w:hideMark/>
          </w:tcPr>
          <w:p w:rsidR="00B92F0C" w:rsidRDefault="00DC7184">
            <w:pPr>
              <w:jc w:val="right"/>
              <w:rPr>
                <w:sz w:val="18"/>
                <w:szCs w:val="18"/>
              </w:rPr>
            </w:pPr>
            <w:r>
              <w:rPr>
                <w:sz w:val="18"/>
                <w:szCs w:val="18"/>
              </w:rPr>
              <w:t>-</w:t>
            </w:r>
          </w:p>
        </w:tc>
        <w:tc>
          <w:tcPr>
            <w:tcW w:w="1126" w:type="dxa"/>
            <w:tcBorders>
              <w:top w:val="nil"/>
              <w:left w:val="nil"/>
              <w:bottom w:val="nil"/>
              <w:right w:val="single" w:sz="4" w:space="0" w:color="auto"/>
            </w:tcBorders>
            <w:shd w:val="clear" w:color="auto" w:fill="auto"/>
            <w:vAlign w:val="bottom"/>
            <w:hideMark/>
          </w:tcPr>
          <w:p w:rsidR="00B92F0C" w:rsidRDefault="00B92F0C">
            <w:pPr>
              <w:jc w:val="right"/>
              <w:rPr>
                <w:sz w:val="18"/>
                <w:szCs w:val="18"/>
              </w:rPr>
            </w:pPr>
            <w:r>
              <w:rPr>
                <w:sz w:val="18"/>
                <w:szCs w:val="18"/>
              </w:rPr>
              <w:t>160</w:t>
            </w:r>
          </w:p>
        </w:tc>
        <w:tc>
          <w:tcPr>
            <w:tcW w:w="281" w:type="dxa"/>
            <w:tcBorders>
              <w:top w:val="nil"/>
              <w:left w:val="nil"/>
              <w:bottom w:val="nil"/>
              <w:right w:val="nil"/>
            </w:tcBorders>
            <w:shd w:val="clear" w:color="auto" w:fill="auto"/>
            <w:vAlign w:val="bottom"/>
            <w:hideMark/>
          </w:tcPr>
          <w:p w:rsidR="00B92F0C" w:rsidRPr="007545B3" w:rsidRDefault="00B92F0C" w:rsidP="00EE5F45">
            <w:pPr>
              <w:jc w:val="right"/>
              <w:rPr>
                <w:sz w:val="20"/>
                <w:szCs w:val="20"/>
              </w:rPr>
            </w:pPr>
          </w:p>
        </w:tc>
        <w:tc>
          <w:tcPr>
            <w:tcW w:w="1126" w:type="dxa"/>
            <w:tcBorders>
              <w:top w:val="nil"/>
              <w:left w:val="single" w:sz="4" w:space="0" w:color="auto"/>
              <w:bottom w:val="nil"/>
              <w:right w:val="nil"/>
            </w:tcBorders>
            <w:shd w:val="clear" w:color="auto" w:fill="auto"/>
            <w:vAlign w:val="bottom"/>
            <w:hideMark/>
          </w:tcPr>
          <w:p w:rsidR="00B92F0C" w:rsidRDefault="00B92F0C">
            <w:pPr>
              <w:jc w:val="right"/>
              <w:rPr>
                <w:sz w:val="18"/>
                <w:szCs w:val="18"/>
              </w:rPr>
            </w:pPr>
            <w:r>
              <w:rPr>
                <w:sz w:val="18"/>
                <w:szCs w:val="18"/>
              </w:rPr>
              <w:t>107</w:t>
            </w:r>
          </w:p>
        </w:tc>
        <w:tc>
          <w:tcPr>
            <w:tcW w:w="1267" w:type="dxa"/>
            <w:gridSpan w:val="2"/>
            <w:tcBorders>
              <w:top w:val="nil"/>
              <w:left w:val="nil"/>
              <w:bottom w:val="nil"/>
              <w:right w:val="nil"/>
            </w:tcBorders>
            <w:shd w:val="clear" w:color="auto" w:fill="auto"/>
            <w:vAlign w:val="bottom"/>
            <w:hideMark/>
          </w:tcPr>
          <w:p w:rsidR="00B92F0C" w:rsidRDefault="00DC7184">
            <w:pPr>
              <w:jc w:val="right"/>
              <w:rPr>
                <w:sz w:val="18"/>
                <w:szCs w:val="18"/>
              </w:rPr>
            </w:pPr>
            <w:r>
              <w:rPr>
                <w:sz w:val="18"/>
                <w:szCs w:val="18"/>
              </w:rPr>
              <w:t>-</w:t>
            </w:r>
          </w:p>
        </w:tc>
        <w:tc>
          <w:tcPr>
            <w:tcW w:w="1126" w:type="dxa"/>
            <w:tcBorders>
              <w:top w:val="nil"/>
              <w:left w:val="nil"/>
              <w:bottom w:val="nil"/>
              <w:right w:val="single" w:sz="4" w:space="0" w:color="auto"/>
            </w:tcBorders>
            <w:shd w:val="clear" w:color="auto" w:fill="auto"/>
            <w:vAlign w:val="bottom"/>
            <w:hideMark/>
          </w:tcPr>
          <w:p w:rsidR="00B92F0C" w:rsidRDefault="00B92F0C">
            <w:pPr>
              <w:jc w:val="right"/>
              <w:rPr>
                <w:sz w:val="18"/>
                <w:szCs w:val="18"/>
              </w:rPr>
            </w:pPr>
            <w:r>
              <w:rPr>
                <w:sz w:val="18"/>
                <w:szCs w:val="18"/>
              </w:rPr>
              <w:t>107</w:t>
            </w:r>
          </w:p>
        </w:tc>
      </w:tr>
      <w:tr w:rsidR="00B92F0C" w:rsidRPr="007545B3" w:rsidTr="00D1374B">
        <w:trPr>
          <w:trHeight w:val="277"/>
        </w:trPr>
        <w:tc>
          <w:tcPr>
            <w:tcW w:w="3063" w:type="dxa"/>
            <w:tcBorders>
              <w:top w:val="nil"/>
              <w:left w:val="nil"/>
              <w:bottom w:val="nil"/>
              <w:right w:val="nil"/>
            </w:tcBorders>
            <w:shd w:val="clear" w:color="auto" w:fill="auto"/>
            <w:hideMark/>
          </w:tcPr>
          <w:p w:rsidR="00B92F0C" w:rsidRPr="007545B3" w:rsidRDefault="008B1B54" w:rsidP="006658C3">
            <w:pPr>
              <w:rPr>
                <w:b/>
                <w:bCs/>
                <w:sz w:val="20"/>
                <w:szCs w:val="20"/>
              </w:rPr>
            </w:pPr>
            <w:r>
              <w:rPr>
                <w:b/>
                <w:bCs/>
                <w:sz w:val="20"/>
                <w:szCs w:val="20"/>
              </w:rPr>
              <w:t xml:space="preserve">Cost of Services </w:t>
            </w:r>
          </w:p>
        </w:tc>
        <w:tc>
          <w:tcPr>
            <w:tcW w:w="1267" w:type="dxa"/>
            <w:tcBorders>
              <w:top w:val="single" w:sz="4" w:space="0" w:color="auto"/>
              <w:left w:val="single" w:sz="4" w:space="0" w:color="auto"/>
              <w:bottom w:val="nil"/>
              <w:right w:val="nil"/>
            </w:tcBorders>
            <w:shd w:val="clear" w:color="auto" w:fill="auto"/>
            <w:hideMark/>
          </w:tcPr>
          <w:p w:rsidR="00B92F0C" w:rsidRDefault="00B92F0C">
            <w:pPr>
              <w:jc w:val="right"/>
              <w:rPr>
                <w:b/>
                <w:bCs/>
                <w:sz w:val="18"/>
                <w:szCs w:val="18"/>
              </w:rPr>
            </w:pPr>
            <w:r>
              <w:rPr>
                <w:b/>
                <w:bCs/>
                <w:sz w:val="18"/>
                <w:szCs w:val="18"/>
              </w:rPr>
              <w:t>1,898,511</w:t>
            </w:r>
          </w:p>
        </w:tc>
        <w:tc>
          <w:tcPr>
            <w:tcW w:w="1267" w:type="dxa"/>
            <w:gridSpan w:val="2"/>
            <w:tcBorders>
              <w:top w:val="single" w:sz="4" w:space="0" w:color="auto"/>
              <w:left w:val="nil"/>
              <w:bottom w:val="nil"/>
              <w:right w:val="nil"/>
            </w:tcBorders>
            <w:shd w:val="clear" w:color="auto" w:fill="auto"/>
            <w:hideMark/>
          </w:tcPr>
          <w:p w:rsidR="00B92F0C" w:rsidRDefault="00BE731B">
            <w:pPr>
              <w:jc w:val="right"/>
              <w:rPr>
                <w:b/>
                <w:bCs/>
                <w:sz w:val="18"/>
                <w:szCs w:val="18"/>
              </w:rPr>
            </w:pPr>
            <w:r>
              <w:rPr>
                <w:b/>
                <w:bCs/>
                <w:sz w:val="18"/>
                <w:szCs w:val="18"/>
              </w:rPr>
              <w:t>(</w:t>
            </w:r>
            <w:r w:rsidR="00B92F0C">
              <w:rPr>
                <w:b/>
                <w:bCs/>
                <w:sz w:val="18"/>
                <w:szCs w:val="18"/>
              </w:rPr>
              <w:t>1,225,135</w:t>
            </w:r>
            <w:r>
              <w:rPr>
                <w:b/>
                <w:bCs/>
                <w:sz w:val="18"/>
                <w:szCs w:val="18"/>
              </w:rPr>
              <w:t>)</w:t>
            </w:r>
          </w:p>
        </w:tc>
        <w:tc>
          <w:tcPr>
            <w:tcW w:w="1126" w:type="dxa"/>
            <w:tcBorders>
              <w:top w:val="single" w:sz="4" w:space="0" w:color="auto"/>
              <w:left w:val="nil"/>
              <w:bottom w:val="nil"/>
              <w:right w:val="single" w:sz="4" w:space="0" w:color="auto"/>
            </w:tcBorders>
            <w:shd w:val="clear" w:color="auto" w:fill="auto"/>
            <w:hideMark/>
          </w:tcPr>
          <w:p w:rsidR="00B92F0C" w:rsidRDefault="00B92F0C">
            <w:pPr>
              <w:jc w:val="right"/>
              <w:rPr>
                <w:b/>
                <w:bCs/>
                <w:sz w:val="18"/>
                <w:szCs w:val="18"/>
              </w:rPr>
            </w:pPr>
            <w:r>
              <w:rPr>
                <w:b/>
                <w:bCs/>
                <w:sz w:val="18"/>
                <w:szCs w:val="18"/>
              </w:rPr>
              <w:t>673,376</w:t>
            </w:r>
          </w:p>
        </w:tc>
        <w:tc>
          <w:tcPr>
            <w:tcW w:w="281" w:type="dxa"/>
            <w:tcBorders>
              <w:top w:val="nil"/>
              <w:left w:val="nil"/>
              <w:bottom w:val="nil"/>
              <w:right w:val="nil"/>
            </w:tcBorders>
            <w:shd w:val="clear" w:color="auto" w:fill="auto"/>
            <w:hideMark/>
          </w:tcPr>
          <w:p w:rsidR="00B92F0C" w:rsidRPr="007545B3" w:rsidRDefault="00B92F0C" w:rsidP="00EE5F45">
            <w:pPr>
              <w:jc w:val="right"/>
              <w:rPr>
                <w:b/>
                <w:bCs/>
                <w:sz w:val="20"/>
                <w:szCs w:val="20"/>
              </w:rPr>
            </w:pPr>
          </w:p>
        </w:tc>
        <w:tc>
          <w:tcPr>
            <w:tcW w:w="1126" w:type="dxa"/>
            <w:tcBorders>
              <w:top w:val="single" w:sz="4" w:space="0" w:color="auto"/>
              <w:left w:val="single" w:sz="4" w:space="0" w:color="auto"/>
              <w:bottom w:val="nil"/>
              <w:right w:val="nil"/>
            </w:tcBorders>
            <w:shd w:val="clear" w:color="auto" w:fill="auto"/>
            <w:hideMark/>
          </w:tcPr>
          <w:p w:rsidR="00B92F0C" w:rsidRDefault="00B92F0C">
            <w:pPr>
              <w:jc w:val="right"/>
              <w:rPr>
                <w:b/>
                <w:bCs/>
                <w:sz w:val="18"/>
                <w:szCs w:val="18"/>
              </w:rPr>
            </w:pPr>
            <w:r>
              <w:rPr>
                <w:b/>
                <w:bCs/>
                <w:sz w:val="18"/>
                <w:szCs w:val="18"/>
              </w:rPr>
              <w:t>1,920,143</w:t>
            </w:r>
          </w:p>
        </w:tc>
        <w:tc>
          <w:tcPr>
            <w:tcW w:w="1267" w:type="dxa"/>
            <w:gridSpan w:val="2"/>
            <w:tcBorders>
              <w:top w:val="single" w:sz="4" w:space="0" w:color="auto"/>
              <w:left w:val="nil"/>
              <w:bottom w:val="nil"/>
              <w:right w:val="nil"/>
            </w:tcBorders>
            <w:shd w:val="clear" w:color="auto" w:fill="auto"/>
            <w:hideMark/>
          </w:tcPr>
          <w:p w:rsidR="00B92F0C" w:rsidRDefault="00BE731B">
            <w:pPr>
              <w:jc w:val="right"/>
              <w:rPr>
                <w:b/>
                <w:bCs/>
                <w:sz w:val="18"/>
                <w:szCs w:val="18"/>
              </w:rPr>
            </w:pPr>
            <w:r>
              <w:rPr>
                <w:b/>
                <w:bCs/>
                <w:sz w:val="18"/>
                <w:szCs w:val="18"/>
              </w:rPr>
              <w:t>(</w:t>
            </w:r>
            <w:r w:rsidR="00B92F0C">
              <w:rPr>
                <w:b/>
                <w:bCs/>
                <w:sz w:val="18"/>
                <w:szCs w:val="18"/>
              </w:rPr>
              <w:t>1,248,977</w:t>
            </w:r>
            <w:r>
              <w:rPr>
                <w:b/>
                <w:bCs/>
                <w:sz w:val="18"/>
                <w:szCs w:val="18"/>
              </w:rPr>
              <w:t>)</w:t>
            </w:r>
          </w:p>
        </w:tc>
        <w:tc>
          <w:tcPr>
            <w:tcW w:w="1126" w:type="dxa"/>
            <w:tcBorders>
              <w:top w:val="single" w:sz="4" w:space="0" w:color="auto"/>
              <w:left w:val="nil"/>
              <w:bottom w:val="nil"/>
              <w:right w:val="single" w:sz="4" w:space="0" w:color="auto"/>
            </w:tcBorders>
            <w:shd w:val="clear" w:color="auto" w:fill="auto"/>
            <w:hideMark/>
          </w:tcPr>
          <w:p w:rsidR="00B92F0C" w:rsidRDefault="00B92F0C">
            <w:pPr>
              <w:jc w:val="right"/>
              <w:rPr>
                <w:b/>
                <w:bCs/>
                <w:sz w:val="18"/>
                <w:szCs w:val="18"/>
              </w:rPr>
            </w:pPr>
            <w:r>
              <w:rPr>
                <w:b/>
                <w:bCs/>
                <w:sz w:val="18"/>
                <w:szCs w:val="18"/>
              </w:rPr>
              <w:t>671,166</w:t>
            </w:r>
          </w:p>
        </w:tc>
      </w:tr>
      <w:tr w:rsidR="00B92F0C" w:rsidRPr="007545B3" w:rsidTr="00D1374B">
        <w:trPr>
          <w:trHeight w:val="277"/>
        </w:trPr>
        <w:tc>
          <w:tcPr>
            <w:tcW w:w="3063" w:type="dxa"/>
            <w:tcBorders>
              <w:top w:val="nil"/>
              <w:left w:val="nil"/>
              <w:bottom w:val="nil"/>
              <w:right w:val="nil"/>
            </w:tcBorders>
            <w:shd w:val="clear" w:color="auto" w:fill="auto"/>
            <w:noWrap/>
            <w:vAlign w:val="bottom"/>
            <w:hideMark/>
          </w:tcPr>
          <w:p w:rsidR="00B92F0C" w:rsidRPr="00987CAB" w:rsidRDefault="00B92F0C" w:rsidP="006658C3">
            <w:pPr>
              <w:rPr>
                <w:bCs/>
                <w:sz w:val="20"/>
                <w:szCs w:val="20"/>
              </w:rPr>
            </w:pPr>
            <w:r w:rsidRPr="00987CAB">
              <w:rPr>
                <w:bCs/>
                <w:sz w:val="20"/>
                <w:szCs w:val="20"/>
              </w:rPr>
              <w:t>Other Operating Income and Expenditure</w:t>
            </w:r>
            <w:r w:rsidR="001D67B4" w:rsidRPr="00987CAB">
              <w:rPr>
                <w:bCs/>
                <w:sz w:val="20"/>
                <w:szCs w:val="20"/>
              </w:rPr>
              <w:t xml:space="preserve"> (Note 1</w:t>
            </w:r>
            <w:r w:rsidR="00DE595A">
              <w:rPr>
                <w:bCs/>
                <w:sz w:val="20"/>
                <w:szCs w:val="20"/>
              </w:rPr>
              <w:t>4</w:t>
            </w:r>
            <w:r w:rsidR="001D67B4" w:rsidRPr="00987CAB">
              <w:rPr>
                <w:bCs/>
                <w:sz w:val="20"/>
                <w:szCs w:val="20"/>
              </w:rPr>
              <w:t>)</w:t>
            </w:r>
          </w:p>
        </w:tc>
        <w:tc>
          <w:tcPr>
            <w:tcW w:w="1267" w:type="dxa"/>
            <w:tcBorders>
              <w:top w:val="single" w:sz="4" w:space="0" w:color="auto"/>
              <w:left w:val="single" w:sz="4" w:space="0" w:color="auto"/>
              <w:bottom w:val="nil"/>
              <w:right w:val="nil"/>
            </w:tcBorders>
            <w:shd w:val="clear" w:color="auto" w:fill="auto"/>
            <w:noWrap/>
            <w:vAlign w:val="bottom"/>
            <w:hideMark/>
          </w:tcPr>
          <w:p w:rsidR="00B92F0C" w:rsidRPr="00987CAB" w:rsidRDefault="00B92F0C">
            <w:pPr>
              <w:jc w:val="right"/>
              <w:rPr>
                <w:bCs/>
                <w:sz w:val="18"/>
                <w:szCs w:val="18"/>
              </w:rPr>
            </w:pPr>
            <w:r w:rsidRPr="00987CAB">
              <w:rPr>
                <w:bCs/>
                <w:sz w:val="18"/>
                <w:szCs w:val="18"/>
              </w:rPr>
              <w:t>106,860</w:t>
            </w:r>
          </w:p>
        </w:tc>
        <w:tc>
          <w:tcPr>
            <w:tcW w:w="1267" w:type="dxa"/>
            <w:gridSpan w:val="2"/>
            <w:tcBorders>
              <w:top w:val="single" w:sz="4" w:space="0" w:color="auto"/>
              <w:left w:val="nil"/>
              <w:bottom w:val="nil"/>
              <w:right w:val="nil"/>
            </w:tcBorders>
            <w:shd w:val="clear" w:color="auto" w:fill="auto"/>
            <w:noWrap/>
            <w:vAlign w:val="bottom"/>
            <w:hideMark/>
          </w:tcPr>
          <w:p w:rsidR="00B92F0C" w:rsidRPr="00987CAB" w:rsidRDefault="00DC7184">
            <w:pPr>
              <w:jc w:val="right"/>
              <w:rPr>
                <w:bCs/>
                <w:sz w:val="18"/>
                <w:szCs w:val="18"/>
              </w:rPr>
            </w:pPr>
            <w:r>
              <w:rPr>
                <w:bCs/>
                <w:sz w:val="18"/>
                <w:szCs w:val="18"/>
              </w:rPr>
              <w:t>-</w:t>
            </w:r>
          </w:p>
        </w:tc>
        <w:tc>
          <w:tcPr>
            <w:tcW w:w="1126" w:type="dxa"/>
            <w:tcBorders>
              <w:top w:val="single" w:sz="4" w:space="0" w:color="auto"/>
              <w:left w:val="nil"/>
              <w:bottom w:val="nil"/>
              <w:right w:val="single" w:sz="4" w:space="0" w:color="auto"/>
            </w:tcBorders>
            <w:shd w:val="clear" w:color="auto" w:fill="auto"/>
            <w:noWrap/>
            <w:vAlign w:val="bottom"/>
            <w:hideMark/>
          </w:tcPr>
          <w:p w:rsidR="00B92F0C" w:rsidRPr="00987CAB" w:rsidRDefault="00B92F0C">
            <w:pPr>
              <w:jc w:val="right"/>
              <w:rPr>
                <w:bCs/>
                <w:sz w:val="18"/>
                <w:szCs w:val="18"/>
              </w:rPr>
            </w:pPr>
            <w:r w:rsidRPr="00987CAB">
              <w:rPr>
                <w:bCs/>
                <w:sz w:val="18"/>
                <w:szCs w:val="18"/>
              </w:rPr>
              <w:t>106,860</w:t>
            </w:r>
          </w:p>
        </w:tc>
        <w:tc>
          <w:tcPr>
            <w:tcW w:w="281" w:type="dxa"/>
            <w:tcBorders>
              <w:top w:val="nil"/>
              <w:left w:val="nil"/>
              <w:bottom w:val="nil"/>
              <w:right w:val="nil"/>
            </w:tcBorders>
            <w:shd w:val="clear" w:color="auto" w:fill="auto"/>
            <w:noWrap/>
            <w:vAlign w:val="bottom"/>
            <w:hideMark/>
          </w:tcPr>
          <w:p w:rsidR="00B92F0C" w:rsidRPr="00987CAB" w:rsidRDefault="00B92F0C" w:rsidP="00EE5F45">
            <w:pPr>
              <w:jc w:val="right"/>
              <w:rPr>
                <w:sz w:val="20"/>
                <w:szCs w:val="20"/>
              </w:rPr>
            </w:pPr>
          </w:p>
        </w:tc>
        <w:tc>
          <w:tcPr>
            <w:tcW w:w="1126" w:type="dxa"/>
            <w:tcBorders>
              <w:top w:val="single" w:sz="4" w:space="0" w:color="auto"/>
              <w:left w:val="single" w:sz="4" w:space="0" w:color="auto"/>
              <w:bottom w:val="nil"/>
              <w:right w:val="nil"/>
            </w:tcBorders>
            <w:shd w:val="clear" w:color="auto" w:fill="auto"/>
            <w:noWrap/>
            <w:vAlign w:val="bottom"/>
            <w:hideMark/>
          </w:tcPr>
          <w:p w:rsidR="00B92F0C" w:rsidRPr="00987CAB" w:rsidRDefault="00B92F0C">
            <w:pPr>
              <w:jc w:val="right"/>
              <w:rPr>
                <w:bCs/>
                <w:sz w:val="18"/>
                <w:szCs w:val="18"/>
              </w:rPr>
            </w:pPr>
            <w:r w:rsidRPr="00987CAB">
              <w:rPr>
                <w:bCs/>
                <w:sz w:val="18"/>
                <w:szCs w:val="18"/>
              </w:rPr>
              <w:t>22,000</w:t>
            </w:r>
          </w:p>
        </w:tc>
        <w:tc>
          <w:tcPr>
            <w:tcW w:w="1267" w:type="dxa"/>
            <w:gridSpan w:val="2"/>
            <w:tcBorders>
              <w:top w:val="single" w:sz="4" w:space="0" w:color="auto"/>
              <w:left w:val="nil"/>
              <w:bottom w:val="nil"/>
              <w:right w:val="nil"/>
            </w:tcBorders>
            <w:shd w:val="clear" w:color="auto" w:fill="auto"/>
            <w:noWrap/>
            <w:vAlign w:val="bottom"/>
            <w:hideMark/>
          </w:tcPr>
          <w:p w:rsidR="00B92F0C" w:rsidRPr="00987CAB" w:rsidRDefault="00DC7184">
            <w:pPr>
              <w:jc w:val="right"/>
              <w:rPr>
                <w:bCs/>
                <w:sz w:val="18"/>
                <w:szCs w:val="18"/>
              </w:rPr>
            </w:pPr>
            <w:r>
              <w:rPr>
                <w:bCs/>
                <w:sz w:val="18"/>
                <w:szCs w:val="18"/>
              </w:rPr>
              <w:t>-</w:t>
            </w:r>
          </w:p>
        </w:tc>
        <w:tc>
          <w:tcPr>
            <w:tcW w:w="1126" w:type="dxa"/>
            <w:tcBorders>
              <w:top w:val="single" w:sz="4" w:space="0" w:color="auto"/>
              <w:left w:val="nil"/>
              <w:bottom w:val="nil"/>
              <w:right w:val="single" w:sz="4" w:space="0" w:color="auto"/>
            </w:tcBorders>
            <w:shd w:val="clear" w:color="auto" w:fill="auto"/>
            <w:noWrap/>
            <w:vAlign w:val="bottom"/>
            <w:hideMark/>
          </w:tcPr>
          <w:p w:rsidR="00B92F0C" w:rsidRPr="00987CAB" w:rsidRDefault="00B92F0C">
            <w:pPr>
              <w:jc w:val="right"/>
              <w:rPr>
                <w:bCs/>
                <w:sz w:val="18"/>
                <w:szCs w:val="18"/>
              </w:rPr>
            </w:pPr>
            <w:r w:rsidRPr="00987CAB">
              <w:rPr>
                <w:bCs/>
                <w:sz w:val="18"/>
                <w:szCs w:val="18"/>
              </w:rPr>
              <w:t>22,000</w:t>
            </w:r>
          </w:p>
        </w:tc>
      </w:tr>
      <w:tr w:rsidR="00B92F0C" w:rsidRPr="007545B3" w:rsidTr="00D1374B">
        <w:trPr>
          <w:trHeight w:val="277"/>
        </w:trPr>
        <w:tc>
          <w:tcPr>
            <w:tcW w:w="3063" w:type="dxa"/>
            <w:tcBorders>
              <w:top w:val="nil"/>
              <w:left w:val="nil"/>
              <w:bottom w:val="nil"/>
              <w:right w:val="nil"/>
            </w:tcBorders>
            <w:shd w:val="clear" w:color="auto" w:fill="auto"/>
            <w:noWrap/>
            <w:vAlign w:val="bottom"/>
            <w:hideMark/>
          </w:tcPr>
          <w:p w:rsidR="00B92F0C" w:rsidRPr="00987CAB" w:rsidRDefault="00B92F0C" w:rsidP="006658C3">
            <w:pPr>
              <w:rPr>
                <w:sz w:val="20"/>
                <w:szCs w:val="20"/>
              </w:rPr>
            </w:pPr>
            <w:r w:rsidRPr="00987CAB">
              <w:rPr>
                <w:sz w:val="20"/>
                <w:szCs w:val="20"/>
              </w:rPr>
              <w:t>Financing Investment Income and Expenditure</w:t>
            </w:r>
            <w:r w:rsidR="001D67B4" w:rsidRPr="00987CAB">
              <w:rPr>
                <w:sz w:val="20"/>
                <w:szCs w:val="20"/>
              </w:rPr>
              <w:t xml:space="preserve"> (Note 1</w:t>
            </w:r>
            <w:r w:rsidR="00DE595A">
              <w:rPr>
                <w:sz w:val="20"/>
                <w:szCs w:val="20"/>
              </w:rPr>
              <w:t>5</w:t>
            </w:r>
            <w:r w:rsidR="001D67B4" w:rsidRPr="00987CAB">
              <w:rPr>
                <w:sz w:val="20"/>
                <w:szCs w:val="20"/>
              </w:rPr>
              <w:t>)</w:t>
            </w:r>
          </w:p>
        </w:tc>
        <w:tc>
          <w:tcPr>
            <w:tcW w:w="1267" w:type="dxa"/>
            <w:tcBorders>
              <w:top w:val="nil"/>
              <w:left w:val="single" w:sz="4" w:space="0" w:color="auto"/>
              <w:bottom w:val="nil"/>
              <w:right w:val="nil"/>
            </w:tcBorders>
            <w:shd w:val="clear" w:color="auto" w:fill="auto"/>
            <w:noWrap/>
            <w:vAlign w:val="bottom"/>
            <w:hideMark/>
          </w:tcPr>
          <w:p w:rsidR="00B92F0C" w:rsidRPr="00987CAB" w:rsidRDefault="00B92F0C">
            <w:pPr>
              <w:jc w:val="right"/>
              <w:rPr>
                <w:bCs/>
                <w:sz w:val="20"/>
                <w:szCs w:val="20"/>
              </w:rPr>
            </w:pPr>
            <w:r w:rsidRPr="00987CAB">
              <w:rPr>
                <w:bCs/>
                <w:sz w:val="20"/>
                <w:szCs w:val="20"/>
              </w:rPr>
              <w:t>213,090</w:t>
            </w:r>
          </w:p>
        </w:tc>
        <w:tc>
          <w:tcPr>
            <w:tcW w:w="1267" w:type="dxa"/>
            <w:gridSpan w:val="2"/>
            <w:tcBorders>
              <w:top w:val="nil"/>
              <w:left w:val="nil"/>
              <w:bottom w:val="nil"/>
              <w:right w:val="nil"/>
            </w:tcBorders>
            <w:shd w:val="clear" w:color="auto" w:fill="auto"/>
            <w:noWrap/>
            <w:vAlign w:val="bottom"/>
            <w:hideMark/>
          </w:tcPr>
          <w:p w:rsidR="00B92F0C" w:rsidRPr="00987CAB" w:rsidRDefault="00BE731B">
            <w:pPr>
              <w:jc w:val="right"/>
              <w:rPr>
                <w:bCs/>
                <w:sz w:val="20"/>
                <w:szCs w:val="20"/>
              </w:rPr>
            </w:pPr>
            <w:r>
              <w:rPr>
                <w:bCs/>
                <w:sz w:val="20"/>
                <w:szCs w:val="20"/>
              </w:rPr>
              <w:t>(</w:t>
            </w:r>
            <w:r w:rsidR="00B92F0C" w:rsidRPr="00987CAB">
              <w:rPr>
                <w:bCs/>
                <w:sz w:val="20"/>
                <w:szCs w:val="20"/>
              </w:rPr>
              <w:t>167,555</w:t>
            </w:r>
            <w:r>
              <w:rPr>
                <w:bCs/>
                <w:sz w:val="20"/>
                <w:szCs w:val="20"/>
              </w:rPr>
              <w:t>)</w:t>
            </w:r>
          </w:p>
        </w:tc>
        <w:tc>
          <w:tcPr>
            <w:tcW w:w="1126" w:type="dxa"/>
            <w:tcBorders>
              <w:top w:val="nil"/>
              <w:left w:val="nil"/>
              <w:bottom w:val="nil"/>
              <w:right w:val="single" w:sz="4" w:space="0" w:color="auto"/>
            </w:tcBorders>
            <w:shd w:val="clear" w:color="auto" w:fill="auto"/>
            <w:noWrap/>
            <w:vAlign w:val="bottom"/>
            <w:hideMark/>
          </w:tcPr>
          <w:p w:rsidR="00B92F0C" w:rsidRPr="00987CAB" w:rsidRDefault="00B92F0C">
            <w:pPr>
              <w:jc w:val="right"/>
              <w:rPr>
                <w:bCs/>
                <w:sz w:val="20"/>
                <w:szCs w:val="20"/>
              </w:rPr>
            </w:pPr>
            <w:r w:rsidRPr="00987CAB">
              <w:rPr>
                <w:bCs/>
                <w:sz w:val="20"/>
                <w:szCs w:val="20"/>
              </w:rPr>
              <w:t>45,535</w:t>
            </w:r>
          </w:p>
        </w:tc>
        <w:tc>
          <w:tcPr>
            <w:tcW w:w="281" w:type="dxa"/>
            <w:tcBorders>
              <w:top w:val="nil"/>
              <w:left w:val="nil"/>
              <w:bottom w:val="nil"/>
              <w:right w:val="nil"/>
            </w:tcBorders>
            <w:shd w:val="clear" w:color="auto" w:fill="auto"/>
            <w:noWrap/>
            <w:vAlign w:val="bottom"/>
            <w:hideMark/>
          </w:tcPr>
          <w:p w:rsidR="00B92F0C" w:rsidRPr="00987CAB" w:rsidRDefault="00B92F0C" w:rsidP="00EE5F45">
            <w:pPr>
              <w:jc w:val="right"/>
              <w:rPr>
                <w:sz w:val="20"/>
                <w:szCs w:val="20"/>
              </w:rPr>
            </w:pPr>
          </w:p>
        </w:tc>
        <w:tc>
          <w:tcPr>
            <w:tcW w:w="1126" w:type="dxa"/>
            <w:tcBorders>
              <w:top w:val="nil"/>
              <w:left w:val="single" w:sz="4" w:space="0" w:color="auto"/>
              <w:bottom w:val="nil"/>
              <w:right w:val="nil"/>
            </w:tcBorders>
            <w:shd w:val="clear" w:color="auto" w:fill="auto"/>
            <w:noWrap/>
            <w:vAlign w:val="bottom"/>
            <w:hideMark/>
          </w:tcPr>
          <w:p w:rsidR="00B92F0C" w:rsidRPr="00987CAB" w:rsidRDefault="00B92F0C">
            <w:pPr>
              <w:jc w:val="right"/>
              <w:rPr>
                <w:bCs/>
                <w:sz w:val="20"/>
                <w:szCs w:val="20"/>
              </w:rPr>
            </w:pPr>
            <w:r w:rsidRPr="00987CAB">
              <w:rPr>
                <w:bCs/>
                <w:sz w:val="20"/>
                <w:szCs w:val="20"/>
              </w:rPr>
              <w:t>217,399</w:t>
            </w:r>
          </w:p>
        </w:tc>
        <w:tc>
          <w:tcPr>
            <w:tcW w:w="1267" w:type="dxa"/>
            <w:gridSpan w:val="2"/>
            <w:tcBorders>
              <w:top w:val="nil"/>
              <w:left w:val="nil"/>
              <w:bottom w:val="nil"/>
              <w:right w:val="nil"/>
            </w:tcBorders>
            <w:shd w:val="clear" w:color="auto" w:fill="auto"/>
            <w:noWrap/>
            <w:vAlign w:val="bottom"/>
            <w:hideMark/>
          </w:tcPr>
          <w:p w:rsidR="00B92F0C" w:rsidRPr="00987CAB" w:rsidRDefault="003B672E">
            <w:pPr>
              <w:jc w:val="right"/>
              <w:rPr>
                <w:bCs/>
                <w:sz w:val="20"/>
                <w:szCs w:val="20"/>
              </w:rPr>
            </w:pPr>
            <w:r>
              <w:rPr>
                <w:bCs/>
                <w:sz w:val="20"/>
                <w:szCs w:val="20"/>
              </w:rPr>
              <w:t>(</w:t>
            </w:r>
            <w:r w:rsidR="00B92F0C" w:rsidRPr="00987CAB">
              <w:rPr>
                <w:bCs/>
                <w:sz w:val="20"/>
                <w:szCs w:val="20"/>
              </w:rPr>
              <w:t>132,661</w:t>
            </w:r>
            <w:r>
              <w:rPr>
                <w:bCs/>
                <w:sz w:val="20"/>
                <w:szCs w:val="20"/>
              </w:rPr>
              <w:t>)</w:t>
            </w:r>
          </w:p>
        </w:tc>
        <w:tc>
          <w:tcPr>
            <w:tcW w:w="1126" w:type="dxa"/>
            <w:tcBorders>
              <w:top w:val="nil"/>
              <w:left w:val="nil"/>
              <w:bottom w:val="nil"/>
              <w:right w:val="single" w:sz="4" w:space="0" w:color="auto"/>
            </w:tcBorders>
            <w:shd w:val="clear" w:color="auto" w:fill="auto"/>
            <w:noWrap/>
            <w:vAlign w:val="bottom"/>
            <w:hideMark/>
          </w:tcPr>
          <w:p w:rsidR="00B92F0C" w:rsidRPr="00987CAB" w:rsidRDefault="00B92F0C">
            <w:pPr>
              <w:jc w:val="right"/>
              <w:rPr>
                <w:bCs/>
                <w:sz w:val="20"/>
                <w:szCs w:val="20"/>
              </w:rPr>
            </w:pPr>
            <w:r w:rsidRPr="00987CAB">
              <w:rPr>
                <w:bCs/>
                <w:sz w:val="20"/>
                <w:szCs w:val="20"/>
              </w:rPr>
              <w:t>84,738</w:t>
            </w:r>
          </w:p>
        </w:tc>
      </w:tr>
      <w:tr w:rsidR="00B92F0C" w:rsidRPr="007545B3" w:rsidTr="00D1374B">
        <w:trPr>
          <w:trHeight w:val="277"/>
        </w:trPr>
        <w:tc>
          <w:tcPr>
            <w:tcW w:w="3063" w:type="dxa"/>
            <w:tcBorders>
              <w:top w:val="nil"/>
              <w:left w:val="nil"/>
              <w:bottom w:val="nil"/>
              <w:right w:val="single" w:sz="4" w:space="0" w:color="auto"/>
            </w:tcBorders>
            <w:shd w:val="clear" w:color="auto" w:fill="auto"/>
            <w:noWrap/>
            <w:vAlign w:val="bottom"/>
            <w:hideMark/>
          </w:tcPr>
          <w:p w:rsidR="00B92F0C" w:rsidRPr="00987CAB" w:rsidRDefault="00B92F0C" w:rsidP="006658C3">
            <w:pPr>
              <w:rPr>
                <w:sz w:val="20"/>
                <w:szCs w:val="20"/>
              </w:rPr>
            </w:pPr>
            <w:r w:rsidRPr="00987CAB">
              <w:rPr>
                <w:sz w:val="20"/>
                <w:szCs w:val="20"/>
              </w:rPr>
              <w:t>Taxation and Non Specific Grant Income</w:t>
            </w:r>
            <w:r w:rsidR="001D67B4" w:rsidRPr="00987CAB">
              <w:rPr>
                <w:sz w:val="20"/>
                <w:szCs w:val="20"/>
              </w:rPr>
              <w:t xml:space="preserve"> (Note 1</w:t>
            </w:r>
            <w:r w:rsidR="00DE595A">
              <w:rPr>
                <w:sz w:val="20"/>
                <w:szCs w:val="20"/>
              </w:rPr>
              <w:t>6</w:t>
            </w:r>
            <w:r w:rsidR="001D67B4" w:rsidRPr="00987CAB">
              <w:rPr>
                <w:sz w:val="20"/>
                <w:szCs w:val="20"/>
              </w:rPr>
              <w:t>)</w:t>
            </w:r>
          </w:p>
        </w:tc>
        <w:tc>
          <w:tcPr>
            <w:tcW w:w="1267" w:type="dxa"/>
            <w:tcBorders>
              <w:left w:val="single" w:sz="4" w:space="0" w:color="auto"/>
            </w:tcBorders>
            <w:shd w:val="clear" w:color="auto" w:fill="auto"/>
            <w:noWrap/>
            <w:vAlign w:val="bottom"/>
            <w:hideMark/>
          </w:tcPr>
          <w:p w:rsidR="00B92F0C" w:rsidRPr="00987CAB" w:rsidRDefault="00DC7184">
            <w:pPr>
              <w:jc w:val="right"/>
              <w:rPr>
                <w:bCs/>
                <w:sz w:val="20"/>
                <w:szCs w:val="20"/>
              </w:rPr>
            </w:pPr>
            <w:r>
              <w:rPr>
                <w:bCs/>
                <w:sz w:val="20"/>
                <w:szCs w:val="20"/>
              </w:rPr>
              <w:t>-</w:t>
            </w:r>
          </w:p>
        </w:tc>
        <w:tc>
          <w:tcPr>
            <w:tcW w:w="1267" w:type="dxa"/>
            <w:gridSpan w:val="2"/>
            <w:shd w:val="clear" w:color="auto" w:fill="auto"/>
            <w:noWrap/>
            <w:vAlign w:val="bottom"/>
            <w:hideMark/>
          </w:tcPr>
          <w:p w:rsidR="00B92F0C" w:rsidRPr="00987CAB" w:rsidRDefault="00BE731B">
            <w:pPr>
              <w:jc w:val="right"/>
              <w:rPr>
                <w:bCs/>
                <w:sz w:val="20"/>
                <w:szCs w:val="20"/>
              </w:rPr>
            </w:pPr>
            <w:r>
              <w:rPr>
                <w:bCs/>
                <w:sz w:val="20"/>
                <w:szCs w:val="20"/>
              </w:rPr>
              <w:t>(</w:t>
            </w:r>
            <w:r w:rsidR="00B92F0C" w:rsidRPr="00987CAB">
              <w:rPr>
                <w:bCs/>
                <w:sz w:val="20"/>
                <w:szCs w:val="20"/>
              </w:rPr>
              <w:t>896</w:t>
            </w:r>
            <w:r w:rsidR="00F34468" w:rsidRPr="00987CAB">
              <w:rPr>
                <w:bCs/>
                <w:sz w:val="20"/>
                <w:szCs w:val="20"/>
              </w:rPr>
              <w:t>,</w:t>
            </w:r>
            <w:r w:rsidR="00B92F0C" w:rsidRPr="00987CAB">
              <w:rPr>
                <w:bCs/>
                <w:sz w:val="20"/>
                <w:szCs w:val="20"/>
              </w:rPr>
              <w:t>045</w:t>
            </w:r>
            <w:r>
              <w:rPr>
                <w:bCs/>
                <w:sz w:val="20"/>
                <w:szCs w:val="20"/>
              </w:rPr>
              <w:t>)</w:t>
            </w:r>
          </w:p>
        </w:tc>
        <w:tc>
          <w:tcPr>
            <w:tcW w:w="1126" w:type="dxa"/>
            <w:tcBorders>
              <w:right w:val="single" w:sz="4" w:space="0" w:color="auto"/>
            </w:tcBorders>
            <w:shd w:val="clear" w:color="auto" w:fill="auto"/>
            <w:noWrap/>
            <w:vAlign w:val="bottom"/>
            <w:hideMark/>
          </w:tcPr>
          <w:p w:rsidR="00B92F0C" w:rsidRPr="00987CAB" w:rsidRDefault="00B92F0C">
            <w:pPr>
              <w:jc w:val="right"/>
              <w:rPr>
                <w:bCs/>
                <w:sz w:val="20"/>
                <w:szCs w:val="20"/>
              </w:rPr>
            </w:pPr>
            <w:r w:rsidRPr="00987CAB">
              <w:rPr>
                <w:bCs/>
                <w:sz w:val="20"/>
                <w:szCs w:val="20"/>
              </w:rPr>
              <w:t>(896,045)</w:t>
            </w:r>
          </w:p>
        </w:tc>
        <w:tc>
          <w:tcPr>
            <w:tcW w:w="281" w:type="dxa"/>
            <w:tcBorders>
              <w:left w:val="single" w:sz="4" w:space="0" w:color="auto"/>
              <w:right w:val="single" w:sz="4" w:space="0" w:color="auto"/>
            </w:tcBorders>
            <w:shd w:val="clear" w:color="auto" w:fill="auto"/>
            <w:noWrap/>
            <w:vAlign w:val="bottom"/>
            <w:hideMark/>
          </w:tcPr>
          <w:p w:rsidR="00B92F0C" w:rsidRPr="00987CAB" w:rsidRDefault="00B92F0C" w:rsidP="00EE5F45">
            <w:pPr>
              <w:jc w:val="right"/>
              <w:rPr>
                <w:sz w:val="20"/>
                <w:szCs w:val="20"/>
              </w:rPr>
            </w:pPr>
          </w:p>
        </w:tc>
        <w:tc>
          <w:tcPr>
            <w:tcW w:w="1126" w:type="dxa"/>
            <w:tcBorders>
              <w:left w:val="single" w:sz="4" w:space="0" w:color="auto"/>
            </w:tcBorders>
            <w:shd w:val="clear" w:color="auto" w:fill="auto"/>
            <w:noWrap/>
            <w:vAlign w:val="bottom"/>
            <w:hideMark/>
          </w:tcPr>
          <w:p w:rsidR="00B92F0C" w:rsidRPr="00987CAB" w:rsidRDefault="00DC7184">
            <w:pPr>
              <w:jc w:val="right"/>
              <w:rPr>
                <w:bCs/>
                <w:sz w:val="20"/>
                <w:szCs w:val="20"/>
              </w:rPr>
            </w:pPr>
            <w:r>
              <w:rPr>
                <w:bCs/>
                <w:sz w:val="20"/>
                <w:szCs w:val="20"/>
              </w:rPr>
              <w:t>-</w:t>
            </w:r>
          </w:p>
        </w:tc>
        <w:tc>
          <w:tcPr>
            <w:tcW w:w="1267" w:type="dxa"/>
            <w:gridSpan w:val="2"/>
            <w:shd w:val="clear" w:color="auto" w:fill="auto"/>
            <w:noWrap/>
            <w:vAlign w:val="bottom"/>
            <w:hideMark/>
          </w:tcPr>
          <w:p w:rsidR="00B92F0C" w:rsidRPr="00987CAB" w:rsidRDefault="003B672E">
            <w:pPr>
              <w:jc w:val="right"/>
              <w:rPr>
                <w:bCs/>
                <w:sz w:val="20"/>
                <w:szCs w:val="20"/>
              </w:rPr>
            </w:pPr>
            <w:r>
              <w:rPr>
                <w:bCs/>
                <w:sz w:val="20"/>
                <w:szCs w:val="20"/>
              </w:rPr>
              <w:t>(</w:t>
            </w:r>
            <w:r w:rsidR="00B92F0C" w:rsidRPr="00987CAB">
              <w:rPr>
                <w:bCs/>
                <w:sz w:val="20"/>
                <w:szCs w:val="20"/>
              </w:rPr>
              <w:t>905,938</w:t>
            </w:r>
            <w:r>
              <w:rPr>
                <w:bCs/>
                <w:sz w:val="20"/>
                <w:szCs w:val="20"/>
              </w:rPr>
              <w:t>)</w:t>
            </w:r>
          </w:p>
        </w:tc>
        <w:tc>
          <w:tcPr>
            <w:tcW w:w="1126" w:type="dxa"/>
            <w:tcBorders>
              <w:right w:val="single" w:sz="4" w:space="0" w:color="auto"/>
            </w:tcBorders>
            <w:shd w:val="clear" w:color="auto" w:fill="auto"/>
            <w:noWrap/>
            <w:vAlign w:val="bottom"/>
            <w:hideMark/>
          </w:tcPr>
          <w:p w:rsidR="00B92F0C" w:rsidRPr="00987CAB" w:rsidRDefault="00B92F0C">
            <w:pPr>
              <w:jc w:val="right"/>
              <w:rPr>
                <w:bCs/>
                <w:sz w:val="20"/>
                <w:szCs w:val="20"/>
              </w:rPr>
            </w:pPr>
            <w:r w:rsidRPr="00987CAB">
              <w:rPr>
                <w:bCs/>
                <w:sz w:val="20"/>
                <w:szCs w:val="20"/>
              </w:rPr>
              <w:t>(905,938)</w:t>
            </w:r>
          </w:p>
        </w:tc>
      </w:tr>
      <w:tr w:rsidR="00B92F0C" w:rsidRPr="007545B3" w:rsidTr="00D1374B">
        <w:trPr>
          <w:trHeight w:val="277"/>
        </w:trPr>
        <w:tc>
          <w:tcPr>
            <w:tcW w:w="3063" w:type="dxa"/>
            <w:tcBorders>
              <w:top w:val="nil"/>
              <w:left w:val="nil"/>
              <w:bottom w:val="nil"/>
              <w:right w:val="single" w:sz="4" w:space="0" w:color="auto"/>
            </w:tcBorders>
            <w:shd w:val="clear" w:color="auto" w:fill="auto"/>
            <w:noWrap/>
            <w:vAlign w:val="bottom"/>
            <w:hideMark/>
          </w:tcPr>
          <w:p w:rsidR="00B92F0C" w:rsidRPr="007545B3" w:rsidRDefault="0007454E" w:rsidP="006658C3">
            <w:pPr>
              <w:rPr>
                <w:b/>
                <w:sz w:val="20"/>
                <w:szCs w:val="20"/>
              </w:rPr>
            </w:pPr>
            <w:r>
              <w:rPr>
                <w:b/>
                <w:sz w:val="20"/>
                <w:szCs w:val="20"/>
              </w:rPr>
              <w:t>(</w:t>
            </w:r>
            <w:r w:rsidR="00B92F0C" w:rsidRPr="007545B3">
              <w:rPr>
                <w:b/>
                <w:sz w:val="20"/>
                <w:szCs w:val="20"/>
              </w:rPr>
              <w:t>Surplus</w:t>
            </w:r>
            <w:r>
              <w:rPr>
                <w:b/>
                <w:sz w:val="20"/>
                <w:szCs w:val="20"/>
              </w:rPr>
              <w:t>)</w:t>
            </w:r>
            <w:r w:rsidR="00B92F0C" w:rsidRPr="007545B3">
              <w:rPr>
                <w:b/>
                <w:sz w:val="20"/>
                <w:szCs w:val="20"/>
              </w:rPr>
              <w:t xml:space="preserve"> </w:t>
            </w:r>
            <w:r>
              <w:rPr>
                <w:b/>
                <w:sz w:val="20"/>
                <w:szCs w:val="20"/>
              </w:rPr>
              <w:t>/</w:t>
            </w:r>
            <w:r w:rsidR="00B92F0C" w:rsidRPr="007545B3">
              <w:rPr>
                <w:b/>
                <w:sz w:val="20"/>
                <w:szCs w:val="20"/>
              </w:rPr>
              <w:t xml:space="preserve"> Deficit for the year</w:t>
            </w:r>
          </w:p>
        </w:tc>
        <w:tc>
          <w:tcPr>
            <w:tcW w:w="1267" w:type="dxa"/>
            <w:tcBorders>
              <w:left w:val="single" w:sz="4" w:space="0" w:color="auto"/>
            </w:tcBorders>
            <w:shd w:val="clear" w:color="auto" w:fill="auto"/>
            <w:noWrap/>
            <w:vAlign w:val="bottom"/>
            <w:hideMark/>
          </w:tcPr>
          <w:p w:rsidR="00B92F0C" w:rsidRDefault="00B92F0C">
            <w:pPr>
              <w:jc w:val="right"/>
              <w:rPr>
                <w:b/>
                <w:bCs/>
                <w:sz w:val="20"/>
                <w:szCs w:val="20"/>
              </w:rPr>
            </w:pPr>
            <w:r>
              <w:rPr>
                <w:b/>
                <w:bCs/>
                <w:sz w:val="20"/>
                <w:szCs w:val="20"/>
              </w:rPr>
              <w:t>2,218,461</w:t>
            </w:r>
          </w:p>
        </w:tc>
        <w:tc>
          <w:tcPr>
            <w:tcW w:w="1267" w:type="dxa"/>
            <w:gridSpan w:val="2"/>
            <w:shd w:val="clear" w:color="auto" w:fill="auto"/>
            <w:noWrap/>
            <w:vAlign w:val="bottom"/>
            <w:hideMark/>
          </w:tcPr>
          <w:p w:rsidR="00B92F0C" w:rsidRDefault="00BE731B">
            <w:pPr>
              <w:jc w:val="right"/>
              <w:rPr>
                <w:b/>
                <w:bCs/>
                <w:sz w:val="20"/>
                <w:szCs w:val="20"/>
              </w:rPr>
            </w:pPr>
            <w:r>
              <w:rPr>
                <w:b/>
                <w:bCs/>
                <w:sz w:val="20"/>
                <w:szCs w:val="20"/>
              </w:rPr>
              <w:t>(</w:t>
            </w:r>
            <w:r w:rsidR="00B92F0C">
              <w:rPr>
                <w:b/>
                <w:bCs/>
                <w:sz w:val="20"/>
                <w:szCs w:val="20"/>
              </w:rPr>
              <w:t>2,288,735</w:t>
            </w:r>
            <w:r>
              <w:rPr>
                <w:b/>
                <w:bCs/>
                <w:sz w:val="20"/>
                <w:szCs w:val="20"/>
              </w:rPr>
              <w:t>)</w:t>
            </w:r>
          </w:p>
        </w:tc>
        <w:tc>
          <w:tcPr>
            <w:tcW w:w="1126" w:type="dxa"/>
            <w:tcBorders>
              <w:right w:val="single" w:sz="4" w:space="0" w:color="auto"/>
            </w:tcBorders>
            <w:shd w:val="clear" w:color="auto" w:fill="auto"/>
            <w:noWrap/>
            <w:vAlign w:val="bottom"/>
            <w:hideMark/>
          </w:tcPr>
          <w:p w:rsidR="00B92F0C" w:rsidRDefault="00B92F0C">
            <w:pPr>
              <w:jc w:val="right"/>
              <w:rPr>
                <w:b/>
                <w:bCs/>
                <w:sz w:val="20"/>
                <w:szCs w:val="20"/>
              </w:rPr>
            </w:pPr>
            <w:r>
              <w:rPr>
                <w:b/>
                <w:bCs/>
                <w:sz w:val="20"/>
                <w:szCs w:val="20"/>
              </w:rPr>
              <w:t>(70,274)</w:t>
            </w:r>
          </w:p>
        </w:tc>
        <w:tc>
          <w:tcPr>
            <w:tcW w:w="281" w:type="dxa"/>
            <w:tcBorders>
              <w:left w:val="single" w:sz="4" w:space="0" w:color="auto"/>
              <w:right w:val="single" w:sz="4" w:space="0" w:color="auto"/>
            </w:tcBorders>
            <w:shd w:val="clear" w:color="auto" w:fill="auto"/>
            <w:noWrap/>
            <w:vAlign w:val="bottom"/>
            <w:hideMark/>
          </w:tcPr>
          <w:p w:rsidR="00B92F0C" w:rsidRPr="007545B3" w:rsidRDefault="00B92F0C" w:rsidP="00EE5F45">
            <w:pPr>
              <w:jc w:val="right"/>
              <w:rPr>
                <w:b/>
                <w:sz w:val="20"/>
                <w:szCs w:val="20"/>
              </w:rPr>
            </w:pPr>
          </w:p>
        </w:tc>
        <w:tc>
          <w:tcPr>
            <w:tcW w:w="1126" w:type="dxa"/>
            <w:tcBorders>
              <w:left w:val="single" w:sz="4" w:space="0" w:color="auto"/>
            </w:tcBorders>
            <w:shd w:val="clear" w:color="auto" w:fill="auto"/>
            <w:noWrap/>
            <w:vAlign w:val="bottom"/>
            <w:hideMark/>
          </w:tcPr>
          <w:p w:rsidR="00B92F0C" w:rsidRDefault="00B92F0C">
            <w:pPr>
              <w:jc w:val="right"/>
              <w:rPr>
                <w:b/>
                <w:bCs/>
                <w:sz w:val="20"/>
                <w:szCs w:val="20"/>
              </w:rPr>
            </w:pPr>
            <w:r>
              <w:rPr>
                <w:b/>
                <w:bCs/>
                <w:sz w:val="20"/>
                <w:szCs w:val="20"/>
              </w:rPr>
              <w:t>2,159,542</w:t>
            </w:r>
          </w:p>
        </w:tc>
        <w:tc>
          <w:tcPr>
            <w:tcW w:w="1267" w:type="dxa"/>
            <w:gridSpan w:val="2"/>
            <w:shd w:val="clear" w:color="auto" w:fill="auto"/>
            <w:noWrap/>
            <w:vAlign w:val="bottom"/>
            <w:hideMark/>
          </w:tcPr>
          <w:p w:rsidR="00B92F0C" w:rsidRDefault="003B672E">
            <w:pPr>
              <w:jc w:val="right"/>
              <w:rPr>
                <w:b/>
                <w:bCs/>
                <w:sz w:val="20"/>
                <w:szCs w:val="20"/>
              </w:rPr>
            </w:pPr>
            <w:r>
              <w:rPr>
                <w:b/>
                <w:bCs/>
                <w:sz w:val="20"/>
                <w:szCs w:val="20"/>
              </w:rPr>
              <w:t>(</w:t>
            </w:r>
            <w:r w:rsidR="00B92F0C">
              <w:rPr>
                <w:b/>
                <w:bCs/>
                <w:sz w:val="20"/>
                <w:szCs w:val="20"/>
              </w:rPr>
              <w:t>2,287,576</w:t>
            </w:r>
            <w:r>
              <w:rPr>
                <w:b/>
                <w:bCs/>
                <w:sz w:val="20"/>
                <w:szCs w:val="20"/>
              </w:rPr>
              <w:t>)</w:t>
            </w:r>
          </w:p>
        </w:tc>
        <w:tc>
          <w:tcPr>
            <w:tcW w:w="1126" w:type="dxa"/>
            <w:tcBorders>
              <w:right w:val="single" w:sz="4" w:space="0" w:color="auto"/>
            </w:tcBorders>
            <w:shd w:val="clear" w:color="auto" w:fill="auto"/>
            <w:noWrap/>
            <w:vAlign w:val="bottom"/>
            <w:hideMark/>
          </w:tcPr>
          <w:p w:rsidR="00B92F0C" w:rsidRDefault="00B92F0C">
            <w:pPr>
              <w:jc w:val="right"/>
              <w:rPr>
                <w:b/>
                <w:bCs/>
                <w:sz w:val="20"/>
                <w:szCs w:val="20"/>
              </w:rPr>
            </w:pPr>
            <w:r>
              <w:rPr>
                <w:b/>
                <w:bCs/>
                <w:sz w:val="20"/>
                <w:szCs w:val="20"/>
              </w:rPr>
              <w:t>(128,034)</w:t>
            </w:r>
          </w:p>
        </w:tc>
      </w:tr>
      <w:tr w:rsidR="00C24B9D" w:rsidRPr="007545B3" w:rsidTr="00D1374B">
        <w:trPr>
          <w:trHeight w:val="277"/>
        </w:trPr>
        <w:tc>
          <w:tcPr>
            <w:tcW w:w="3063" w:type="dxa"/>
            <w:tcBorders>
              <w:top w:val="nil"/>
              <w:left w:val="nil"/>
              <w:bottom w:val="nil"/>
              <w:right w:val="single" w:sz="4" w:space="0" w:color="auto"/>
            </w:tcBorders>
            <w:shd w:val="clear" w:color="auto" w:fill="auto"/>
            <w:noWrap/>
            <w:vAlign w:val="bottom"/>
            <w:hideMark/>
          </w:tcPr>
          <w:p w:rsidR="00C24B9D" w:rsidRPr="007545B3" w:rsidRDefault="00C24B9D" w:rsidP="006658C3">
            <w:pPr>
              <w:rPr>
                <w:sz w:val="20"/>
                <w:szCs w:val="20"/>
              </w:rPr>
            </w:pPr>
          </w:p>
        </w:tc>
        <w:tc>
          <w:tcPr>
            <w:tcW w:w="1267" w:type="dxa"/>
            <w:tcBorders>
              <w:left w:val="single" w:sz="4" w:space="0" w:color="auto"/>
            </w:tcBorders>
            <w:shd w:val="clear" w:color="auto" w:fill="auto"/>
            <w:noWrap/>
            <w:vAlign w:val="bottom"/>
            <w:hideMark/>
          </w:tcPr>
          <w:p w:rsidR="00C24B9D" w:rsidRPr="007545B3" w:rsidRDefault="00C24B9D" w:rsidP="00EE5F45">
            <w:pPr>
              <w:jc w:val="right"/>
              <w:rPr>
                <w:sz w:val="20"/>
                <w:szCs w:val="20"/>
              </w:rPr>
            </w:pPr>
          </w:p>
        </w:tc>
        <w:tc>
          <w:tcPr>
            <w:tcW w:w="1267" w:type="dxa"/>
            <w:gridSpan w:val="2"/>
            <w:shd w:val="clear" w:color="auto" w:fill="auto"/>
            <w:noWrap/>
            <w:vAlign w:val="bottom"/>
            <w:hideMark/>
          </w:tcPr>
          <w:p w:rsidR="00C24B9D" w:rsidRPr="007545B3" w:rsidRDefault="00C24B9D" w:rsidP="00EE5F45">
            <w:pPr>
              <w:jc w:val="right"/>
              <w:rPr>
                <w:sz w:val="20"/>
                <w:szCs w:val="20"/>
              </w:rPr>
            </w:pPr>
          </w:p>
        </w:tc>
        <w:tc>
          <w:tcPr>
            <w:tcW w:w="1126" w:type="dxa"/>
            <w:tcBorders>
              <w:right w:val="single" w:sz="4" w:space="0" w:color="auto"/>
            </w:tcBorders>
            <w:shd w:val="clear" w:color="auto" w:fill="auto"/>
            <w:noWrap/>
            <w:vAlign w:val="bottom"/>
            <w:hideMark/>
          </w:tcPr>
          <w:p w:rsidR="00C24B9D" w:rsidRPr="007545B3" w:rsidRDefault="00C24B9D" w:rsidP="00EE5F45">
            <w:pPr>
              <w:jc w:val="right"/>
              <w:rPr>
                <w:sz w:val="20"/>
                <w:szCs w:val="20"/>
              </w:rPr>
            </w:pPr>
          </w:p>
        </w:tc>
        <w:tc>
          <w:tcPr>
            <w:tcW w:w="281" w:type="dxa"/>
            <w:tcBorders>
              <w:left w:val="single" w:sz="4" w:space="0" w:color="auto"/>
              <w:right w:val="single" w:sz="4" w:space="0" w:color="auto"/>
            </w:tcBorders>
            <w:shd w:val="clear" w:color="auto" w:fill="auto"/>
            <w:noWrap/>
            <w:vAlign w:val="bottom"/>
            <w:hideMark/>
          </w:tcPr>
          <w:p w:rsidR="00C24B9D" w:rsidRPr="007545B3" w:rsidRDefault="00C24B9D" w:rsidP="00EE5F45">
            <w:pPr>
              <w:jc w:val="right"/>
              <w:rPr>
                <w:sz w:val="20"/>
                <w:szCs w:val="20"/>
              </w:rPr>
            </w:pPr>
          </w:p>
        </w:tc>
        <w:tc>
          <w:tcPr>
            <w:tcW w:w="1126" w:type="dxa"/>
            <w:tcBorders>
              <w:left w:val="single" w:sz="4" w:space="0" w:color="auto"/>
            </w:tcBorders>
            <w:shd w:val="clear" w:color="auto" w:fill="auto"/>
            <w:noWrap/>
            <w:vAlign w:val="bottom"/>
            <w:hideMark/>
          </w:tcPr>
          <w:p w:rsidR="00C24B9D" w:rsidRPr="007545B3" w:rsidRDefault="00C24B9D" w:rsidP="00837DF5">
            <w:pPr>
              <w:jc w:val="right"/>
              <w:rPr>
                <w:sz w:val="20"/>
                <w:szCs w:val="20"/>
              </w:rPr>
            </w:pPr>
          </w:p>
        </w:tc>
        <w:tc>
          <w:tcPr>
            <w:tcW w:w="1267" w:type="dxa"/>
            <w:gridSpan w:val="2"/>
            <w:shd w:val="clear" w:color="auto" w:fill="auto"/>
            <w:noWrap/>
            <w:vAlign w:val="bottom"/>
            <w:hideMark/>
          </w:tcPr>
          <w:p w:rsidR="00C24B9D" w:rsidRPr="007545B3" w:rsidRDefault="00C24B9D" w:rsidP="00837DF5">
            <w:pPr>
              <w:jc w:val="right"/>
              <w:rPr>
                <w:sz w:val="20"/>
                <w:szCs w:val="20"/>
              </w:rPr>
            </w:pPr>
          </w:p>
        </w:tc>
        <w:tc>
          <w:tcPr>
            <w:tcW w:w="1126" w:type="dxa"/>
            <w:tcBorders>
              <w:right w:val="single" w:sz="4" w:space="0" w:color="auto"/>
            </w:tcBorders>
            <w:shd w:val="clear" w:color="auto" w:fill="auto"/>
            <w:noWrap/>
            <w:vAlign w:val="bottom"/>
            <w:hideMark/>
          </w:tcPr>
          <w:p w:rsidR="00C24B9D" w:rsidRPr="007545B3" w:rsidRDefault="00C24B9D" w:rsidP="00837DF5">
            <w:pPr>
              <w:jc w:val="right"/>
              <w:rPr>
                <w:sz w:val="20"/>
                <w:szCs w:val="20"/>
              </w:rPr>
            </w:pPr>
          </w:p>
        </w:tc>
      </w:tr>
      <w:tr w:rsidR="00B92F0C" w:rsidRPr="007545B3" w:rsidTr="00D1374B">
        <w:trPr>
          <w:trHeight w:val="277"/>
        </w:trPr>
        <w:tc>
          <w:tcPr>
            <w:tcW w:w="3063" w:type="dxa"/>
            <w:tcBorders>
              <w:top w:val="nil"/>
              <w:left w:val="nil"/>
              <w:bottom w:val="nil"/>
              <w:right w:val="single" w:sz="4" w:space="0" w:color="auto"/>
            </w:tcBorders>
            <w:shd w:val="clear" w:color="auto" w:fill="auto"/>
            <w:noWrap/>
            <w:vAlign w:val="bottom"/>
            <w:hideMark/>
          </w:tcPr>
          <w:p w:rsidR="00B92F0C" w:rsidRPr="007545B3" w:rsidRDefault="00B92F0C" w:rsidP="00870D71">
            <w:pPr>
              <w:rPr>
                <w:sz w:val="20"/>
                <w:szCs w:val="20"/>
              </w:rPr>
            </w:pPr>
            <w:r w:rsidRPr="007545B3">
              <w:rPr>
                <w:sz w:val="20"/>
                <w:szCs w:val="20"/>
              </w:rPr>
              <w:t>Revaluation Gains</w:t>
            </w:r>
          </w:p>
        </w:tc>
        <w:tc>
          <w:tcPr>
            <w:tcW w:w="1267" w:type="dxa"/>
            <w:tcBorders>
              <w:left w:val="single" w:sz="4" w:space="0" w:color="auto"/>
            </w:tcBorders>
            <w:shd w:val="clear" w:color="auto" w:fill="auto"/>
            <w:noWrap/>
            <w:vAlign w:val="bottom"/>
            <w:hideMark/>
          </w:tcPr>
          <w:p w:rsidR="00B92F0C" w:rsidRPr="007545B3" w:rsidRDefault="00B92F0C" w:rsidP="00EE5F45">
            <w:pPr>
              <w:jc w:val="right"/>
              <w:rPr>
                <w:sz w:val="20"/>
                <w:szCs w:val="20"/>
              </w:rPr>
            </w:pPr>
          </w:p>
        </w:tc>
        <w:tc>
          <w:tcPr>
            <w:tcW w:w="1267" w:type="dxa"/>
            <w:gridSpan w:val="2"/>
            <w:shd w:val="clear" w:color="auto" w:fill="auto"/>
            <w:noWrap/>
            <w:vAlign w:val="bottom"/>
            <w:hideMark/>
          </w:tcPr>
          <w:p w:rsidR="00B92F0C" w:rsidRPr="007545B3" w:rsidRDefault="00B92F0C" w:rsidP="00EE5F45">
            <w:pPr>
              <w:jc w:val="right"/>
              <w:rPr>
                <w:sz w:val="20"/>
                <w:szCs w:val="20"/>
              </w:rPr>
            </w:pPr>
          </w:p>
        </w:tc>
        <w:tc>
          <w:tcPr>
            <w:tcW w:w="1126" w:type="dxa"/>
            <w:tcBorders>
              <w:right w:val="single" w:sz="4" w:space="0" w:color="auto"/>
            </w:tcBorders>
            <w:shd w:val="clear" w:color="auto" w:fill="auto"/>
            <w:vAlign w:val="bottom"/>
            <w:hideMark/>
          </w:tcPr>
          <w:p w:rsidR="00B92F0C" w:rsidRDefault="00B92F0C">
            <w:pPr>
              <w:jc w:val="right"/>
              <w:rPr>
                <w:sz w:val="18"/>
                <w:szCs w:val="18"/>
              </w:rPr>
            </w:pPr>
            <w:r>
              <w:rPr>
                <w:sz w:val="18"/>
                <w:szCs w:val="18"/>
              </w:rPr>
              <w:t>(16,151)</w:t>
            </w:r>
          </w:p>
        </w:tc>
        <w:tc>
          <w:tcPr>
            <w:tcW w:w="281" w:type="dxa"/>
            <w:tcBorders>
              <w:left w:val="single" w:sz="4" w:space="0" w:color="auto"/>
              <w:right w:val="single" w:sz="4" w:space="0" w:color="auto"/>
            </w:tcBorders>
            <w:shd w:val="clear" w:color="auto" w:fill="auto"/>
            <w:noWrap/>
            <w:vAlign w:val="bottom"/>
            <w:hideMark/>
          </w:tcPr>
          <w:p w:rsidR="00B92F0C" w:rsidRPr="007545B3" w:rsidRDefault="00B92F0C" w:rsidP="00EE5F45">
            <w:pPr>
              <w:jc w:val="right"/>
              <w:rPr>
                <w:sz w:val="20"/>
                <w:szCs w:val="20"/>
              </w:rPr>
            </w:pPr>
          </w:p>
        </w:tc>
        <w:tc>
          <w:tcPr>
            <w:tcW w:w="1126" w:type="dxa"/>
            <w:tcBorders>
              <w:left w:val="single" w:sz="4" w:space="0" w:color="auto"/>
            </w:tcBorders>
            <w:shd w:val="clear" w:color="auto" w:fill="auto"/>
            <w:noWrap/>
            <w:vAlign w:val="bottom"/>
            <w:hideMark/>
          </w:tcPr>
          <w:p w:rsidR="00B92F0C" w:rsidRPr="007545B3" w:rsidRDefault="00B92F0C" w:rsidP="00837DF5">
            <w:pPr>
              <w:jc w:val="right"/>
              <w:rPr>
                <w:sz w:val="20"/>
                <w:szCs w:val="20"/>
              </w:rPr>
            </w:pPr>
          </w:p>
        </w:tc>
        <w:tc>
          <w:tcPr>
            <w:tcW w:w="1267" w:type="dxa"/>
            <w:gridSpan w:val="2"/>
            <w:shd w:val="clear" w:color="auto" w:fill="auto"/>
            <w:noWrap/>
            <w:vAlign w:val="bottom"/>
            <w:hideMark/>
          </w:tcPr>
          <w:p w:rsidR="00B92F0C" w:rsidRPr="007545B3" w:rsidRDefault="00B92F0C" w:rsidP="00837DF5">
            <w:pPr>
              <w:jc w:val="right"/>
              <w:rPr>
                <w:sz w:val="20"/>
                <w:szCs w:val="20"/>
              </w:rPr>
            </w:pPr>
          </w:p>
        </w:tc>
        <w:tc>
          <w:tcPr>
            <w:tcW w:w="1126" w:type="dxa"/>
            <w:tcBorders>
              <w:right w:val="single" w:sz="4" w:space="0" w:color="auto"/>
            </w:tcBorders>
            <w:shd w:val="clear" w:color="auto" w:fill="auto"/>
            <w:vAlign w:val="bottom"/>
            <w:hideMark/>
          </w:tcPr>
          <w:p w:rsidR="00B92F0C" w:rsidRDefault="00B92F0C">
            <w:pPr>
              <w:jc w:val="right"/>
              <w:rPr>
                <w:sz w:val="18"/>
                <w:szCs w:val="18"/>
              </w:rPr>
            </w:pPr>
            <w:r>
              <w:rPr>
                <w:sz w:val="18"/>
                <w:szCs w:val="18"/>
              </w:rPr>
              <w:t>(139,150)</w:t>
            </w:r>
          </w:p>
        </w:tc>
      </w:tr>
      <w:tr w:rsidR="00B92F0C" w:rsidRPr="007545B3" w:rsidTr="00B47868">
        <w:trPr>
          <w:trHeight w:val="277"/>
        </w:trPr>
        <w:tc>
          <w:tcPr>
            <w:tcW w:w="3063" w:type="dxa"/>
            <w:tcBorders>
              <w:top w:val="nil"/>
              <w:left w:val="nil"/>
              <w:bottom w:val="nil"/>
              <w:right w:val="single" w:sz="4" w:space="0" w:color="auto"/>
            </w:tcBorders>
            <w:shd w:val="clear" w:color="auto" w:fill="auto"/>
            <w:noWrap/>
            <w:vAlign w:val="bottom"/>
            <w:hideMark/>
          </w:tcPr>
          <w:p w:rsidR="00B92F0C" w:rsidRPr="007545B3" w:rsidRDefault="00B92F0C" w:rsidP="00870D71">
            <w:pPr>
              <w:rPr>
                <w:sz w:val="20"/>
                <w:szCs w:val="20"/>
              </w:rPr>
            </w:pPr>
            <w:r w:rsidRPr="007545B3">
              <w:rPr>
                <w:sz w:val="20"/>
                <w:szCs w:val="20"/>
              </w:rPr>
              <w:t>Revaluation Losses (</w:t>
            </w:r>
            <w:r w:rsidR="00A778C4" w:rsidRPr="007545B3">
              <w:rPr>
                <w:sz w:val="20"/>
                <w:szCs w:val="20"/>
              </w:rPr>
              <w:t>Chargeable</w:t>
            </w:r>
            <w:r w:rsidRPr="007545B3">
              <w:rPr>
                <w:sz w:val="20"/>
                <w:szCs w:val="20"/>
              </w:rPr>
              <w:t xml:space="preserve"> to revaluation reserve)</w:t>
            </w:r>
          </w:p>
        </w:tc>
        <w:tc>
          <w:tcPr>
            <w:tcW w:w="1267" w:type="dxa"/>
            <w:tcBorders>
              <w:left w:val="single" w:sz="4" w:space="0" w:color="auto"/>
              <w:bottom w:val="single" w:sz="4" w:space="0" w:color="auto"/>
            </w:tcBorders>
            <w:shd w:val="clear" w:color="auto" w:fill="auto"/>
            <w:noWrap/>
            <w:vAlign w:val="bottom"/>
            <w:hideMark/>
          </w:tcPr>
          <w:p w:rsidR="00B92F0C" w:rsidRPr="007545B3" w:rsidRDefault="00DC7184" w:rsidP="00EE5F45">
            <w:pPr>
              <w:jc w:val="right"/>
              <w:rPr>
                <w:sz w:val="20"/>
                <w:szCs w:val="20"/>
              </w:rPr>
            </w:pPr>
            <w:r>
              <w:rPr>
                <w:sz w:val="20"/>
                <w:szCs w:val="20"/>
              </w:rPr>
              <w:t>-</w:t>
            </w:r>
          </w:p>
        </w:tc>
        <w:tc>
          <w:tcPr>
            <w:tcW w:w="1267" w:type="dxa"/>
            <w:gridSpan w:val="2"/>
            <w:tcBorders>
              <w:bottom w:val="single" w:sz="4" w:space="0" w:color="auto"/>
            </w:tcBorders>
            <w:shd w:val="clear" w:color="auto" w:fill="auto"/>
            <w:noWrap/>
            <w:vAlign w:val="bottom"/>
            <w:hideMark/>
          </w:tcPr>
          <w:p w:rsidR="00B92F0C" w:rsidRPr="007545B3" w:rsidRDefault="00DC7184" w:rsidP="00EE5F45">
            <w:pPr>
              <w:jc w:val="right"/>
              <w:rPr>
                <w:sz w:val="20"/>
                <w:szCs w:val="20"/>
              </w:rPr>
            </w:pPr>
            <w:r>
              <w:rPr>
                <w:sz w:val="20"/>
                <w:szCs w:val="20"/>
              </w:rPr>
              <w:t>-</w:t>
            </w:r>
          </w:p>
        </w:tc>
        <w:tc>
          <w:tcPr>
            <w:tcW w:w="1126" w:type="dxa"/>
            <w:tcBorders>
              <w:bottom w:val="single" w:sz="4" w:space="0" w:color="auto"/>
              <w:right w:val="single" w:sz="4" w:space="0" w:color="auto"/>
            </w:tcBorders>
            <w:shd w:val="clear" w:color="auto" w:fill="auto"/>
            <w:vAlign w:val="bottom"/>
            <w:hideMark/>
          </w:tcPr>
          <w:p w:rsidR="00B92F0C" w:rsidRDefault="00B92F0C">
            <w:pPr>
              <w:jc w:val="right"/>
              <w:rPr>
                <w:sz w:val="18"/>
                <w:szCs w:val="18"/>
              </w:rPr>
            </w:pPr>
            <w:r>
              <w:rPr>
                <w:sz w:val="18"/>
                <w:szCs w:val="18"/>
              </w:rPr>
              <w:t>6,417</w:t>
            </w:r>
          </w:p>
        </w:tc>
        <w:tc>
          <w:tcPr>
            <w:tcW w:w="281" w:type="dxa"/>
            <w:tcBorders>
              <w:left w:val="single" w:sz="4" w:space="0" w:color="auto"/>
              <w:bottom w:val="single" w:sz="4" w:space="0" w:color="auto"/>
              <w:right w:val="single" w:sz="4" w:space="0" w:color="auto"/>
            </w:tcBorders>
            <w:shd w:val="clear" w:color="auto" w:fill="auto"/>
            <w:noWrap/>
            <w:vAlign w:val="bottom"/>
            <w:hideMark/>
          </w:tcPr>
          <w:p w:rsidR="00B92F0C" w:rsidRPr="007545B3" w:rsidRDefault="00B92F0C" w:rsidP="00EE5F45">
            <w:pPr>
              <w:jc w:val="right"/>
              <w:rPr>
                <w:sz w:val="20"/>
                <w:szCs w:val="20"/>
              </w:rPr>
            </w:pPr>
          </w:p>
        </w:tc>
        <w:tc>
          <w:tcPr>
            <w:tcW w:w="1126" w:type="dxa"/>
            <w:tcBorders>
              <w:left w:val="single" w:sz="4" w:space="0" w:color="auto"/>
              <w:bottom w:val="single" w:sz="4" w:space="0" w:color="auto"/>
            </w:tcBorders>
            <w:shd w:val="clear" w:color="auto" w:fill="auto"/>
            <w:noWrap/>
            <w:vAlign w:val="bottom"/>
            <w:hideMark/>
          </w:tcPr>
          <w:p w:rsidR="00B92F0C" w:rsidRPr="007545B3" w:rsidRDefault="00B92F0C" w:rsidP="00837DF5">
            <w:pPr>
              <w:jc w:val="right"/>
              <w:rPr>
                <w:sz w:val="20"/>
                <w:szCs w:val="20"/>
              </w:rPr>
            </w:pPr>
            <w:r w:rsidRPr="007545B3">
              <w:rPr>
                <w:sz w:val="20"/>
                <w:szCs w:val="20"/>
              </w:rPr>
              <w:t>- </w:t>
            </w:r>
          </w:p>
        </w:tc>
        <w:tc>
          <w:tcPr>
            <w:tcW w:w="1267" w:type="dxa"/>
            <w:gridSpan w:val="2"/>
            <w:tcBorders>
              <w:bottom w:val="single" w:sz="4" w:space="0" w:color="auto"/>
            </w:tcBorders>
            <w:shd w:val="clear" w:color="auto" w:fill="auto"/>
            <w:noWrap/>
            <w:vAlign w:val="bottom"/>
            <w:hideMark/>
          </w:tcPr>
          <w:p w:rsidR="00B92F0C" w:rsidRPr="007545B3" w:rsidRDefault="00B92F0C" w:rsidP="00837DF5">
            <w:pPr>
              <w:jc w:val="right"/>
              <w:rPr>
                <w:sz w:val="20"/>
                <w:szCs w:val="20"/>
              </w:rPr>
            </w:pPr>
            <w:r w:rsidRPr="007545B3">
              <w:rPr>
                <w:sz w:val="20"/>
                <w:szCs w:val="20"/>
              </w:rPr>
              <w:t>-</w:t>
            </w:r>
          </w:p>
        </w:tc>
        <w:tc>
          <w:tcPr>
            <w:tcW w:w="1126" w:type="dxa"/>
            <w:tcBorders>
              <w:bottom w:val="single" w:sz="4" w:space="0" w:color="auto"/>
              <w:right w:val="single" w:sz="4" w:space="0" w:color="auto"/>
            </w:tcBorders>
            <w:shd w:val="clear" w:color="auto" w:fill="auto"/>
            <w:vAlign w:val="bottom"/>
            <w:hideMark/>
          </w:tcPr>
          <w:p w:rsidR="00B92F0C" w:rsidRDefault="00B92F0C">
            <w:pPr>
              <w:jc w:val="right"/>
              <w:rPr>
                <w:sz w:val="18"/>
                <w:szCs w:val="18"/>
              </w:rPr>
            </w:pPr>
            <w:r>
              <w:rPr>
                <w:sz w:val="18"/>
                <w:szCs w:val="18"/>
              </w:rPr>
              <w:t>20,093</w:t>
            </w:r>
          </w:p>
        </w:tc>
      </w:tr>
      <w:tr w:rsidR="00B92F0C" w:rsidRPr="007545B3" w:rsidTr="00B47868">
        <w:trPr>
          <w:trHeight w:val="429"/>
        </w:trPr>
        <w:tc>
          <w:tcPr>
            <w:tcW w:w="3063" w:type="dxa"/>
            <w:tcBorders>
              <w:top w:val="nil"/>
              <w:left w:val="nil"/>
              <w:bottom w:val="nil"/>
              <w:right w:val="single" w:sz="4" w:space="0" w:color="auto"/>
            </w:tcBorders>
            <w:shd w:val="clear" w:color="auto" w:fill="auto"/>
            <w:vAlign w:val="bottom"/>
            <w:hideMark/>
          </w:tcPr>
          <w:p w:rsidR="00B92F0C" w:rsidRPr="007545B3" w:rsidRDefault="00603AD7" w:rsidP="00870D71">
            <w:pPr>
              <w:rPr>
                <w:b/>
                <w:bCs/>
                <w:sz w:val="20"/>
                <w:szCs w:val="20"/>
              </w:rPr>
            </w:pPr>
            <w:r>
              <w:rPr>
                <w:b/>
                <w:bCs/>
                <w:sz w:val="20"/>
                <w:szCs w:val="20"/>
              </w:rPr>
              <w:t>(</w:t>
            </w:r>
            <w:r w:rsidR="00B92F0C" w:rsidRPr="007545B3">
              <w:rPr>
                <w:b/>
                <w:bCs/>
                <w:sz w:val="20"/>
                <w:szCs w:val="20"/>
              </w:rPr>
              <w:t>Surplus</w:t>
            </w:r>
            <w:r>
              <w:rPr>
                <w:b/>
                <w:bCs/>
                <w:sz w:val="20"/>
                <w:szCs w:val="20"/>
              </w:rPr>
              <w:t>)</w:t>
            </w:r>
            <w:r w:rsidR="00B92F0C" w:rsidRPr="007545B3">
              <w:rPr>
                <w:b/>
                <w:bCs/>
                <w:sz w:val="20"/>
                <w:szCs w:val="20"/>
              </w:rPr>
              <w:t xml:space="preserve"> or Deficit on revaluation of </w:t>
            </w:r>
            <w:r w:rsidR="009D499F" w:rsidRPr="007545B3">
              <w:rPr>
                <w:b/>
                <w:bCs/>
                <w:sz w:val="20"/>
                <w:szCs w:val="20"/>
              </w:rPr>
              <w:t>non</w:t>
            </w:r>
            <w:r w:rsidR="009D499F">
              <w:rPr>
                <w:b/>
                <w:bCs/>
                <w:sz w:val="20"/>
                <w:szCs w:val="20"/>
              </w:rPr>
              <w:t>-</w:t>
            </w:r>
            <w:r w:rsidR="009D499F" w:rsidRPr="007545B3">
              <w:rPr>
                <w:b/>
                <w:bCs/>
                <w:sz w:val="20"/>
                <w:szCs w:val="20"/>
              </w:rPr>
              <w:t>current</w:t>
            </w:r>
            <w:r w:rsidR="00B92F0C" w:rsidRPr="007545B3">
              <w:rPr>
                <w:b/>
                <w:bCs/>
                <w:sz w:val="20"/>
                <w:szCs w:val="20"/>
              </w:rPr>
              <w:t xml:space="preserve"> assets</w:t>
            </w:r>
          </w:p>
        </w:tc>
        <w:tc>
          <w:tcPr>
            <w:tcW w:w="1267" w:type="dxa"/>
            <w:tcBorders>
              <w:top w:val="single" w:sz="4" w:space="0" w:color="auto"/>
              <w:left w:val="single" w:sz="4" w:space="0" w:color="auto"/>
              <w:bottom w:val="single" w:sz="4" w:space="0" w:color="auto"/>
            </w:tcBorders>
            <w:shd w:val="clear" w:color="auto" w:fill="auto"/>
            <w:noWrap/>
            <w:vAlign w:val="bottom"/>
            <w:hideMark/>
          </w:tcPr>
          <w:p w:rsidR="00B92F0C" w:rsidRPr="00B47868" w:rsidRDefault="00DC7184" w:rsidP="00EE5F45">
            <w:pPr>
              <w:jc w:val="right"/>
              <w:rPr>
                <w:b/>
                <w:sz w:val="20"/>
                <w:szCs w:val="20"/>
              </w:rPr>
            </w:pPr>
            <w:r>
              <w:rPr>
                <w:b/>
                <w:sz w:val="20"/>
                <w:szCs w:val="20"/>
              </w:rPr>
              <w:t>-</w:t>
            </w:r>
          </w:p>
        </w:tc>
        <w:tc>
          <w:tcPr>
            <w:tcW w:w="1267" w:type="dxa"/>
            <w:gridSpan w:val="2"/>
            <w:tcBorders>
              <w:top w:val="single" w:sz="4" w:space="0" w:color="auto"/>
              <w:bottom w:val="single" w:sz="4" w:space="0" w:color="auto"/>
            </w:tcBorders>
            <w:shd w:val="clear" w:color="auto" w:fill="auto"/>
            <w:noWrap/>
            <w:vAlign w:val="bottom"/>
            <w:hideMark/>
          </w:tcPr>
          <w:p w:rsidR="00B92F0C" w:rsidRPr="00B47868" w:rsidRDefault="00DC7184" w:rsidP="00EE5F45">
            <w:pPr>
              <w:jc w:val="right"/>
              <w:rPr>
                <w:b/>
                <w:sz w:val="20"/>
                <w:szCs w:val="20"/>
              </w:rPr>
            </w:pPr>
            <w:r>
              <w:rPr>
                <w:b/>
                <w:sz w:val="20"/>
                <w:szCs w:val="20"/>
              </w:rPr>
              <w:t>-</w:t>
            </w:r>
          </w:p>
        </w:tc>
        <w:tc>
          <w:tcPr>
            <w:tcW w:w="1126" w:type="dxa"/>
            <w:tcBorders>
              <w:top w:val="single" w:sz="4" w:space="0" w:color="auto"/>
              <w:bottom w:val="single" w:sz="4" w:space="0" w:color="auto"/>
            </w:tcBorders>
            <w:shd w:val="clear" w:color="auto" w:fill="auto"/>
            <w:vAlign w:val="bottom"/>
            <w:hideMark/>
          </w:tcPr>
          <w:p w:rsidR="00B92F0C" w:rsidRPr="00B47868" w:rsidRDefault="00B92F0C">
            <w:pPr>
              <w:jc w:val="right"/>
              <w:rPr>
                <w:b/>
                <w:sz w:val="20"/>
                <w:szCs w:val="20"/>
              </w:rPr>
            </w:pPr>
            <w:r w:rsidRPr="00B47868">
              <w:rPr>
                <w:b/>
                <w:sz w:val="20"/>
                <w:szCs w:val="20"/>
              </w:rPr>
              <w:t>(9,734)</w:t>
            </w:r>
          </w:p>
        </w:tc>
        <w:tc>
          <w:tcPr>
            <w:tcW w:w="281" w:type="dxa"/>
            <w:tcBorders>
              <w:top w:val="single" w:sz="4" w:space="0" w:color="auto"/>
              <w:bottom w:val="single" w:sz="4" w:space="0" w:color="auto"/>
            </w:tcBorders>
            <w:shd w:val="clear" w:color="auto" w:fill="auto"/>
            <w:noWrap/>
            <w:vAlign w:val="bottom"/>
            <w:hideMark/>
          </w:tcPr>
          <w:p w:rsidR="00B92F0C" w:rsidRPr="00B47868" w:rsidRDefault="00B92F0C" w:rsidP="00EE5F45">
            <w:pPr>
              <w:jc w:val="right"/>
              <w:rPr>
                <w:b/>
                <w:sz w:val="20"/>
                <w:szCs w:val="20"/>
              </w:rPr>
            </w:pPr>
          </w:p>
        </w:tc>
        <w:tc>
          <w:tcPr>
            <w:tcW w:w="1126" w:type="dxa"/>
            <w:tcBorders>
              <w:top w:val="single" w:sz="4" w:space="0" w:color="auto"/>
              <w:bottom w:val="single" w:sz="4" w:space="0" w:color="auto"/>
            </w:tcBorders>
            <w:shd w:val="clear" w:color="auto" w:fill="auto"/>
            <w:noWrap/>
            <w:vAlign w:val="bottom"/>
            <w:hideMark/>
          </w:tcPr>
          <w:p w:rsidR="00B92F0C" w:rsidRPr="00B47868" w:rsidRDefault="00B92F0C" w:rsidP="00837DF5">
            <w:pPr>
              <w:jc w:val="right"/>
              <w:rPr>
                <w:b/>
                <w:sz w:val="20"/>
                <w:szCs w:val="20"/>
              </w:rPr>
            </w:pPr>
            <w:r w:rsidRPr="00B47868">
              <w:rPr>
                <w:b/>
                <w:sz w:val="20"/>
                <w:szCs w:val="20"/>
              </w:rPr>
              <w:t>- </w:t>
            </w:r>
          </w:p>
        </w:tc>
        <w:tc>
          <w:tcPr>
            <w:tcW w:w="1267" w:type="dxa"/>
            <w:gridSpan w:val="2"/>
            <w:tcBorders>
              <w:top w:val="single" w:sz="4" w:space="0" w:color="auto"/>
              <w:bottom w:val="single" w:sz="4" w:space="0" w:color="auto"/>
            </w:tcBorders>
            <w:shd w:val="clear" w:color="auto" w:fill="auto"/>
            <w:noWrap/>
            <w:vAlign w:val="bottom"/>
            <w:hideMark/>
          </w:tcPr>
          <w:p w:rsidR="00B92F0C" w:rsidRPr="00B47868" w:rsidRDefault="00B92F0C" w:rsidP="00837DF5">
            <w:pPr>
              <w:jc w:val="right"/>
              <w:rPr>
                <w:b/>
                <w:sz w:val="20"/>
                <w:szCs w:val="20"/>
              </w:rPr>
            </w:pPr>
            <w:r w:rsidRPr="00B47868">
              <w:rPr>
                <w:b/>
                <w:sz w:val="20"/>
                <w:szCs w:val="20"/>
              </w:rPr>
              <w:t>-</w:t>
            </w:r>
          </w:p>
        </w:tc>
        <w:tc>
          <w:tcPr>
            <w:tcW w:w="1126" w:type="dxa"/>
            <w:tcBorders>
              <w:top w:val="single" w:sz="4" w:space="0" w:color="auto"/>
              <w:bottom w:val="single" w:sz="4" w:space="0" w:color="auto"/>
              <w:right w:val="single" w:sz="4" w:space="0" w:color="auto"/>
            </w:tcBorders>
            <w:shd w:val="clear" w:color="auto" w:fill="auto"/>
            <w:vAlign w:val="bottom"/>
            <w:hideMark/>
          </w:tcPr>
          <w:p w:rsidR="00B92F0C" w:rsidRPr="00B47868" w:rsidRDefault="00B92F0C">
            <w:pPr>
              <w:jc w:val="right"/>
              <w:rPr>
                <w:b/>
                <w:sz w:val="20"/>
                <w:szCs w:val="20"/>
              </w:rPr>
            </w:pPr>
            <w:r w:rsidRPr="00B47868">
              <w:rPr>
                <w:b/>
                <w:sz w:val="20"/>
                <w:szCs w:val="20"/>
              </w:rPr>
              <w:t>(119,057)</w:t>
            </w:r>
          </w:p>
        </w:tc>
      </w:tr>
      <w:tr w:rsidR="00B92F0C" w:rsidRPr="007545B3" w:rsidTr="00B47868">
        <w:trPr>
          <w:trHeight w:val="277"/>
        </w:trPr>
        <w:tc>
          <w:tcPr>
            <w:tcW w:w="3063" w:type="dxa"/>
            <w:tcBorders>
              <w:top w:val="nil"/>
              <w:left w:val="nil"/>
              <w:bottom w:val="nil"/>
              <w:right w:val="single" w:sz="4" w:space="0" w:color="auto"/>
            </w:tcBorders>
            <w:shd w:val="clear" w:color="auto" w:fill="auto"/>
            <w:vAlign w:val="bottom"/>
            <w:hideMark/>
          </w:tcPr>
          <w:p w:rsidR="00B92F0C" w:rsidRPr="00987CAB" w:rsidRDefault="00603AD7" w:rsidP="00F34468">
            <w:pPr>
              <w:rPr>
                <w:sz w:val="20"/>
                <w:szCs w:val="20"/>
              </w:rPr>
            </w:pPr>
            <w:r>
              <w:rPr>
                <w:bCs/>
                <w:sz w:val="20"/>
                <w:szCs w:val="20"/>
              </w:rPr>
              <w:t>(</w:t>
            </w:r>
            <w:r w:rsidR="00B92F0C" w:rsidRPr="00987CAB">
              <w:rPr>
                <w:bCs/>
                <w:sz w:val="20"/>
                <w:szCs w:val="20"/>
              </w:rPr>
              <w:t>Surplus</w:t>
            </w:r>
            <w:r>
              <w:rPr>
                <w:bCs/>
                <w:sz w:val="20"/>
                <w:szCs w:val="20"/>
              </w:rPr>
              <w:t>)</w:t>
            </w:r>
            <w:r w:rsidR="00B92F0C" w:rsidRPr="00987CAB">
              <w:rPr>
                <w:bCs/>
                <w:sz w:val="20"/>
                <w:szCs w:val="20"/>
              </w:rPr>
              <w:t xml:space="preserve"> or deficit on revaluation of available for sale assets</w:t>
            </w:r>
            <w:r w:rsidR="00B92F0C" w:rsidRPr="00987CAB">
              <w:rPr>
                <w:sz w:val="20"/>
                <w:szCs w:val="20"/>
              </w:rPr>
              <w:t xml:space="preserve"> </w:t>
            </w:r>
          </w:p>
        </w:tc>
        <w:tc>
          <w:tcPr>
            <w:tcW w:w="1267" w:type="dxa"/>
            <w:tcBorders>
              <w:top w:val="single" w:sz="4" w:space="0" w:color="auto"/>
              <w:left w:val="single" w:sz="4" w:space="0" w:color="auto"/>
            </w:tcBorders>
            <w:shd w:val="clear" w:color="auto" w:fill="auto"/>
            <w:noWrap/>
            <w:vAlign w:val="bottom"/>
            <w:hideMark/>
          </w:tcPr>
          <w:p w:rsidR="00B92F0C" w:rsidRPr="007545B3" w:rsidRDefault="00DC7184" w:rsidP="00EE5F45">
            <w:pPr>
              <w:jc w:val="right"/>
              <w:rPr>
                <w:sz w:val="20"/>
                <w:szCs w:val="20"/>
              </w:rPr>
            </w:pPr>
            <w:r>
              <w:rPr>
                <w:sz w:val="20"/>
                <w:szCs w:val="20"/>
              </w:rPr>
              <w:t>-</w:t>
            </w:r>
          </w:p>
        </w:tc>
        <w:tc>
          <w:tcPr>
            <w:tcW w:w="1267" w:type="dxa"/>
            <w:gridSpan w:val="2"/>
            <w:tcBorders>
              <w:top w:val="single" w:sz="4" w:space="0" w:color="auto"/>
            </w:tcBorders>
            <w:shd w:val="clear" w:color="auto" w:fill="auto"/>
            <w:noWrap/>
            <w:vAlign w:val="bottom"/>
            <w:hideMark/>
          </w:tcPr>
          <w:p w:rsidR="00B92F0C" w:rsidRPr="007545B3" w:rsidRDefault="00DC7184" w:rsidP="00EE5F45">
            <w:pPr>
              <w:jc w:val="right"/>
              <w:rPr>
                <w:sz w:val="20"/>
                <w:szCs w:val="20"/>
              </w:rPr>
            </w:pPr>
            <w:r>
              <w:rPr>
                <w:sz w:val="20"/>
                <w:szCs w:val="20"/>
              </w:rPr>
              <w:t>-</w:t>
            </w:r>
          </w:p>
        </w:tc>
        <w:tc>
          <w:tcPr>
            <w:tcW w:w="1126" w:type="dxa"/>
            <w:tcBorders>
              <w:top w:val="single" w:sz="4" w:space="0" w:color="auto"/>
              <w:right w:val="single" w:sz="4" w:space="0" w:color="auto"/>
            </w:tcBorders>
            <w:shd w:val="clear" w:color="auto" w:fill="auto"/>
            <w:vAlign w:val="bottom"/>
            <w:hideMark/>
          </w:tcPr>
          <w:p w:rsidR="00B92F0C" w:rsidRDefault="00B92F0C">
            <w:pPr>
              <w:jc w:val="right"/>
              <w:rPr>
                <w:sz w:val="20"/>
                <w:szCs w:val="20"/>
              </w:rPr>
            </w:pPr>
            <w:r>
              <w:rPr>
                <w:sz w:val="20"/>
                <w:szCs w:val="20"/>
              </w:rPr>
              <w:t>(6,681)</w:t>
            </w:r>
          </w:p>
        </w:tc>
        <w:tc>
          <w:tcPr>
            <w:tcW w:w="281" w:type="dxa"/>
            <w:tcBorders>
              <w:top w:val="single" w:sz="4" w:space="0" w:color="auto"/>
              <w:left w:val="single" w:sz="4" w:space="0" w:color="auto"/>
              <w:right w:val="single" w:sz="4" w:space="0" w:color="auto"/>
            </w:tcBorders>
            <w:shd w:val="clear" w:color="auto" w:fill="auto"/>
            <w:noWrap/>
            <w:vAlign w:val="bottom"/>
            <w:hideMark/>
          </w:tcPr>
          <w:p w:rsidR="00B92F0C" w:rsidRPr="007545B3" w:rsidRDefault="00B92F0C" w:rsidP="00EE5F45">
            <w:pPr>
              <w:jc w:val="right"/>
              <w:rPr>
                <w:sz w:val="20"/>
                <w:szCs w:val="20"/>
              </w:rPr>
            </w:pPr>
          </w:p>
        </w:tc>
        <w:tc>
          <w:tcPr>
            <w:tcW w:w="1126" w:type="dxa"/>
            <w:tcBorders>
              <w:top w:val="single" w:sz="4" w:space="0" w:color="auto"/>
              <w:left w:val="single" w:sz="4" w:space="0" w:color="auto"/>
            </w:tcBorders>
            <w:shd w:val="clear" w:color="auto" w:fill="auto"/>
            <w:noWrap/>
            <w:vAlign w:val="bottom"/>
            <w:hideMark/>
          </w:tcPr>
          <w:p w:rsidR="00B92F0C" w:rsidRPr="007545B3" w:rsidRDefault="00B92F0C" w:rsidP="00837DF5">
            <w:pPr>
              <w:jc w:val="right"/>
              <w:rPr>
                <w:sz w:val="20"/>
                <w:szCs w:val="20"/>
              </w:rPr>
            </w:pPr>
            <w:r w:rsidRPr="007545B3">
              <w:rPr>
                <w:sz w:val="20"/>
                <w:szCs w:val="20"/>
              </w:rPr>
              <w:t> -</w:t>
            </w:r>
          </w:p>
        </w:tc>
        <w:tc>
          <w:tcPr>
            <w:tcW w:w="1267" w:type="dxa"/>
            <w:gridSpan w:val="2"/>
            <w:tcBorders>
              <w:top w:val="single" w:sz="4" w:space="0" w:color="auto"/>
            </w:tcBorders>
            <w:shd w:val="clear" w:color="auto" w:fill="auto"/>
            <w:noWrap/>
            <w:vAlign w:val="bottom"/>
            <w:hideMark/>
          </w:tcPr>
          <w:p w:rsidR="00B92F0C" w:rsidRPr="007545B3" w:rsidRDefault="00B92F0C" w:rsidP="00837DF5">
            <w:pPr>
              <w:jc w:val="right"/>
              <w:rPr>
                <w:sz w:val="20"/>
                <w:szCs w:val="20"/>
              </w:rPr>
            </w:pPr>
            <w:r w:rsidRPr="007545B3">
              <w:rPr>
                <w:sz w:val="20"/>
                <w:szCs w:val="20"/>
              </w:rPr>
              <w:t>-</w:t>
            </w:r>
          </w:p>
        </w:tc>
        <w:tc>
          <w:tcPr>
            <w:tcW w:w="1126" w:type="dxa"/>
            <w:tcBorders>
              <w:top w:val="single" w:sz="4" w:space="0" w:color="auto"/>
              <w:right w:val="single" w:sz="4" w:space="0" w:color="auto"/>
            </w:tcBorders>
            <w:shd w:val="clear" w:color="auto" w:fill="auto"/>
            <w:vAlign w:val="bottom"/>
            <w:hideMark/>
          </w:tcPr>
          <w:p w:rsidR="00B92F0C" w:rsidRDefault="00B92F0C">
            <w:pPr>
              <w:jc w:val="right"/>
              <w:rPr>
                <w:sz w:val="20"/>
                <w:szCs w:val="20"/>
              </w:rPr>
            </w:pPr>
            <w:r>
              <w:rPr>
                <w:sz w:val="20"/>
                <w:szCs w:val="20"/>
              </w:rPr>
              <w:t xml:space="preserve">7,160 </w:t>
            </w:r>
          </w:p>
        </w:tc>
      </w:tr>
      <w:tr w:rsidR="00B92F0C" w:rsidRPr="007545B3" w:rsidTr="00D1374B">
        <w:trPr>
          <w:trHeight w:val="277"/>
        </w:trPr>
        <w:tc>
          <w:tcPr>
            <w:tcW w:w="3063" w:type="dxa"/>
            <w:tcBorders>
              <w:top w:val="nil"/>
              <w:left w:val="nil"/>
              <w:bottom w:val="nil"/>
              <w:right w:val="single" w:sz="4" w:space="0" w:color="auto"/>
            </w:tcBorders>
            <w:shd w:val="clear" w:color="auto" w:fill="auto"/>
            <w:noWrap/>
            <w:vAlign w:val="bottom"/>
            <w:hideMark/>
          </w:tcPr>
          <w:p w:rsidR="00B92F0C" w:rsidRPr="00987CAB" w:rsidRDefault="00B92F0C" w:rsidP="00F34468">
            <w:pPr>
              <w:rPr>
                <w:sz w:val="20"/>
                <w:szCs w:val="20"/>
              </w:rPr>
            </w:pPr>
            <w:r w:rsidRPr="00987CAB">
              <w:rPr>
                <w:bCs/>
                <w:sz w:val="20"/>
                <w:szCs w:val="20"/>
              </w:rPr>
              <w:t xml:space="preserve">Actuarial </w:t>
            </w:r>
            <w:r w:rsidR="00603AD7">
              <w:rPr>
                <w:bCs/>
                <w:sz w:val="20"/>
                <w:szCs w:val="20"/>
              </w:rPr>
              <w:t>(</w:t>
            </w:r>
            <w:r w:rsidRPr="00987CAB">
              <w:rPr>
                <w:bCs/>
                <w:sz w:val="20"/>
                <w:szCs w:val="20"/>
              </w:rPr>
              <w:t>gains</w:t>
            </w:r>
            <w:r w:rsidR="00603AD7">
              <w:rPr>
                <w:bCs/>
                <w:sz w:val="20"/>
                <w:szCs w:val="20"/>
              </w:rPr>
              <w:t>)</w:t>
            </w:r>
            <w:r w:rsidRPr="00987CAB">
              <w:rPr>
                <w:bCs/>
                <w:sz w:val="20"/>
                <w:szCs w:val="20"/>
              </w:rPr>
              <w:t>/losses on pension assets/liabilities</w:t>
            </w:r>
            <w:r w:rsidRPr="00987CAB">
              <w:rPr>
                <w:sz w:val="20"/>
                <w:szCs w:val="20"/>
              </w:rPr>
              <w:t xml:space="preserve"> </w:t>
            </w:r>
          </w:p>
        </w:tc>
        <w:tc>
          <w:tcPr>
            <w:tcW w:w="1267" w:type="dxa"/>
            <w:tcBorders>
              <w:left w:val="single" w:sz="4" w:space="0" w:color="auto"/>
            </w:tcBorders>
            <w:shd w:val="clear" w:color="auto" w:fill="auto"/>
            <w:noWrap/>
            <w:vAlign w:val="bottom"/>
            <w:hideMark/>
          </w:tcPr>
          <w:p w:rsidR="00B92F0C" w:rsidRPr="007545B3" w:rsidRDefault="00DC7184" w:rsidP="00EE5F45">
            <w:pPr>
              <w:jc w:val="right"/>
              <w:rPr>
                <w:sz w:val="20"/>
                <w:szCs w:val="20"/>
              </w:rPr>
            </w:pPr>
            <w:r>
              <w:rPr>
                <w:sz w:val="20"/>
                <w:szCs w:val="20"/>
              </w:rPr>
              <w:t>-</w:t>
            </w:r>
          </w:p>
        </w:tc>
        <w:tc>
          <w:tcPr>
            <w:tcW w:w="1267" w:type="dxa"/>
            <w:gridSpan w:val="2"/>
            <w:shd w:val="clear" w:color="auto" w:fill="auto"/>
            <w:noWrap/>
            <w:vAlign w:val="bottom"/>
            <w:hideMark/>
          </w:tcPr>
          <w:p w:rsidR="00B92F0C" w:rsidRPr="007545B3" w:rsidRDefault="00DC7184" w:rsidP="00EE5F45">
            <w:pPr>
              <w:jc w:val="right"/>
              <w:rPr>
                <w:sz w:val="20"/>
                <w:szCs w:val="20"/>
              </w:rPr>
            </w:pPr>
            <w:r>
              <w:rPr>
                <w:sz w:val="20"/>
                <w:szCs w:val="20"/>
              </w:rPr>
              <w:t>-</w:t>
            </w:r>
          </w:p>
        </w:tc>
        <w:tc>
          <w:tcPr>
            <w:tcW w:w="1126" w:type="dxa"/>
            <w:tcBorders>
              <w:right w:val="single" w:sz="4" w:space="0" w:color="auto"/>
            </w:tcBorders>
            <w:shd w:val="clear" w:color="auto" w:fill="auto"/>
            <w:noWrap/>
            <w:vAlign w:val="bottom"/>
            <w:hideMark/>
          </w:tcPr>
          <w:p w:rsidR="00B92F0C" w:rsidRDefault="00B92F0C">
            <w:pPr>
              <w:jc w:val="right"/>
              <w:rPr>
                <w:sz w:val="20"/>
                <w:szCs w:val="20"/>
              </w:rPr>
            </w:pPr>
            <w:r>
              <w:rPr>
                <w:sz w:val="20"/>
                <w:szCs w:val="20"/>
              </w:rPr>
              <w:t xml:space="preserve">175,400 </w:t>
            </w:r>
          </w:p>
        </w:tc>
        <w:tc>
          <w:tcPr>
            <w:tcW w:w="281" w:type="dxa"/>
            <w:tcBorders>
              <w:left w:val="single" w:sz="4" w:space="0" w:color="auto"/>
              <w:right w:val="single" w:sz="4" w:space="0" w:color="auto"/>
            </w:tcBorders>
            <w:shd w:val="clear" w:color="auto" w:fill="auto"/>
            <w:noWrap/>
            <w:vAlign w:val="bottom"/>
            <w:hideMark/>
          </w:tcPr>
          <w:p w:rsidR="00B92F0C" w:rsidRPr="007545B3" w:rsidRDefault="00B92F0C" w:rsidP="00EE5F45">
            <w:pPr>
              <w:jc w:val="right"/>
              <w:rPr>
                <w:sz w:val="20"/>
                <w:szCs w:val="20"/>
              </w:rPr>
            </w:pPr>
          </w:p>
        </w:tc>
        <w:tc>
          <w:tcPr>
            <w:tcW w:w="1126" w:type="dxa"/>
            <w:tcBorders>
              <w:left w:val="single" w:sz="4" w:space="0" w:color="auto"/>
            </w:tcBorders>
            <w:shd w:val="clear" w:color="auto" w:fill="auto"/>
            <w:noWrap/>
            <w:vAlign w:val="bottom"/>
            <w:hideMark/>
          </w:tcPr>
          <w:p w:rsidR="00B92F0C" w:rsidRPr="007545B3" w:rsidRDefault="00B92F0C" w:rsidP="00837DF5">
            <w:pPr>
              <w:jc w:val="right"/>
              <w:rPr>
                <w:sz w:val="20"/>
                <w:szCs w:val="20"/>
              </w:rPr>
            </w:pPr>
            <w:r w:rsidRPr="007545B3">
              <w:rPr>
                <w:sz w:val="20"/>
                <w:szCs w:val="20"/>
              </w:rPr>
              <w:t>- </w:t>
            </w:r>
          </w:p>
        </w:tc>
        <w:tc>
          <w:tcPr>
            <w:tcW w:w="1267" w:type="dxa"/>
            <w:gridSpan w:val="2"/>
            <w:shd w:val="clear" w:color="auto" w:fill="auto"/>
            <w:noWrap/>
            <w:vAlign w:val="bottom"/>
            <w:hideMark/>
          </w:tcPr>
          <w:p w:rsidR="00B92F0C" w:rsidRPr="007545B3" w:rsidRDefault="00B92F0C" w:rsidP="00837DF5">
            <w:pPr>
              <w:jc w:val="right"/>
              <w:rPr>
                <w:sz w:val="20"/>
                <w:szCs w:val="20"/>
              </w:rPr>
            </w:pPr>
            <w:r w:rsidRPr="007545B3">
              <w:rPr>
                <w:sz w:val="20"/>
                <w:szCs w:val="20"/>
              </w:rPr>
              <w:t>-</w:t>
            </w:r>
          </w:p>
        </w:tc>
        <w:tc>
          <w:tcPr>
            <w:tcW w:w="1126" w:type="dxa"/>
            <w:tcBorders>
              <w:right w:val="single" w:sz="4" w:space="0" w:color="auto"/>
            </w:tcBorders>
            <w:shd w:val="clear" w:color="auto" w:fill="auto"/>
            <w:noWrap/>
            <w:vAlign w:val="bottom"/>
            <w:hideMark/>
          </w:tcPr>
          <w:p w:rsidR="00B92F0C" w:rsidRDefault="00B92F0C">
            <w:pPr>
              <w:jc w:val="right"/>
              <w:rPr>
                <w:sz w:val="20"/>
                <w:szCs w:val="20"/>
              </w:rPr>
            </w:pPr>
            <w:r>
              <w:rPr>
                <w:sz w:val="20"/>
                <w:szCs w:val="20"/>
              </w:rPr>
              <w:t>(178,590)</w:t>
            </w:r>
          </w:p>
        </w:tc>
      </w:tr>
      <w:tr w:rsidR="00B92F0C" w:rsidRPr="007545B3" w:rsidTr="00D1374B">
        <w:trPr>
          <w:trHeight w:val="291"/>
        </w:trPr>
        <w:tc>
          <w:tcPr>
            <w:tcW w:w="3063" w:type="dxa"/>
            <w:tcBorders>
              <w:top w:val="nil"/>
              <w:left w:val="nil"/>
              <w:bottom w:val="nil"/>
              <w:right w:val="single" w:sz="4" w:space="0" w:color="auto"/>
            </w:tcBorders>
            <w:shd w:val="clear" w:color="auto" w:fill="auto"/>
            <w:noWrap/>
            <w:vAlign w:val="bottom"/>
            <w:hideMark/>
          </w:tcPr>
          <w:p w:rsidR="00B47868" w:rsidRPr="00987CAB" w:rsidRDefault="00B92F0C" w:rsidP="00870D71">
            <w:pPr>
              <w:rPr>
                <w:bCs/>
                <w:sz w:val="20"/>
                <w:szCs w:val="20"/>
              </w:rPr>
            </w:pPr>
            <w:r w:rsidRPr="00987CAB">
              <w:rPr>
                <w:bCs/>
                <w:sz w:val="20"/>
                <w:szCs w:val="20"/>
              </w:rPr>
              <w:t>Other Comprehensive Income</w:t>
            </w:r>
          </w:p>
          <w:p w:rsidR="00B92F0C" w:rsidRPr="00987CAB" w:rsidRDefault="00B92F0C" w:rsidP="00870D71">
            <w:pPr>
              <w:rPr>
                <w:bCs/>
                <w:sz w:val="20"/>
                <w:szCs w:val="20"/>
              </w:rPr>
            </w:pPr>
            <w:r w:rsidRPr="00987CAB">
              <w:rPr>
                <w:bCs/>
                <w:sz w:val="20"/>
                <w:szCs w:val="20"/>
              </w:rPr>
              <w:t xml:space="preserve"> and Expenditure</w:t>
            </w:r>
          </w:p>
        </w:tc>
        <w:tc>
          <w:tcPr>
            <w:tcW w:w="1267" w:type="dxa"/>
            <w:tcBorders>
              <w:left w:val="single" w:sz="4" w:space="0" w:color="auto"/>
            </w:tcBorders>
            <w:shd w:val="clear" w:color="auto" w:fill="auto"/>
            <w:noWrap/>
            <w:vAlign w:val="bottom"/>
            <w:hideMark/>
          </w:tcPr>
          <w:p w:rsidR="00B92F0C" w:rsidRPr="007545B3" w:rsidRDefault="00DC7184" w:rsidP="00EE5F45">
            <w:pPr>
              <w:jc w:val="right"/>
              <w:rPr>
                <w:sz w:val="20"/>
                <w:szCs w:val="20"/>
              </w:rPr>
            </w:pPr>
            <w:r>
              <w:rPr>
                <w:sz w:val="20"/>
                <w:szCs w:val="20"/>
              </w:rPr>
              <w:t>-</w:t>
            </w:r>
          </w:p>
        </w:tc>
        <w:tc>
          <w:tcPr>
            <w:tcW w:w="1267" w:type="dxa"/>
            <w:gridSpan w:val="2"/>
            <w:shd w:val="clear" w:color="auto" w:fill="auto"/>
            <w:noWrap/>
            <w:vAlign w:val="bottom"/>
            <w:hideMark/>
          </w:tcPr>
          <w:p w:rsidR="00B92F0C" w:rsidRPr="007545B3" w:rsidRDefault="00DC7184" w:rsidP="00EE5F45">
            <w:pPr>
              <w:jc w:val="right"/>
              <w:rPr>
                <w:sz w:val="20"/>
                <w:szCs w:val="20"/>
              </w:rPr>
            </w:pPr>
            <w:r>
              <w:rPr>
                <w:sz w:val="20"/>
                <w:szCs w:val="20"/>
              </w:rPr>
              <w:t>-</w:t>
            </w:r>
          </w:p>
        </w:tc>
        <w:tc>
          <w:tcPr>
            <w:tcW w:w="1126" w:type="dxa"/>
            <w:tcBorders>
              <w:right w:val="single" w:sz="4" w:space="0" w:color="auto"/>
            </w:tcBorders>
            <w:shd w:val="clear" w:color="auto" w:fill="auto"/>
            <w:noWrap/>
            <w:vAlign w:val="bottom"/>
            <w:hideMark/>
          </w:tcPr>
          <w:p w:rsidR="00B92F0C" w:rsidRDefault="00B92F0C">
            <w:pPr>
              <w:jc w:val="right"/>
              <w:rPr>
                <w:sz w:val="20"/>
                <w:szCs w:val="20"/>
              </w:rPr>
            </w:pPr>
            <w:r>
              <w:rPr>
                <w:sz w:val="20"/>
                <w:szCs w:val="20"/>
              </w:rPr>
              <w:t xml:space="preserve">4,661 </w:t>
            </w:r>
          </w:p>
        </w:tc>
        <w:tc>
          <w:tcPr>
            <w:tcW w:w="281" w:type="dxa"/>
            <w:tcBorders>
              <w:left w:val="single" w:sz="4" w:space="0" w:color="auto"/>
              <w:right w:val="single" w:sz="4" w:space="0" w:color="auto"/>
            </w:tcBorders>
            <w:shd w:val="clear" w:color="auto" w:fill="auto"/>
            <w:noWrap/>
            <w:vAlign w:val="bottom"/>
            <w:hideMark/>
          </w:tcPr>
          <w:p w:rsidR="00B92F0C" w:rsidRPr="007545B3" w:rsidRDefault="00B92F0C" w:rsidP="00EE5F45">
            <w:pPr>
              <w:jc w:val="right"/>
              <w:rPr>
                <w:b/>
                <w:sz w:val="20"/>
                <w:szCs w:val="20"/>
              </w:rPr>
            </w:pPr>
          </w:p>
        </w:tc>
        <w:tc>
          <w:tcPr>
            <w:tcW w:w="1126" w:type="dxa"/>
            <w:tcBorders>
              <w:left w:val="single" w:sz="4" w:space="0" w:color="auto"/>
            </w:tcBorders>
            <w:shd w:val="clear" w:color="auto" w:fill="auto"/>
            <w:noWrap/>
            <w:vAlign w:val="bottom"/>
            <w:hideMark/>
          </w:tcPr>
          <w:p w:rsidR="00B92F0C" w:rsidRPr="007545B3" w:rsidRDefault="00B92F0C" w:rsidP="00837DF5">
            <w:pPr>
              <w:jc w:val="right"/>
              <w:rPr>
                <w:sz w:val="20"/>
                <w:szCs w:val="20"/>
              </w:rPr>
            </w:pPr>
            <w:r w:rsidRPr="007545B3">
              <w:rPr>
                <w:sz w:val="20"/>
                <w:szCs w:val="20"/>
              </w:rPr>
              <w:t> -</w:t>
            </w:r>
          </w:p>
        </w:tc>
        <w:tc>
          <w:tcPr>
            <w:tcW w:w="1267" w:type="dxa"/>
            <w:gridSpan w:val="2"/>
            <w:shd w:val="clear" w:color="auto" w:fill="auto"/>
            <w:noWrap/>
            <w:vAlign w:val="bottom"/>
            <w:hideMark/>
          </w:tcPr>
          <w:p w:rsidR="00B92F0C" w:rsidRPr="007545B3" w:rsidRDefault="00B92F0C" w:rsidP="00837DF5">
            <w:pPr>
              <w:jc w:val="right"/>
              <w:rPr>
                <w:sz w:val="20"/>
                <w:szCs w:val="20"/>
              </w:rPr>
            </w:pPr>
            <w:r w:rsidRPr="007545B3">
              <w:rPr>
                <w:sz w:val="20"/>
                <w:szCs w:val="20"/>
              </w:rPr>
              <w:t>-</w:t>
            </w:r>
          </w:p>
        </w:tc>
        <w:tc>
          <w:tcPr>
            <w:tcW w:w="1126" w:type="dxa"/>
            <w:tcBorders>
              <w:right w:val="single" w:sz="4" w:space="0" w:color="auto"/>
            </w:tcBorders>
            <w:shd w:val="clear" w:color="auto" w:fill="auto"/>
            <w:noWrap/>
            <w:vAlign w:val="bottom"/>
            <w:hideMark/>
          </w:tcPr>
          <w:p w:rsidR="00B92F0C" w:rsidRDefault="00B92F0C">
            <w:pPr>
              <w:jc w:val="right"/>
              <w:rPr>
                <w:sz w:val="20"/>
                <w:szCs w:val="20"/>
              </w:rPr>
            </w:pPr>
            <w:r>
              <w:rPr>
                <w:sz w:val="20"/>
                <w:szCs w:val="20"/>
              </w:rPr>
              <w:t xml:space="preserve">1,978 </w:t>
            </w:r>
          </w:p>
        </w:tc>
      </w:tr>
      <w:tr w:rsidR="00B92F0C" w:rsidRPr="007545B3" w:rsidTr="00D1374B">
        <w:trPr>
          <w:trHeight w:val="291"/>
        </w:trPr>
        <w:tc>
          <w:tcPr>
            <w:tcW w:w="3063" w:type="dxa"/>
            <w:tcBorders>
              <w:top w:val="nil"/>
              <w:left w:val="nil"/>
              <w:bottom w:val="nil"/>
              <w:right w:val="nil"/>
            </w:tcBorders>
            <w:shd w:val="clear" w:color="auto" w:fill="auto"/>
            <w:noWrap/>
            <w:vAlign w:val="bottom"/>
            <w:hideMark/>
          </w:tcPr>
          <w:p w:rsidR="00B92F0C" w:rsidRPr="007545B3" w:rsidRDefault="00B92F0C" w:rsidP="00870D71">
            <w:pPr>
              <w:rPr>
                <w:sz w:val="20"/>
                <w:szCs w:val="20"/>
              </w:rPr>
            </w:pPr>
            <w:r w:rsidRPr="007545B3">
              <w:rPr>
                <w:sz w:val="20"/>
                <w:szCs w:val="20"/>
              </w:rPr>
              <w:t> </w:t>
            </w:r>
          </w:p>
        </w:tc>
        <w:tc>
          <w:tcPr>
            <w:tcW w:w="1267" w:type="dxa"/>
            <w:tcBorders>
              <w:left w:val="single" w:sz="4" w:space="0" w:color="auto"/>
              <w:bottom w:val="single" w:sz="4" w:space="0" w:color="auto"/>
              <w:right w:val="nil"/>
            </w:tcBorders>
            <w:shd w:val="clear" w:color="auto" w:fill="auto"/>
            <w:noWrap/>
            <w:vAlign w:val="bottom"/>
            <w:hideMark/>
          </w:tcPr>
          <w:p w:rsidR="00B92F0C" w:rsidRPr="007545B3" w:rsidRDefault="00B92F0C" w:rsidP="00EE5F45">
            <w:pPr>
              <w:jc w:val="right"/>
              <w:rPr>
                <w:sz w:val="20"/>
                <w:szCs w:val="20"/>
              </w:rPr>
            </w:pPr>
          </w:p>
        </w:tc>
        <w:tc>
          <w:tcPr>
            <w:tcW w:w="1267" w:type="dxa"/>
            <w:gridSpan w:val="2"/>
            <w:tcBorders>
              <w:left w:val="nil"/>
              <w:bottom w:val="single" w:sz="4" w:space="0" w:color="auto"/>
              <w:right w:val="nil"/>
            </w:tcBorders>
            <w:shd w:val="clear" w:color="auto" w:fill="auto"/>
            <w:noWrap/>
            <w:vAlign w:val="bottom"/>
            <w:hideMark/>
          </w:tcPr>
          <w:p w:rsidR="00B92F0C" w:rsidRPr="007545B3" w:rsidRDefault="00B92F0C" w:rsidP="00EE5F45">
            <w:pPr>
              <w:jc w:val="right"/>
              <w:rPr>
                <w:sz w:val="20"/>
                <w:szCs w:val="20"/>
              </w:rPr>
            </w:pPr>
          </w:p>
        </w:tc>
        <w:tc>
          <w:tcPr>
            <w:tcW w:w="1126" w:type="dxa"/>
            <w:tcBorders>
              <w:left w:val="nil"/>
              <w:bottom w:val="single" w:sz="4" w:space="0" w:color="auto"/>
              <w:right w:val="single" w:sz="4" w:space="0" w:color="auto"/>
            </w:tcBorders>
            <w:shd w:val="clear" w:color="auto" w:fill="auto"/>
            <w:noWrap/>
            <w:vAlign w:val="bottom"/>
            <w:hideMark/>
          </w:tcPr>
          <w:p w:rsidR="00B92F0C" w:rsidRDefault="00B92F0C">
            <w:pPr>
              <w:rPr>
                <w:sz w:val="20"/>
                <w:szCs w:val="20"/>
              </w:rPr>
            </w:pPr>
            <w:r>
              <w:rPr>
                <w:sz w:val="20"/>
                <w:szCs w:val="20"/>
              </w:rPr>
              <w:t> </w:t>
            </w:r>
          </w:p>
        </w:tc>
        <w:tc>
          <w:tcPr>
            <w:tcW w:w="281" w:type="dxa"/>
            <w:tcBorders>
              <w:left w:val="nil"/>
              <w:bottom w:val="nil"/>
              <w:right w:val="nil"/>
            </w:tcBorders>
            <w:shd w:val="clear" w:color="auto" w:fill="auto"/>
            <w:noWrap/>
            <w:vAlign w:val="bottom"/>
            <w:hideMark/>
          </w:tcPr>
          <w:p w:rsidR="00B92F0C" w:rsidRPr="007545B3" w:rsidRDefault="00B92F0C" w:rsidP="00EE5F45">
            <w:pPr>
              <w:jc w:val="right"/>
              <w:rPr>
                <w:sz w:val="20"/>
                <w:szCs w:val="20"/>
              </w:rPr>
            </w:pPr>
          </w:p>
        </w:tc>
        <w:tc>
          <w:tcPr>
            <w:tcW w:w="1126" w:type="dxa"/>
            <w:tcBorders>
              <w:left w:val="single" w:sz="4" w:space="0" w:color="auto"/>
              <w:bottom w:val="single" w:sz="4" w:space="0" w:color="auto"/>
              <w:right w:val="nil"/>
            </w:tcBorders>
            <w:shd w:val="clear" w:color="auto" w:fill="auto"/>
            <w:noWrap/>
            <w:vAlign w:val="bottom"/>
            <w:hideMark/>
          </w:tcPr>
          <w:p w:rsidR="00B92F0C" w:rsidRPr="007545B3" w:rsidRDefault="00B92F0C" w:rsidP="00EE5F45">
            <w:pPr>
              <w:jc w:val="right"/>
              <w:rPr>
                <w:sz w:val="20"/>
                <w:szCs w:val="20"/>
              </w:rPr>
            </w:pPr>
          </w:p>
        </w:tc>
        <w:tc>
          <w:tcPr>
            <w:tcW w:w="1267" w:type="dxa"/>
            <w:gridSpan w:val="2"/>
            <w:tcBorders>
              <w:left w:val="nil"/>
              <w:bottom w:val="single" w:sz="4" w:space="0" w:color="auto"/>
              <w:right w:val="nil"/>
            </w:tcBorders>
            <w:shd w:val="clear" w:color="auto" w:fill="auto"/>
            <w:noWrap/>
            <w:vAlign w:val="bottom"/>
            <w:hideMark/>
          </w:tcPr>
          <w:p w:rsidR="00B92F0C" w:rsidRPr="007545B3" w:rsidRDefault="00B92F0C" w:rsidP="00EE5F45">
            <w:pPr>
              <w:jc w:val="right"/>
              <w:rPr>
                <w:sz w:val="20"/>
                <w:szCs w:val="20"/>
              </w:rPr>
            </w:pPr>
          </w:p>
        </w:tc>
        <w:tc>
          <w:tcPr>
            <w:tcW w:w="1126" w:type="dxa"/>
            <w:tcBorders>
              <w:left w:val="nil"/>
              <w:bottom w:val="single" w:sz="4" w:space="0" w:color="auto"/>
              <w:right w:val="single" w:sz="4" w:space="0" w:color="auto"/>
            </w:tcBorders>
            <w:shd w:val="clear" w:color="auto" w:fill="auto"/>
            <w:noWrap/>
            <w:vAlign w:val="bottom"/>
            <w:hideMark/>
          </w:tcPr>
          <w:p w:rsidR="00B92F0C" w:rsidRDefault="00B92F0C">
            <w:pPr>
              <w:rPr>
                <w:sz w:val="20"/>
                <w:szCs w:val="20"/>
              </w:rPr>
            </w:pPr>
            <w:r>
              <w:rPr>
                <w:sz w:val="20"/>
                <w:szCs w:val="20"/>
              </w:rPr>
              <w:t> </w:t>
            </w:r>
          </w:p>
        </w:tc>
      </w:tr>
      <w:tr w:rsidR="00B92F0C" w:rsidRPr="00286C0E" w:rsidTr="00D1374B">
        <w:trPr>
          <w:trHeight w:val="291"/>
        </w:trPr>
        <w:tc>
          <w:tcPr>
            <w:tcW w:w="3063" w:type="dxa"/>
            <w:tcBorders>
              <w:top w:val="nil"/>
              <w:left w:val="nil"/>
              <w:bottom w:val="nil"/>
              <w:right w:val="nil"/>
            </w:tcBorders>
            <w:shd w:val="clear" w:color="auto" w:fill="auto"/>
            <w:noWrap/>
            <w:vAlign w:val="bottom"/>
          </w:tcPr>
          <w:p w:rsidR="00B92F0C" w:rsidRPr="00F34468" w:rsidRDefault="00B92F0C" w:rsidP="00870D71">
            <w:pPr>
              <w:rPr>
                <w:b/>
                <w:sz w:val="20"/>
                <w:szCs w:val="20"/>
              </w:rPr>
            </w:pPr>
            <w:r w:rsidRPr="00F34468">
              <w:rPr>
                <w:b/>
                <w:sz w:val="20"/>
                <w:szCs w:val="20"/>
              </w:rPr>
              <w:t>Total Comprehensive Income and Expenditure</w:t>
            </w:r>
            <w:r w:rsidR="0007454E">
              <w:rPr>
                <w:b/>
                <w:sz w:val="20"/>
                <w:szCs w:val="20"/>
              </w:rPr>
              <w:t xml:space="preserve"> (Gain) / Loss</w:t>
            </w:r>
          </w:p>
        </w:tc>
        <w:tc>
          <w:tcPr>
            <w:tcW w:w="1267" w:type="dxa"/>
            <w:tcBorders>
              <w:left w:val="single" w:sz="4" w:space="0" w:color="auto"/>
              <w:bottom w:val="single" w:sz="4" w:space="0" w:color="auto"/>
              <w:right w:val="nil"/>
            </w:tcBorders>
            <w:shd w:val="clear" w:color="auto" w:fill="auto"/>
            <w:noWrap/>
            <w:vAlign w:val="bottom"/>
          </w:tcPr>
          <w:p w:rsidR="00B92F0C" w:rsidRPr="00F34468" w:rsidRDefault="00DC7184" w:rsidP="00EE5F45">
            <w:pPr>
              <w:jc w:val="right"/>
              <w:rPr>
                <w:b/>
                <w:sz w:val="20"/>
                <w:szCs w:val="20"/>
              </w:rPr>
            </w:pPr>
            <w:r>
              <w:rPr>
                <w:b/>
                <w:sz w:val="20"/>
                <w:szCs w:val="20"/>
              </w:rPr>
              <w:t>-</w:t>
            </w:r>
          </w:p>
        </w:tc>
        <w:tc>
          <w:tcPr>
            <w:tcW w:w="1267" w:type="dxa"/>
            <w:gridSpan w:val="2"/>
            <w:tcBorders>
              <w:left w:val="nil"/>
              <w:bottom w:val="single" w:sz="4" w:space="0" w:color="auto"/>
              <w:right w:val="nil"/>
            </w:tcBorders>
            <w:shd w:val="clear" w:color="auto" w:fill="auto"/>
            <w:noWrap/>
            <w:vAlign w:val="bottom"/>
          </w:tcPr>
          <w:p w:rsidR="00B92F0C" w:rsidRPr="00F34468" w:rsidRDefault="00DC7184" w:rsidP="00EE5F45">
            <w:pPr>
              <w:jc w:val="right"/>
              <w:rPr>
                <w:b/>
                <w:sz w:val="20"/>
                <w:szCs w:val="20"/>
              </w:rPr>
            </w:pPr>
            <w:r>
              <w:rPr>
                <w:b/>
                <w:sz w:val="20"/>
                <w:szCs w:val="20"/>
              </w:rPr>
              <w:t>-</w:t>
            </w:r>
          </w:p>
        </w:tc>
        <w:tc>
          <w:tcPr>
            <w:tcW w:w="1126" w:type="dxa"/>
            <w:tcBorders>
              <w:left w:val="nil"/>
              <w:bottom w:val="single" w:sz="4" w:space="0" w:color="auto"/>
              <w:right w:val="single" w:sz="4" w:space="0" w:color="auto"/>
            </w:tcBorders>
            <w:shd w:val="clear" w:color="auto" w:fill="auto"/>
            <w:noWrap/>
            <w:vAlign w:val="bottom"/>
          </w:tcPr>
          <w:p w:rsidR="00B92F0C" w:rsidRPr="00F34468" w:rsidRDefault="00B92F0C">
            <w:pPr>
              <w:jc w:val="right"/>
              <w:rPr>
                <w:b/>
                <w:sz w:val="20"/>
                <w:szCs w:val="20"/>
              </w:rPr>
            </w:pPr>
            <w:r w:rsidRPr="00F34468">
              <w:rPr>
                <w:b/>
                <w:sz w:val="20"/>
                <w:szCs w:val="20"/>
              </w:rPr>
              <w:t xml:space="preserve">93,372 </w:t>
            </w:r>
          </w:p>
        </w:tc>
        <w:tc>
          <w:tcPr>
            <w:tcW w:w="281" w:type="dxa"/>
            <w:tcBorders>
              <w:left w:val="nil"/>
              <w:bottom w:val="nil"/>
              <w:right w:val="nil"/>
            </w:tcBorders>
            <w:shd w:val="clear" w:color="auto" w:fill="auto"/>
            <w:noWrap/>
            <w:vAlign w:val="bottom"/>
          </w:tcPr>
          <w:p w:rsidR="00B92F0C" w:rsidRPr="00F34468" w:rsidRDefault="00B92F0C" w:rsidP="00EE5F45">
            <w:pPr>
              <w:jc w:val="right"/>
              <w:rPr>
                <w:b/>
                <w:sz w:val="20"/>
                <w:szCs w:val="20"/>
              </w:rPr>
            </w:pPr>
          </w:p>
        </w:tc>
        <w:tc>
          <w:tcPr>
            <w:tcW w:w="1126" w:type="dxa"/>
            <w:tcBorders>
              <w:left w:val="single" w:sz="4" w:space="0" w:color="auto"/>
              <w:bottom w:val="single" w:sz="4" w:space="0" w:color="auto"/>
              <w:right w:val="nil"/>
            </w:tcBorders>
            <w:shd w:val="clear" w:color="auto" w:fill="auto"/>
            <w:noWrap/>
            <w:vAlign w:val="bottom"/>
          </w:tcPr>
          <w:p w:rsidR="00B92F0C" w:rsidRPr="00F34468" w:rsidRDefault="00DC7184" w:rsidP="00EE5F45">
            <w:pPr>
              <w:jc w:val="right"/>
              <w:rPr>
                <w:b/>
                <w:sz w:val="20"/>
                <w:szCs w:val="20"/>
              </w:rPr>
            </w:pPr>
            <w:r>
              <w:rPr>
                <w:b/>
                <w:sz w:val="20"/>
                <w:szCs w:val="20"/>
              </w:rPr>
              <w:t>-</w:t>
            </w:r>
          </w:p>
        </w:tc>
        <w:tc>
          <w:tcPr>
            <w:tcW w:w="1267" w:type="dxa"/>
            <w:gridSpan w:val="2"/>
            <w:tcBorders>
              <w:left w:val="nil"/>
              <w:bottom w:val="single" w:sz="4" w:space="0" w:color="auto"/>
              <w:right w:val="nil"/>
            </w:tcBorders>
            <w:shd w:val="clear" w:color="auto" w:fill="auto"/>
            <w:noWrap/>
            <w:vAlign w:val="bottom"/>
          </w:tcPr>
          <w:p w:rsidR="00B92F0C" w:rsidRPr="00F34468" w:rsidRDefault="00DC7184" w:rsidP="00EE5F45">
            <w:pPr>
              <w:jc w:val="right"/>
              <w:rPr>
                <w:b/>
                <w:sz w:val="20"/>
                <w:szCs w:val="20"/>
              </w:rPr>
            </w:pPr>
            <w:r>
              <w:rPr>
                <w:b/>
                <w:sz w:val="20"/>
                <w:szCs w:val="20"/>
              </w:rPr>
              <w:t>-</w:t>
            </w:r>
          </w:p>
        </w:tc>
        <w:tc>
          <w:tcPr>
            <w:tcW w:w="1126" w:type="dxa"/>
            <w:tcBorders>
              <w:left w:val="nil"/>
              <w:bottom w:val="single" w:sz="4" w:space="0" w:color="auto"/>
              <w:right w:val="single" w:sz="4" w:space="0" w:color="auto"/>
            </w:tcBorders>
            <w:shd w:val="clear" w:color="auto" w:fill="auto"/>
            <w:noWrap/>
            <w:vAlign w:val="bottom"/>
          </w:tcPr>
          <w:p w:rsidR="00B92F0C" w:rsidRPr="00F34468" w:rsidRDefault="00B92F0C">
            <w:pPr>
              <w:jc w:val="right"/>
              <w:rPr>
                <w:b/>
                <w:sz w:val="20"/>
                <w:szCs w:val="20"/>
              </w:rPr>
            </w:pPr>
            <w:r w:rsidRPr="00F34468">
              <w:rPr>
                <w:b/>
                <w:sz w:val="20"/>
                <w:szCs w:val="20"/>
              </w:rPr>
              <w:t>(416,543)</w:t>
            </w:r>
          </w:p>
        </w:tc>
      </w:tr>
    </w:tbl>
    <w:p w:rsidR="005C1384" w:rsidRDefault="005C1384" w:rsidP="00353A8C">
      <w:pPr>
        <w:rPr>
          <w:b/>
          <w:highlight w:val="yellow"/>
        </w:rPr>
      </w:pPr>
    </w:p>
    <w:p w:rsidR="002F1EB5" w:rsidRPr="004E3A1D" w:rsidRDefault="005C1384" w:rsidP="00353A8C">
      <w:pPr>
        <w:rPr>
          <w:b/>
          <w:sz w:val="28"/>
        </w:rPr>
      </w:pPr>
      <w:r w:rsidRPr="00D32D23">
        <w:rPr>
          <w:b/>
          <w:sz w:val="20"/>
          <w:szCs w:val="20"/>
        </w:rPr>
        <w:t xml:space="preserve">*Non Distributed Costs- </w:t>
      </w:r>
      <w:r w:rsidR="00CB4F18" w:rsidRPr="00D32D23">
        <w:rPr>
          <w:b/>
          <w:sz w:val="20"/>
          <w:szCs w:val="20"/>
        </w:rPr>
        <w:t>See</w:t>
      </w:r>
      <w:r w:rsidRPr="00D32D23">
        <w:rPr>
          <w:b/>
          <w:sz w:val="20"/>
          <w:szCs w:val="20"/>
        </w:rPr>
        <w:t xml:space="preserve"> Note 6</w:t>
      </w:r>
      <w:r w:rsidR="00FA4E44">
        <w:rPr>
          <w:b/>
          <w:sz w:val="20"/>
          <w:szCs w:val="20"/>
        </w:rPr>
        <w:t>3</w:t>
      </w:r>
      <w:r w:rsidRPr="00D32D23">
        <w:rPr>
          <w:b/>
          <w:sz w:val="20"/>
          <w:szCs w:val="20"/>
        </w:rPr>
        <w:t xml:space="preserve">- </w:t>
      </w:r>
      <w:r w:rsidR="00CB4F18" w:rsidRPr="00D32D23">
        <w:rPr>
          <w:b/>
          <w:sz w:val="20"/>
          <w:szCs w:val="20"/>
        </w:rPr>
        <w:t>Lancashire County Council</w:t>
      </w:r>
      <w:r w:rsidRPr="00D32D23">
        <w:rPr>
          <w:b/>
          <w:sz w:val="20"/>
          <w:szCs w:val="20"/>
        </w:rPr>
        <w:t>'s Interests in other organisations- One Connect Limited</w:t>
      </w:r>
      <w:r w:rsidR="000E6E55" w:rsidRPr="00286C0E">
        <w:rPr>
          <w:b/>
          <w:highlight w:val="yellow"/>
        </w:rPr>
        <w:br w:type="page"/>
      </w:r>
      <w:r w:rsidR="00C64115" w:rsidRPr="004E3A1D">
        <w:rPr>
          <w:b/>
        </w:rPr>
        <w:lastRenderedPageBreak/>
        <w:t xml:space="preserve">Balance </w:t>
      </w:r>
      <w:r w:rsidR="000D3EBB" w:rsidRPr="004E3A1D">
        <w:rPr>
          <w:b/>
        </w:rPr>
        <w:t>sheet</w:t>
      </w:r>
    </w:p>
    <w:p w:rsidR="00AF25B3" w:rsidRPr="004E3A1D" w:rsidRDefault="00AF25B3" w:rsidP="00353A8C">
      <w:pPr>
        <w:rPr>
          <w:b/>
        </w:rPr>
      </w:pPr>
    </w:p>
    <w:p w:rsidR="00AF25B3" w:rsidRPr="004E3A1D" w:rsidRDefault="00AF25B3" w:rsidP="00BC6A99">
      <w:pPr>
        <w:jc w:val="both"/>
      </w:pPr>
      <w:r w:rsidRPr="004E3A1D">
        <w:t>The balance sheet shows the value as at the Balance Sheet date of assets and liabilities recognised by the authority. The net assets of the authority (assets less liabilities) are matched by the reserves held by the authority. Reserves are reported in two categories. The first category of reserves are usable reserves, i.e. those reserves that the authority may use to provide services, subject to the need to maintain a prudent level of reserves and any statutory limitation on their use (for example the Capital Receipts Reserve that may only be used to fund capital expenditure or repay debt). The second category of reserves is those that the authority is not able to use to provide services (unusable reserves). This category of reserves includes reserves that hold unrealised gains and losses (for example the Revaluation Reserve), where amounts would only become available to provide services if the assets are sold; and reserves that hold timing differences shown in the Movement in Reserves Statement line 'Adjustments between accounting basis and funding basis under regulations'.</w:t>
      </w:r>
    </w:p>
    <w:p w:rsidR="004033B2" w:rsidRPr="004033B2" w:rsidRDefault="004033B2" w:rsidP="00BC6A99">
      <w:pPr>
        <w:jc w:val="both"/>
      </w:pPr>
    </w:p>
    <w:tbl>
      <w:tblPr>
        <w:tblW w:w="10560" w:type="dxa"/>
        <w:tblInd w:w="93" w:type="dxa"/>
        <w:tblLook w:val="04A0"/>
      </w:tblPr>
      <w:tblGrid>
        <w:gridCol w:w="1740"/>
        <w:gridCol w:w="5400"/>
        <w:gridCol w:w="1680"/>
        <w:gridCol w:w="1740"/>
      </w:tblGrid>
      <w:tr w:rsidR="00B24FF2" w:rsidRPr="00B24FF2" w:rsidTr="006B7921">
        <w:trPr>
          <w:trHeight w:val="300"/>
        </w:trPr>
        <w:tc>
          <w:tcPr>
            <w:tcW w:w="1740" w:type="dxa"/>
            <w:shd w:val="clear" w:color="auto" w:fill="auto"/>
            <w:noWrap/>
            <w:vAlign w:val="bottom"/>
            <w:hideMark/>
          </w:tcPr>
          <w:p w:rsidR="00B24FF2" w:rsidRPr="00B24FF2" w:rsidRDefault="00B24FF2" w:rsidP="00B24FF2">
            <w:pPr>
              <w:rPr>
                <w:rFonts w:ascii="Calibri" w:hAnsi="Calibri" w:cs="Times New Roman"/>
                <w:b/>
                <w:bCs/>
                <w:color w:val="000000"/>
                <w:sz w:val="22"/>
                <w:szCs w:val="22"/>
              </w:rPr>
            </w:pPr>
            <w:r w:rsidRPr="00B24FF2">
              <w:rPr>
                <w:rFonts w:ascii="Calibri" w:hAnsi="Calibri" w:cs="Times New Roman"/>
                <w:b/>
                <w:bCs/>
                <w:color w:val="000000"/>
                <w:sz w:val="22"/>
                <w:szCs w:val="22"/>
              </w:rPr>
              <w:t>31st March 2011</w:t>
            </w:r>
          </w:p>
        </w:tc>
        <w:tc>
          <w:tcPr>
            <w:tcW w:w="5400" w:type="dxa"/>
            <w:shd w:val="clear" w:color="auto" w:fill="auto"/>
            <w:noWrap/>
            <w:vAlign w:val="bottom"/>
            <w:hideMark/>
          </w:tcPr>
          <w:p w:rsidR="00B24FF2" w:rsidRPr="00B24FF2" w:rsidRDefault="00B24FF2" w:rsidP="00B24FF2">
            <w:pPr>
              <w:rPr>
                <w:rFonts w:ascii="Calibri" w:hAnsi="Calibri" w:cs="Times New Roman"/>
                <w:b/>
                <w:bCs/>
                <w:color w:val="000000"/>
                <w:sz w:val="22"/>
                <w:szCs w:val="22"/>
              </w:rPr>
            </w:pPr>
            <w:r w:rsidRPr="00B24FF2">
              <w:rPr>
                <w:rFonts w:ascii="Calibri" w:hAnsi="Calibri" w:cs="Times New Roman"/>
                <w:b/>
                <w:bCs/>
                <w:color w:val="000000"/>
                <w:sz w:val="22"/>
                <w:szCs w:val="22"/>
              </w:rPr>
              <w:t> </w:t>
            </w:r>
          </w:p>
        </w:tc>
        <w:tc>
          <w:tcPr>
            <w:tcW w:w="1680" w:type="dxa"/>
            <w:shd w:val="clear" w:color="auto" w:fill="auto"/>
            <w:noWrap/>
            <w:vAlign w:val="bottom"/>
            <w:hideMark/>
          </w:tcPr>
          <w:p w:rsidR="00B24FF2" w:rsidRPr="00B24FF2" w:rsidRDefault="00B24FF2" w:rsidP="00B24FF2">
            <w:pPr>
              <w:rPr>
                <w:rFonts w:ascii="Calibri" w:hAnsi="Calibri" w:cs="Times New Roman"/>
                <w:b/>
                <w:bCs/>
                <w:color w:val="000000"/>
                <w:sz w:val="22"/>
                <w:szCs w:val="22"/>
              </w:rPr>
            </w:pPr>
            <w:r w:rsidRPr="00B24FF2">
              <w:rPr>
                <w:rFonts w:ascii="Calibri" w:hAnsi="Calibri" w:cs="Times New Roman"/>
                <w:b/>
                <w:bCs/>
                <w:color w:val="000000"/>
                <w:sz w:val="22"/>
                <w:szCs w:val="22"/>
              </w:rPr>
              <w:t xml:space="preserve">Notes </w:t>
            </w:r>
          </w:p>
        </w:tc>
        <w:tc>
          <w:tcPr>
            <w:tcW w:w="1740" w:type="dxa"/>
            <w:shd w:val="clear" w:color="auto" w:fill="auto"/>
            <w:noWrap/>
            <w:vAlign w:val="bottom"/>
            <w:hideMark/>
          </w:tcPr>
          <w:p w:rsidR="00B24FF2" w:rsidRPr="00B24FF2" w:rsidRDefault="00B24FF2" w:rsidP="00B24FF2">
            <w:pPr>
              <w:rPr>
                <w:rFonts w:ascii="Calibri" w:hAnsi="Calibri" w:cs="Times New Roman"/>
                <w:b/>
                <w:bCs/>
                <w:color w:val="000000"/>
                <w:sz w:val="22"/>
                <w:szCs w:val="22"/>
              </w:rPr>
            </w:pPr>
            <w:r w:rsidRPr="00B24FF2">
              <w:rPr>
                <w:rFonts w:ascii="Calibri" w:hAnsi="Calibri" w:cs="Times New Roman"/>
                <w:b/>
                <w:bCs/>
                <w:color w:val="000000"/>
                <w:sz w:val="22"/>
                <w:szCs w:val="22"/>
              </w:rPr>
              <w:t>31st March 2012</w:t>
            </w:r>
          </w:p>
        </w:tc>
      </w:tr>
      <w:tr w:rsidR="004033B2" w:rsidRPr="00B24FF2" w:rsidTr="006B7921">
        <w:trPr>
          <w:trHeight w:val="300"/>
        </w:trPr>
        <w:tc>
          <w:tcPr>
            <w:tcW w:w="1740" w:type="dxa"/>
            <w:shd w:val="clear" w:color="auto" w:fill="auto"/>
            <w:noWrap/>
            <w:vAlign w:val="bottom"/>
            <w:hideMark/>
          </w:tcPr>
          <w:p w:rsidR="00687D2A" w:rsidRDefault="004033B2" w:rsidP="00687D2A">
            <w:pPr>
              <w:jc w:val="center"/>
              <w:rPr>
                <w:rFonts w:ascii="Calibri" w:hAnsi="Calibri" w:cs="Times New Roman"/>
                <w:b/>
                <w:bCs/>
                <w:color w:val="000000"/>
                <w:sz w:val="22"/>
                <w:szCs w:val="22"/>
              </w:rPr>
            </w:pPr>
            <w:r>
              <w:rPr>
                <w:rFonts w:ascii="Calibri" w:hAnsi="Calibri" w:cs="Times New Roman"/>
                <w:b/>
                <w:bCs/>
                <w:color w:val="000000"/>
                <w:sz w:val="22"/>
                <w:szCs w:val="22"/>
              </w:rPr>
              <w:t>Restated</w:t>
            </w:r>
          </w:p>
        </w:tc>
        <w:tc>
          <w:tcPr>
            <w:tcW w:w="5400" w:type="dxa"/>
            <w:shd w:val="clear" w:color="auto" w:fill="auto"/>
            <w:noWrap/>
            <w:vAlign w:val="bottom"/>
            <w:hideMark/>
          </w:tcPr>
          <w:p w:rsidR="004033B2" w:rsidRPr="00B24FF2" w:rsidRDefault="004033B2" w:rsidP="00B24FF2">
            <w:pPr>
              <w:rPr>
                <w:rFonts w:ascii="Calibri" w:hAnsi="Calibri" w:cs="Times New Roman"/>
                <w:b/>
                <w:bCs/>
                <w:color w:val="000000"/>
                <w:sz w:val="22"/>
                <w:szCs w:val="22"/>
              </w:rPr>
            </w:pPr>
          </w:p>
        </w:tc>
        <w:tc>
          <w:tcPr>
            <w:tcW w:w="1680" w:type="dxa"/>
            <w:shd w:val="clear" w:color="auto" w:fill="auto"/>
            <w:noWrap/>
            <w:vAlign w:val="bottom"/>
            <w:hideMark/>
          </w:tcPr>
          <w:p w:rsidR="004033B2" w:rsidRPr="00B24FF2" w:rsidRDefault="004033B2" w:rsidP="00B24FF2">
            <w:pPr>
              <w:rPr>
                <w:rFonts w:ascii="Calibri" w:hAnsi="Calibri" w:cs="Times New Roman"/>
                <w:b/>
                <w:bCs/>
                <w:color w:val="000000"/>
                <w:sz w:val="22"/>
                <w:szCs w:val="22"/>
              </w:rPr>
            </w:pPr>
          </w:p>
        </w:tc>
        <w:tc>
          <w:tcPr>
            <w:tcW w:w="1740" w:type="dxa"/>
            <w:shd w:val="clear" w:color="auto" w:fill="auto"/>
            <w:noWrap/>
            <w:vAlign w:val="bottom"/>
            <w:hideMark/>
          </w:tcPr>
          <w:p w:rsidR="004033B2" w:rsidRPr="00B24FF2" w:rsidRDefault="004033B2" w:rsidP="00B24FF2">
            <w:pPr>
              <w:rPr>
                <w:rFonts w:ascii="Calibri" w:hAnsi="Calibri" w:cs="Times New Roman"/>
                <w:b/>
                <w:bCs/>
                <w:color w:val="000000"/>
                <w:sz w:val="22"/>
                <w:szCs w:val="22"/>
              </w:rPr>
            </w:pPr>
          </w:p>
        </w:tc>
      </w:tr>
      <w:tr w:rsidR="00B24FF2" w:rsidRPr="00B24FF2" w:rsidTr="006B7921">
        <w:trPr>
          <w:trHeight w:val="300"/>
        </w:trPr>
        <w:tc>
          <w:tcPr>
            <w:tcW w:w="1740" w:type="dxa"/>
            <w:shd w:val="clear" w:color="auto" w:fill="auto"/>
            <w:noWrap/>
            <w:vAlign w:val="bottom"/>
            <w:hideMark/>
          </w:tcPr>
          <w:p w:rsidR="00B24FF2" w:rsidRPr="00B24FF2" w:rsidRDefault="00B24FF2" w:rsidP="00B24FF2">
            <w:pPr>
              <w:jc w:val="center"/>
              <w:rPr>
                <w:rFonts w:ascii="Calibri" w:hAnsi="Calibri" w:cs="Times New Roman"/>
                <w:b/>
                <w:bCs/>
                <w:color w:val="000000"/>
                <w:sz w:val="22"/>
                <w:szCs w:val="22"/>
              </w:rPr>
            </w:pPr>
            <w:r w:rsidRPr="00B24FF2">
              <w:rPr>
                <w:rFonts w:ascii="Calibri" w:hAnsi="Calibri" w:cs="Times New Roman"/>
                <w:b/>
                <w:bCs/>
                <w:color w:val="000000"/>
                <w:sz w:val="22"/>
                <w:szCs w:val="22"/>
              </w:rPr>
              <w:t>£000</w:t>
            </w:r>
          </w:p>
        </w:tc>
        <w:tc>
          <w:tcPr>
            <w:tcW w:w="5400" w:type="dxa"/>
            <w:shd w:val="clear" w:color="auto" w:fill="auto"/>
            <w:noWrap/>
            <w:vAlign w:val="bottom"/>
            <w:hideMark/>
          </w:tcPr>
          <w:p w:rsidR="00B24FF2" w:rsidRPr="00B24FF2" w:rsidRDefault="00B24FF2" w:rsidP="00B24FF2">
            <w:pPr>
              <w:rPr>
                <w:rFonts w:ascii="Calibri" w:hAnsi="Calibri" w:cs="Times New Roman"/>
                <w:b/>
                <w:bCs/>
                <w:color w:val="000000"/>
                <w:sz w:val="22"/>
                <w:szCs w:val="22"/>
              </w:rPr>
            </w:pPr>
            <w:r w:rsidRPr="00B24FF2">
              <w:rPr>
                <w:rFonts w:ascii="Calibri" w:hAnsi="Calibri" w:cs="Times New Roman"/>
                <w:b/>
                <w:bCs/>
                <w:color w:val="000000"/>
                <w:sz w:val="22"/>
                <w:szCs w:val="22"/>
              </w:rPr>
              <w:t> </w:t>
            </w:r>
          </w:p>
        </w:tc>
        <w:tc>
          <w:tcPr>
            <w:tcW w:w="1680" w:type="dxa"/>
            <w:shd w:val="clear" w:color="auto" w:fill="auto"/>
            <w:noWrap/>
            <w:vAlign w:val="bottom"/>
            <w:hideMark/>
          </w:tcPr>
          <w:p w:rsidR="00B24FF2" w:rsidRPr="00B24FF2" w:rsidRDefault="00B24FF2" w:rsidP="00B24FF2">
            <w:pPr>
              <w:rPr>
                <w:rFonts w:ascii="Calibri" w:hAnsi="Calibri" w:cs="Times New Roman"/>
                <w:b/>
                <w:bCs/>
                <w:color w:val="000000"/>
                <w:sz w:val="22"/>
                <w:szCs w:val="22"/>
              </w:rPr>
            </w:pPr>
            <w:r w:rsidRPr="00B24FF2">
              <w:rPr>
                <w:rFonts w:ascii="Calibri" w:hAnsi="Calibri" w:cs="Times New Roman"/>
                <w:b/>
                <w:bCs/>
                <w:color w:val="000000"/>
                <w:sz w:val="22"/>
                <w:szCs w:val="22"/>
              </w:rPr>
              <w:t> </w:t>
            </w:r>
          </w:p>
        </w:tc>
        <w:tc>
          <w:tcPr>
            <w:tcW w:w="1740" w:type="dxa"/>
            <w:shd w:val="clear" w:color="auto" w:fill="auto"/>
            <w:noWrap/>
            <w:vAlign w:val="bottom"/>
            <w:hideMark/>
          </w:tcPr>
          <w:p w:rsidR="00B24FF2" w:rsidRPr="00B24FF2" w:rsidRDefault="00B24FF2" w:rsidP="00B24FF2">
            <w:pPr>
              <w:jc w:val="center"/>
              <w:rPr>
                <w:rFonts w:ascii="Calibri" w:hAnsi="Calibri" w:cs="Times New Roman"/>
                <w:b/>
                <w:bCs/>
                <w:color w:val="000000"/>
                <w:sz w:val="22"/>
                <w:szCs w:val="22"/>
              </w:rPr>
            </w:pPr>
            <w:r w:rsidRPr="00B24FF2">
              <w:rPr>
                <w:rFonts w:ascii="Calibri" w:hAnsi="Calibri" w:cs="Times New Roman"/>
                <w:b/>
                <w:bCs/>
                <w:color w:val="000000"/>
                <w:sz w:val="22"/>
                <w:szCs w:val="22"/>
              </w:rPr>
              <w:t>£000</w:t>
            </w:r>
          </w:p>
        </w:tc>
      </w:tr>
      <w:tr w:rsidR="00B24FF2" w:rsidRPr="00B24FF2" w:rsidTr="003C39AC">
        <w:trPr>
          <w:trHeight w:val="300"/>
        </w:trPr>
        <w:tc>
          <w:tcPr>
            <w:tcW w:w="1740" w:type="dxa"/>
            <w:shd w:val="clear" w:color="auto" w:fill="auto"/>
            <w:noWrap/>
            <w:vAlign w:val="bottom"/>
            <w:hideMark/>
          </w:tcPr>
          <w:p w:rsidR="00B24FF2" w:rsidRPr="00B24FF2" w:rsidRDefault="00B24FF2" w:rsidP="00E94E25">
            <w:pPr>
              <w:jc w:val="right"/>
              <w:rPr>
                <w:rFonts w:ascii="Calibri" w:hAnsi="Calibri" w:cs="Times New Roman"/>
                <w:color w:val="000000"/>
                <w:sz w:val="22"/>
                <w:szCs w:val="22"/>
              </w:rPr>
            </w:pPr>
            <w:r w:rsidRPr="00B24FF2">
              <w:rPr>
                <w:rFonts w:ascii="Calibri" w:hAnsi="Calibri" w:cs="Times New Roman"/>
                <w:color w:val="000000"/>
                <w:sz w:val="22"/>
                <w:szCs w:val="22"/>
              </w:rPr>
              <w:t>2,4</w:t>
            </w:r>
            <w:r w:rsidR="00E94E25">
              <w:rPr>
                <w:rFonts w:ascii="Calibri" w:hAnsi="Calibri" w:cs="Times New Roman"/>
                <w:color w:val="000000"/>
                <w:sz w:val="22"/>
                <w:szCs w:val="22"/>
              </w:rPr>
              <w:t>27</w:t>
            </w:r>
            <w:r w:rsidRPr="00B24FF2">
              <w:rPr>
                <w:rFonts w:ascii="Calibri" w:hAnsi="Calibri" w:cs="Times New Roman"/>
                <w:color w:val="000000"/>
                <w:sz w:val="22"/>
                <w:szCs w:val="22"/>
              </w:rPr>
              <w:t>,</w:t>
            </w:r>
            <w:r w:rsidR="00E94E25">
              <w:rPr>
                <w:rFonts w:ascii="Calibri" w:hAnsi="Calibri" w:cs="Times New Roman"/>
                <w:color w:val="000000"/>
                <w:sz w:val="22"/>
                <w:szCs w:val="22"/>
              </w:rPr>
              <w:t>754</w:t>
            </w:r>
          </w:p>
        </w:tc>
        <w:tc>
          <w:tcPr>
            <w:tcW w:w="5400" w:type="dxa"/>
            <w:shd w:val="clear" w:color="auto" w:fill="auto"/>
            <w:noWrap/>
            <w:vAlign w:val="bottom"/>
            <w:hideMark/>
          </w:tcPr>
          <w:p w:rsidR="00B24FF2" w:rsidRPr="00B24FF2" w:rsidRDefault="00B24FF2" w:rsidP="00B24FF2">
            <w:pPr>
              <w:rPr>
                <w:rFonts w:ascii="Calibri" w:hAnsi="Calibri" w:cs="Times New Roman"/>
                <w:color w:val="000000"/>
                <w:sz w:val="22"/>
                <w:szCs w:val="22"/>
              </w:rPr>
            </w:pPr>
            <w:r w:rsidRPr="00B24FF2">
              <w:rPr>
                <w:rFonts w:ascii="Calibri" w:hAnsi="Calibri" w:cs="Times New Roman"/>
                <w:color w:val="000000"/>
                <w:sz w:val="22"/>
                <w:szCs w:val="22"/>
              </w:rPr>
              <w:t xml:space="preserve">Property Plant and Equipment </w:t>
            </w:r>
          </w:p>
        </w:tc>
        <w:tc>
          <w:tcPr>
            <w:tcW w:w="1680" w:type="dxa"/>
            <w:shd w:val="clear" w:color="auto" w:fill="auto"/>
            <w:noWrap/>
            <w:vAlign w:val="bottom"/>
            <w:hideMark/>
          </w:tcPr>
          <w:p w:rsidR="00B24FF2" w:rsidRPr="00B24FF2" w:rsidRDefault="002D74DC" w:rsidP="003C39AC">
            <w:pPr>
              <w:jc w:val="center"/>
              <w:rPr>
                <w:rFonts w:ascii="Calibri" w:hAnsi="Calibri" w:cs="Times New Roman"/>
                <w:color w:val="000000"/>
                <w:sz w:val="22"/>
                <w:szCs w:val="22"/>
              </w:rPr>
            </w:pPr>
            <w:r>
              <w:rPr>
                <w:rFonts w:ascii="Calibri" w:hAnsi="Calibri" w:cs="Times New Roman"/>
                <w:color w:val="000000"/>
                <w:sz w:val="22"/>
                <w:szCs w:val="22"/>
              </w:rPr>
              <w:t>3</w:t>
            </w:r>
            <w:r w:rsidR="000603DE">
              <w:rPr>
                <w:rFonts w:ascii="Calibri" w:hAnsi="Calibri" w:cs="Times New Roman"/>
                <w:color w:val="000000"/>
                <w:sz w:val="22"/>
                <w:szCs w:val="22"/>
              </w:rPr>
              <w:t>5</w:t>
            </w:r>
          </w:p>
        </w:tc>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2,647,69</w:t>
            </w:r>
            <w:r w:rsidR="003707DC">
              <w:rPr>
                <w:rFonts w:ascii="Calibri" w:hAnsi="Calibri" w:cs="Times New Roman"/>
                <w:color w:val="000000"/>
                <w:sz w:val="22"/>
                <w:szCs w:val="22"/>
              </w:rPr>
              <w:t>8</w:t>
            </w:r>
          </w:p>
        </w:tc>
      </w:tr>
      <w:tr w:rsidR="00B24FF2" w:rsidRPr="00B24FF2" w:rsidTr="003C39AC">
        <w:trPr>
          <w:trHeight w:val="300"/>
        </w:trPr>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28,400</w:t>
            </w:r>
          </w:p>
        </w:tc>
        <w:tc>
          <w:tcPr>
            <w:tcW w:w="5400" w:type="dxa"/>
            <w:shd w:val="clear" w:color="auto" w:fill="auto"/>
            <w:noWrap/>
            <w:vAlign w:val="bottom"/>
            <w:hideMark/>
          </w:tcPr>
          <w:p w:rsidR="00B24FF2" w:rsidRPr="00B24FF2" w:rsidRDefault="00B24FF2" w:rsidP="00B24FF2">
            <w:pPr>
              <w:rPr>
                <w:rFonts w:ascii="Calibri" w:hAnsi="Calibri" w:cs="Times New Roman"/>
                <w:color w:val="000000"/>
                <w:sz w:val="22"/>
                <w:szCs w:val="22"/>
              </w:rPr>
            </w:pPr>
            <w:r w:rsidRPr="00B24FF2">
              <w:rPr>
                <w:rFonts w:ascii="Calibri" w:hAnsi="Calibri" w:cs="Times New Roman"/>
                <w:color w:val="000000"/>
                <w:sz w:val="22"/>
                <w:szCs w:val="22"/>
              </w:rPr>
              <w:t xml:space="preserve">Heritage Assets </w:t>
            </w:r>
          </w:p>
        </w:tc>
        <w:tc>
          <w:tcPr>
            <w:tcW w:w="1680" w:type="dxa"/>
            <w:shd w:val="clear" w:color="auto" w:fill="auto"/>
            <w:noWrap/>
            <w:vAlign w:val="bottom"/>
            <w:hideMark/>
          </w:tcPr>
          <w:p w:rsidR="00B24FF2" w:rsidRPr="00B24FF2" w:rsidRDefault="002D74DC" w:rsidP="003C39AC">
            <w:pPr>
              <w:jc w:val="center"/>
              <w:rPr>
                <w:rFonts w:ascii="Calibri" w:hAnsi="Calibri" w:cs="Times New Roman"/>
                <w:color w:val="000000"/>
                <w:sz w:val="22"/>
                <w:szCs w:val="22"/>
              </w:rPr>
            </w:pPr>
            <w:r>
              <w:rPr>
                <w:rFonts w:ascii="Calibri" w:hAnsi="Calibri" w:cs="Times New Roman"/>
                <w:color w:val="000000"/>
                <w:sz w:val="22"/>
                <w:szCs w:val="22"/>
              </w:rPr>
              <w:t>3</w:t>
            </w:r>
            <w:r w:rsidR="000603DE">
              <w:rPr>
                <w:rFonts w:ascii="Calibri" w:hAnsi="Calibri" w:cs="Times New Roman"/>
                <w:color w:val="000000"/>
                <w:sz w:val="22"/>
                <w:szCs w:val="22"/>
              </w:rPr>
              <w:t>4</w:t>
            </w:r>
          </w:p>
        </w:tc>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28,400</w:t>
            </w:r>
          </w:p>
        </w:tc>
      </w:tr>
      <w:tr w:rsidR="00B24FF2" w:rsidRPr="00B24FF2" w:rsidTr="003C39AC">
        <w:trPr>
          <w:trHeight w:val="300"/>
        </w:trPr>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5,451</w:t>
            </w:r>
          </w:p>
        </w:tc>
        <w:tc>
          <w:tcPr>
            <w:tcW w:w="5400" w:type="dxa"/>
            <w:shd w:val="clear" w:color="auto" w:fill="auto"/>
            <w:noWrap/>
            <w:vAlign w:val="bottom"/>
            <w:hideMark/>
          </w:tcPr>
          <w:p w:rsidR="00B24FF2" w:rsidRPr="00B24FF2" w:rsidRDefault="00B24FF2" w:rsidP="00B24FF2">
            <w:pPr>
              <w:rPr>
                <w:rFonts w:ascii="Calibri" w:hAnsi="Calibri" w:cs="Times New Roman"/>
                <w:color w:val="000000"/>
                <w:sz w:val="22"/>
                <w:szCs w:val="22"/>
              </w:rPr>
            </w:pPr>
            <w:r w:rsidRPr="00B24FF2">
              <w:rPr>
                <w:rFonts w:ascii="Calibri" w:hAnsi="Calibri" w:cs="Times New Roman"/>
                <w:color w:val="000000"/>
                <w:sz w:val="22"/>
                <w:szCs w:val="22"/>
              </w:rPr>
              <w:t>Investment Property</w:t>
            </w:r>
          </w:p>
        </w:tc>
        <w:tc>
          <w:tcPr>
            <w:tcW w:w="1680" w:type="dxa"/>
            <w:shd w:val="clear" w:color="auto" w:fill="auto"/>
            <w:noWrap/>
            <w:vAlign w:val="bottom"/>
            <w:hideMark/>
          </w:tcPr>
          <w:p w:rsidR="00B24FF2" w:rsidRPr="00B24FF2" w:rsidRDefault="002D74DC" w:rsidP="003C39AC">
            <w:pPr>
              <w:jc w:val="center"/>
              <w:rPr>
                <w:rFonts w:ascii="Calibri" w:hAnsi="Calibri" w:cs="Times New Roman"/>
                <w:color w:val="000000"/>
                <w:sz w:val="22"/>
                <w:szCs w:val="22"/>
              </w:rPr>
            </w:pPr>
            <w:r>
              <w:rPr>
                <w:rFonts w:ascii="Calibri" w:hAnsi="Calibri" w:cs="Times New Roman"/>
                <w:color w:val="000000"/>
                <w:sz w:val="22"/>
                <w:szCs w:val="22"/>
              </w:rPr>
              <w:t>3</w:t>
            </w:r>
            <w:r w:rsidR="000603DE">
              <w:rPr>
                <w:rFonts w:ascii="Calibri" w:hAnsi="Calibri" w:cs="Times New Roman"/>
                <w:color w:val="000000"/>
                <w:sz w:val="22"/>
                <w:szCs w:val="22"/>
              </w:rPr>
              <w:t>6</w:t>
            </w:r>
          </w:p>
        </w:tc>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5,482</w:t>
            </w:r>
          </w:p>
        </w:tc>
      </w:tr>
      <w:tr w:rsidR="00B24FF2" w:rsidRPr="00B24FF2" w:rsidTr="003C39AC">
        <w:trPr>
          <w:trHeight w:val="300"/>
        </w:trPr>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1,613</w:t>
            </w:r>
          </w:p>
        </w:tc>
        <w:tc>
          <w:tcPr>
            <w:tcW w:w="5400" w:type="dxa"/>
            <w:shd w:val="clear" w:color="auto" w:fill="auto"/>
            <w:noWrap/>
            <w:vAlign w:val="bottom"/>
            <w:hideMark/>
          </w:tcPr>
          <w:p w:rsidR="00B24FF2" w:rsidRPr="00B24FF2" w:rsidRDefault="00B24FF2" w:rsidP="00B24FF2">
            <w:pPr>
              <w:rPr>
                <w:rFonts w:ascii="Calibri" w:hAnsi="Calibri" w:cs="Times New Roman"/>
                <w:color w:val="000000"/>
                <w:sz w:val="22"/>
                <w:szCs w:val="22"/>
              </w:rPr>
            </w:pPr>
            <w:r w:rsidRPr="00B24FF2">
              <w:rPr>
                <w:rFonts w:ascii="Calibri" w:hAnsi="Calibri" w:cs="Times New Roman"/>
                <w:color w:val="000000"/>
                <w:sz w:val="22"/>
                <w:szCs w:val="22"/>
              </w:rPr>
              <w:t xml:space="preserve">Intangible Fixed Assets </w:t>
            </w:r>
          </w:p>
        </w:tc>
        <w:tc>
          <w:tcPr>
            <w:tcW w:w="1680" w:type="dxa"/>
            <w:shd w:val="clear" w:color="auto" w:fill="auto"/>
            <w:noWrap/>
            <w:vAlign w:val="bottom"/>
            <w:hideMark/>
          </w:tcPr>
          <w:p w:rsidR="00B24FF2" w:rsidRPr="00B24FF2" w:rsidRDefault="002D74DC" w:rsidP="003C39AC">
            <w:pPr>
              <w:jc w:val="center"/>
              <w:rPr>
                <w:rFonts w:ascii="Calibri" w:hAnsi="Calibri" w:cs="Times New Roman"/>
                <w:color w:val="000000"/>
                <w:sz w:val="22"/>
                <w:szCs w:val="22"/>
              </w:rPr>
            </w:pPr>
            <w:r>
              <w:rPr>
                <w:rFonts w:ascii="Calibri" w:hAnsi="Calibri" w:cs="Times New Roman"/>
                <w:color w:val="000000"/>
                <w:sz w:val="22"/>
                <w:szCs w:val="22"/>
              </w:rPr>
              <w:t>3</w:t>
            </w:r>
            <w:r w:rsidR="000603DE">
              <w:rPr>
                <w:rFonts w:ascii="Calibri" w:hAnsi="Calibri" w:cs="Times New Roman"/>
                <w:color w:val="000000"/>
                <w:sz w:val="22"/>
                <w:szCs w:val="22"/>
              </w:rPr>
              <w:t>7</w:t>
            </w:r>
          </w:p>
        </w:tc>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11,854</w:t>
            </w:r>
          </w:p>
        </w:tc>
      </w:tr>
      <w:tr w:rsidR="00B24FF2" w:rsidRPr="00B24FF2" w:rsidTr="003C39AC">
        <w:trPr>
          <w:trHeight w:val="300"/>
        </w:trPr>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276,088</w:t>
            </w:r>
          </w:p>
        </w:tc>
        <w:tc>
          <w:tcPr>
            <w:tcW w:w="5400" w:type="dxa"/>
            <w:shd w:val="clear" w:color="auto" w:fill="auto"/>
            <w:noWrap/>
            <w:vAlign w:val="bottom"/>
            <w:hideMark/>
          </w:tcPr>
          <w:p w:rsidR="00B24FF2" w:rsidRPr="00B24FF2" w:rsidRDefault="00B24FF2" w:rsidP="00B24FF2">
            <w:pPr>
              <w:rPr>
                <w:rFonts w:ascii="Calibri" w:hAnsi="Calibri" w:cs="Times New Roman"/>
                <w:color w:val="000000"/>
                <w:sz w:val="22"/>
                <w:szCs w:val="22"/>
              </w:rPr>
            </w:pPr>
            <w:r w:rsidRPr="00B24FF2">
              <w:rPr>
                <w:rFonts w:ascii="Calibri" w:hAnsi="Calibri" w:cs="Times New Roman"/>
                <w:color w:val="000000"/>
                <w:sz w:val="22"/>
                <w:szCs w:val="22"/>
              </w:rPr>
              <w:t xml:space="preserve">Long Term Investments </w:t>
            </w:r>
          </w:p>
        </w:tc>
        <w:tc>
          <w:tcPr>
            <w:tcW w:w="1680" w:type="dxa"/>
            <w:shd w:val="clear" w:color="auto" w:fill="auto"/>
            <w:noWrap/>
            <w:vAlign w:val="bottom"/>
            <w:hideMark/>
          </w:tcPr>
          <w:p w:rsidR="00B24FF2" w:rsidRPr="00B24FF2" w:rsidRDefault="002D74DC" w:rsidP="003C39AC">
            <w:pPr>
              <w:jc w:val="center"/>
              <w:rPr>
                <w:rFonts w:ascii="Calibri" w:hAnsi="Calibri" w:cs="Times New Roman"/>
                <w:color w:val="000000"/>
                <w:sz w:val="22"/>
                <w:szCs w:val="22"/>
              </w:rPr>
            </w:pPr>
            <w:r>
              <w:rPr>
                <w:rFonts w:ascii="Calibri" w:hAnsi="Calibri" w:cs="Times New Roman"/>
                <w:color w:val="000000"/>
                <w:sz w:val="22"/>
                <w:szCs w:val="22"/>
              </w:rPr>
              <w:t>3</w:t>
            </w:r>
            <w:r w:rsidR="000603DE">
              <w:rPr>
                <w:rFonts w:ascii="Calibri" w:hAnsi="Calibri" w:cs="Times New Roman"/>
                <w:color w:val="000000"/>
                <w:sz w:val="22"/>
                <w:szCs w:val="22"/>
              </w:rPr>
              <w:t>8</w:t>
            </w:r>
          </w:p>
        </w:tc>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235,679</w:t>
            </w:r>
          </w:p>
        </w:tc>
      </w:tr>
      <w:tr w:rsidR="00B24FF2" w:rsidRPr="00B24FF2" w:rsidTr="003C39AC">
        <w:trPr>
          <w:trHeight w:val="300"/>
        </w:trPr>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47,900</w:t>
            </w:r>
          </w:p>
        </w:tc>
        <w:tc>
          <w:tcPr>
            <w:tcW w:w="5400" w:type="dxa"/>
            <w:shd w:val="clear" w:color="auto" w:fill="auto"/>
            <w:noWrap/>
            <w:vAlign w:val="bottom"/>
            <w:hideMark/>
          </w:tcPr>
          <w:p w:rsidR="00B24FF2" w:rsidRPr="00B24FF2" w:rsidRDefault="00837EDA" w:rsidP="00B24FF2">
            <w:pPr>
              <w:rPr>
                <w:rFonts w:ascii="Calibri" w:hAnsi="Calibri" w:cs="Times New Roman"/>
                <w:color w:val="000000"/>
                <w:sz w:val="22"/>
                <w:szCs w:val="22"/>
              </w:rPr>
            </w:pPr>
            <w:r>
              <w:rPr>
                <w:rFonts w:ascii="Calibri" w:hAnsi="Calibri" w:cs="Times New Roman"/>
                <w:color w:val="000000"/>
                <w:sz w:val="22"/>
                <w:szCs w:val="22"/>
              </w:rPr>
              <w:t>Long Term Debtors</w:t>
            </w:r>
          </w:p>
        </w:tc>
        <w:tc>
          <w:tcPr>
            <w:tcW w:w="1680" w:type="dxa"/>
            <w:shd w:val="clear" w:color="auto" w:fill="auto"/>
            <w:noWrap/>
            <w:vAlign w:val="bottom"/>
            <w:hideMark/>
          </w:tcPr>
          <w:p w:rsidR="00B24FF2" w:rsidRPr="00B24FF2" w:rsidRDefault="002D74DC" w:rsidP="003C39AC">
            <w:pPr>
              <w:jc w:val="center"/>
              <w:rPr>
                <w:rFonts w:ascii="Calibri" w:hAnsi="Calibri" w:cs="Times New Roman"/>
                <w:color w:val="000000"/>
                <w:sz w:val="22"/>
                <w:szCs w:val="22"/>
              </w:rPr>
            </w:pPr>
            <w:r>
              <w:rPr>
                <w:rFonts w:ascii="Calibri" w:hAnsi="Calibri" w:cs="Times New Roman"/>
                <w:color w:val="000000"/>
                <w:sz w:val="22"/>
                <w:szCs w:val="22"/>
              </w:rPr>
              <w:t>5</w:t>
            </w:r>
            <w:r w:rsidR="000603DE">
              <w:rPr>
                <w:rFonts w:ascii="Calibri" w:hAnsi="Calibri" w:cs="Times New Roman"/>
                <w:color w:val="000000"/>
                <w:sz w:val="22"/>
                <w:szCs w:val="22"/>
              </w:rPr>
              <w:t>5</w:t>
            </w:r>
          </w:p>
        </w:tc>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45,227</w:t>
            </w:r>
          </w:p>
        </w:tc>
      </w:tr>
      <w:tr w:rsidR="00B24FF2" w:rsidRPr="00B24FF2" w:rsidTr="003C39AC">
        <w:trPr>
          <w:trHeight w:val="315"/>
        </w:trPr>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3,263</w:t>
            </w:r>
          </w:p>
        </w:tc>
        <w:tc>
          <w:tcPr>
            <w:tcW w:w="5400" w:type="dxa"/>
            <w:shd w:val="clear" w:color="auto" w:fill="auto"/>
            <w:noWrap/>
            <w:vAlign w:val="bottom"/>
            <w:hideMark/>
          </w:tcPr>
          <w:p w:rsidR="00B24FF2" w:rsidRPr="00B24FF2" w:rsidRDefault="00837EDA" w:rsidP="00B24FF2">
            <w:pPr>
              <w:rPr>
                <w:rFonts w:ascii="Calibri" w:hAnsi="Calibri" w:cs="Times New Roman"/>
                <w:color w:val="000000"/>
                <w:sz w:val="22"/>
                <w:szCs w:val="22"/>
              </w:rPr>
            </w:pPr>
            <w:r w:rsidRPr="00B24FF2">
              <w:rPr>
                <w:rFonts w:ascii="Calibri" w:hAnsi="Calibri" w:cs="Times New Roman"/>
                <w:color w:val="000000"/>
                <w:sz w:val="22"/>
                <w:szCs w:val="22"/>
              </w:rPr>
              <w:t>Deferred</w:t>
            </w:r>
            <w:r w:rsidR="00B24FF2" w:rsidRPr="00B24FF2">
              <w:rPr>
                <w:rFonts w:ascii="Calibri" w:hAnsi="Calibri" w:cs="Times New Roman"/>
                <w:color w:val="000000"/>
                <w:sz w:val="22"/>
                <w:szCs w:val="22"/>
              </w:rPr>
              <w:t xml:space="preserve"> Consideration </w:t>
            </w:r>
          </w:p>
        </w:tc>
        <w:tc>
          <w:tcPr>
            <w:tcW w:w="1680" w:type="dxa"/>
            <w:shd w:val="clear" w:color="auto" w:fill="auto"/>
            <w:noWrap/>
            <w:vAlign w:val="bottom"/>
            <w:hideMark/>
          </w:tcPr>
          <w:p w:rsidR="00B24FF2" w:rsidRPr="00B24FF2" w:rsidRDefault="002D74DC" w:rsidP="003C39AC">
            <w:pPr>
              <w:jc w:val="center"/>
              <w:rPr>
                <w:rFonts w:ascii="Calibri" w:hAnsi="Calibri" w:cs="Times New Roman"/>
                <w:color w:val="000000"/>
                <w:sz w:val="22"/>
                <w:szCs w:val="22"/>
              </w:rPr>
            </w:pPr>
            <w:r>
              <w:rPr>
                <w:rFonts w:ascii="Calibri" w:hAnsi="Calibri" w:cs="Times New Roman"/>
                <w:color w:val="000000"/>
                <w:sz w:val="22"/>
                <w:szCs w:val="22"/>
              </w:rPr>
              <w:t>5</w:t>
            </w:r>
            <w:r w:rsidR="000603DE">
              <w:rPr>
                <w:rFonts w:ascii="Calibri" w:hAnsi="Calibri" w:cs="Times New Roman"/>
                <w:color w:val="000000"/>
                <w:sz w:val="22"/>
                <w:szCs w:val="22"/>
              </w:rPr>
              <w:t>6</w:t>
            </w:r>
          </w:p>
        </w:tc>
        <w:tc>
          <w:tcPr>
            <w:tcW w:w="1740" w:type="dxa"/>
            <w:shd w:val="clear" w:color="auto" w:fill="auto"/>
            <w:noWrap/>
            <w:vAlign w:val="bottom"/>
            <w:hideMark/>
          </w:tcPr>
          <w:p w:rsidR="00B24FF2" w:rsidRPr="00B24FF2" w:rsidRDefault="00C63351" w:rsidP="00B24FF2">
            <w:pPr>
              <w:jc w:val="right"/>
              <w:rPr>
                <w:rFonts w:ascii="Calibri" w:hAnsi="Calibri" w:cs="Times New Roman"/>
                <w:color w:val="000000"/>
                <w:sz w:val="22"/>
                <w:szCs w:val="22"/>
              </w:rPr>
            </w:pPr>
            <w:r>
              <w:rPr>
                <w:rFonts w:ascii="Calibri" w:hAnsi="Calibri" w:cs="Times New Roman"/>
                <w:color w:val="000000"/>
                <w:sz w:val="22"/>
                <w:szCs w:val="22"/>
              </w:rPr>
              <w:t>-</w:t>
            </w:r>
          </w:p>
        </w:tc>
      </w:tr>
      <w:tr w:rsidR="00B24FF2" w:rsidRPr="00B24FF2" w:rsidTr="003C39AC">
        <w:trPr>
          <w:trHeight w:val="315"/>
        </w:trPr>
        <w:tc>
          <w:tcPr>
            <w:tcW w:w="1740" w:type="dxa"/>
            <w:shd w:val="clear" w:color="auto" w:fill="auto"/>
            <w:noWrap/>
            <w:vAlign w:val="bottom"/>
            <w:hideMark/>
          </w:tcPr>
          <w:p w:rsidR="00B24FF2" w:rsidRPr="00B24FF2" w:rsidRDefault="00B24FF2" w:rsidP="00E94E25">
            <w:pPr>
              <w:jc w:val="right"/>
              <w:rPr>
                <w:rFonts w:ascii="Calibri" w:hAnsi="Calibri" w:cs="Times New Roman"/>
                <w:b/>
                <w:bCs/>
                <w:color w:val="000000"/>
                <w:sz w:val="22"/>
                <w:szCs w:val="22"/>
              </w:rPr>
            </w:pPr>
            <w:r w:rsidRPr="00B24FF2">
              <w:rPr>
                <w:rFonts w:ascii="Calibri" w:hAnsi="Calibri" w:cs="Times New Roman"/>
                <w:b/>
                <w:bCs/>
                <w:color w:val="000000"/>
                <w:sz w:val="22"/>
                <w:szCs w:val="22"/>
              </w:rPr>
              <w:t>2,</w:t>
            </w:r>
            <w:r w:rsidR="00E94E25">
              <w:rPr>
                <w:rFonts w:ascii="Calibri" w:hAnsi="Calibri" w:cs="Times New Roman"/>
                <w:b/>
                <w:bCs/>
                <w:color w:val="000000"/>
                <w:sz w:val="22"/>
                <w:szCs w:val="22"/>
              </w:rPr>
              <w:t>790</w:t>
            </w:r>
            <w:r w:rsidRPr="00B24FF2">
              <w:rPr>
                <w:rFonts w:ascii="Calibri" w:hAnsi="Calibri" w:cs="Times New Roman"/>
                <w:b/>
                <w:bCs/>
                <w:color w:val="000000"/>
                <w:sz w:val="22"/>
                <w:szCs w:val="22"/>
              </w:rPr>
              <w:t>,</w:t>
            </w:r>
            <w:r w:rsidR="00E94E25">
              <w:rPr>
                <w:rFonts w:ascii="Calibri" w:hAnsi="Calibri" w:cs="Times New Roman"/>
                <w:b/>
                <w:bCs/>
                <w:color w:val="000000"/>
                <w:sz w:val="22"/>
                <w:szCs w:val="22"/>
              </w:rPr>
              <w:t>469</w:t>
            </w:r>
          </w:p>
        </w:tc>
        <w:tc>
          <w:tcPr>
            <w:tcW w:w="5400" w:type="dxa"/>
            <w:shd w:val="clear" w:color="auto" w:fill="auto"/>
            <w:noWrap/>
            <w:vAlign w:val="bottom"/>
            <w:hideMark/>
          </w:tcPr>
          <w:p w:rsidR="00B24FF2" w:rsidRPr="00B24FF2" w:rsidRDefault="00B24FF2" w:rsidP="00B24FF2">
            <w:pPr>
              <w:rPr>
                <w:rFonts w:ascii="Calibri" w:hAnsi="Calibri" w:cs="Times New Roman"/>
                <w:b/>
                <w:bCs/>
                <w:color w:val="000000"/>
                <w:sz w:val="22"/>
                <w:szCs w:val="22"/>
              </w:rPr>
            </w:pPr>
            <w:r w:rsidRPr="00B24FF2">
              <w:rPr>
                <w:rFonts w:ascii="Calibri" w:hAnsi="Calibri" w:cs="Times New Roman"/>
                <w:b/>
                <w:bCs/>
                <w:color w:val="000000"/>
                <w:sz w:val="22"/>
                <w:szCs w:val="22"/>
              </w:rPr>
              <w:t>Long Term Assets</w:t>
            </w:r>
          </w:p>
        </w:tc>
        <w:tc>
          <w:tcPr>
            <w:tcW w:w="1680" w:type="dxa"/>
            <w:shd w:val="clear" w:color="auto" w:fill="auto"/>
            <w:noWrap/>
            <w:vAlign w:val="bottom"/>
            <w:hideMark/>
          </w:tcPr>
          <w:p w:rsidR="00B24FF2" w:rsidRPr="00B24FF2" w:rsidRDefault="00B24FF2" w:rsidP="003C39AC">
            <w:pPr>
              <w:jc w:val="center"/>
              <w:rPr>
                <w:rFonts w:ascii="Calibri" w:hAnsi="Calibri" w:cs="Times New Roman"/>
                <w:b/>
                <w:bCs/>
                <w:color w:val="000000"/>
                <w:sz w:val="22"/>
                <w:szCs w:val="22"/>
              </w:rPr>
            </w:pPr>
          </w:p>
        </w:tc>
        <w:tc>
          <w:tcPr>
            <w:tcW w:w="1740" w:type="dxa"/>
            <w:shd w:val="clear" w:color="auto" w:fill="auto"/>
            <w:noWrap/>
            <w:vAlign w:val="bottom"/>
            <w:hideMark/>
          </w:tcPr>
          <w:p w:rsidR="00B24FF2" w:rsidRPr="00B24FF2" w:rsidRDefault="00B24FF2" w:rsidP="00B24FF2">
            <w:pPr>
              <w:jc w:val="right"/>
              <w:rPr>
                <w:rFonts w:ascii="Calibri" w:hAnsi="Calibri" w:cs="Times New Roman"/>
                <w:b/>
                <w:bCs/>
                <w:color w:val="000000"/>
                <w:sz w:val="22"/>
                <w:szCs w:val="22"/>
              </w:rPr>
            </w:pPr>
            <w:r w:rsidRPr="00B24FF2">
              <w:rPr>
                <w:rFonts w:ascii="Calibri" w:hAnsi="Calibri" w:cs="Times New Roman"/>
                <w:b/>
                <w:bCs/>
                <w:color w:val="000000"/>
                <w:sz w:val="22"/>
                <w:szCs w:val="22"/>
              </w:rPr>
              <w:t>2,974,340</w:t>
            </w:r>
          </w:p>
        </w:tc>
      </w:tr>
      <w:tr w:rsidR="00B24FF2" w:rsidRPr="00B24FF2" w:rsidTr="003C39AC">
        <w:trPr>
          <w:trHeight w:val="300"/>
        </w:trPr>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w:t>
            </w:r>
          </w:p>
        </w:tc>
        <w:tc>
          <w:tcPr>
            <w:tcW w:w="5400" w:type="dxa"/>
            <w:shd w:val="clear" w:color="auto" w:fill="auto"/>
            <w:noWrap/>
            <w:vAlign w:val="bottom"/>
            <w:hideMark/>
          </w:tcPr>
          <w:p w:rsidR="00B24FF2" w:rsidRPr="00B24FF2" w:rsidRDefault="00B24FF2" w:rsidP="00B24FF2">
            <w:pPr>
              <w:rPr>
                <w:rFonts w:ascii="Calibri" w:hAnsi="Calibri" w:cs="Times New Roman"/>
                <w:color w:val="000000"/>
                <w:sz w:val="22"/>
                <w:szCs w:val="22"/>
              </w:rPr>
            </w:pPr>
            <w:r w:rsidRPr="00B24FF2">
              <w:rPr>
                <w:rFonts w:ascii="Calibri" w:hAnsi="Calibri" w:cs="Times New Roman"/>
                <w:color w:val="000000"/>
                <w:sz w:val="22"/>
                <w:szCs w:val="22"/>
              </w:rPr>
              <w:t> </w:t>
            </w:r>
          </w:p>
        </w:tc>
        <w:tc>
          <w:tcPr>
            <w:tcW w:w="1680" w:type="dxa"/>
            <w:shd w:val="clear" w:color="auto" w:fill="auto"/>
            <w:noWrap/>
            <w:vAlign w:val="bottom"/>
            <w:hideMark/>
          </w:tcPr>
          <w:p w:rsidR="00B24FF2" w:rsidRPr="00B24FF2" w:rsidRDefault="00B24FF2" w:rsidP="003C39AC">
            <w:pPr>
              <w:jc w:val="center"/>
              <w:rPr>
                <w:rFonts w:ascii="Calibri" w:hAnsi="Calibri" w:cs="Times New Roman"/>
                <w:color w:val="000000"/>
                <w:sz w:val="22"/>
                <w:szCs w:val="22"/>
              </w:rPr>
            </w:pPr>
          </w:p>
        </w:tc>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w:t>
            </w:r>
          </w:p>
        </w:tc>
      </w:tr>
      <w:tr w:rsidR="00B24FF2" w:rsidRPr="00B24FF2" w:rsidTr="003C39AC">
        <w:trPr>
          <w:trHeight w:val="300"/>
        </w:trPr>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169,371</w:t>
            </w:r>
          </w:p>
        </w:tc>
        <w:tc>
          <w:tcPr>
            <w:tcW w:w="5400" w:type="dxa"/>
            <w:shd w:val="clear" w:color="auto" w:fill="auto"/>
            <w:noWrap/>
            <w:vAlign w:val="bottom"/>
            <w:hideMark/>
          </w:tcPr>
          <w:p w:rsidR="00B24FF2" w:rsidRPr="00B24FF2" w:rsidRDefault="00B24FF2" w:rsidP="00B24FF2">
            <w:pPr>
              <w:rPr>
                <w:rFonts w:ascii="Calibri" w:hAnsi="Calibri" w:cs="Times New Roman"/>
                <w:color w:val="000000"/>
                <w:sz w:val="22"/>
                <w:szCs w:val="22"/>
              </w:rPr>
            </w:pPr>
            <w:r w:rsidRPr="00B24FF2">
              <w:rPr>
                <w:rFonts w:ascii="Calibri" w:hAnsi="Calibri" w:cs="Times New Roman"/>
                <w:color w:val="000000"/>
                <w:sz w:val="22"/>
                <w:szCs w:val="22"/>
              </w:rPr>
              <w:t xml:space="preserve">Short Term Investments </w:t>
            </w:r>
          </w:p>
        </w:tc>
        <w:tc>
          <w:tcPr>
            <w:tcW w:w="1680" w:type="dxa"/>
            <w:shd w:val="clear" w:color="auto" w:fill="auto"/>
            <w:noWrap/>
            <w:vAlign w:val="bottom"/>
            <w:hideMark/>
          </w:tcPr>
          <w:p w:rsidR="00B24FF2" w:rsidRPr="00B24FF2" w:rsidRDefault="002D74DC" w:rsidP="003C39AC">
            <w:pPr>
              <w:jc w:val="center"/>
              <w:rPr>
                <w:rFonts w:ascii="Calibri" w:hAnsi="Calibri" w:cs="Times New Roman"/>
                <w:color w:val="000000"/>
                <w:sz w:val="22"/>
                <w:szCs w:val="22"/>
              </w:rPr>
            </w:pPr>
            <w:r>
              <w:rPr>
                <w:rFonts w:ascii="Calibri" w:hAnsi="Calibri" w:cs="Times New Roman"/>
                <w:color w:val="000000"/>
                <w:sz w:val="22"/>
                <w:szCs w:val="22"/>
              </w:rPr>
              <w:t>3</w:t>
            </w:r>
            <w:r w:rsidR="000603DE">
              <w:rPr>
                <w:rFonts w:ascii="Calibri" w:hAnsi="Calibri" w:cs="Times New Roman"/>
                <w:color w:val="000000"/>
                <w:sz w:val="22"/>
                <w:szCs w:val="22"/>
              </w:rPr>
              <w:t>8</w:t>
            </w:r>
          </w:p>
        </w:tc>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328,552</w:t>
            </w:r>
          </w:p>
        </w:tc>
      </w:tr>
      <w:tr w:rsidR="00B24FF2" w:rsidRPr="00B24FF2" w:rsidTr="003C39AC">
        <w:trPr>
          <w:trHeight w:val="300"/>
        </w:trPr>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3,565</w:t>
            </w:r>
          </w:p>
        </w:tc>
        <w:tc>
          <w:tcPr>
            <w:tcW w:w="5400" w:type="dxa"/>
            <w:shd w:val="clear" w:color="auto" w:fill="auto"/>
            <w:noWrap/>
            <w:vAlign w:val="bottom"/>
            <w:hideMark/>
          </w:tcPr>
          <w:p w:rsidR="00B24FF2" w:rsidRPr="00B24FF2" w:rsidRDefault="00B24FF2" w:rsidP="00B24FF2">
            <w:pPr>
              <w:rPr>
                <w:rFonts w:ascii="Calibri" w:hAnsi="Calibri" w:cs="Times New Roman"/>
                <w:color w:val="000000"/>
                <w:sz w:val="22"/>
                <w:szCs w:val="22"/>
              </w:rPr>
            </w:pPr>
            <w:r w:rsidRPr="00B24FF2">
              <w:rPr>
                <w:rFonts w:ascii="Calibri" w:hAnsi="Calibri" w:cs="Times New Roman"/>
                <w:color w:val="000000"/>
                <w:sz w:val="22"/>
                <w:szCs w:val="22"/>
              </w:rPr>
              <w:t>Inventories (Stocks and WIP)</w:t>
            </w:r>
          </w:p>
        </w:tc>
        <w:tc>
          <w:tcPr>
            <w:tcW w:w="1680" w:type="dxa"/>
            <w:shd w:val="clear" w:color="auto" w:fill="auto"/>
            <w:noWrap/>
            <w:vAlign w:val="bottom"/>
            <w:hideMark/>
          </w:tcPr>
          <w:p w:rsidR="00B24FF2" w:rsidRPr="00B24FF2" w:rsidRDefault="004D131E" w:rsidP="003C39AC">
            <w:pPr>
              <w:jc w:val="center"/>
              <w:rPr>
                <w:rFonts w:ascii="Calibri" w:hAnsi="Calibri" w:cs="Times New Roman"/>
                <w:color w:val="000000"/>
                <w:sz w:val="22"/>
                <w:szCs w:val="22"/>
              </w:rPr>
            </w:pPr>
            <w:r>
              <w:rPr>
                <w:rFonts w:ascii="Calibri" w:hAnsi="Calibri" w:cs="Times New Roman"/>
                <w:color w:val="000000"/>
                <w:sz w:val="22"/>
                <w:szCs w:val="22"/>
              </w:rPr>
              <w:t>4</w:t>
            </w:r>
            <w:r w:rsidR="000603DE">
              <w:rPr>
                <w:rFonts w:ascii="Calibri" w:hAnsi="Calibri" w:cs="Times New Roman"/>
                <w:color w:val="000000"/>
                <w:sz w:val="22"/>
                <w:szCs w:val="22"/>
              </w:rPr>
              <w:t>5</w:t>
            </w:r>
          </w:p>
        </w:tc>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3,226</w:t>
            </w:r>
          </w:p>
        </w:tc>
      </w:tr>
      <w:tr w:rsidR="00B24FF2" w:rsidRPr="00B24FF2" w:rsidTr="003C39AC">
        <w:trPr>
          <w:trHeight w:val="300"/>
        </w:trPr>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94,990</w:t>
            </w:r>
          </w:p>
        </w:tc>
        <w:tc>
          <w:tcPr>
            <w:tcW w:w="5400" w:type="dxa"/>
            <w:shd w:val="clear" w:color="auto" w:fill="auto"/>
            <w:noWrap/>
            <w:vAlign w:val="bottom"/>
            <w:hideMark/>
          </w:tcPr>
          <w:p w:rsidR="00B24FF2" w:rsidRPr="00B24FF2" w:rsidRDefault="00B24FF2" w:rsidP="00B24FF2">
            <w:pPr>
              <w:rPr>
                <w:rFonts w:ascii="Calibri" w:hAnsi="Calibri" w:cs="Times New Roman"/>
                <w:color w:val="000000"/>
                <w:sz w:val="22"/>
                <w:szCs w:val="22"/>
              </w:rPr>
            </w:pPr>
            <w:r w:rsidRPr="00B24FF2">
              <w:rPr>
                <w:rFonts w:ascii="Calibri" w:hAnsi="Calibri" w:cs="Times New Roman"/>
                <w:color w:val="000000"/>
                <w:sz w:val="22"/>
                <w:szCs w:val="22"/>
              </w:rPr>
              <w:t>Short Term Debtors</w:t>
            </w:r>
          </w:p>
        </w:tc>
        <w:tc>
          <w:tcPr>
            <w:tcW w:w="1680" w:type="dxa"/>
            <w:shd w:val="clear" w:color="auto" w:fill="auto"/>
            <w:noWrap/>
            <w:vAlign w:val="bottom"/>
            <w:hideMark/>
          </w:tcPr>
          <w:p w:rsidR="00B24FF2" w:rsidRPr="00B24FF2" w:rsidRDefault="004D131E" w:rsidP="003C39AC">
            <w:pPr>
              <w:jc w:val="center"/>
              <w:rPr>
                <w:rFonts w:ascii="Calibri" w:hAnsi="Calibri" w:cs="Times New Roman"/>
                <w:color w:val="000000"/>
                <w:sz w:val="22"/>
                <w:szCs w:val="22"/>
              </w:rPr>
            </w:pPr>
            <w:r>
              <w:rPr>
                <w:rFonts w:ascii="Calibri" w:hAnsi="Calibri" w:cs="Times New Roman"/>
                <w:color w:val="000000"/>
                <w:sz w:val="22"/>
                <w:szCs w:val="22"/>
              </w:rPr>
              <w:t>4</w:t>
            </w:r>
            <w:r w:rsidR="000603DE">
              <w:rPr>
                <w:rFonts w:ascii="Calibri" w:hAnsi="Calibri" w:cs="Times New Roman"/>
                <w:color w:val="000000"/>
                <w:sz w:val="22"/>
                <w:szCs w:val="22"/>
              </w:rPr>
              <w:t>6</w:t>
            </w:r>
          </w:p>
        </w:tc>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85,774</w:t>
            </w:r>
          </w:p>
        </w:tc>
      </w:tr>
      <w:tr w:rsidR="00B24FF2" w:rsidRPr="00B24FF2" w:rsidTr="003C39AC">
        <w:trPr>
          <w:trHeight w:val="300"/>
        </w:trPr>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3,693</w:t>
            </w:r>
          </w:p>
        </w:tc>
        <w:tc>
          <w:tcPr>
            <w:tcW w:w="5400" w:type="dxa"/>
            <w:shd w:val="clear" w:color="auto" w:fill="auto"/>
            <w:noWrap/>
            <w:vAlign w:val="bottom"/>
            <w:hideMark/>
          </w:tcPr>
          <w:p w:rsidR="00B24FF2" w:rsidRPr="00B24FF2" w:rsidRDefault="00B24FF2" w:rsidP="00B24FF2">
            <w:pPr>
              <w:rPr>
                <w:rFonts w:ascii="Calibri" w:hAnsi="Calibri" w:cs="Times New Roman"/>
                <w:color w:val="000000"/>
                <w:sz w:val="22"/>
                <w:szCs w:val="22"/>
              </w:rPr>
            </w:pPr>
            <w:r w:rsidRPr="00B24FF2">
              <w:rPr>
                <w:rFonts w:ascii="Calibri" w:hAnsi="Calibri" w:cs="Times New Roman"/>
                <w:color w:val="000000"/>
                <w:sz w:val="22"/>
                <w:szCs w:val="22"/>
              </w:rPr>
              <w:t>Payments in Advance</w:t>
            </w:r>
          </w:p>
        </w:tc>
        <w:tc>
          <w:tcPr>
            <w:tcW w:w="1680" w:type="dxa"/>
            <w:shd w:val="clear" w:color="auto" w:fill="auto"/>
            <w:noWrap/>
            <w:vAlign w:val="bottom"/>
            <w:hideMark/>
          </w:tcPr>
          <w:p w:rsidR="00B24FF2" w:rsidRPr="00B24FF2" w:rsidRDefault="000603DE" w:rsidP="003C39AC">
            <w:pPr>
              <w:jc w:val="center"/>
              <w:rPr>
                <w:rFonts w:ascii="Calibri" w:hAnsi="Calibri" w:cs="Times New Roman"/>
                <w:color w:val="000000"/>
                <w:sz w:val="22"/>
                <w:szCs w:val="22"/>
              </w:rPr>
            </w:pPr>
            <w:r>
              <w:rPr>
                <w:rFonts w:ascii="Calibri" w:hAnsi="Calibri" w:cs="Times New Roman"/>
                <w:color w:val="000000"/>
                <w:sz w:val="22"/>
                <w:szCs w:val="22"/>
              </w:rPr>
              <w:t>49</w:t>
            </w:r>
          </w:p>
        </w:tc>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4,439</w:t>
            </w:r>
          </w:p>
        </w:tc>
      </w:tr>
      <w:tr w:rsidR="00B24FF2" w:rsidRPr="00B24FF2" w:rsidTr="003C39AC">
        <w:trPr>
          <w:trHeight w:val="300"/>
        </w:trPr>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71,356</w:t>
            </w:r>
          </w:p>
        </w:tc>
        <w:tc>
          <w:tcPr>
            <w:tcW w:w="5400" w:type="dxa"/>
            <w:shd w:val="clear" w:color="auto" w:fill="auto"/>
            <w:noWrap/>
            <w:vAlign w:val="bottom"/>
            <w:hideMark/>
          </w:tcPr>
          <w:p w:rsidR="00B24FF2" w:rsidRPr="00B24FF2" w:rsidRDefault="00B24FF2" w:rsidP="00B24FF2">
            <w:pPr>
              <w:rPr>
                <w:rFonts w:ascii="Calibri" w:hAnsi="Calibri" w:cs="Times New Roman"/>
                <w:color w:val="000000"/>
                <w:sz w:val="22"/>
                <w:szCs w:val="22"/>
              </w:rPr>
            </w:pPr>
            <w:r w:rsidRPr="00B24FF2">
              <w:rPr>
                <w:rFonts w:ascii="Calibri" w:hAnsi="Calibri" w:cs="Times New Roman"/>
                <w:color w:val="000000"/>
                <w:sz w:val="22"/>
                <w:szCs w:val="22"/>
              </w:rPr>
              <w:t xml:space="preserve">Cash and Cash Equivalents </w:t>
            </w:r>
          </w:p>
        </w:tc>
        <w:tc>
          <w:tcPr>
            <w:tcW w:w="1680" w:type="dxa"/>
            <w:shd w:val="clear" w:color="auto" w:fill="auto"/>
            <w:noWrap/>
            <w:vAlign w:val="bottom"/>
            <w:hideMark/>
          </w:tcPr>
          <w:p w:rsidR="00B24FF2" w:rsidRPr="00B24FF2" w:rsidRDefault="004D131E" w:rsidP="003C39AC">
            <w:pPr>
              <w:jc w:val="center"/>
              <w:rPr>
                <w:rFonts w:ascii="Calibri" w:hAnsi="Calibri" w:cs="Times New Roman"/>
                <w:color w:val="000000"/>
                <w:sz w:val="22"/>
                <w:szCs w:val="22"/>
              </w:rPr>
            </w:pPr>
            <w:r>
              <w:rPr>
                <w:rFonts w:ascii="Calibri" w:hAnsi="Calibri" w:cs="Times New Roman"/>
                <w:color w:val="000000"/>
                <w:sz w:val="22"/>
                <w:szCs w:val="22"/>
              </w:rPr>
              <w:t>4</w:t>
            </w:r>
            <w:r w:rsidR="000603DE">
              <w:rPr>
                <w:rFonts w:ascii="Calibri" w:hAnsi="Calibri" w:cs="Times New Roman"/>
                <w:color w:val="000000"/>
                <w:sz w:val="22"/>
                <w:szCs w:val="22"/>
              </w:rPr>
              <w:t>8</w:t>
            </w:r>
          </w:p>
        </w:tc>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47,896</w:t>
            </w:r>
          </w:p>
        </w:tc>
      </w:tr>
      <w:tr w:rsidR="00B24FF2" w:rsidRPr="00B24FF2" w:rsidTr="003C39AC">
        <w:trPr>
          <w:trHeight w:val="315"/>
        </w:trPr>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2,365</w:t>
            </w:r>
          </w:p>
        </w:tc>
        <w:tc>
          <w:tcPr>
            <w:tcW w:w="5400" w:type="dxa"/>
            <w:shd w:val="clear" w:color="auto" w:fill="auto"/>
            <w:noWrap/>
            <w:vAlign w:val="bottom"/>
            <w:hideMark/>
          </w:tcPr>
          <w:p w:rsidR="00B24FF2" w:rsidRPr="00B24FF2" w:rsidRDefault="00B24FF2" w:rsidP="00B24FF2">
            <w:pPr>
              <w:rPr>
                <w:rFonts w:ascii="Calibri" w:hAnsi="Calibri" w:cs="Times New Roman"/>
                <w:color w:val="000000"/>
                <w:sz w:val="22"/>
                <w:szCs w:val="22"/>
              </w:rPr>
            </w:pPr>
            <w:r w:rsidRPr="00B24FF2">
              <w:rPr>
                <w:rFonts w:ascii="Calibri" w:hAnsi="Calibri" w:cs="Times New Roman"/>
                <w:color w:val="000000"/>
                <w:sz w:val="22"/>
                <w:szCs w:val="22"/>
              </w:rPr>
              <w:t>Assets Held for Sale</w:t>
            </w:r>
          </w:p>
        </w:tc>
        <w:tc>
          <w:tcPr>
            <w:tcW w:w="1680" w:type="dxa"/>
            <w:shd w:val="clear" w:color="auto" w:fill="auto"/>
            <w:noWrap/>
            <w:vAlign w:val="bottom"/>
            <w:hideMark/>
          </w:tcPr>
          <w:p w:rsidR="00B24FF2" w:rsidRPr="00B24FF2" w:rsidRDefault="000603DE" w:rsidP="003C39AC">
            <w:pPr>
              <w:jc w:val="center"/>
              <w:rPr>
                <w:rFonts w:ascii="Calibri" w:hAnsi="Calibri" w:cs="Times New Roman"/>
                <w:color w:val="000000"/>
                <w:sz w:val="22"/>
                <w:szCs w:val="22"/>
              </w:rPr>
            </w:pPr>
            <w:r>
              <w:rPr>
                <w:rFonts w:ascii="Calibri" w:hAnsi="Calibri" w:cs="Times New Roman"/>
                <w:color w:val="000000"/>
                <w:sz w:val="22"/>
                <w:szCs w:val="22"/>
              </w:rPr>
              <w:t>52</w:t>
            </w:r>
          </w:p>
        </w:tc>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1,901</w:t>
            </w:r>
          </w:p>
        </w:tc>
      </w:tr>
      <w:tr w:rsidR="00B24FF2" w:rsidRPr="00B24FF2" w:rsidTr="003C39AC">
        <w:trPr>
          <w:trHeight w:val="315"/>
        </w:trPr>
        <w:tc>
          <w:tcPr>
            <w:tcW w:w="1740" w:type="dxa"/>
            <w:shd w:val="clear" w:color="auto" w:fill="auto"/>
            <w:noWrap/>
            <w:vAlign w:val="bottom"/>
            <w:hideMark/>
          </w:tcPr>
          <w:p w:rsidR="00B24FF2" w:rsidRPr="00B24FF2" w:rsidRDefault="00B24FF2" w:rsidP="00B24FF2">
            <w:pPr>
              <w:jc w:val="right"/>
              <w:rPr>
                <w:rFonts w:ascii="Calibri" w:hAnsi="Calibri" w:cs="Times New Roman"/>
                <w:b/>
                <w:bCs/>
                <w:color w:val="000000"/>
                <w:sz w:val="22"/>
                <w:szCs w:val="22"/>
              </w:rPr>
            </w:pPr>
            <w:r w:rsidRPr="00B24FF2">
              <w:rPr>
                <w:rFonts w:ascii="Calibri" w:hAnsi="Calibri" w:cs="Times New Roman"/>
                <w:b/>
                <w:bCs/>
                <w:color w:val="000000"/>
                <w:sz w:val="22"/>
                <w:szCs w:val="22"/>
              </w:rPr>
              <w:t>345,340</w:t>
            </w:r>
          </w:p>
        </w:tc>
        <w:tc>
          <w:tcPr>
            <w:tcW w:w="5400" w:type="dxa"/>
            <w:shd w:val="clear" w:color="auto" w:fill="auto"/>
            <w:noWrap/>
            <w:vAlign w:val="bottom"/>
            <w:hideMark/>
          </w:tcPr>
          <w:p w:rsidR="00B24FF2" w:rsidRPr="00B24FF2" w:rsidRDefault="00B24FF2" w:rsidP="00B24FF2">
            <w:pPr>
              <w:rPr>
                <w:rFonts w:ascii="Calibri" w:hAnsi="Calibri" w:cs="Times New Roman"/>
                <w:b/>
                <w:bCs/>
                <w:color w:val="000000"/>
                <w:sz w:val="22"/>
                <w:szCs w:val="22"/>
              </w:rPr>
            </w:pPr>
            <w:r w:rsidRPr="00B24FF2">
              <w:rPr>
                <w:rFonts w:ascii="Calibri" w:hAnsi="Calibri" w:cs="Times New Roman"/>
                <w:b/>
                <w:bCs/>
                <w:color w:val="000000"/>
                <w:sz w:val="22"/>
                <w:szCs w:val="22"/>
              </w:rPr>
              <w:t xml:space="preserve">Current Assets </w:t>
            </w:r>
          </w:p>
        </w:tc>
        <w:tc>
          <w:tcPr>
            <w:tcW w:w="1680" w:type="dxa"/>
            <w:shd w:val="clear" w:color="auto" w:fill="auto"/>
            <w:noWrap/>
            <w:vAlign w:val="bottom"/>
            <w:hideMark/>
          </w:tcPr>
          <w:p w:rsidR="00B24FF2" w:rsidRPr="00B24FF2" w:rsidRDefault="00B24FF2" w:rsidP="003C39AC">
            <w:pPr>
              <w:jc w:val="center"/>
              <w:rPr>
                <w:rFonts w:ascii="Calibri" w:hAnsi="Calibri" w:cs="Times New Roman"/>
                <w:b/>
                <w:bCs/>
                <w:color w:val="000000"/>
                <w:sz w:val="22"/>
                <w:szCs w:val="22"/>
              </w:rPr>
            </w:pPr>
          </w:p>
        </w:tc>
        <w:tc>
          <w:tcPr>
            <w:tcW w:w="1740" w:type="dxa"/>
            <w:shd w:val="clear" w:color="auto" w:fill="auto"/>
            <w:noWrap/>
            <w:vAlign w:val="bottom"/>
            <w:hideMark/>
          </w:tcPr>
          <w:p w:rsidR="00B24FF2" w:rsidRPr="00B24FF2" w:rsidRDefault="00B24FF2" w:rsidP="00B24FF2">
            <w:pPr>
              <w:jc w:val="right"/>
              <w:rPr>
                <w:rFonts w:ascii="Calibri" w:hAnsi="Calibri" w:cs="Times New Roman"/>
                <w:b/>
                <w:bCs/>
                <w:color w:val="000000"/>
                <w:sz w:val="22"/>
                <w:szCs w:val="22"/>
              </w:rPr>
            </w:pPr>
            <w:r w:rsidRPr="00B24FF2">
              <w:rPr>
                <w:rFonts w:ascii="Calibri" w:hAnsi="Calibri" w:cs="Times New Roman"/>
                <w:b/>
                <w:bCs/>
                <w:color w:val="000000"/>
                <w:sz w:val="22"/>
                <w:szCs w:val="22"/>
              </w:rPr>
              <w:t>471,788</w:t>
            </w:r>
          </w:p>
        </w:tc>
      </w:tr>
      <w:tr w:rsidR="00B24FF2" w:rsidRPr="00B24FF2" w:rsidTr="003C39AC">
        <w:trPr>
          <w:trHeight w:val="300"/>
        </w:trPr>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w:t>
            </w:r>
          </w:p>
        </w:tc>
        <w:tc>
          <w:tcPr>
            <w:tcW w:w="5400" w:type="dxa"/>
            <w:shd w:val="clear" w:color="auto" w:fill="auto"/>
            <w:noWrap/>
            <w:vAlign w:val="bottom"/>
            <w:hideMark/>
          </w:tcPr>
          <w:p w:rsidR="00B24FF2" w:rsidRPr="00B24FF2" w:rsidRDefault="00B24FF2" w:rsidP="00B24FF2">
            <w:pPr>
              <w:rPr>
                <w:rFonts w:ascii="Calibri" w:hAnsi="Calibri" w:cs="Times New Roman"/>
                <w:color w:val="000000"/>
                <w:sz w:val="22"/>
                <w:szCs w:val="22"/>
              </w:rPr>
            </w:pPr>
            <w:r w:rsidRPr="00B24FF2">
              <w:rPr>
                <w:rFonts w:ascii="Calibri" w:hAnsi="Calibri" w:cs="Times New Roman"/>
                <w:color w:val="000000"/>
                <w:sz w:val="22"/>
                <w:szCs w:val="22"/>
              </w:rPr>
              <w:t> </w:t>
            </w:r>
          </w:p>
        </w:tc>
        <w:tc>
          <w:tcPr>
            <w:tcW w:w="1680" w:type="dxa"/>
            <w:shd w:val="clear" w:color="auto" w:fill="auto"/>
            <w:noWrap/>
            <w:vAlign w:val="bottom"/>
            <w:hideMark/>
          </w:tcPr>
          <w:p w:rsidR="00B24FF2" w:rsidRPr="00B24FF2" w:rsidRDefault="00B24FF2" w:rsidP="003C39AC">
            <w:pPr>
              <w:jc w:val="center"/>
              <w:rPr>
                <w:rFonts w:ascii="Calibri" w:hAnsi="Calibri" w:cs="Times New Roman"/>
                <w:color w:val="000000"/>
                <w:sz w:val="22"/>
                <w:szCs w:val="22"/>
              </w:rPr>
            </w:pPr>
          </w:p>
        </w:tc>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w:t>
            </w:r>
          </w:p>
        </w:tc>
      </w:tr>
      <w:tr w:rsidR="00B24FF2" w:rsidRPr="00B24FF2" w:rsidTr="003C39AC">
        <w:trPr>
          <w:trHeight w:val="300"/>
        </w:trPr>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(355,609)</w:t>
            </w:r>
          </w:p>
        </w:tc>
        <w:tc>
          <w:tcPr>
            <w:tcW w:w="5400" w:type="dxa"/>
            <w:shd w:val="clear" w:color="auto" w:fill="auto"/>
            <w:noWrap/>
            <w:vAlign w:val="bottom"/>
            <w:hideMark/>
          </w:tcPr>
          <w:p w:rsidR="00B24FF2" w:rsidRPr="00B24FF2" w:rsidRDefault="00B24FF2" w:rsidP="00B24FF2">
            <w:pPr>
              <w:rPr>
                <w:rFonts w:ascii="Calibri" w:hAnsi="Calibri" w:cs="Times New Roman"/>
                <w:color w:val="000000"/>
                <w:sz w:val="22"/>
                <w:szCs w:val="22"/>
              </w:rPr>
            </w:pPr>
            <w:r w:rsidRPr="00B24FF2">
              <w:rPr>
                <w:rFonts w:ascii="Calibri" w:hAnsi="Calibri" w:cs="Times New Roman"/>
                <w:color w:val="000000"/>
                <w:sz w:val="22"/>
                <w:szCs w:val="22"/>
              </w:rPr>
              <w:t xml:space="preserve">Short Term Borrowing Payable Within 12 Months </w:t>
            </w:r>
          </w:p>
        </w:tc>
        <w:tc>
          <w:tcPr>
            <w:tcW w:w="1680" w:type="dxa"/>
            <w:shd w:val="clear" w:color="auto" w:fill="auto"/>
            <w:noWrap/>
            <w:vAlign w:val="bottom"/>
            <w:hideMark/>
          </w:tcPr>
          <w:p w:rsidR="00B24FF2" w:rsidRPr="00B24FF2" w:rsidRDefault="004D131E" w:rsidP="003C39AC">
            <w:pPr>
              <w:jc w:val="center"/>
              <w:rPr>
                <w:rFonts w:ascii="Calibri" w:hAnsi="Calibri" w:cs="Times New Roman"/>
                <w:color w:val="000000"/>
                <w:sz w:val="22"/>
                <w:szCs w:val="22"/>
              </w:rPr>
            </w:pPr>
            <w:r>
              <w:rPr>
                <w:rFonts w:ascii="Calibri" w:hAnsi="Calibri" w:cs="Times New Roman"/>
                <w:color w:val="000000"/>
                <w:sz w:val="22"/>
                <w:szCs w:val="22"/>
              </w:rPr>
              <w:t>3</w:t>
            </w:r>
            <w:r w:rsidR="00081393">
              <w:rPr>
                <w:rFonts w:ascii="Calibri" w:hAnsi="Calibri" w:cs="Times New Roman"/>
                <w:color w:val="000000"/>
                <w:sz w:val="22"/>
                <w:szCs w:val="22"/>
              </w:rPr>
              <w:t>8</w:t>
            </w:r>
          </w:p>
        </w:tc>
        <w:tc>
          <w:tcPr>
            <w:tcW w:w="1740" w:type="dxa"/>
            <w:shd w:val="clear" w:color="auto" w:fill="auto"/>
            <w:noWrap/>
            <w:vAlign w:val="bottom"/>
            <w:hideMark/>
          </w:tcPr>
          <w:p w:rsidR="00B24FF2" w:rsidRPr="00B24FF2" w:rsidRDefault="00B24FF2" w:rsidP="003707DC">
            <w:pPr>
              <w:jc w:val="right"/>
              <w:rPr>
                <w:rFonts w:ascii="Calibri" w:hAnsi="Calibri" w:cs="Times New Roman"/>
                <w:color w:val="000000"/>
                <w:sz w:val="22"/>
                <w:szCs w:val="22"/>
              </w:rPr>
            </w:pPr>
            <w:r w:rsidRPr="00B24FF2">
              <w:rPr>
                <w:rFonts w:ascii="Calibri" w:hAnsi="Calibri" w:cs="Times New Roman"/>
                <w:color w:val="000000"/>
                <w:sz w:val="22"/>
                <w:szCs w:val="22"/>
              </w:rPr>
              <w:t>(358,81</w:t>
            </w:r>
            <w:r w:rsidR="003707DC">
              <w:rPr>
                <w:rFonts w:ascii="Calibri" w:hAnsi="Calibri" w:cs="Times New Roman"/>
                <w:color w:val="000000"/>
                <w:sz w:val="22"/>
                <w:szCs w:val="22"/>
              </w:rPr>
              <w:t>2</w:t>
            </w:r>
            <w:r w:rsidRPr="00B24FF2">
              <w:rPr>
                <w:rFonts w:ascii="Calibri" w:hAnsi="Calibri" w:cs="Times New Roman"/>
                <w:color w:val="000000"/>
                <w:sz w:val="22"/>
                <w:szCs w:val="22"/>
              </w:rPr>
              <w:t>)</w:t>
            </w:r>
          </w:p>
        </w:tc>
      </w:tr>
      <w:tr w:rsidR="00B24FF2" w:rsidRPr="00B24FF2" w:rsidTr="003C39AC">
        <w:trPr>
          <w:trHeight w:val="300"/>
        </w:trPr>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(189,134)</w:t>
            </w:r>
          </w:p>
        </w:tc>
        <w:tc>
          <w:tcPr>
            <w:tcW w:w="5400" w:type="dxa"/>
            <w:shd w:val="clear" w:color="auto" w:fill="auto"/>
            <w:noWrap/>
            <w:vAlign w:val="bottom"/>
            <w:hideMark/>
          </w:tcPr>
          <w:p w:rsidR="00B24FF2" w:rsidRPr="00B24FF2" w:rsidRDefault="00B24FF2" w:rsidP="00B24FF2">
            <w:pPr>
              <w:rPr>
                <w:rFonts w:ascii="Calibri" w:hAnsi="Calibri" w:cs="Times New Roman"/>
                <w:color w:val="000000"/>
                <w:sz w:val="22"/>
                <w:szCs w:val="22"/>
              </w:rPr>
            </w:pPr>
            <w:r w:rsidRPr="00B24FF2">
              <w:rPr>
                <w:rFonts w:ascii="Calibri" w:hAnsi="Calibri" w:cs="Times New Roman"/>
                <w:color w:val="000000"/>
                <w:sz w:val="22"/>
                <w:szCs w:val="22"/>
              </w:rPr>
              <w:t xml:space="preserve">Short Term Creditors </w:t>
            </w:r>
          </w:p>
        </w:tc>
        <w:tc>
          <w:tcPr>
            <w:tcW w:w="1680" w:type="dxa"/>
            <w:shd w:val="clear" w:color="auto" w:fill="auto"/>
            <w:noWrap/>
            <w:vAlign w:val="bottom"/>
            <w:hideMark/>
          </w:tcPr>
          <w:p w:rsidR="00B24FF2" w:rsidRPr="00B24FF2" w:rsidRDefault="004D131E" w:rsidP="003C39AC">
            <w:pPr>
              <w:jc w:val="center"/>
              <w:rPr>
                <w:rFonts w:ascii="Calibri" w:hAnsi="Calibri" w:cs="Times New Roman"/>
                <w:color w:val="000000"/>
                <w:sz w:val="22"/>
                <w:szCs w:val="22"/>
              </w:rPr>
            </w:pPr>
            <w:r>
              <w:rPr>
                <w:rFonts w:ascii="Calibri" w:hAnsi="Calibri" w:cs="Times New Roman"/>
                <w:color w:val="000000"/>
                <w:sz w:val="22"/>
                <w:szCs w:val="22"/>
              </w:rPr>
              <w:t>4</w:t>
            </w:r>
            <w:r w:rsidR="00081393">
              <w:rPr>
                <w:rFonts w:ascii="Calibri" w:hAnsi="Calibri" w:cs="Times New Roman"/>
                <w:color w:val="000000"/>
                <w:sz w:val="22"/>
                <w:szCs w:val="22"/>
              </w:rPr>
              <w:t>7</w:t>
            </w:r>
          </w:p>
        </w:tc>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(186,488)</w:t>
            </w:r>
          </w:p>
        </w:tc>
      </w:tr>
      <w:tr w:rsidR="00B24FF2" w:rsidRPr="00B24FF2" w:rsidTr="003C39AC">
        <w:trPr>
          <w:trHeight w:val="300"/>
        </w:trPr>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(31,514)</w:t>
            </w:r>
          </w:p>
        </w:tc>
        <w:tc>
          <w:tcPr>
            <w:tcW w:w="5400" w:type="dxa"/>
            <w:shd w:val="clear" w:color="auto" w:fill="auto"/>
            <w:noWrap/>
            <w:vAlign w:val="bottom"/>
            <w:hideMark/>
          </w:tcPr>
          <w:p w:rsidR="00B24FF2" w:rsidRPr="00B24FF2" w:rsidRDefault="00B24FF2" w:rsidP="00B24FF2">
            <w:pPr>
              <w:rPr>
                <w:rFonts w:ascii="Calibri" w:hAnsi="Calibri" w:cs="Times New Roman"/>
                <w:color w:val="000000"/>
                <w:sz w:val="22"/>
                <w:szCs w:val="22"/>
              </w:rPr>
            </w:pPr>
            <w:r w:rsidRPr="00B24FF2">
              <w:rPr>
                <w:rFonts w:ascii="Calibri" w:hAnsi="Calibri" w:cs="Times New Roman"/>
                <w:color w:val="000000"/>
                <w:sz w:val="22"/>
                <w:szCs w:val="22"/>
              </w:rPr>
              <w:t xml:space="preserve">Receipts in Advance </w:t>
            </w:r>
          </w:p>
        </w:tc>
        <w:tc>
          <w:tcPr>
            <w:tcW w:w="1680" w:type="dxa"/>
            <w:shd w:val="clear" w:color="auto" w:fill="auto"/>
            <w:noWrap/>
            <w:vAlign w:val="bottom"/>
            <w:hideMark/>
          </w:tcPr>
          <w:p w:rsidR="00B24FF2" w:rsidRPr="00B24FF2" w:rsidRDefault="004D131E" w:rsidP="003C39AC">
            <w:pPr>
              <w:jc w:val="center"/>
              <w:rPr>
                <w:rFonts w:ascii="Calibri" w:hAnsi="Calibri" w:cs="Times New Roman"/>
                <w:color w:val="000000"/>
                <w:sz w:val="22"/>
                <w:szCs w:val="22"/>
              </w:rPr>
            </w:pPr>
            <w:r>
              <w:rPr>
                <w:rFonts w:ascii="Calibri" w:hAnsi="Calibri" w:cs="Times New Roman"/>
                <w:color w:val="000000"/>
                <w:sz w:val="22"/>
                <w:szCs w:val="22"/>
              </w:rPr>
              <w:t>5</w:t>
            </w:r>
            <w:r w:rsidR="00081393">
              <w:rPr>
                <w:rFonts w:ascii="Calibri" w:hAnsi="Calibri" w:cs="Times New Roman"/>
                <w:color w:val="000000"/>
                <w:sz w:val="22"/>
                <w:szCs w:val="22"/>
              </w:rPr>
              <w:t>0</w:t>
            </w:r>
          </w:p>
        </w:tc>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(22,510)</w:t>
            </w:r>
          </w:p>
        </w:tc>
      </w:tr>
      <w:tr w:rsidR="00B24FF2" w:rsidRPr="00B24FF2" w:rsidTr="003C39AC">
        <w:trPr>
          <w:trHeight w:val="315"/>
        </w:trPr>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(14,507)</w:t>
            </w:r>
          </w:p>
        </w:tc>
        <w:tc>
          <w:tcPr>
            <w:tcW w:w="5400" w:type="dxa"/>
            <w:shd w:val="clear" w:color="auto" w:fill="auto"/>
            <w:noWrap/>
            <w:vAlign w:val="bottom"/>
            <w:hideMark/>
          </w:tcPr>
          <w:p w:rsidR="00B24FF2" w:rsidRPr="00B24FF2" w:rsidRDefault="00B24FF2" w:rsidP="00B24FF2">
            <w:pPr>
              <w:rPr>
                <w:rFonts w:ascii="Calibri" w:hAnsi="Calibri" w:cs="Times New Roman"/>
                <w:color w:val="000000"/>
                <w:sz w:val="22"/>
                <w:szCs w:val="22"/>
              </w:rPr>
            </w:pPr>
            <w:r w:rsidRPr="00B24FF2">
              <w:rPr>
                <w:rFonts w:ascii="Calibri" w:hAnsi="Calibri" w:cs="Times New Roman"/>
                <w:color w:val="000000"/>
                <w:sz w:val="22"/>
                <w:szCs w:val="22"/>
              </w:rPr>
              <w:t xml:space="preserve">Short Term Provisions </w:t>
            </w:r>
          </w:p>
        </w:tc>
        <w:tc>
          <w:tcPr>
            <w:tcW w:w="1680" w:type="dxa"/>
            <w:shd w:val="clear" w:color="auto" w:fill="auto"/>
            <w:noWrap/>
            <w:vAlign w:val="bottom"/>
            <w:hideMark/>
          </w:tcPr>
          <w:p w:rsidR="00B24FF2" w:rsidRPr="00B24FF2" w:rsidRDefault="004D131E" w:rsidP="003C39AC">
            <w:pPr>
              <w:jc w:val="center"/>
              <w:rPr>
                <w:rFonts w:ascii="Calibri" w:hAnsi="Calibri" w:cs="Times New Roman"/>
                <w:color w:val="000000"/>
                <w:sz w:val="22"/>
                <w:szCs w:val="22"/>
              </w:rPr>
            </w:pPr>
            <w:r>
              <w:rPr>
                <w:rFonts w:ascii="Calibri" w:hAnsi="Calibri" w:cs="Times New Roman"/>
                <w:color w:val="000000"/>
                <w:sz w:val="22"/>
                <w:szCs w:val="22"/>
              </w:rPr>
              <w:t>5</w:t>
            </w:r>
            <w:r w:rsidR="00081393">
              <w:rPr>
                <w:rFonts w:ascii="Calibri" w:hAnsi="Calibri" w:cs="Times New Roman"/>
                <w:color w:val="000000"/>
                <w:sz w:val="22"/>
                <w:szCs w:val="22"/>
              </w:rPr>
              <w:t>1</w:t>
            </w:r>
          </w:p>
        </w:tc>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(7,002)</w:t>
            </w:r>
          </w:p>
        </w:tc>
      </w:tr>
      <w:tr w:rsidR="00B24FF2" w:rsidRPr="00B24FF2" w:rsidTr="003C39AC">
        <w:trPr>
          <w:trHeight w:val="315"/>
        </w:trPr>
        <w:tc>
          <w:tcPr>
            <w:tcW w:w="1740" w:type="dxa"/>
            <w:shd w:val="clear" w:color="auto" w:fill="auto"/>
            <w:noWrap/>
            <w:vAlign w:val="bottom"/>
            <w:hideMark/>
          </w:tcPr>
          <w:p w:rsidR="00B24FF2" w:rsidRPr="00B24FF2" w:rsidRDefault="00B24FF2" w:rsidP="00B24FF2">
            <w:pPr>
              <w:jc w:val="right"/>
              <w:rPr>
                <w:rFonts w:ascii="Calibri" w:hAnsi="Calibri" w:cs="Times New Roman"/>
                <w:b/>
                <w:bCs/>
                <w:color w:val="000000"/>
                <w:sz w:val="22"/>
                <w:szCs w:val="22"/>
              </w:rPr>
            </w:pPr>
            <w:r w:rsidRPr="00B24FF2">
              <w:rPr>
                <w:rFonts w:ascii="Calibri" w:hAnsi="Calibri" w:cs="Times New Roman"/>
                <w:b/>
                <w:bCs/>
                <w:color w:val="000000"/>
                <w:sz w:val="22"/>
                <w:szCs w:val="22"/>
              </w:rPr>
              <w:t>(590,763)</w:t>
            </w:r>
          </w:p>
        </w:tc>
        <w:tc>
          <w:tcPr>
            <w:tcW w:w="5400" w:type="dxa"/>
            <w:shd w:val="clear" w:color="auto" w:fill="auto"/>
            <w:noWrap/>
            <w:vAlign w:val="bottom"/>
            <w:hideMark/>
          </w:tcPr>
          <w:p w:rsidR="00B24FF2" w:rsidRPr="00B24FF2" w:rsidRDefault="00B24FF2" w:rsidP="00B24FF2">
            <w:pPr>
              <w:rPr>
                <w:rFonts w:ascii="Calibri" w:hAnsi="Calibri" w:cs="Times New Roman"/>
                <w:b/>
                <w:bCs/>
                <w:color w:val="000000"/>
                <w:sz w:val="22"/>
                <w:szCs w:val="22"/>
              </w:rPr>
            </w:pPr>
            <w:r w:rsidRPr="00B24FF2">
              <w:rPr>
                <w:rFonts w:ascii="Calibri" w:hAnsi="Calibri" w:cs="Times New Roman"/>
                <w:b/>
                <w:bCs/>
                <w:color w:val="000000"/>
                <w:sz w:val="22"/>
                <w:szCs w:val="22"/>
              </w:rPr>
              <w:t>Current Liabilities</w:t>
            </w:r>
          </w:p>
        </w:tc>
        <w:tc>
          <w:tcPr>
            <w:tcW w:w="1680" w:type="dxa"/>
            <w:shd w:val="clear" w:color="auto" w:fill="auto"/>
            <w:noWrap/>
            <w:vAlign w:val="bottom"/>
            <w:hideMark/>
          </w:tcPr>
          <w:p w:rsidR="00B24FF2" w:rsidRPr="00B24FF2" w:rsidRDefault="00B24FF2" w:rsidP="003C39AC">
            <w:pPr>
              <w:jc w:val="center"/>
              <w:rPr>
                <w:rFonts w:ascii="Calibri" w:hAnsi="Calibri" w:cs="Times New Roman"/>
                <w:b/>
                <w:bCs/>
                <w:color w:val="000000"/>
                <w:sz w:val="22"/>
                <w:szCs w:val="22"/>
              </w:rPr>
            </w:pPr>
          </w:p>
        </w:tc>
        <w:tc>
          <w:tcPr>
            <w:tcW w:w="1740" w:type="dxa"/>
            <w:shd w:val="clear" w:color="auto" w:fill="auto"/>
            <w:noWrap/>
            <w:vAlign w:val="bottom"/>
            <w:hideMark/>
          </w:tcPr>
          <w:p w:rsidR="00B24FF2" w:rsidRPr="00B24FF2" w:rsidRDefault="00B24FF2" w:rsidP="00B24FF2">
            <w:pPr>
              <w:jc w:val="right"/>
              <w:rPr>
                <w:rFonts w:ascii="Calibri" w:hAnsi="Calibri" w:cs="Times New Roman"/>
                <w:b/>
                <w:bCs/>
                <w:color w:val="000000"/>
                <w:sz w:val="22"/>
                <w:szCs w:val="22"/>
              </w:rPr>
            </w:pPr>
            <w:r w:rsidRPr="00B24FF2">
              <w:rPr>
                <w:rFonts w:ascii="Calibri" w:hAnsi="Calibri" w:cs="Times New Roman"/>
                <w:b/>
                <w:bCs/>
                <w:color w:val="000000"/>
                <w:sz w:val="22"/>
                <w:szCs w:val="22"/>
              </w:rPr>
              <w:t>(574,812)</w:t>
            </w:r>
          </w:p>
        </w:tc>
      </w:tr>
      <w:tr w:rsidR="00B24FF2" w:rsidRPr="00B24FF2" w:rsidTr="003C39AC">
        <w:trPr>
          <w:trHeight w:val="300"/>
        </w:trPr>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w:t>
            </w:r>
          </w:p>
        </w:tc>
        <w:tc>
          <w:tcPr>
            <w:tcW w:w="5400" w:type="dxa"/>
            <w:shd w:val="clear" w:color="auto" w:fill="auto"/>
            <w:noWrap/>
            <w:vAlign w:val="bottom"/>
            <w:hideMark/>
          </w:tcPr>
          <w:p w:rsidR="00B24FF2" w:rsidRPr="00B24FF2" w:rsidRDefault="00B24FF2" w:rsidP="00B24FF2">
            <w:pPr>
              <w:rPr>
                <w:rFonts w:ascii="Calibri" w:hAnsi="Calibri" w:cs="Times New Roman"/>
                <w:color w:val="000000"/>
                <w:sz w:val="22"/>
                <w:szCs w:val="22"/>
              </w:rPr>
            </w:pPr>
            <w:r w:rsidRPr="00B24FF2">
              <w:rPr>
                <w:rFonts w:ascii="Calibri" w:hAnsi="Calibri" w:cs="Times New Roman"/>
                <w:color w:val="000000"/>
                <w:sz w:val="22"/>
                <w:szCs w:val="22"/>
              </w:rPr>
              <w:t> </w:t>
            </w:r>
          </w:p>
        </w:tc>
        <w:tc>
          <w:tcPr>
            <w:tcW w:w="1680" w:type="dxa"/>
            <w:shd w:val="clear" w:color="auto" w:fill="auto"/>
            <w:noWrap/>
            <w:vAlign w:val="bottom"/>
            <w:hideMark/>
          </w:tcPr>
          <w:p w:rsidR="00B24FF2" w:rsidRPr="00B24FF2" w:rsidRDefault="00B24FF2" w:rsidP="003C39AC">
            <w:pPr>
              <w:jc w:val="center"/>
              <w:rPr>
                <w:rFonts w:ascii="Calibri" w:hAnsi="Calibri" w:cs="Times New Roman"/>
                <w:color w:val="000000"/>
                <w:sz w:val="22"/>
                <w:szCs w:val="22"/>
              </w:rPr>
            </w:pPr>
          </w:p>
        </w:tc>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w:t>
            </w:r>
          </w:p>
        </w:tc>
      </w:tr>
      <w:tr w:rsidR="00B24FF2" w:rsidRPr="00B24FF2" w:rsidTr="003C39AC">
        <w:trPr>
          <w:trHeight w:val="300"/>
        </w:trPr>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(29,058)</w:t>
            </w:r>
          </w:p>
        </w:tc>
        <w:tc>
          <w:tcPr>
            <w:tcW w:w="5400" w:type="dxa"/>
            <w:shd w:val="clear" w:color="auto" w:fill="auto"/>
            <w:noWrap/>
            <w:vAlign w:val="bottom"/>
            <w:hideMark/>
          </w:tcPr>
          <w:p w:rsidR="00B24FF2" w:rsidRPr="00B24FF2" w:rsidRDefault="00B24FF2" w:rsidP="00B24FF2">
            <w:pPr>
              <w:rPr>
                <w:rFonts w:ascii="Calibri" w:hAnsi="Calibri" w:cs="Times New Roman"/>
                <w:color w:val="000000"/>
                <w:sz w:val="22"/>
                <w:szCs w:val="22"/>
              </w:rPr>
            </w:pPr>
            <w:r w:rsidRPr="00B24FF2">
              <w:rPr>
                <w:rFonts w:ascii="Calibri" w:hAnsi="Calibri" w:cs="Times New Roman"/>
                <w:color w:val="000000"/>
                <w:sz w:val="22"/>
                <w:szCs w:val="22"/>
              </w:rPr>
              <w:t xml:space="preserve">Long Term Provisions </w:t>
            </w:r>
          </w:p>
        </w:tc>
        <w:tc>
          <w:tcPr>
            <w:tcW w:w="1680" w:type="dxa"/>
            <w:shd w:val="clear" w:color="auto" w:fill="auto"/>
            <w:noWrap/>
            <w:vAlign w:val="bottom"/>
            <w:hideMark/>
          </w:tcPr>
          <w:p w:rsidR="00B24FF2" w:rsidRPr="00B24FF2" w:rsidRDefault="004D131E" w:rsidP="003C39AC">
            <w:pPr>
              <w:jc w:val="center"/>
              <w:rPr>
                <w:rFonts w:ascii="Calibri" w:hAnsi="Calibri" w:cs="Times New Roman"/>
                <w:color w:val="000000"/>
                <w:sz w:val="22"/>
                <w:szCs w:val="22"/>
              </w:rPr>
            </w:pPr>
            <w:r>
              <w:rPr>
                <w:rFonts w:ascii="Calibri" w:hAnsi="Calibri" w:cs="Times New Roman"/>
                <w:color w:val="000000"/>
                <w:sz w:val="22"/>
                <w:szCs w:val="22"/>
              </w:rPr>
              <w:t>5</w:t>
            </w:r>
            <w:r w:rsidR="00081393">
              <w:rPr>
                <w:rFonts w:ascii="Calibri" w:hAnsi="Calibri" w:cs="Times New Roman"/>
                <w:color w:val="000000"/>
                <w:sz w:val="22"/>
                <w:szCs w:val="22"/>
              </w:rPr>
              <w:t>1</w:t>
            </w:r>
          </w:p>
        </w:tc>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(28,496)</w:t>
            </w:r>
          </w:p>
        </w:tc>
      </w:tr>
      <w:tr w:rsidR="00B24FF2" w:rsidRPr="00B24FF2" w:rsidTr="003C39AC">
        <w:trPr>
          <w:trHeight w:val="420"/>
        </w:trPr>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(627,112)</w:t>
            </w:r>
          </w:p>
        </w:tc>
        <w:tc>
          <w:tcPr>
            <w:tcW w:w="5400" w:type="dxa"/>
            <w:shd w:val="clear" w:color="auto" w:fill="auto"/>
            <w:noWrap/>
            <w:vAlign w:val="bottom"/>
            <w:hideMark/>
          </w:tcPr>
          <w:p w:rsidR="00B24FF2" w:rsidRPr="00B24FF2" w:rsidRDefault="00B24FF2" w:rsidP="00B24FF2">
            <w:pPr>
              <w:rPr>
                <w:rFonts w:ascii="Calibri" w:hAnsi="Calibri" w:cs="Times New Roman"/>
                <w:color w:val="000000"/>
                <w:sz w:val="22"/>
                <w:szCs w:val="22"/>
              </w:rPr>
            </w:pPr>
            <w:r w:rsidRPr="00B24FF2">
              <w:rPr>
                <w:rFonts w:ascii="Calibri" w:hAnsi="Calibri" w:cs="Times New Roman"/>
                <w:color w:val="000000"/>
                <w:sz w:val="22"/>
                <w:szCs w:val="22"/>
              </w:rPr>
              <w:t xml:space="preserve">Long Term Borrowing </w:t>
            </w:r>
          </w:p>
        </w:tc>
        <w:tc>
          <w:tcPr>
            <w:tcW w:w="1680" w:type="dxa"/>
            <w:shd w:val="clear" w:color="auto" w:fill="auto"/>
            <w:noWrap/>
            <w:vAlign w:val="bottom"/>
            <w:hideMark/>
          </w:tcPr>
          <w:p w:rsidR="00B24FF2" w:rsidRPr="00B24FF2" w:rsidRDefault="004D131E" w:rsidP="003C39AC">
            <w:pPr>
              <w:jc w:val="center"/>
              <w:rPr>
                <w:rFonts w:ascii="Calibri" w:hAnsi="Calibri" w:cs="Times New Roman"/>
                <w:color w:val="000000"/>
                <w:sz w:val="22"/>
                <w:szCs w:val="22"/>
              </w:rPr>
            </w:pPr>
            <w:r>
              <w:rPr>
                <w:rFonts w:ascii="Calibri" w:hAnsi="Calibri" w:cs="Times New Roman"/>
                <w:color w:val="000000"/>
                <w:sz w:val="22"/>
                <w:szCs w:val="22"/>
              </w:rPr>
              <w:t>3</w:t>
            </w:r>
            <w:r w:rsidR="00081393">
              <w:rPr>
                <w:rFonts w:ascii="Calibri" w:hAnsi="Calibri" w:cs="Times New Roman"/>
                <w:color w:val="000000"/>
                <w:sz w:val="22"/>
                <w:szCs w:val="22"/>
              </w:rPr>
              <w:t>8</w:t>
            </w:r>
          </w:p>
        </w:tc>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(873,355)</w:t>
            </w:r>
          </w:p>
        </w:tc>
      </w:tr>
      <w:tr w:rsidR="00B24FF2" w:rsidRPr="00B24FF2" w:rsidTr="003C39AC">
        <w:trPr>
          <w:trHeight w:val="300"/>
        </w:trPr>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(766,022)</w:t>
            </w:r>
          </w:p>
        </w:tc>
        <w:tc>
          <w:tcPr>
            <w:tcW w:w="5400" w:type="dxa"/>
            <w:shd w:val="clear" w:color="auto" w:fill="auto"/>
            <w:noWrap/>
            <w:vAlign w:val="bottom"/>
            <w:hideMark/>
          </w:tcPr>
          <w:p w:rsidR="00B24FF2" w:rsidRPr="00B24FF2" w:rsidRDefault="00B24FF2" w:rsidP="00B24FF2">
            <w:pPr>
              <w:rPr>
                <w:rFonts w:ascii="Calibri" w:hAnsi="Calibri" w:cs="Times New Roman"/>
                <w:color w:val="000000"/>
                <w:sz w:val="22"/>
                <w:szCs w:val="22"/>
              </w:rPr>
            </w:pPr>
            <w:r w:rsidRPr="00B24FF2">
              <w:rPr>
                <w:rFonts w:ascii="Calibri" w:hAnsi="Calibri" w:cs="Times New Roman"/>
                <w:color w:val="000000"/>
                <w:sz w:val="22"/>
                <w:szCs w:val="22"/>
              </w:rPr>
              <w:t>Other Long Term Liabilities</w:t>
            </w:r>
          </w:p>
        </w:tc>
        <w:tc>
          <w:tcPr>
            <w:tcW w:w="1680" w:type="dxa"/>
            <w:shd w:val="clear" w:color="auto" w:fill="auto"/>
            <w:noWrap/>
            <w:vAlign w:val="bottom"/>
            <w:hideMark/>
          </w:tcPr>
          <w:p w:rsidR="00B24FF2" w:rsidRPr="00B24FF2" w:rsidRDefault="00081393" w:rsidP="003C39AC">
            <w:pPr>
              <w:jc w:val="center"/>
              <w:rPr>
                <w:rFonts w:ascii="Calibri" w:hAnsi="Calibri" w:cs="Times New Roman"/>
                <w:color w:val="000000"/>
                <w:sz w:val="22"/>
                <w:szCs w:val="22"/>
              </w:rPr>
            </w:pPr>
            <w:r>
              <w:rPr>
                <w:rFonts w:ascii="Calibri" w:hAnsi="Calibri" w:cs="Times New Roman"/>
                <w:color w:val="000000"/>
                <w:sz w:val="22"/>
                <w:szCs w:val="22"/>
              </w:rPr>
              <w:t>38, 57</w:t>
            </w:r>
            <w:r w:rsidR="004D131E">
              <w:rPr>
                <w:rFonts w:ascii="Calibri" w:hAnsi="Calibri" w:cs="Times New Roman"/>
                <w:color w:val="000000"/>
                <w:sz w:val="22"/>
                <w:szCs w:val="22"/>
              </w:rPr>
              <w:t>, 6</w:t>
            </w:r>
            <w:r>
              <w:rPr>
                <w:rFonts w:ascii="Calibri" w:hAnsi="Calibri" w:cs="Times New Roman"/>
                <w:color w:val="000000"/>
                <w:sz w:val="22"/>
                <w:szCs w:val="22"/>
              </w:rPr>
              <w:t>6</w:t>
            </w:r>
          </w:p>
        </w:tc>
        <w:tc>
          <w:tcPr>
            <w:tcW w:w="1740" w:type="dxa"/>
            <w:shd w:val="clear" w:color="auto" w:fill="auto"/>
            <w:noWrap/>
            <w:vAlign w:val="bottom"/>
            <w:hideMark/>
          </w:tcPr>
          <w:p w:rsidR="00B24FF2" w:rsidRPr="00B24FF2" w:rsidRDefault="00B24FF2" w:rsidP="00B24FF2">
            <w:pPr>
              <w:jc w:val="right"/>
              <w:rPr>
                <w:rFonts w:ascii="Calibri" w:hAnsi="Calibri" w:cs="Times New Roman"/>
                <w:color w:val="000000"/>
                <w:sz w:val="22"/>
                <w:szCs w:val="22"/>
              </w:rPr>
            </w:pPr>
            <w:r w:rsidRPr="00B24FF2">
              <w:rPr>
                <w:rFonts w:ascii="Calibri" w:hAnsi="Calibri" w:cs="Times New Roman"/>
                <w:color w:val="000000"/>
                <w:sz w:val="22"/>
                <w:szCs w:val="22"/>
              </w:rPr>
              <w:t>(939,984)</w:t>
            </w:r>
          </w:p>
        </w:tc>
      </w:tr>
      <w:tr w:rsidR="00B24FF2" w:rsidRPr="00A32E3F" w:rsidTr="003C39AC">
        <w:trPr>
          <w:trHeight w:val="315"/>
        </w:trPr>
        <w:tc>
          <w:tcPr>
            <w:tcW w:w="1740" w:type="dxa"/>
            <w:shd w:val="clear" w:color="auto" w:fill="auto"/>
            <w:noWrap/>
            <w:vAlign w:val="bottom"/>
            <w:hideMark/>
          </w:tcPr>
          <w:p w:rsidR="00B24FF2" w:rsidRPr="00A32E3F" w:rsidRDefault="00B24FF2" w:rsidP="00B24FF2">
            <w:pPr>
              <w:jc w:val="right"/>
              <w:rPr>
                <w:rFonts w:ascii="Calibri" w:hAnsi="Calibri" w:cs="Times New Roman"/>
                <w:b/>
                <w:bCs/>
                <w:color w:val="000000"/>
                <w:sz w:val="22"/>
                <w:szCs w:val="22"/>
              </w:rPr>
            </w:pPr>
            <w:r w:rsidRPr="00A32E3F">
              <w:rPr>
                <w:rFonts w:ascii="Calibri" w:hAnsi="Calibri" w:cs="Times New Roman"/>
                <w:b/>
                <w:bCs/>
                <w:color w:val="000000"/>
                <w:sz w:val="22"/>
                <w:szCs w:val="22"/>
              </w:rPr>
              <w:t>(1,422,192)</w:t>
            </w:r>
          </w:p>
        </w:tc>
        <w:tc>
          <w:tcPr>
            <w:tcW w:w="5400" w:type="dxa"/>
            <w:shd w:val="clear" w:color="auto" w:fill="auto"/>
            <w:noWrap/>
            <w:vAlign w:val="bottom"/>
            <w:hideMark/>
          </w:tcPr>
          <w:p w:rsidR="00B24FF2" w:rsidRPr="00A32E3F" w:rsidRDefault="00B24FF2" w:rsidP="00B24FF2">
            <w:pPr>
              <w:rPr>
                <w:rFonts w:ascii="Calibri" w:hAnsi="Calibri" w:cs="Times New Roman"/>
                <w:b/>
                <w:bCs/>
                <w:color w:val="000000"/>
                <w:sz w:val="22"/>
                <w:szCs w:val="22"/>
              </w:rPr>
            </w:pPr>
            <w:r w:rsidRPr="00A32E3F">
              <w:rPr>
                <w:rFonts w:ascii="Calibri" w:hAnsi="Calibri" w:cs="Times New Roman"/>
                <w:b/>
                <w:bCs/>
                <w:color w:val="000000"/>
                <w:sz w:val="22"/>
                <w:szCs w:val="22"/>
              </w:rPr>
              <w:t xml:space="preserve">Long Term Liabilities </w:t>
            </w:r>
          </w:p>
        </w:tc>
        <w:tc>
          <w:tcPr>
            <w:tcW w:w="1680" w:type="dxa"/>
            <w:shd w:val="clear" w:color="auto" w:fill="auto"/>
            <w:noWrap/>
            <w:vAlign w:val="bottom"/>
            <w:hideMark/>
          </w:tcPr>
          <w:p w:rsidR="00B24FF2" w:rsidRPr="00A32E3F" w:rsidRDefault="00B24FF2" w:rsidP="003C39AC">
            <w:pPr>
              <w:jc w:val="center"/>
              <w:rPr>
                <w:rFonts w:ascii="Calibri" w:hAnsi="Calibri" w:cs="Times New Roman"/>
                <w:b/>
                <w:bCs/>
                <w:color w:val="000000"/>
                <w:sz w:val="22"/>
                <w:szCs w:val="22"/>
              </w:rPr>
            </w:pPr>
          </w:p>
        </w:tc>
        <w:tc>
          <w:tcPr>
            <w:tcW w:w="1740" w:type="dxa"/>
            <w:shd w:val="clear" w:color="auto" w:fill="auto"/>
            <w:noWrap/>
            <w:vAlign w:val="bottom"/>
            <w:hideMark/>
          </w:tcPr>
          <w:p w:rsidR="00B24FF2" w:rsidRPr="00A32E3F" w:rsidRDefault="00B24FF2" w:rsidP="00B24FF2">
            <w:pPr>
              <w:jc w:val="right"/>
              <w:rPr>
                <w:rFonts w:ascii="Calibri" w:hAnsi="Calibri" w:cs="Times New Roman"/>
                <w:b/>
                <w:bCs/>
                <w:color w:val="000000"/>
                <w:sz w:val="22"/>
                <w:szCs w:val="22"/>
              </w:rPr>
            </w:pPr>
            <w:r w:rsidRPr="00A32E3F">
              <w:rPr>
                <w:rFonts w:ascii="Calibri" w:hAnsi="Calibri" w:cs="Times New Roman"/>
                <w:b/>
                <w:bCs/>
                <w:color w:val="000000"/>
                <w:sz w:val="22"/>
                <w:szCs w:val="22"/>
              </w:rPr>
              <w:t>(1,841,835)</w:t>
            </w:r>
          </w:p>
        </w:tc>
      </w:tr>
      <w:tr w:rsidR="00B24FF2" w:rsidRPr="00A32E3F" w:rsidTr="003C39AC">
        <w:trPr>
          <w:trHeight w:val="315"/>
        </w:trPr>
        <w:tc>
          <w:tcPr>
            <w:tcW w:w="1740" w:type="dxa"/>
            <w:shd w:val="clear" w:color="auto" w:fill="auto"/>
            <w:noWrap/>
            <w:vAlign w:val="bottom"/>
            <w:hideMark/>
          </w:tcPr>
          <w:p w:rsidR="00B24FF2" w:rsidRPr="00A32E3F" w:rsidRDefault="00B24FF2" w:rsidP="00B24FF2">
            <w:pPr>
              <w:jc w:val="right"/>
              <w:rPr>
                <w:rFonts w:ascii="Calibri" w:hAnsi="Calibri" w:cs="Times New Roman"/>
                <w:color w:val="000000"/>
                <w:sz w:val="22"/>
                <w:szCs w:val="22"/>
              </w:rPr>
            </w:pPr>
          </w:p>
        </w:tc>
        <w:tc>
          <w:tcPr>
            <w:tcW w:w="5400" w:type="dxa"/>
            <w:shd w:val="clear" w:color="auto" w:fill="auto"/>
            <w:noWrap/>
            <w:vAlign w:val="bottom"/>
            <w:hideMark/>
          </w:tcPr>
          <w:p w:rsidR="00B24FF2" w:rsidRPr="00A32E3F" w:rsidRDefault="00B24FF2" w:rsidP="00B24FF2">
            <w:pPr>
              <w:rPr>
                <w:rFonts w:ascii="Calibri" w:hAnsi="Calibri" w:cs="Times New Roman"/>
                <w:color w:val="000000"/>
                <w:sz w:val="22"/>
                <w:szCs w:val="22"/>
              </w:rPr>
            </w:pPr>
          </w:p>
        </w:tc>
        <w:tc>
          <w:tcPr>
            <w:tcW w:w="1680" w:type="dxa"/>
            <w:shd w:val="clear" w:color="auto" w:fill="auto"/>
            <w:noWrap/>
            <w:vAlign w:val="bottom"/>
            <w:hideMark/>
          </w:tcPr>
          <w:p w:rsidR="00B24FF2" w:rsidRPr="00A32E3F" w:rsidRDefault="00B24FF2" w:rsidP="003C39AC">
            <w:pPr>
              <w:jc w:val="center"/>
              <w:rPr>
                <w:rFonts w:ascii="Calibri" w:hAnsi="Calibri" w:cs="Times New Roman"/>
                <w:color w:val="000000"/>
                <w:sz w:val="22"/>
                <w:szCs w:val="22"/>
              </w:rPr>
            </w:pPr>
          </w:p>
        </w:tc>
        <w:tc>
          <w:tcPr>
            <w:tcW w:w="1740" w:type="dxa"/>
            <w:shd w:val="clear" w:color="auto" w:fill="auto"/>
            <w:noWrap/>
            <w:vAlign w:val="bottom"/>
            <w:hideMark/>
          </w:tcPr>
          <w:p w:rsidR="00B24FF2" w:rsidRPr="00A32E3F" w:rsidRDefault="00B24FF2" w:rsidP="00B24FF2">
            <w:pPr>
              <w:jc w:val="right"/>
              <w:rPr>
                <w:rFonts w:ascii="Calibri" w:hAnsi="Calibri" w:cs="Times New Roman"/>
                <w:color w:val="000000"/>
                <w:sz w:val="22"/>
                <w:szCs w:val="22"/>
              </w:rPr>
            </w:pPr>
          </w:p>
        </w:tc>
      </w:tr>
      <w:tr w:rsidR="00B24FF2" w:rsidRPr="00A32E3F" w:rsidTr="003C39AC">
        <w:trPr>
          <w:trHeight w:val="315"/>
        </w:trPr>
        <w:tc>
          <w:tcPr>
            <w:tcW w:w="1740" w:type="dxa"/>
            <w:shd w:val="clear" w:color="auto" w:fill="auto"/>
            <w:noWrap/>
            <w:vAlign w:val="bottom"/>
            <w:hideMark/>
          </w:tcPr>
          <w:p w:rsidR="00B24FF2" w:rsidRPr="00A32E3F" w:rsidRDefault="00B24FF2" w:rsidP="00E94E25">
            <w:pPr>
              <w:jc w:val="right"/>
              <w:rPr>
                <w:rFonts w:ascii="Calibri" w:hAnsi="Calibri" w:cs="Times New Roman"/>
                <w:b/>
                <w:bCs/>
                <w:color w:val="000000"/>
                <w:sz w:val="22"/>
                <w:szCs w:val="22"/>
              </w:rPr>
            </w:pPr>
            <w:r w:rsidRPr="00A32E3F">
              <w:rPr>
                <w:rFonts w:ascii="Calibri" w:hAnsi="Calibri" w:cs="Times New Roman"/>
                <w:b/>
                <w:bCs/>
                <w:color w:val="000000"/>
                <w:sz w:val="22"/>
                <w:szCs w:val="22"/>
              </w:rPr>
              <w:t>1,1</w:t>
            </w:r>
            <w:r w:rsidR="00E94E25">
              <w:rPr>
                <w:rFonts w:ascii="Calibri" w:hAnsi="Calibri" w:cs="Times New Roman"/>
                <w:b/>
                <w:bCs/>
                <w:color w:val="000000"/>
                <w:sz w:val="22"/>
                <w:szCs w:val="22"/>
              </w:rPr>
              <w:t>22,854</w:t>
            </w:r>
          </w:p>
        </w:tc>
        <w:tc>
          <w:tcPr>
            <w:tcW w:w="5400" w:type="dxa"/>
            <w:shd w:val="clear" w:color="auto" w:fill="auto"/>
            <w:noWrap/>
            <w:vAlign w:val="bottom"/>
            <w:hideMark/>
          </w:tcPr>
          <w:p w:rsidR="00B24FF2" w:rsidRPr="00A32E3F" w:rsidRDefault="00B24FF2" w:rsidP="00B24FF2">
            <w:pPr>
              <w:rPr>
                <w:rFonts w:ascii="Calibri" w:hAnsi="Calibri" w:cs="Times New Roman"/>
                <w:b/>
                <w:bCs/>
                <w:color w:val="000000"/>
                <w:sz w:val="22"/>
                <w:szCs w:val="22"/>
              </w:rPr>
            </w:pPr>
            <w:r w:rsidRPr="00A32E3F">
              <w:rPr>
                <w:rFonts w:ascii="Calibri" w:hAnsi="Calibri" w:cs="Times New Roman"/>
                <w:b/>
                <w:bCs/>
                <w:color w:val="000000"/>
                <w:sz w:val="22"/>
                <w:szCs w:val="22"/>
              </w:rPr>
              <w:t xml:space="preserve">Net Assets </w:t>
            </w:r>
          </w:p>
        </w:tc>
        <w:tc>
          <w:tcPr>
            <w:tcW w:w="1680" w:type="dxa"/>
            <w:shd w:val="clear" w:color="auto" w:fill="auto"/>
            <w:noWrap/>
            <w:vAlign w:val="bottom"/>
            <w:hideMark/>
          </w:tcPr>
          <w:p w:rsidR="00B24FF2" w:rsidRPr="00A32E3F" w:rsidRDefault="00B24FF2" w:rsidP="003C39AC">
            <w:pPr>
              <w:jc w:val="center"/>
              <w:rPr>
                <w:rFonts w:ascii="Calibri" w:hAnsi="Calibri" w:cs="Times New Roman"/>
                <w:b/>
                <w:bCs/>
                <w:color w:val="000000"/>
                <w:sz w:val="22"/>
                <w:szCs w:val="22"/>
              </w:rPr>
            </w:pPr>
          </w:p>
        </w:tc>
        <w:tc>
          <w:tcPr>
            <w:tcW w:w="1740" w:type="dxa"/>
            <w:shd w:val="clear" w:color="auto" w:fill="auto"/>
            <w:noWrap/>
            <w:vAlign w:val="bottom"/>
            <w:hideMark/>
          </w:tcPr>
          <w:p w:rsidR="00B24FF2" w:rsidRPr="00A32E3F" w:rsidRDefault="00B24FF2" w:rsidP="00B24FF2">
            <w:pPr>
              <w:jc w:val="right"/>
              <w:rPr>
                <w:rFonts w:ascii="Calibri" w:hAnsi="Calibri" w:cs="Times New Roman"/>
                <w:b/>
                <w:bCs/>
                <w:color w:val="000000"/>
                <w:sz w:val="22"/>
                <w:szCs w:val="22"/>
              </w:rPr>
            </w:pPr>
            <w:r w:rsidRPr="00A32E3F">
              <w:rPr>
                <w:rFonts w:ascii="Calibri" w:hAnsi="Calibri" w:cs="Times New Roman"/>
                <w:b/>
                <w:bCs/>
                <w:color w:val="000000"/>
                <w:sz w:val="22"/>
                <w:szCs w:val="22"/>
              </w:rPr>
              <w:t>1,029,482</w:t>
            </w:r>
          </w:p>
        </w:tc>
      </w:tr>
      <w:tr w:rsidR="00B24FF2" w:rsidRPr="00A32E3F" w:rsidTr="003C39AC">
        <w:trPr>
          <w:trHeight w:val="300"/>
        </w:trPr>
        <w:tc>
          <w:tcPr>
            <w:tcW w:w="1740" w:type="dxa"/>
            <w:shd w:val="clear" w:color="auto" w:fill="auto"/>
            <w:noWrap/>
            <w:vAlign w:val="bottom"/>
            <w:hideMark/>
          </w:tcPr>
          <w:p w:rsidR="00B24FF2" w:rsidRPr="00A32E3F" w:rsidRDefault="00B24FF2" w:rsidP="00B24FF2">
            <w:pPr>
              <w:jc w:val="right"/>
              <w:rPr>
                <w:rFonts w:ascii="Calibri" w:hAnsi="Calibri" w:cs="Times New Roman"/>
                <w:color w:val="000000"/>
                <w:sz w:val="22"/>
                <w:szCs w:val="22"/>
              </w:rPr>
            </w:pPr>
          </w:p>
        </w:tc>
        <w:tc>
          <w:tcPr>
            <w:tcW w:w="5400" w:type="dxa"/>
            <w:shd w:val="clear" w:color="auto" w:fill="auto"/>
            <w:noWrap/>
            <w:vAlign w:val="bottom"/>
            <w:hideMark/>
          </w:tcPr>
          <w:p w:rsidR="00B24FF2" w:rsidRPr="00A32E3F" w:rsidRDefault="00B24FF2" w:rsidP="00B24FF2">
            <w:pPr>
              <w:rPr>
                <w:rFonts w:ascii="Calibri" w:hAnsi="Calibri" w:cs="Times New Roman"/>
                <w:color w:val="000000"/>
                <w:sz w:val="22"/>
                <w:szCs w:val="22"/>
              </w:rPr>
            </w:pPr>
          </w:p>
        </w:tc>
        <w:tc>
          <w:tcPr>
            <w:tcW w:w="1680" w:type="dxa"/>
            <w:shd w:val="clear" w:color="auto" w:fill="auto"/>
            <w:noWrap/>
            <w:vAlign w:val="bottom"/>
            <w:hideMark/>
          </w:tcPr>
          <w:p w:rsidR="00B24FF2" w:rsidRPr="00A32E3F" w:rsidRDefault="00B24FF2" w:rsidP="003C39AC">
            <w:pPr>
              <w:jc w:val="center"/>
              <w:rPr>
                <w:rFonts w:ascii="Calibri" w:hAnsi="Calibri" w:cs="Times New Roman"/>
                <w:color w:val="000000"/>
                <w:sz w:val="22"/>
                <w:szCs w:val="22"/>
              </w:rPr>
            </w:pPr>
          </w:p>
        </w:tc>
        <w:tc>
          <w:tcPr>
            <w:tcW w:w="1740" w:type="dxa"/>
            <w:shd w:val="clear" w:color="auto" w:fill="auto"/>
            <w:noWrap/>
            <w:vAlign w:val="bottom"/>
            <w:hideMark/>
          </w:tcPr>
          <w:p w:rsidR="00B24FF2" w:rsidRPr="00A32E3F" w:rsidRDefault="00B24FF2" w:rsidP="00B24FF2">
            <w:pPr>
              <w:jc w:val="right"/>
              <w:rPr>
                <w:rFonts w:ascii="Calibri" w:hAnsi="Calibri" w:cs="Times New Roman"/>
                <w:color w:val="000000"/>
                <w:sz w:val="22"/>
                <w:szCs w:val="22"/>
              </w:rPr>
            </w:pPr>
          </w:p>
        </w:tc>
      </w:tr>
      <w:tr w:rsidR="00B24FF2" w:rsidRPr="00A32E3F" w:rsidTr="003C39AC">
        <w:trPr>
          <w:trHeight w:val="300"/>
        </w:trPr>
        <w:tc>
          <w:tcPr>
            <w:tcW w:w="1740" w:type="dxa"/>
            <w:shd w:val="clear" w:color="auto" w:fill="auto"/>
            <w:noWrap/>
            <w:vAlign w:val="bottom"/>
            <w:hideMark/>
          </w:tcPr>
          <w:p w:rsidR="00B24FF2" w:rsidRPr="00A32E3F" w:rsidRDefault="00B24FF2" w:rsidP="00E94E25">
            <w:pPr>
              <w:jc w:val="right"/>
              <w:rPr>
                <w:rFonts w:ascii="Calibri" w:hAnsi="Calibri" w:cs="Times New Roman"/>
                <w:color w:val="000000"/>
                <w:sz w:val="22"/>
                <w:szCs w:val="22"/>
              </w:rPr>
            </w:pPr>
            <w:r w:rsidRPr="00A32E3F">
              <w:rPr>
                <w:rFonts w:ascii="Calibri" w:hAnsi="Calibri" w:cs="Times New Roman"/>
                <w:color w:val="000000"/>
                <w:sz w:val="22"/>
                <w:szCs w:val="22"/>
              </w:rPr>
              <w:lastRenderedPageBreak/>
              <w:t>(3</w:t>
            </w:r>
            <w:r w:rsidR="00E94E25">
              <w:rPr>
                <w:rFonts w:ascii="Calibri" w:hAnsi="Calibri" w:cs="Times New Roman"/>
                <w:color w:val="000000"/>
                <w:sz w:val="22"/>
                <w:szCs w:val="22"/>
              </w:rPr>
              <w:t>26</w:t>
            </w:r>
            <w:r w:rsidRPr="00A32E3F">
              <w:rPr>
                <w:rFonts w:ascii="Calibri" w:hAnsi="Calibri" w:cs="Times New Roman"/>
                <w:color w:val="000000"/>
                <w:sz w:val="22"/>
                <w:szCs w:val="22"/>
              </w:rPr>
              <w:t>,</w:t>
            </w:r>
            <w:r w:rsidR="00E94E25">
              <w:rPr>
                <w:rFonts w:ascii="Calibri" w:hAnsi="Calibri" w:cs="Times New Roman"/>
                <w:color w:val="000000"/>
                <w:sz w:val="22"/>
                <w:szCs w:val="22"/>
              </w:rPr>
              <w:t>054</w:t>
            </w:r>
            <w:r w:rsidRPr="00A32E3F">
              <w:rPr>
                <w:rFonts w:ascii="Calibri" w:hAnsi="Calibri" w:cs="Times New Roman"/>
                <w:color w:val="000000"/>
                <w:sz w:val="22"/>
                <w:szCs w:val="22"/>
              </w:rPr>
              <w:t>)</w:t>
            </w:r>
          </w:p>
        </w:tc>
        <w:tc>
          <w:tcPr>
            <w:tcW w:w="5400" w:type="dxa"/>
            <w:shd w:val="clear" w:color="auto" w:fill="auto"/>
            <w:noWrap/>
            <w:vAlign w:val="bottom"/>
            <w:hideMark/>
          </w:tcPr>
          <w:p w:rsidR="00B24FF2" w:rsidRPr="00A32E3F" w:rsidRDefault="00B24FF2" w:rsidP="00B24FF2">
            <w:pPr>
              <w:rPr>
                <w:rFonts w:ascii="Calibri" w:hAnsi="Calibri" w:cs="Times New Roman"/>
                <w:color w:val="000000"/>
                <w:sz w:val="22"/>
                <w:szCs w:val="22"/>
              </w:rPr>
            </w:pPr>
            <w:r w:rsidRPr="00A32E3F">
              <w:rPr>
                <w:rFonts w:ascii="Calibri" w:hAnsi="Calibri" w:cs="Times New Roman"/>
                <w:color w:val="000000"/>
                <w:sz w:val="22"/>
                <w:szCs w:val="22"/>
              </w:rPr>
              <w:t>Usable Reserves</w:t>
            </w:r>
          </w:p>
        </w:tc>
        <w:tc>
          <w:tcPr>
            <w:tcW w:w="1680" w:type="dxa"/>
            <w:shd w:val="clear" w:color="auto" w:fill="auto"/>
            <w:noWrap/>
            <w:vAlign w:val="bottom"/>
            <w:hideMark/>
          </w:tcPr>
          <w:p w:rsidR="00B24FF2" w:rsidRPr="00A32E3F" w:rsidRDefault="004D131E" w:rsidP="003C39AC">
            <w:pPr>
              <w:jc w:val="center"/>
              <w:rPr>
                <w:rFonts w:ascii="Calibri" w:hAnsi="Calibri" w:cs="Times New Roman"/>
                <w:color w:val="000000"/>
                <w:sz w:val="22"/>
                <w:szCs w:val="22"/>
              </w:rPr>
            </w:pPr>
            <w:r>
              <w:rPr>
                <w:rFonts w:ascii="Calibri" w:hAnsi="Calibri" w:cs="Times New Roman"/>
                <w:color w:val="000000"/>
                <w:sz w:val="22"/>
                <w:szCs w:val="22"/>
              </w:rPr>
              <w:t>9, 11</w:t>
            </w:r>
          </w:p>
        </w:tc>
        <w:tc>
          <w:tcPr>
            <w:tcW w:w="1740" w:type="dxa"/>
            <w:shd w:val="clear" w:color="auto" w:fill="auto"/>
            <w:noWrap/>
            <w:vAlign w:val="bottom"/>
            <w:hideMark/>
          </w:tcPr>
          <w:p w:rsidR="00B24FF2" w:rsidRPr="00A32E3F" w:rsidRDefault="00B24FF2" w:rsidP="00B24FF2">
            <w:pPr>
              <w:jc w:val="right"/>
              <w:rPr>
                <w:rFonts w:ascii="Calibri" w:hAnsi="Calibri" w:cs="Times New Roman"/>
                <w:color w:val="000000"/>
                <w:sz w:val="22"/>
                <w:szCs w:val="22"/>
              </w:rPr>
            </w:pPr>
            <w:r w:rsidRPr="00A32E3F">
              <w:rPr>
                <w:rFonts w:ascii="Calibri" w:hAnsi="Calibri" w:cs="Times New Roman"/>
                <w:color w:val="000000"/>
                <w:sz w:val="22"/>
                <w:szCs w:val="22"/>
              </w:rPr>
              <w:t>(436,671)</w:t>
            </w:r>
          </w:p>
        </w:tc>
      </w:tr>
      <w:tr w:rsidR="00B24FF2" w:rsidRPr="00A32E3F" w:rsidTr="003C39AC">
        <w:trPr>
          <w:trHeight w:val="315"/>
        </w:trPr>
        <w:tc>
          <w:tcPr>
            <w:tcW w:w="1740" w:type="dxa"/>
            <w:shd w:val="clear" w:color="auto" w:fill="auto"/>
            <w:noWrap/>
            <w:vAlign w:val="bottom"/>
            <w:hideMark/>
          </w:tcPr>
          <w:p w:rsidR="00B24FF2" w:rsidRPr="00A32E3F" w:rsidRDefault="00B24FF2" w:rsidP="00E94E25">
            <w:pPr>
              <w:jc w:val="right"/>
              <w:rPr>
                <w:rFonts w:ascii="Calibri" w:hAnsi="Calibri" w:cs="Times New Roman"/>
                <w:color w:val="000000"/>
                <w:sz w:val="22"/>
                <w:szCs w:val="22"/>
              </w:rPr>
            </w:pPr>
            <w:r w:rsidRPr="00A32E3F">
              <w:rPr>
                <w:rFonts w:ascii="Calibri" w:hAnsi="Calibri" w:cs="Times New Roman"/>
                <w:color w:val="000000"/>
                <w:sz w:val="22"/>
                <w:szCs w:val="22"/>
              </w:rPr>
              <w:t>(</w:t>
            </w:r>
            <w:r w:rsidR="00E94E25">
              <w:rPr>
                <w:rFonts w:ascii="Calibri" w:hAnsi="Calibri" w:cs="Times New Roman"/>
                <w:color w:val="000000"/>
                <w:sz w:val="22"/>
                <w:szCs w:val="22"/>
              </w:rPr>
              <w:t>796,800</w:t>
            </w:r>
            <w:r w:rsidRPr="00A32E3F">
              <w:rPr>
                <w:rFonts w:ascii="Calibri" w:hAnsi="Calibri" w:cs="Times New Roman"/>
                <w:color w:val="000000"/>
                <w:sz w:val="22"/>
                <w:szCs w:val="22"/>
              </w:rPr>
              <w:t>)</w:t>
            </w:r>
          </w:p>
        </w:tc>
        <w:tc>
          <w:tcPr>
            <w:tcW w:w="5400" w:type="dxa"/>
            <w:shd w:val="clear" w:color="auto" w:fill="auto"/>
            <w:noWrap/>
            <w:vAlign w:val="bottom"/>
            <w:hideMark/>
          </w:tcPr>
          <w:p w:rsidR="00B24FF2" w:rsidRPr="00A32E3F" w:rsidRDefault="00B24FF2" w:rsidP="00B24FF2">
            <w:pPr>
              <w:rPr>
                <w:rFonts w:ascii="Calibri" w:hAnsi="Calibri" w:cs="Times New Roman"/>
                <w:color w:val="000000"/>
                <w:sz w:val="22"/>
                <w:szCs w:val="22"/>
              </w:rPr>
            </w:pPr>
            <w:r w:rsidRPr="00A32E3F">
              <w:rPr>
                <w:rFonts w:ascii="Calibri" w:hAnsi="Calibri" w:cs="Times New Roman"/>
                <w:color w:val="000000"/>
                <w:sz w:val="22"/>
                <w:szCs w:val="22"/>
              </w:rPr>
              <w:t xml:space="preserve">Unusable Reserves </w:t>
            </w:r>
          </w:p>
        </w:tc>
        <w:tc>
          <w:tcPr>
            <w:tcW w:w="1680" w:type="dxa"/>
            <w:shd w:val="clear" w:color="auto" w:fill="auto"/>
            <w:noWrap/>
            <w:vAlign w:val="bottom"/>
            <w:hideMark/>
          </w:tcPr>
          <w:p w:rsidR="00B24FF2" w:rsidRPr="00A32E3F" w:rsidRDefault="004D131E" w:rsidP="003C39AC">
            <w:pPr>
              <w:jc w:val="center"/>
              <w:rPr>
                <w:rFonts w:ascii="Calibri" w:hAnsi="Calibri" w:cs="Times New Roman"/>
                <w:color w:val="000000"/>
                <w:sz w:val="22"/>
                <w:szCs w:val="22"/>
              </w:rPr>
            </w:pPr>
            <w:r>
              <w:rPr>
                <w:rFonts w:ascii="Calibri" w:hAnsi="Calibri" w:cs="Times New Roman"/>
                <w:color w:val="000000"/>
                <w:sz w:val="22"/>
                <w:szCs w:val="22"/>
              </w:rPr>
              <w:t>5</w:t>
            </w:r>
            <w:r w:rsidR="00081393">
              <w:rPr>
                <w:rFonts w:ascii="Calibri" w:hAnsi="Calibri" w:cs="Times New Roman"/>
                <w:color w:val="000000"/>
                <w:sz w:val="22"/>
                <w:szCs w:val="22"/>
              </w:rPr>
              <w:t>4</w:t>
            </w:r>
          </w:p>
        </w:tc>
        <w:tc>
          <w:tcPr>
            <w:tcW w:w="1740" w:type="dxa"/>
            <w:shd w:val="clear" w:color="auto" w:fill="auto"/>
            <w:noWrap/>
            <w:vAlign w:val="bottom"/>
            <w:hideMark/>
          </w:tcPr>
          <w:p w:rsidR="00B24FF2" w:rsidRPr="00A32E3F" w:rsidRDefault="00B24FF2" w:rsidP="00B24FF2">
            <w:pPr>
              <w:jc w:val="right"/>
              <w:rPr>
                <w:rFonts w:ascii="Calibri" w:hAnsi="Calibri" w:cs="Times New Roman"/>
                <w:color w:val="000000"/>
                <w:sz w:val="22"/>
                <w:szCs w:val="22"/>
              </w:rPr>
            </w:pPr>
            <w:r w:rsidRPr="00A32E3F">
              <w:rPr>
                <w:rFonts w:ascii="Calibri" w:hAnsi="Calibri" w:cs="Times New Roman"/>
                <w:color w:val="000000"/>
                <w:sz w:val="22"/>
                <w:szCs w:val="22"/>
              </w:rPr>
              <w:t>(592,811)</w:t>
            </w:r>
          </w:p>
        </w:tc>
      </w:tr>
      <w:tr w:rsidR="00B24FF2" w:rsidRPr="00A32E3F" w:rsidTr="006B7921">
        <w:trPr>
          <w:trHeight w:val="315"/>
        </w:trPr>
        <w:tc>
          <w:tcPr>
            <w:tcW w:w="1740" w:type="dxa"/>
            <w:shd w:val="clear" w:color="auto" w:fill="auto"/>
            <w:noWrap/>
            <w:vAlign w:val="bottom"/>
            <w:hideMark/>
          </w:tcPr>
          <w:p w:rsidR="00B24FF2" w:rsidRPr="00A32E3F" w:rsidRDefault="00B24FF2" w:rsidP="00E94E25">
            <w:pPr>
              <w:jc w:val="right"/>
              <w:rPr>
                <w:rFonts w:ascii="Calibri" w:hAnsi="Calibri" w:cs="Times New Roman"/>
                <w:b/>
                <w:bCs/>
                <w:color w:val="000000"/>
                <w:sz w:val="22"/>
                <w:szCs w:val="22"/>
              </w:rPr>
            </w:pPr>
            <w:r w:rsidRPr="00A32E3F">
              <w:rPr>
                <w:rFonts w:ascii="Calibri" w:hAnsi="Calibri" w:cs="Times New Roman"/>
                <w:b/>
                <w:bCs/>
                <w:color w:val="000000"/>
                <w:sz w:val="22"/>
                <w:szCs w:val="22"/>
              </w:rPr>
              <w:t>(1,1</w:t>
            </w:r>
            <w:r w:rsidR="00E94E25">
              <w:rPr>
                <w:rFonts w:ascii="Calibri" w:hAnsi="Calibri" w:cs="Times New Roman"/>
                <w:b/>
                <w:bCs/>
                <w:color w:val="000000"/>
                <w:sz w:val="22"/>
                <w:szCs w:val="22"/>
              </w:rPr>
              <w:t>22</w:t>
            </w:r>
            <w:r w:rsidRPr="00A32E3F">
              <w:rPr>
                <w:rFonts w:ascii="Calibri" w:hAnsi="Calibri" w:cs="Times New Roman"/>
                <w:b/>
                <w:bCs/>
                <w:color w:val="000000"/>
                <w:sz w:val="22"/>
                <w:szCs w:val="22"/>
              </w:rPr>
              <w:t>,</w:t>
            </w:r>
            <w:r w:rsidR="00E94E25">
              <w:rPr>
                <w:rFonts w:ascii="Calibri" w:hAnsi="Calibri" w:cs="Times New Roman"/>
                <w:b/>
                <w:bCs/>
                <w:color w:val="000000"/>
                <w:sz w:val="22"/>
                <w:szCs w:val="22"/>
              </w:rPr>
              <w:t>854</w:t>
            </w:r>
            <w:r w:rsidRPr="00A32E3F">
              <w:rPr>
                <w:rFonts w:ascii="Calibri" w:hAnsi="Calibri" w:cs="Times New Roman"/>
                <w:b/>
                <w:bCs/>
                <w:color w:val="000000"/>
                <w:sz w:val="22"/>
                <w:szCs w:val="22"/>
              </w:rPr>
              <w:t>)</w:t>
            </w:r>
          </w:p>
        </w:tc>
        <w:tc>
          <w:tcPr>
            <w:tcW w:w="5400" w:type="dxa"/>
            <w:shd w:val="clear" w:color="auto" w:fill="auto"/>
            <w:noWrap/>
            <w:vAlign w:val="bottom"/>
            <w:hideMark/>
          </w:tcPr>
          <w:p w:rsidR="00B24FF2" w:rsidRPr="00A32E3F" w:rsidRDefault="00B24FF2" w:rsidP="00B24FF2">
            <w:pPr>
              <w:rPr>
                <w:rFonts w:ascii="Calibri" w:hAnsi="Calibri" w:cs="Times New Roman"/>
                <w:b/>
                <w:bCs/>
                <w:color w:val="000000"/>
                <w:sz w:val="22"/>
                <w:szCs w:val="22"/>
              </w:rPr>
            </w:pPr>
            <w:r w:rsidRPr="00A32E3F">
              <w:rPr>
                <w:rFonts w:ascii="Calibri" w:hAnsi="Calibri" w:cs="Times New Roman"/>
                <w:b/>
                <w:bCs/>
                <w:color w:val="000000"/>
                <w:sz w:val="22"/>
                <w:szCs w:val="22"/>
              </w:rPr>
              <w:t xml:space="preserve">Total Reserves </w:t>
            </w:r>
          </w:p>
        </w:tc>
        <w:tc>
          <w:tcPr>
            <w:tcW w:w="1680" w:type="dxa"/>
            <w:shd w:val="clear" w:color="auto" w:fill="auto"/>
            <w:noWrap/>
            <w:vAlign w:val="bottom"/>
            <w:hideMark/>
          </w:tcPr>
          <w:p w:rsidR="00B24FF2" w:rsidRPr="00A32E3F" w:rsidRDefault="00B24FF2" w:rsidP="00B24FF2">
            <w:pPr>
              <w:rPr>
                <w:rFonts w:ascii="Calibri" w:hAnsi="Calibri" w:cs="Times New Roman"/>
                <w:b/>
                <w:bCs/>
                <w:color w:val="000000"/>
                <w:sz w:val="22"/>
                <w:szCs w:val="22"/>
              </w:rPr>
            </w:pPr>
            <w:r w:rsidRPr="00A32E3F">
              <w:rPr>
                <w:rFonts w:ascii="Calibri" w:hAnsi="Calibri" w:cs="Times New Roman"/>
                <w:b/>
                <w:bCs/>
                <w:color w:val="000000"/>
                <w:sz w:val="22"/>
                <w:szCs w:val="22"/>
              </w:rPr>
              <w:t> </w:t>
            </w:r>
          </w:p>
        </w:tc>
        <w:tc>
          <w:tcPr>
            <w:tcW w:w="1740" w:type="dxa"/>
            <w:shd w:val="clear" w:color="auto" w:fill="auto"/>
            <w:noWrap/>
            <w:vAlign w:val="bottom"/>
            <w:hideMark/>
          </w:tcPr>
          <w:p w:rsidR="00B24FF2" w:rsidRPr="00A32E3F" w:rsidRDefault="00B24FF2" w:rsidP="00B24FF2">
            <w:pPr>
              <w:jc w:val="right"/>
              <w:rPr>
                <w:rFonts w:ascii="Calibri" w:hAnsi="Calibri" w:cs="Times New Roman"/>
                <w:b/>
                <w:bCs/>
                <w:color w:val="000000"/>
                <w:sz w:val="22"/>
                <w:szCs w:val="22"/>
              </w:rPr>
            </w:pPr>
            <w:r w:rsidRPr="00A32E3F">
              <w:rPr>
                <w:rFonts w:ascii="Calibri" w:hAnsi="Calibri" w:cs="Times New Roman"/>
                <w:b/>
                <w:bCs/>
                <w:color w:val="000000"/>
                <w:sz w:val="22"/>
                <w:szCs w:val="22"/>
              </w:rPr>
              <w:t>(1,029,482)</w:t>
            </w:r>
          </w:p>
        </w:tc>
      </w:tr>
    </w:tbl>
    <w:p w:rsidR="00AE6578" w:rsidRPr="00A32E3F" w:rsidRDefault="00AE6578" w:rsidP="00353A8C">
      <w:pPr>
        <w:rPr>
          <w:b/>
          <w:sz w:val="22"/>
        </w:rPr>
      </w:pPr>
    </w:p>
    <w:p w:rsidR="00C739D6" w:rsidRPr="00A32E3F" w:rsidRDefault="00C739D6" w:rsidP="00353A8C">
      <w:pPr>
        <w:rPr>
          <w:b/>
          <w:sz w:val="22"/>
        </w:rPr>
      </w:pPr>
    </w:p>
    <w:p w:rsidR="00C739D6" w:rsidRPr="00A32E3F" w:rsidRDefault="00C739D6" w:rsidP="00353A8C">
      <w:pPr>
        <w:rPr>
          <w:b/>
          <w:sz w:val="22"/>
        </w:rPr>
      </w:pPr>
    </w:p>
    <w:p w:rsidR="001648EA" w:rsidRPr="00A32E3F" w:rsidRDefault="001648EA" w:rsidP="001648EA">
      <w:pPr>
        <w:rPr>
          <w:b/>
          <w:sz w:val="22"/>
        </w:rPr>
      </w:pPr>
    </w:p>
    <w:p w:rsidR="001648EA" w:rsidRPr="00A32E3F" w:rsidRDefault="001648EA" w:rsidP="001648EA">
      <w:pPr>
        <w:rPr>
          <w:b/>
          <w:sz w:val="22"/>
        </w:rPr>
      </w:pPr>
    </w:p>
    <w:p w:rsidR="001648EA" w:rsidRPr="00A32E3F" w:rsidRDefault="00674851" w:rsidP="00674851">
      <w:r w:rsidRPr="00A32E3F">
        <w:t>*</w:t>
      </w:r>
      <w:r w:rsidR="00A744F9" w:rsidRPr="00A32E3F">
        <w:t>Note -</w:t>
      </w:r>
      <w:r w:rsidR="001648EA" w:rsidRPr="00A32E3F">
        <w:t xml:space="preserve"> the actual Movement in Reserves Statement also provides details of the movements in the Usable Reserves.</w:t>
      </w:r>
    </w:p>
    <w:p w:rsidR="00AE6578" w:rsidRPr="00A32E3F" w:rsidRDefault="00AE6578" w:rsidP="001648EA">
      <w:pPr>
        <w:rPr>
          <w:b/>
          <w:sz w:val="22"/>
        </w:rPr>
      </w:pPr>
    </w:p>
    <w:p w:rsidR="00AE6578" w:rsidRPr="00A32E3F" w:rsidRDefault="00AE6578" w:rsidP="00353A8C">
      <w:pPr>
        <w:rPr>
          <w:b/>
          <w:sz w:val="22"/>
        </w:rPr>
      </w:pPr>
    </w:p>
    <w:p w:rsidR="00F67DB5" w:rsidRPr="00A32E3F" w:rsidRDefault="00F67DB5" w:rsidP="00C64115">
      <w:pPr>
        <w:rPr>
          <w:b/>
        </w:rPr>
      </w:pPr>
    </w:p>
    <w:p w:rsidR="00F67DB5" w:rsidRPr="00A32E3F" w:rsidRDefault="00F67DB5" w:rsidP="00C64115">
      <w:pPr>
        <w:rPr>
          <w:b/>
        </w:rPr>
      </w:pPr>
    </w:p>
    <w:p w:rsidR="00F67DB5" w:rsidRPr="00A32E3F" w:rsidRDefault="00F67DB5" w:rsidP="00C64115">
      <w:pPr>
        <w:rPr>
          <w:b/>
        </w:rPr>
      </w:pPr>
    </w:p>
    <w:p w:rsidR="007B67EA" w:rsidRPr="00A32E3F" w:rsidRDefault="007B67EA" w:rsidP="00C64115">
      <w:pPr>
        <w:rPr>
          <w:b/>
        </w:rPr>
      </w:pPr>
    </w:p>
    <w:p w:rsidR="007B67EA" w:rsidRPr="00A32E3F" w:rsidRDefault="007B67EA" w:rsidP="00C64115">
      <w:pPr>
        <w:rPr>
          <w:b/>
        </w:rPr>
      </w:pPr>
    </w:p>
    <w:p w:rsidR="007B67EA" w:rsidRPr="00A32E3F" w:rsidRDefault="007B67EA" w:rsidP="00C64115">
      <w:pPr>
        <w:rPr>
          <w:b/>
        </w:rPr>
      </w:pPr>
    </w:p>
    <w:p w:rsidR="007B67EA" w:rsidRPr="00A32E3F" w:rsidRDefault="007B67EA" w:rsidP="00C64115">
      <w:pPr>
        <w:rPr>
          <w:b/>
        </w:rPr>
      </w:pPr>
    </w:p>
    <w:p w:rsidR="007B67EA" w:rsidRPr="00A32E3F" w:rsidRDefault="007B67EA" w:rsidP="00C64115">
      <w:pPr>
        <w:rPr>
          <w:b/>
        </w:rPr>
      </w:pPr>
    </w:p>
    <w:p w:rsidR="007B67EA" w:rsidRPr="00A32E3F" w:rsidRDefault="007B67EA" w:rsidP="00C64115">
      <w:pPr>
        <w:rPr>
          <w:b/>
        </w:rPr>
      </w:pPr>
    </w:p>
    <w:p w:rsidR="007B67EA" w:rsidRPr="00A32E3F" w:rsidRDefault="007B67EA" w:rsidP="00C64115">
      <w:pPr>
        <w:rPr>
          <w:b/>
        </w:rPr>
      </w:pPr>
    </w:p>
    <w:p w:rsidR="007B67EA" w:rsidRPr="00A32E3F" w:rsidRDefault="007B67EA" w:rsidP="00C64115">
      <w:pPr>
        <w:rPr>
          <w:b/>
        </w:rPr>
      </w:pPr>
    </w:p>
    <w:p w:rsidR="007B67EA" w:rsidRPr="00A32E3F" w:rsidRDefault="007B67EA" w:rsidP="00C64115">
      <w:pPr>
        <w:rPr>
          <w:b/>
        </w:rPr>
      </w:pPr>
    </w:p>
    <w:p w:rsidR="007B67EA" w:rsidRPr="00A32E3F" w:rsidRDefault="007B67EA" w:rsidP="00C64115">
      <w:pPr>
        <w:rPr>
          <w:b/>
        </w:rPr>
      </w:pPr>
    </w:p>
    <w:p w:rsidR="007B67EA" w:rsidRPr="00A32E3F" w:rsidRDefault="007B67EA" w:rsidP="00C64115">
      <w:pPr>
        <w:rPr>
          <w:b/>
        </w:rPr>
      </w:pPr>
    </w:p>
    <w:p w:rsidR="007B67EA" w:rsidRPr="00A32E3F" w:rsidRDefault="007B67EA" w:rsidP="00C64115">
      <w:pPr>
        <w:rPr>
          <w:b/>
        </w:rPr>
      </w:pPr>
    </w:p>
    <w:p w:rsidR="007B67EA" w:rsidRPr="00A32E3F" w:rsidRDefault="007B67EA" w:rsidP="00C64115">
      <w:pPr>
        <w:rPr>
          <w:b/>
        </w:rPr>
      </w:pPr>
    </w:p>
    <w:p w:rsidR="007B67EA" w:rsidRPr="00A32E3F" w:rsidRDefault="007B67EA" w:rsidP="00C64115">
      <w:pPr>
        <w:rPr>
          <w:b/>
        </w:rPr>
      </w:pPr>
    </w:p>
    <w:p w:rsidR="007B67EA" w:rsidRPr="00A32E3F" w:rsidRDefault="007B67EA" w:rsidP="00C64115">
      <w:pPr>
        <w:rPr>
          <w:b/>
        </w:rPr>
      </w:pPr>
    </w:p>
    <w:p w:rsidR="007B67EA" w:rsidRPr="00A32E3F" w:rsidRDefault="007B67EA" w:rsidP="00C64115">
      <w:pPr>
        <w:rPr>
          <w:b/>
        </w:rPr>
      </w:pPr>
    </w:p>
    <w:p w:rsidR="007B67EA" w:rsidRPr="00A32E3F" w:rsidRDefault="007B67EA" w:rsidP="00C64115">
      <w:pPr>
        <w:rPr>
          <w:b/>
        </w:rPr>
      </w:pPr>
    </w:p>
    <w:p w:rsidR="007B67EA" w:rsidRPr="00A32E3F" w:rsidRDefault="007B67EA" w:rsidP="00C64115">
      <w:pPr>
        <w:rPr>
          <w:b/>
        </w:rPr>
      </w:pPr>
    </w:p>
    <w:p w:rsidR="007B67EA" w:rsidRPr="00A32E3F" w:rsidRDefault="007B67EA" w:rsidP="00C64115">
      <w:pPr>
        <w:rPr>
          <w:b/>
        </w:rPr>
      </w:pPr>
    </w:p>
    <w:p w:rsidR="007B67EA" w:rsidRPr="00A32E3F" w:rsidRDefault="007B67EA" w:rsidP="00C64115">
      <w:pPr>
        <w:rPr>
          <w:b/>
        </w:rPr>
      </w:pPr>
    </w:p>
    <w:p w:rsidR="007B67EA" w:rsidRPr="00A32E3F" w:rsidRDefault="007B67EA" w:rsidP="00C64115">
      <w:pPr>
        <w:rPr>
          <w:b/>
        </w:rPr>
      </w:pPr>
    </w:p>
    <w:p w:rsidR="007B67EA" w:rsidRPr="00A32E3F" w:rsidRDefault="007B67EA" w:rsidP="00C64115">
      <w:pPr>
        <w:rPr>
          <w:b/>
        </w:rPr>
      </w:pPr>
    </w:p>
    <w:p w:rsidR="007B67EA" w:rsidRPr="00A32E3F" w:rsidRDefault="007B67EA" w:rsidP="00C64115">
      <w:pPr>
        <w:rPr>
          <w:b/>
        </w:rPr>
      </w:pPr>
    </w:p>
    <w:p w:rsidR="007B67EA" w:rsidRPr="00A32E3F" w:rsidRDefault="007B67EA" w:rsidP="00C64115">
      <w:pPr>
        <w:rPr>
          <w:b/>
        </w:rPr>
      </w:pPr>
    </w:p>
    <w:p w:rsidR="007B67EA" w:rsidRPr="00A32E3F" w:rsidRDefault="007B67EA" w:rsidP="00C64115">
      <w:pPr>
        <w:rPr>
          <w:b/>
        </w:rPr>
      </w:pPr>
    </w:p>
    <w:p w:rsidR="007B67EA" w:rsidRPr="00A32E3F" w:rsidRDefault="007B67EA" w:rsidP="00C64115">
      <w:pPr>
        <w:rPr>
          <w:b/>
        </w:rPr>
      </w:pPr>
    </w:p>
    <w:p w:rsidR="007B67EA" w:rsidRPr="00A32E3F" w:rsidRDefault="007B67EA" w:rsidP="00C64115">
      <w:pPr>
        <w:rPr>
          <w:b/>
        </w:rPr>
      </w:pPr>
    </w:p>
    <w:p w:rsidR="00F67DB5" w:rsidRPr="00A32E3F" w:rsidRDefault="00F67DB5" w:rsidP="00C64115">
      <w:pPr>
        <w:rPr>
          <w:b/>
        </w:rPr>
      </w:pPr>
    </w:p>
    <w:p w:rsidR="00F67DB5" w:rsidRPr="00A32E3F" w:rsidRDefault="00F67DB5" w:rsidP="00C64115">
      <w:pPr>
        <w:rPr>
          <w:b/>
        </w:rPr>
      </w:pPr>
    </w:p>
    <w:p w:rsidR="00F67DB5" w:rsidRDefault="00F67DB5" w:rsidP="00C64115">
      <w:pPr>
        <w:rPr>
          <w:b/>
        </w:rPr>
      </w:pPr>
    </w:p>
    <w:p w:rsidR="006B7921" w:rsidRPr="00A32E3F" w:rsidRDefault="006B7921" w:rsidP="00C64115">
      <w:pPr>
        <w:rPr>
          <w:b/>
        </w:rPr>
      </w:pPr>
    </w:p>
    <w:p w:rsidR="00F67DB5" w:rsidRDefault="00F67DB5" w:rsidP="00C64115">
      <w:pPr>
        <w:rPr>
          <w:b/>
        </w:rPr>
      </w:pPr>
    </w:p>
    <w:p w:rsidR="00F60E01" w:rsidRDefault="00F60E01" w:rsidP="00C64115">
      <w:pPr>
        <w:rPr>
          <w:b/>
        </w:rPr>
      </w:pPr>
    </w:p>
    <w:p w:rsidR="00F60E01" w:rsidRPr="00A32E3F" w:rsidRDefault="00F60E01" w:rsidP="00C64115">
      <w:pPr>
        <w:rPr>
          <w:b/>
        </w:rPr>
      </w:pPr>
    </w:p>
    <w:p w:rsidR="00F67DB5" w:rsidRPr="00A32E3F" w:rsidRDefault="00F67DB5" w:rsidP="00C64115">
      <w:pPr>
        <w:rPr>
          <w:b/>
        </w:rPr>
      </w:pPr>
    </w:p>
    <w:p w:rsidR="00F67DB5" w:rsidRPr="00A32E3F" w:rsidRDefault="00F67DB5" w:rsidP="00C64115">
      <w:pPr>
        <w:rPr>
          <w:b/>
        </w:rPr>
      </w:pPr>
    </w:p>
    <w:p w:rsidR="00C64115" w:rsidRPr="00A32E3F" w:rsidRDefault="00C64115" w:rsidP="00C64115">
      <w:pPr>
        <w:rPr>
          <w:b/>
        </w:rPr>
      </w:pPr>
      <w:r w:rsidRPr="00A32E3F">
        <w:rPr>
          <w:b/>
        </w:rPr>
        <w:t xml:space="preserve">Cash </w:t>
      </w:r>
      <w:r w:rsidR="00D4652A" w:rsidRPr="00A32E3F">
        <w:rPr>
          <w:b/>
        </w:rPr>
        <w:t>flow statement</w:t>
      </w:r>
    </w:p>
    <w:p w:rsidR="006E3F56" w:rsidRPr="00A32E3F" w:rsidRDefault="006E3F56" w:rsidP="006E3F56"/>
    <w:tbl>
      <w:tblPr>
        <w:tblW w:w="10456" w:type="dxa"/>
        <w:tblLayout w:type="fixed"/>
        <w:tblLook w:val="04A0"/>
      </w:tblPr>
      <w:tblGrid>
        <w:gridCol w:w="1526"/>
        <w:gridCol w:w="6379"/>
        <w:gridCol w:w="992"/>
        <w:gridCol w:w="1559"/>
      </w:tblGrid>
      <w:tr w:rsidR="0094167B" w:rsidRPr="00A32E3F" w:rsidTr="00EE5F45">
        <w:tc>
          <w:tcPr>
            <w:tcW w:w="1526" w:type="dxa"/>
          </w:tcPr>
          <w:p w:rsidR="0094167B" w:rsidRPr="00A32E3F" w:rsidRDefault="00837DF5" w:rsidP="00837DF5">
            <w:pPr>
              <w:jc w:val="center"/>
              <w:rPr>
                <w:b/>
              </w:rPr>
            </w:pPr>
            <w:r w:rsidRPr="00A32E3F">
              <w:rPr>
                <w:b/>
              </w:rPr>
              <w:t>2010</w:t>
            </w:r>
            <w:r w:rsidR="0094167B" w:rsidRPr="00A32E3F">
              <w:rPr>
                <w:b/>
              </w:rPr>
              <w:t>/1</w:t>
            </w:r>
            <w:r w:rsidRPr="00A32E3F">
              <w:rPr>
                <w:b/>
              </w:rPr>
              <w:t>1</w:t>
            </w:r>
            <w:r w:rsidR="0094167B" w:rsidRPr="00A32E3F">
              <w:rPr>
                <w:b/>
              </w:rPr>
              <w:t xml:space="preserve"> restated</w:t>
            </w:r>
          </w:p>
        </w:tc>
        <w:tc>
          <w:tcPr>
            <w:tcW w:w="6379" w:type="dxa"/>
          </w:tcPr>
          <w:p w:rsidR="0094167B" w:rsidRPr="00A32E3F" w:rsidRDefault="0094167B" w:rsidP="006E3F56">
            <w:pPr>
              <w:rPr>
                <w:b/>
              </w:rPr>
            </w:pPr>
          </w:p>
        </w:tc>
        <w:tc>
          <w:tcPr>
            <w:tcW w:w="992" w:type="dxa"/>
          </w:tcPr>
          <w:p w:rsidR="0094167B" w:rsidRPr="00A32E3F" w:rsidRDefault="0094167B" w:rsidP="006E3F56">
            <w:pPr>
              <w:jc w:val="center"/>
              <w:rPr>
                <w:b/>
              </w:rPr>
            </w:pPr>
          </w:p>
        </w:tc>
        <w:tc>
          <w:tcPr>
            <w:tcW w:w="1559" w:type="dxa"/>
          </w:tcPr>
          <w:p w:rsidR="0094167B" w:rsidRPr="00A32E3F" w:rsidRDefault="00837DF5" w:rsidP="009539EC">
            <w:pPr>
              <w:jc w:val="center"/>
              <w:rPr>
                <w:b/>
              </w:rPr>
            </w:pPr>
            <w:r w:rsidRPr="00A32E3F">
              <w:rPr>
                <w:b/>
              </w:rPr>
              <w:t>2011/12</w:t>
            </w:r>
          </w:p>
        </w:tc>
      </w:tr>
      <w:tr w:rsidR="0094167B" w:rsidRPr="00A32E3F" w:rsidTr="00EE5F45">
        <w:tc>
          <w:tcPr>
            <w:tcW w:w="1526" w:type="dxa"/>
          </w:tcPr>
          <w:p w:rsidR="0094167B" w:rsidRPr="00A32E3F" w:rsidRDefault="0094167B" w:rsidP="009539EC">
            <w:pPr>
              <w:jc w:val="center"/>
              <w:rPr>
                <w:b/>
              </w:rPr>
            </w:pPr>
            <w:r w:rsidRPr="00A32E3F">
              <w:rPr>
                <w:b/>
              </w:rPr>
              <w:t>£000</w:t>
            </w:r>
          </w:p>
        </w:tc>
        <w:tc>
          <w:tcPr>
            <w:tcW w:w="6379" w:type="dxa"/>
          </w:tcPr>
          <w:p w:rsidR="0094167B" w:rsidRPr="00A32E3F" w:rsidRDefault="0094167B" w:rsidP="006E3F56">
            <w:pPr>
              <w:rPr>
                <w:b/>
              </w:rPr>
            </w:pPr>
          </w:p>
        </w:tc>
        <w:tc>
          <w:tcPr>
            <w:tcW w:w="992" w:type="dxa"/>
          </w:tcPr>
          <w:p w:rsidR="0094167B" w:rsidRPr="00A32E3F" w:rsidRDefault="0094167B" w:rsidP="006E3F56">
            <w:pPr>
              <w:rPr>
                <w:b/>
              </w:rPr>
            </w:pPr>
            <w:r w:rsidRPr="00A32E3F">
              <w:rPr>
                <w:b/>
              </w:rPr>
              <w:t>Note</w:t>
            </w:r>
          </w:p>
        </w:tc>
        <w:tc>
          <w:tcPr>
            <w:tcW w:w="1559" w:type="dxa"/>
          </w:tcPr>
          <w:p w:rsidR="0094167B" w:rsidRPr="00A32E3F" w:rsidRDefault="0094167B" w:rsidP="009539EC">
            <w:pPr>
              <w:jc w:val="center"/>
              <w:rPr>
                <w:b/>
              </w:rPr>
            </w:pPr>
            <w:r w:rsidRPr="00A32E3F">
              <w:rPr>
                <w:b/>
              </w:rPr>
              <w:t>£000</w:t>
            </w:r>
          </w:p>
        </w:tc>
      </w:tr>
      <w:tr w:rsidR="00837DF5" w:rsidRPr="00A32E3F" w:rsidTr="003C39AC">
        <w:tc>
          <w:tcPr>
            <w:tcW w:w="1526" w:type="dxa"/>
            <w:vAlign w:val="center"/>
          </w:tcPr>
          <w:p w:rsidR="00837DF5" w:rsidRPr="00A32E3F" w:rsidRDefault="00837DF5" w:rsidP="00837DF5">
            <w:pPr>
              <w:jc w:val="center"/>
            </w:pPr>
            <w:r w:rsidRPr="00A32E3F">
              <w:t>(128,034)</w:t>
            </w:r>
          </w:p>
        </w:tc>
        <w:tc>
          <w:tcPr>
            <w:tcW w:w="6379" w:type="dxa"/>
          </w:tcPr>
          <w:p w:rsidR="00837DF5" w:rsidRPr="00A32E3F" w:rsidRDefault="00837DF5" w:rsidP="000F29BF">
            <w:r w:rsidRPr="00A32E3F">
              <w:t>Net (surplus) or deficit on the provision of services</w:t>
            </w:r>
          </w:p>
        </w:tc>
        <w:tc>
          <w:tcPr>
            <w:tcW w:w="992" w:type="dxa"/>
            <w:vAlign w:val="center"/>
          </w:tcPr>
          <w:p w:rsidR="00837DF5" w:rsidRPr="00A32E3F" w:rsidRDefault="003C39AC" w:rsidP="00660682">
            <w:pPr>
              <w:jc w:val="center"/>
            </w:pPr>
            <w:r>
              <w:t>5</w:t>
            </w:r>
            <w:r w:rsidR="00660682">
              <w:t>8</w:t>
            </w:r>
          </w:p>
        </w:tc>
        <w:tc>
          <w:tcPr>
            <w:tcW w:w="1559" w:type="dxa"/>
            <w:vAlign w:val="center"/>
          </w:tcPr>
          <w:p w:rsidR="00837DF5" w:rsidRPr="00A32E3F" w:rsidRDefault="004105E7" w:rsidP="009539EC">
            <w:pPr>
              <w:jc w:val="center"/>
            </w:pPr>
            <w:r w:rsidRPr="00A32E3F">
              <w:t>(</w:t>
            </w:r>
            <w:r w:rsidR="00A778C4" w:rsidRPr="00A32E3F">
              <w:t>70,</w:t>
            </w:r>
            <w:r w:rsidRPr="00A32E3F">
              <w:t>275)</w:t>
            </w:r>
          </w:p>
        </w:tc>
      </w:tr>
      <w:tr w:rsidR="00837DF5" w:rsidRPr="00A32E3F" w:rsidTr="003C39AC">
        <w:tc>
          <w:tcPr>
            <w:tcW w:w="1526" w:type="dxa"/>
            <w:vAlign w:val="center"/>
          </w:tcPr>
          <w:p w:rsidR="00837DF5" w:rsidRPr="00A32E3F" w:rsidRDefault="00837DF5" w:rsidP="00837DF5">
            <w:pPr>
              <w:jc w:val="center"/>
            </w:pPr>
            <w:r w:rsidRPr="00A32E3F">
              <w:t>(432,202)</w:t>
            </w:r>
          </w:p>
        </w:tc>
        <w:tc>
          <w:tcPr>
            <w:tcW w:w="6379" w:type="dxa"/>
          </w:tcPr>
          <w:p w:rsidR="00837DF5" w:rsidRPr="00A32E3F" w:rsidRDefault="00837DF5" w:rsidP="006E3F56">
            <w:r w:rsidRPr="00A32E3F">
              <w:t>Adjustment to surplus or deficit on the provision of services for non cash movements</w:t>
            </w:r>
          </w:p>
        </w:tc>
        <w:tc>
          <w:tcPr>
            <w:tcW w:w="992" w:type="dxa"/>
            <w:vAlign w:val="center"/>
          </w:tcPr>
          <w:p w:rsidR="00837DF5" w:rsidRPr="00A32E3F" w:rsidRDefault="003C39AC" w:rsidP="003C39AC">
            <w:pPr>
              <w:jc w:val="center"/>
            </w:pPr>
            <w:r>
              <w:t>5</w:t>
            </w:r>
            <w:r w:rsidR="00660682">
              <w:t>8</w:t>
            </w:r>
          </w:p>
        </w:tc>
        <w:tc>
          <w:tcPr>
            <w:tcW w:w="1559" w:type="dxa"/>
            <w:vAlign w:val="center"/>
          </w:tcPr>
          <w:p w:rsidR="00837DF5" w:rsidRPr="00A32E3F" w:rsidRDefault="00F60E01" w:rsidP="009539EC">
            <w:pPr>
              <w:jc w:val="center"/>
            </w:pPr>
            <w:r>
              <w:t>(</w:t>
            </w:r>
            <w:r w:rsidRPr="00242CC8">
              <w:t>119,</w:t>
            </w:r>
            <w:r>
              <w:t>411)</w:t>
            </w:r>
          </w:p>
        </w:tc>
      </w:tr>
      <w:tr w:rsidR="00837DF5" w:rsidRPr="00A32E3F" w:rsidTr="00B74993">
        <w:tc>
          <w:tcPr>
            <w:tcW w:w="1526" w:type="dxa"/>
            <w:tcBorders>
              <w:bottom w:val="single" w:sz="4" w:space="0" w:color="auto"/>
            </w:tcBorders>
            <w:vAlign w:val="center"/>
          </w:tcPr>
          <w:p w:rsidR="00837DF5" w:rsidRPr="00A32E3F" w:rsidRDefault="00837DF5" w:rsidP="00837DF5">
            <w:pPr>
              <w:jc w:val="center"/>
            </w:pPr>
            <w:r w:rsidRPr="00A32E3F">
              <w:t>586,079</w:t>
            </w:r>
          </w:p>
        </w:tc>
        <w:tc>
          <w:tcPr>
            <w:tcW w:w="6379" w:type="dxa"/>
          </w:tcPr>
          <w:p w:rsidR="00837DF5" w:rsidRPr="00A32E3F" w:rsidRDefault="00837DF5" w:rsidP="006E3F56">
            <w:r w:rsidRPr="00A32E3F">
              <w:t>Adjust for items included in the net surplus or deficit on the provision of services that are investing and financing activities</w:t>
            </w:r>
          </w:p>
        </w:tc>
        <w:tc>
          <w:tcPr>
            <w:tcW w:w="992" w:type="dxa"/>
            <w:vAlign w:val="center"/>
          </w:tcPr>
          <w:p w:rsidR="00837DF5" w:rsidRPr="00A32E3F" w:rsidRDefault="003C39AC" w:rsidP="003C39AC">
            <w:pPr>
              <w:jc w:val="center"/>
            </w:pPr>
            <w:r>
              <w:t>5</w:t>
            </w:r>
            <w:r w:rsidR="00660682">
              <w:t>8</w:t>
            </w:r>
          </w:p>
        </w:tc>
        <w:tc>
          <w:tcPr>
            <w:tcW w:w="1559" w:type="dxa"/>
            <w:tcBorders>
              <w:bottom w:val="single" w:sz="4" w:space="0" w:color="auto"/>
            </w:tcBorders>
            <w:vAlign w:val="center"/>
          </w:tcPr>
          <w:p w:rsidR="00837DF5" w:rsidRPr="00A32E3F" w:rsidRDefault="00F60E01" w:rsidP="000F29BF">
            <w:pPr>
              <w:jc w:val="center"/>
            </w:pPr>
            <w:r>
              <w:t>(</w:t>
            </w:r>
            <w:r w:rsidRPr="00242CC8">
              <w:t>2,547,210</w:t>
            </w:r>
            <w:r>
              <w:t>)</w:t>
            </w:r>
          </w:p>
        </w:tc>
      </w:tr>
      <w:tr w:rsidR="00837DF5" w:rsidRPr="00A32E3F" w:rsidTr="00B74993">
        <w:tc>
          <w:tcPr>
            <w:tcW w:w="1526" w:type="dxa"/>
            <w:tcBorders>
              <w:top w:val="single" w:sz="4" w:space="0" w:color="auto"/>
              <w:bottom w:val="single" w:sz="4" w:space="0" w:color="auto"/>
            </w:tcBorders>
            <w:vAlign w:val="center"/>
          </w:tcPr>
          <w:p w:rsidR="00837DF5" w:rsidRPr="00630877" w:rsidRDefault="00837DF5" w:rsidP="00837DF5">
            <w:pPr>
              <w:jc w:val="center"/>
              <w:rPr>
                <w:b/>
              </w:rPr>
            </w:pPr>
            <w:r w:rsidRPr="00630877">
              <w:rPr>
                <w:b/>
              </w:rPr>
              <w:t>25,843</w:t>
            </w:r>
          </w:p>
        </w:tc>
        <w:tc>
          <w:tcPr>
            <w:tcW w:w="6379" w:type="dxa"/>
          </w:tcPr>
          <w:p w:rsidR="00837DF5" w:rsidRPr="00630877" w:rsidRDefault="00837DF5" w:rsidP="006E3F56">
            <w:pPr>
              <w:rPr>
                <w:b/>
              </w:rPr>
            </w:pPr>
            <w:r w:rsidRPr="00630877">
              <w:rPr>
                <w:b/>
              </w:rPr>
              <w:t>Net Cash flows from Operating activities</w:t>
            </w:r>
          </w:p>
        </w:tc>
        <w:tc>
          <w:tcPr>
            <w:tcW w:w="992" w:type="dxa"/>
            <w:vAlign w:val="center"/>
          </w:tcPr>
          <w:p w:rsidR="00837DF5" w:rsidRPr="00A32E3F" w:rsidRDefault="003C39AC" w:rsidP="003C39AC">
            <w:pPr>
              <w:jc w:val="center"/>
            </w:pPr>
            <w:r>
              <w:t>5</w:t>
            </w:r>
            <w:r w:rsidR="00660682">
              <w:t>8</w:t>
            </w:r>
          </w:p>
        </w:tc>
        <w:tc>
          <w:tcPr>
            <w:tcW w:w="1559" w:type="dxa"/>
            <w:tcBorders>
              <w:top w:val="single" w:sz="4" w:space="0" w:color="auto"/>
              <w:bottom w:val="single" w:sz="4" w:space="0" w:color="auto"/>
            </w:tcBorders>
            <w:vAlign w:val="center"/>
          </w:tcPr>
          <w:p w:rsidR="00837DF5" w:rsidRPr="00A32E3F" w:rsidRDefault="00F60E01" w:rsidP="009539EC">
            <w:pPr>
              <w:jc w:val="center"/>
            </w:pPr>
            <w:r>
              <w:rPr>
                <w:b/>
              </w:rPr>
              <w:t>(</w:t>
            </w:r>
            <w:r w:rsidRPr="00242CC8">
              <w:rPr>
                <w:b/>
              </w:rPr>
              <w:t>2,736,</w:t>
            </w:r>
            <w:r>
              <w:rPr>
                <w:b/>
              </w:rPr>
              <w:t>896)</w:t>
            </w:r>
          </w:p>
        </w:tc>
      </w:tr>
      <w:tr w:rsidR="00837DF5" w:rsidRPr="00A32E3F" w:rsidTr="00B74993">
        <w:tc>
          <w:tcPr>
            <w:tcW w:w="1526" w:type="dxa"/>
            <w:tcBorders>
              <w:top w:val="single" w:sz="4" w:space="0" w:color="auto"/>
            </w:tcBorders>
            <w:vAlign w:val="center"/>
          </w:tcPr>
          <w:p w:rsidR="00837DF5" w:rsidRPr="00A32E3F" w:rsidRDefault="00837DF5" w:rsidP="00837DF5">
            <w:pPr>
              <w:jc w:val="center"/>
            </w:pPr>
          </w:p>
        </w:tc>
        <w:tc>
          <w:tcPr>
            <w:tcW w:w="6379" w:type="dxa"/>
          </w:tcPr>
          <w:p w:rsidR="00837DF5" w:rsidRPr="00A32E3F" w:rsidRDefault="00837DF5" w:rsidP="006E3F56"/>
        </w:tc>
        <w:tc>
          <w:tcPr>
            <w:tcW w:w="992" w:type="dxa"/>
            <w:vAlign w:val="center"/>
          </w:tcPr>
          <w:p w:rsidR="00837DF5" w:rsidRPr="00A32E3F" w:rsidRDefault="00837DF5" w:rsidP="003C39AC">
            <w:pPr>
              <w:jc w:val="center"/>
            </w:pPr>
          </w:p>
        </w:tc>
        <w:tc>
          <w:tcPr>
            <w:tcW w:w="1559" w:type="dxa"/>
            <w:tcBorders>
              <w:top w:val="single" w:sz="4" w:space="0" w:color="auto"/>
            </w:tcBorders>
            <w:vAlign w:val="center"/>
          </w:tcPr>
          <w:p w:rsidR="00837DF5" w:rsidRPr="00A32E3F" w:rsidRDefault="00837DF5" w:rsidP="009539EC">
            <w:pPr>
              <w:jc w:val="center"/>
            </w:pPr>
          </w:p>
        </w:tc>
      </w:tr>
      <w:tr w:rsidR="00837DF5" w:rsidRPr="00A32E3F" w:rsidTr="003C39AC">
        <w:tc>
          <w:tcPr>
            <w:tcW w:w="1526" w:type="dxa"/>
            <w:vAlign w:val="center"/>
          </w:tcPr>
          <w:p w:rsidR="00837DF5" w:rsidRPr="00A32E3F" w:rsidRDefault="00837DF5" w:rsidP="00837DF5">
            <w:pPr>
              <w:jc w:val="center"/>
            </w:pPr>
            <w:r w:rsidRPr="00A32E3F">
              <w:t>291,029</w:t>
            </w:r>
          </w:p>
        </w:tc>
        <w:tc>
          <w:tcPr>
            <w:tcW w:w="6379" w:type="dxa"/>
          </w:tcPr>
          <w:p w:rsidR="00837DF5" w:rsidRPr="00A32E3F" w:rsidRDefault="00837DF5" w:rsidP="006E3F56">
            <w:r w:rsidRPr="00A32E3F">
              <w:t>Net Cash flows from Investing Activities</w:t>
            </w:r>
          </w:p>
        </w:tc>
        <w:tc>
          <w:tcPr>
            <w:tcW w:w="992" w:type="dxa"/>
            <w:vAlign w:val="center"/>
          </w:tcPr>
          <w:p w:rsidR="00837DF5" w:rsidRPr="00A32E3F" w:rsidRDefault="003C39AC" w:rsidP="003C39AC">
            <w:pPr>
              <w:jc w:val="center"/>
            </w:pPr>
            <w:r>
              <w:t>6</w:t>
            </w:r>
            <w:r w:rsidR="00660682">
              <w:t>0</w:t>
            </w:r>
          </w:p>
        </w:tc>
        <w:tc>
          <w:tcPr>
            <w:tcW w:w="1559" w:type="dxa"/>
            <w:vAlign w:val="center"/>
          </w:tcPr>
          <w:p w:rsidR="00837DF5" w:rsidRPr="00A32E3F" w:rsidRDefault="00F60E01" w:rsidP="000F29BF">
            <w:pPr>
              <w:jc w:val="center"/>
            </w:pPr>
            <w:r>
              <w:t>2,761,122</w:t>
            </w:r>
          </w:p>
        </w:tc>
      </w:tr>
      <w:tr w:rsidR="00837DF5" w:rsidRPr="00A32E3F" w:rsidTr="00B74993">
        <w:tc>
          <w:tcPr>
            <w:tcW w:w="1526" w:type="dxa"/>
            <w:tcBorders>
              <w:bottom w:val="single" w:sz="4" w:space="0" w:color="auto"/>
            </w:tcBorders>
            <w:vAlign w:val="center"/>
          </w:tcPr>
          <w:p w:rsidR="00837DF5" w:rsidRPr="00A32E3F" w:rsidRDefault="00837DF5" w:rsidP="00837DF5">
            <w:pPr>
              <w:jc w:val="center"/>
            </w:pPr>
            <w:r w:rsidRPr="00A32E3F">
              <w:t>(143,708)</w:t>
            </w:r>
          </w:p>
        </w:tc>
        <w:tc>
          <w:tcPr>
            <w:tcW w:w="6379" w:type="dxa"/>
          </w:tcPr>
          <w:p w:rsidR="00837DF5" w:rsidRPr="00A32E3F" w:rsidRDefault="00837DF5" w:rsidP="006E3F56">
            <w:r w:rsidRPr="00A32E3F">
              <w:t>Net Cash flows from Financing Activities</w:t>
            </w:r>
          </w:p>
        </w:tc>
        <w:tc>
          <w:tcPr>
            <w:tcW w:w="992" w:type="dxa"/>
            <w:vAlign w:val="center"/>
          </w:tcPr>
          <w:p w:rsidR="00837DF5" w:rsidRPr="00A32E3F" w:rsidRDefault="003C39AC" w:rsidP="003C39AC">
            <w:pPr>
              <w:jc w:val="center"/>
            </w:pPr>
            <w:r>
              <w:t>6</w:t>
            </w:r>
            <w:r w:rsidR="00660682">
              <w:t>1</w:t>
            </w:r>
          </w:p>
        </w:tc>
        <w:tc>
          <w:tcPr>
            <w:tcW w:w="1559" w:type="dxa"/>
            <w:tcBorders>
              <w:bottom w:val="single" w:sz="4" w:space="0" w:color="auto"/>
            </w:tcBorders>
            <w:vAlign w:val="center"/>
          </w:tcPr>
          <w:p w:rsidR="00837DF5" w:rsidRPr="00A32E3F" w:rsidRDefault="00F60E01" w:rsidP="009539EC">
            <w:pPr>
              <w:jc w:val="center"/>
            </w:pPr>
            <w:r>
              <w:t>(</w:t>
            </w:r>
            <w:r w:rsidRPr="00242CC8">
              <w:t>766</w:t>
            </w:r>
            <w:r>
              <w:t>)</w:t>
            </w:r>
          </w:p>
        </w:tc>
      </w:tr>
      <w:tr w:rsidR="00837DF5" w:rsidRPr="00A32E3F" w:rsidTr="00B74993">
        <w:tc>
          <w:tcPr>
            <w:tcW w:w="1526" w:type="dxa"/>
            <w:tcBorders>
              <w:top w:val="single" w:sz="4" w:space="0" w:color="auto"/>
              <w:bottom w:val="single" w:sz="4" w:space="0" w:color="auto"/>
            </w:tcBorders>
            <w:vAlign w:val="center"/>
          </w:tcPr>
          <w:p w:rsidR="00837DF5" w:rsidRPr="00630877" w:rsidRDefault="00837DF5" w:rsidP="00837DF5">
            <w:pPr>
              <w:jc w:val="center"/>
              <w:rPr>
                <w:b/>
              </w:rPr>
            </w:pPr>
            <w:r w:rsidRPr="00630877">
              <w:rPr>
                <w:b/>
              </w:rPr>
              <w:t>173,164</w:t>
            </w:r>
          </w:p>
        </w:tc>
        <w:tc>
          <w:tcPr>
            <w:tcW w:w="6379" w:type="dxa"/>
          </w:tcPr>
          <w:p w:rsidR="00837DF5" w:rsidRPr="00630877" w:rsidRDefault="00837DF5" w:rsidP="006E3F56">
            <w:pPr>
              <w:rPr>
                <w:b/>
              </w:rPr>
            </w:pPr>
            <w:r w:rsidRPr="00630877">
              <w:rPr>
                <w:b/>
              </w:rPr>
              <w:t>Net increase or decrease in cash and cash equivalents</w:t>
            </w:r>
          </w:p>
        </w:tc>
        <w:tc>
          <w:tcPr>
            <w:tcW w:w="992" w:type="dxa"/>
            <w:vAlign w:val="center"/>
          </w:tcPr>
          <w:p w:rsidR="00837DF5" w:rsidRPr="00A32E3F" w:rsidRDefault="00837DF5" w:rsidP="003C39AC">
            <w:pPr>
              <w:jc w:val="center"/>
            </w:pPr>
          </w:p>
        </w:tc>
        <w:tc>
          <w:tcPr>
            <w:tcW w:w="1559" w:type="dxa"/>
            <w:tcBorders>
              <w:top w:val="single" w:sz="4" w:space="0" w:color="auto"/>
              <w:bottom w:val="single" w:sz="4" w:space="0" w:color="auto"/>
            </w:tcBorders>
            <w:vAlign w:val="center"/>
          </w:tcPr>
          <w:p w:rsidR="00837DF5" w:rsidRPr="00A32E3F" w:rsidRDefault="00F60E01" w:rsidP="000F29BF">
            <w:pPr>
              <w:jc w:val="center"/>
            </w:pPr>
            <w:r>
              <w:rPr>
                <w:b/>
              </w:rPr>
              <w:t>23,460</w:t>
            </w:r>
          </w:p>
        </w:tc>
      </w:tr>
      <w:tr w:rsidR="00837DF5" w:rsidRPr="00A32E3F" w:rsidTr="00B74993">
        <w:tc>
          <w:tcPr>
            <w:tcW w:w="1526" w:type="dxa"/>
            <w:tcBorders>
              <w:top w:val="single" w:sz="4" w:space="0" w:color="auto"/>
            </w:tcBorders>
            <w:vAlign w:val="center"/>
          </w:tcPr>
          <w:p w:rsidR="00837DF5" w:rsidRPr="00A32E3F" w:rsidRDefault="00837DF5" w:rsidP="00837DF5">
            <w:pPr>
              <w:jc w:val="center"/>
            </w:pPr>
          </w:p>
        </w:tc>
        <w:tc>
          <w:tcPr>
            <w:tcW w:w="6379" w:type="dxa"/>
          </w:tcPr>
          <w:p w:rsidR="00837DF5" w:rsidRPr="00A32E3F" w:rsidRDefault="00837DF5" w:rsidP="006E3F56"/>
        </w:tc>
        <w:tc>
          <w:tcPr>
            <w:tcW w:w="992" w:type="dxa"/>
            <w:vAlign w:val="center"/>
          </w:tcPr>
          <w:p w:rsidR="00837DF5" w:rsidRPr="00A32E3F" w:rsidRDefault="00837DF5" w:rsidP="003C39AC">
            <w:pPr>
              <w:jc w:val="center"/>
            </w:pPr>
          </w:p>
        </w:tc>
        <w:tc>
          <w:tcPr>
            <w:tcW w:w="1559" w:type="dxa"/>
            <w:tcBorders>
              <w:top w:val="single" w:sz="4" w:space="0" w:color="auto"/>
            </w:tcBorders>
            <w:vAlign w:val="center"/>
          </w:tcPr>
          <w:p w:rsidR="00837DF5" w:rsidRPr="00A32E3F" w:rsidRDefault="00837DF5" w:rsidP="009539EC">
            <w:pPr>
              <w:jc w:val="center"/>
            </w:pPr>
          </w:p>
        </w:tc>
      </w:tr>
      <w:tr w:rsidR="00F60E01" w:rsidRPr="00A32E3F" w:rsidTr="003C39AC">
        <w:tc>
          <w:tcPr>
            <w:tcW w:w="1526" w:type="dxa"/>
            <w:vAlign w:val="center"/>
          </w:tcPr>
          <w:p w:rsidR="00F60E01" w:rsidRPr="00A32E3F" w:rsidRDefault="00F60E01" w:rsidP="00837DF5">
            <w:pPr>
              <w:jc w:val="center"/>
            </w:pPr>
            <w:r w:rsidRPr="00A32E3F">
              <w:t>(244,520)</w:t>
            </w:r>
          </w:p>
        </w:tc>
        <w:tc>
          <w:tcPr>
            <w:tcW w:w="6379" w:type="dxa"/>
          </w:tcPr>
          <w:p w:rsidR="00F60E01" w:rsidRPr="00A32E3F" w:rsidRDefault="00F60E01" w:rsidP="006E3F56">
            <w:r w:rsidRPr="00A32E3F">
              <w:t>Cash and cash equivalents at the beginning of the reporting period</w:t>
            </w:r>
          </w:p>
        </w:tc>
        <w:tc>
          <w:tcPr>
            <w:tcW w:w="992" w:type="dxa"/>
            <w:vAlign w:val="center"/>
          </w:tcPr>
          <w:p w:rsidR="00F60E01" w:rsidRPr="00A32E3F" w:rsidRDefault="003C39AC" w:rsidP="003C39AC">
            <w:pPr>
              <w:jc w:val="center"/>
            </w:pPr>
            <w:r>
              <w:t>6</w:t>
            </w:r>
            <w:r w:rsidR="00660682">
              <w:t>2</w:t>
            </w:r>
          </w:p>
        </w:tc>
        <w:tc>
          <w:tcPr>
            <w:tcW w:w="1559" w:type="dxa"/>
          </w:tcPr>
          <w:p w:rsidR="00F60E01" w:rsidRPr="00242CC8" w:rsidRDefault="00F60E01" w:rsidP="00CC5E7F">
            <w:pPr>
              <w:jc w:val="center"/>
            </w:pPr>
            <w:r>
              <w:t>(</w:t>
            </w:r>
            <w:r w:rsidRPr="00242CC8">
              <w:t>71</w:t>
            </w:r>
            <w:r>
              <w:t>,</w:t>
            </w:r>
            <w:r w:rsidRPr="00242CC8">
              <w:t>356</w:t>
            </w:r>
            <w:r>
              <w:t>)</w:t>
            </w:r>
          </w:p>
        </w:tc>
      </w:tr>
      <w:tr w:rsidR="00F60E01" w:rsidRPr="00A32E3F" w:rsidTr="003C39AC">
        <w:tc>
          <w:tcPr>
            <w:tcW w:w="1526" w:type="dxa"/>
            <w:vAlign w:val="center"/>
          </w:tcPr>
          <w:p w:rsidR="00F60E01" w:rsidRPr="00A32E3F" w:rsidRDefault="00F60E01" w:rsidP="00837DF5">
            <w:pPr>
              <w:jc w:val="center"/>
              <w:rPr>
                <w:b/>
              </w:rPr>
            </w:pPr>
            <w:r w:rsidRPr="00A32E3F">
              <w:rPr>
                <w:b/>
              </w:rPr>
              <w:t>(71,356)</w:t>
            </w:r>
          </w:p>
        </w:tc>
        <w:tc>
          <w:tcPr>
            <w:tcW w:w="6379" w:type="dxa"/>
          </w:tcPr>
          <w:p w:rsidR="00F60E01" w:rsidRPr="00A32E3F" w:rsidRDefault="00F60E01" w:rsidP="006E3F56">
            <w:pPr>
              <w:rPr>
                <w:b/>
              </w:rPr>
            </w:pPr>
            <w:r w:rsidRPr="00A32E3F">
              <w:rPr>
                <w:b/>
              </w:rPr>
              <w:t>Cash and cash equivalents at the end of the reporting period</w:t>
            </w:r>
          </w:p>
        </w:tc>
        <w:tc>
          <w:tcPr>
            <w:tcW w:w="992" w:type="dxa"/>
            <w:vAlign w:val="center"/>
          </w:tcPr>
          <w:p w:rsidR="00F60E01" w:rsidRPr="001D69FB" w:rsidRDefault="003C39AC" w:rsidP="003C39AC">
            <w:pPr>
              <w:jc w:val="center"/>
            </w:pPr>
            <w:r w:rsidRPr="001D69FB">
              <w:t>6</w:t>
            </w:r>
            <w:r w:rsidR="00660682">
              <w:t>2</w:t>
            </w:r>
          </w:p>
        </w:tc>
        <w:tc>
          <w:tcPr>
            <w:tcW w:w="1559" w:type="dxa"/>
          </w:tcPr>
          <w:p w:rsidR="00F60E01" w:rsidRPr="0062505D" w:rsidRDefault="00F60E01" w:rsidP="00CC5E7F">
            <w:pPr>
              <w:jc w:val="center"/>
              <w:rPr>
                <w:b/>
              </w:rPr>
            </w:pPr>
            <w:r w:rsidRPr="0062505D">
              <w:rPr>
                <w:b/>
              </w:rPr>
              <w:t>(47,896)</w:t>
            </w:r>
          </w:p>
        </w:tc>
      </w:tr>
      <w:tr w:rsidR="00837DF5" w:rsidRPr="00A32E3F" w:rsidTr="00EE5F45">
        <w:tc>
          <w:tcPr>
            <w:tcW w:w="1526" w:type="dxa"/>
          </w:tcPr>
          <w:p w:rsidR="00837DF5" w:rsidRPr="00A32E3F" w:rsidRDefault="00837DF5" w:rsidP="009539EC">
            <w:pPr>
              <w:jc w:val="center"/>
              <w:rPr>
                <w:sz w:val="20"/>
                <w:szCs w:val="20"/>
              </w:rPr>
            </w:pPr>
          </w:p>
        </w:tc>
        <w:tc>
          <w:tcPr>
            <w:tcW w:w="6379" w:type="dxa"/>
          </w:tcPr>
          <w:p w:rsidR="00837DF5" w:rsidRPr="00A32E3F" w:rsidRDefault="00837DF5" w:rsidP="006E3F56">
            <w:pPr>
              <w:rPr>
                <w:sz w:val="20"/>
                <w:szCs w:val="20"/>
              </w:rPr>
            </w:pPr>
          </w:p>
        </w:tc>
        <w:tc>
          <w:tcPr>
            <w:tcW w:w="992" w:type="dxa"/>
          </w:tcPr>
          <w:p w:rsidR="00837DF5" w:rsidRPr="00A32E3F" w:rsidRDefault="00837DF5" w:rsidP="006E3F56">
            <w:pPr>
              <w:rPr>
                <w:sz w:val="20"/>
                <w:szCs w:val="20"/>
              </w:rPr>
            </w:pPr>
          </w:p>
        </w:tc>
        <w:tc>
          <w:tcPr>
            <w:tcW w:w="1559" w:type="dxa"/>
            <w:vAlign w:val="center"/>
          </w:tcPr>
          <w:p w:rsidR="00837DF5" w:rsidRPr="00A32E3F" w:rsidRDefault="00837DF5" w:rsidP="009539EC">
            <w:pPr>
              <w:jc w:val="center"/>
              <w:rPr>
                <w:sz w:val="20"/>
                <w:szCs w:val="20"/>
              </w:rPr>
            </w:pPr>
          </w:p>
        </w:tc>
      </w:tr>
    </w:tbl>
    <w:p w:rsidR="00C64115" w:rsidRPr="00A32E3F" w:rsidRDefault="00C64115" w:rsidP="00C64115"/>
    <w:p w:rsidR="00C64115" w:rsidRPr="00A32E3F" w:rsidRDefault="00C64115" w:rsidP="00C64115"/>
    <w:p w:rsidR="00C64115" w:rsidRPr="00A32E3F" w:rsidRDefault="00C64115" w:rsidP="00C64115"/>
    <w:p w:rsidR="00C64115" w:rsidRPr="00A32E3F" w:rsidRDefault="00C64115" w:rsidP="0062005F">
      <w:pPr>
        <w:jc w:val="both"/>
      </w:pPr>
      <w:r w:rsidRPr="00A32E3F">
        <w:t xml:space="preserve">This </w:t>
      </w:r>
      <w:r w:rsidR="002F4252" w:rsidRPr="00A32E3F">
        <w:t>s</w:t>
      </w:r>
      <w:r w:rsidRPr="00A32E3F">
        <w:t xml:space="preserve">tatement of </w:t>
      </w:r>
      <w:r w:rsidR="002F4252" w:rsidRPr="00A32E3F">
        <w:t>a</w:t>
      </w:r>
      <w:r w:rsidRPr="00A32E3F">
        <w:t xml:space="preserve">ccounts is that upon which the auditor should enter his certificate and opinion.  It presents </w:t>
      </w:r>
      <w:r w:rsidR="0086744C" w:rsidRPr="00A32E3F">
        <w:t>a true and fair view of</w:t>
      </w:r>
      <w:r w:rsidRPr="00A32E3F">
        <w:t xml:space="preserve"> the financial position of the authority at 31 March </w:t>
      </w:r>
      <w:r w:rsidR="00BD2A26" w:rsidRPr="00A32E3F">
        <w:t>20</w:t>
      </w:r>
      <w:r w:rsidR="00F92AC8" w:rsidRPr="00A32E3F">
        <w:t>1</w:t>
      </w:r>
      <w:r w:rsidR="00837DF5" w:rsidRPr="00A32E3F">
        <w:t>2</w:t>
      </w:r>
      <w:r w:rsidR="00BD2A26" w:rsidRPr="00A32E3F">
        <w:t xml:space="preserve"> </w:t>
      </w:r>
      <w:r w:rsidRPr="00A32E3F">
        <w:t>and its income and expenditure for the year then ended.</w:t>
      </w:r>
    </w:p>
    <w:p w:rsidR="00000A94" w:rsidRPr="00A32E3F" w:rsidRDefault="008A63CB" w:rsidP="00C64115">
      <w:r w:rsidRPr="00A32E3F">
        <w:t xml:space="preserve">                                                                                          </w:t>
      </w:r>
    </w:p>
    <w:p w:rsidR="004033B2" w:rsidRDefault="004033B2" w:rsidP="004033B2">
      <w:pPr>
        <w:pStyle w:val="BodyText2"/>
      </w:pPr>
      <w:r>
        <w:t>These financial statements replace the unaudited financial statements authorised by the Treasurer on 28 June 2012</w:t>
      </w:r>
    </w:p>
    <w:p w:rsidR="00000A94" w:rsidRPr="00A32E3F" w:rsidRDefault="00525BE7" w:rsidP="00C64115">
      <w:r w:rsidRPr="00A32E3F">
        <w:tab/>
      </w:r>
      <w:r w:rsidRPr="00A32E3F">
        <w:tab/>
      </w:r>
      <w:r w:rsidRPr="00A32E3F">
        <w:tab/>
      </w:r>
      <w:r w:rsidRPr="00A32E3F">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2"/>
        <w:gridCol w:w="4622"/>
      </w:tblGrid>
      <w:tr w:rsidR="00C64115" w:rsidRPr="00A32E3F">
        <w:tc>
          <w:tcPr>
            <w:tcW w:w="4622" w:type="dxa"/>
            <w:tcBorders>
              <w:top w:val="nil"/>
              <w:left w:val="nil"/>
              <w:bottom w:val="nil"/>
              <w:right w:val="nil"/>
            </w:tcBorders>
          </w:tcPr>
          <w:p w:rsidR="00C64115" w:rsidRPr="00F67252" w:rsidRDefault="004B2B03" w:rsidP="006E1513">
            <w:pPr>
              <w:rPr>
                <w:b/>
                <w:highlight w:val="yellow"/>
              </w:rPr>
            </w:pPr>
            <w:r w:rsidRPr="00A32E3F">
              <w:tab/>
            </w:r>
          </w:p>
        </w:tc>
        <w:tc>
          <w:tcPr>
            <w:tcW w:w="4622" w:type="dxa"/>
            <w:tcBorders>
              <w:top w:val="nil"/>
              <w:left w:val="nil"/>
              <w:bottom w:val="nil"/>
              <w:right w:val="nil"/>
            </w:tcBorders>
          </w:tcPr>
          <w:p w:rsidR="00C64115" w:rsidRPr="00F67252" w:rsidRDefault="00C64115" w:rsidP="00E46BBF">
            <w:pPr>
              <w:rPr>
                <w:b/>
                <w:highlight w:val="yellow"/>
              </w:rPr>
            </w:pPr>
          </w:p>
        </w:tc>
      </w:tr>
    </w:tbl>
    <w:p w:rsidR="00FC663E" w:rsidRDefault="00FC663E" w:rsidP="00C64115"/>
    <w:p w:rsidR="00295F1A" w:rsidRDefault="00295F1A" w:rsidP="00C641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2"/>
        <w:gridCol w:w="4622"/>
      </w:tblGrid>
      <w:tr w:rsidR="00295F1A" w:rsidRPr="00442EEE" w:rsidTr="00A41D1B">
        <w:tblPrEx>
          <w:tblCellMar>
            <w:top w:w="0" w:type="dxa"/>
            <w:bottom w:w="0" w:type="dxa"/>
          </w:tblCellMar>
        </w:tblPrEx>
        <w:tc>
          <w:tcPr>
            <w:tcW w:w="4622" w:type="dxa"/>
            <w:tcBorders>
              <w:top w:val="nil"/>
              <w:left w:val="nil"/>
              <w:bottom w:val="nil"/>
              <w:right w:val="nil"/>
            </w:tcBorders>
          </w:tcPr>
          <w:p w:rsidR="00295F1A" w:rsidRPr="00442EEE" w:rsidRDefault="00295F1A" w:rsidP="00A41D1B">
            <w:pPr>
              <w:rPr>
                <w:b/>
              </w:rPr>
            </w:pPr>
          </w:p>
          <w:p w:rsidR="00295F1A" w:rsidRPr="00442EEE" w:rsidRDefault="00295F1A" w:rsidP="00A41D1B">
            <w:pPr>
              <w:rPr>
                <w:b/>
              </w:rPr>
            </w:pPr>
          </w:p>
          <w:p w:rsidR="00295F1A" w:rsidRPr="00442EEE" w:rsidRDefault="00295F1A" w:rsidP="00A41D1B">
            <w:pPr>
              <w:rPr>
                <w:b/>
              </w:rPr>
            </w:pPr>
          </w:p>
          <w:p w:rsidR="00295F1A" w:rsidRPr="00442EEE" w:rsidRDefault="00295F1A" w:rsidP="00A41D1B">
            <w:pPr>
              <w:rPr>
                <w:b/>
              </w:rPr>
            </w:pPr>
          </w:p>
          <w:p w:rsidR="00295F1A" w:rsidRPr="00442EEE" w:rsidRDefault="00295F1A" w:rsidP="00A41D1B">
            <w:pPr>
              <w:rPr>
                <w:b/>
              </w:rPr>
            </w:pPr>
          </w:p>
          <w:p w:rsidR="00295F1A" w:rsidRPr="00442EEE" w:rsidRDefault="00295F1A" w:rsidP="00A41D1B">
            <w:pPr>
              <w:rPr>
                <w:b/>
              </w:rPr>
            </w:pPr>
          </w:p>
          <w:p w:rsidR="00295F1A" w:rsidRPr="00442EEE" w:rsidRDefault="00295F1A" w:rsidP="00A41D1B">
            <w:pPr>
              <w:rPr>
                <w:b/>
              </w:rPr>
            </w:pPr>
          </w:p>
          <w:p w:rsidR="00295F1A" w:rsidRPr="00442EEE" w:rsidRDefault="00295F1A" w:rsidP="00A41D1B">
            <w:pPr>
              <w:rPr>
                <w:b/>
              </w:rPr>
            </w:pPr>
          </w:p>
          <w:p w:rsidR="00295F1A" w:rsidRPr="00442EEE" w:rsidRDefault="00295F1A" w:rsidP="00A41D1B">
            <w:pPr>
              <w:rPr>
                <w:b/>
              </w:rPr>
            </w:pPr>
            <w:r w:rsidRPr="00442EEE">
              <w:rPr>
                <w:b/>
              </w:rPr>
              <w:t>Gill Kilpatrick CPFA</w:t>
            </w:r>
          </w:p>
          <w:p w:rsidR="00295F1A" w:rsidRPr="00442EEE" w:rsidRDefault="00295F1A" w:rsidP="00A41D1B">
            <w:pPr>
              <w:rPr>
                <w:b/>
              </w:rPr>
            </w:pPr>
            <w:r w:rsidRPr="00442EEE">
              <w:rPr>
                <w:b/>
              </w:rPr>
              <w:t>County Treasurer</w:t>
            </w:r>
          </w:p>
          <w:p w:rsidR="00295F1A" w:rsidRPr="00442EEE" w:rsidRDefault="00295F1A" w:rsidP="00295F1A">
            <w:pPr>
              <w:rPr>
                <w:b/>
              </w:rPr>
            </w:pPr>
            <w:r w:rsidRPr="008367B2">
              <w:rPr>
                <w:b/>
              </w:rPr>
              <w:t>2</w:t>
            </w:r>
            <w:r>
              <w:rPr>
                <w:b/>
              </w:rPr>
              <w:t>6</w:t>
            </w:r>
            <w:r w:rsidRPr="008367B2">
              <w:rPr>
                <w:b/>
              </w:rPr>
              <w:t xml:space="preserve"> September 201</w:t>
            </w:r>
            <w:r>
              <w:rPr>
                <w:b/>
              </w:rPr>
              <w:t>2</w:t>
            </w:r>
          </w:p>
        </w:tc>
        <w:tc>
          <w:tcPr>
            <w:tcW w:w="4622" w:type="dxa"/>
            <w:tcBorders>
              <w:top w:val="nil"/>
              <w:left w:val="nil"/>
              <w:bottom w:val="nil"/>
              <w:right w:val="nil"/>
            </w:tcBorders>
          </w:tcPr>
          <w:p w:rsidR="00295F1A" w:rsidRPr="00442EEE" w:rsidRDefault="00295F1A" w:rsidP="00A41D1B">
            <w:pPr>
              <w:rPr>
                <w:b/>
              </w:rPr>
            </w:pPr>
          </w:p>
          <w:p w:rsidR="00295F1A" w:rsidRPr="00442EEE" w:rsidRDefault="00295F1A" w:rsidP="00A41D1B">
            <w:pPr>
              <w:rPr>
                <w:b/>
              </w:rPr>
            </w:pPr>
          </w:p>
          <w:p w:rsidR="00295F1A" w:rsidRPr="00442EEE" w:rsidRDefault="00295F1A" w:rsidP="00A41D1B">
            <w:pPr>
              <w:rPr>
                <w:b/>
              </w:rPr>
            </w:pPr>
          </w:p>
          <w:p w:rsidR="00295F1A" w:rsidRPr="00442EEE" w:rsidRDefault="00295F1A" w:rsidP="00A41D1B">
            <w:pPr>
              <w:rPr>
                <w:b/>
              </w:rPr>
            </w:pPr>
          </w:p>
          <w:p w:rsidR="00295F1A" w:rsidRPr="00442EEE" w:rsidRDefault="00295F1A" w:rsidP="00A41D1B">
            <w:pPr>
              <w:rPr>
                <w:b/>
              </w:rPr>
            </w:pPr>
          </w:p>
          <w:p w:rsidR="00295F1A" w:rsidRPr="00442EEE" w:rsidRDefault="00295F1A" w:rsidP="00A41D1B">
            <w:pPr>
              <w:rPr>
                <w:b/>
              </w:rPr>
            </w:pPr>
          </w:p>
          <w:p w:rsidR="00295F1A" w:rsidRPr="00442EEE" w:rsidRDefault="00295F1A" w:rsidP="00A41D1B">
            <w:pPr>
              <w:rPr>
                <w:b/>
              </w:rPr>
            </w:pPr>
          </w:p>
          <w:p w:rsidR="00295F1A" w:rsidRPr="00442EEE" w:rsidRDefault="00295F1A" w:rsidP="00A41D1B">
            <w:pPr>
              <w:rPr>
                <w:b/>
              </w:rPr>
            </w:pPr>
          </w:p>
          <w:p w:rsidR="00295F1A" w:rsidRPr="00442EEE" w:rsidRDefault="00295F1A" w:rsidP="00A41D1B">
            <w:pPr>
              <w:rPr>
                <w:b/>
              </w:rPr>
            </w:pPr>
            <w:r w:rsidRPr="00442EEE">
              <w:rPr>
                <w:b/>
              </w:rPr>
              <w:t>County Councillor Sam Chapman</w:t>
            </w:r>
          </w:p>
          <w:p w:rsidR="00295F1A" w:rsidRPr="00442EEE" w:rsidRDefault="00295F1A" w:rsidP="00A41D1B">
            <w:pPr>
              <w:rPr>
                <w:b/>
              </w:rPr>
            </w:pPr>
            <w:r w:rsidRPr="00442EEE">
              <w:rPr>
                <w:b/>
              </w:rPr>
              <w:t>Chairman, Audit Committee</w:t>
            </w:r>
          </w:p>
          <w:p w:rsidR="00295F1A" w:rsidRPr="00442EEE" w:rsidRDefault="00295F1A" w:rsidP="00295F1A">
            <w:pPr>
              <w:rPr>
                <w:b/>
              </w:rPr>
            </w:pPr>
            <w:r w:rsidRPr="00442EEE">
              <w:rPr>
                <w:b/>
              </w:rPr>
              <w:t>2</w:t>
            </w:r>
            <w:r>
              <w:rPr>
                <w:b/>
              </w:rPr>
              <w:t>6</w:t>
            </w:r>
            <w:r w:rsidRPr="00442EEE">
              <w:rPr>
                <w:b/>
              </w:rPr>
              <w:t xml:space="preserve"> September 201</w:t>
            </w:r>
            <w:r>
              <w:rPr>
                <w:b/>
              </w:rPr>
              <w:t>2</w:t>
            </w:r>
          </w:p>
        </w:tc>
      </w:tr>
    </w:tbl>
    <w:p w:rsidR="00295F1A" w:rsidRPr="00A32E3F" w:rsidRDefault="00295F1A" w:rsidP="00C64115">
      <w:pPr>
        <w:sectPr w:rsidR="00295F1A" w:rsidRPr="00A32E3F" w:rsidSect="003018D5">
          <w:pgSz w:w="11906" w:h="16838" w:code="9"/>
          <w:pgMar w:top="720" w:right="720" w:bottom="720" w:left="720" w:header="709" w:footer="709" w:gutter="0"/>
          <w:cols w:space="708"/>
          <w:docGrid w:linePitch="360"/>
        </w:sectPr>
      </w:pPr>
    </w:p>
    <w:p w:rsidR="00A1169B" w:rsidRPr="0063404E" w:rsidRDefault="00A1169B" w:rsidP="00811649">
      <w:pPr>
        <w:pStyle w:val="Heading1"/>
      </w:pPr>
      <w:r w:rsidRPr="0063404E">
        <w:lastRenderedPageBreak/>
        <w:t>Notes to the financial statements</w:t>
      </w:r>
    </w:p>
    <w:p w:rsidR="00035B99" w:rsidRPr="0063404E" w:rsidRDefault="00035B99" w:rsidP="00765D75">
      <w:pPr>
        <w:rPr>
          <w:b/>
          <w:sz w:val="28"/>
          <w:szCs w:val="28"/>
        </w:rPr>
      </w:pPr>
    </w:p>
    <w:p w:rsidR="0078213B" w:rsidRPr="0063404E" w:rsidRDefault="0078213B" w:rsidP="00765D75">
      <w:pPr>
        <w:rPr>
          <w:b/>
          <w:i/>
          <w:szCs w:val="28"/>
        </w:rPr>
      </w:pPr>
      <w:r w:rsidRPr="0063404E">
        <w:rPr>
          <w:b/>
          <w:i/>
          <w:szCs w:val="28"/>
        </w:rPr>
        <w:t>General Notes</w:t>
      </w:r>
    </w:p>
    <w:p w:rsidR="00ED021F" w:rsidRPr="0063404E" w:rsidRDefault="00ED021F" w:rsidP="00765D75">
      <w:pPr>
        <w:rPr>
          <w:b/>
          <w:sz w:val="28"/>
          <w:szCs w:val="28"/>
        </w:rPr>
      </w:pPr>
      <w:r w:rsidRPr="0063404E">
        <w:rPr>
          <w:b/>
          <w:sz w:val="28"/>
          <w:szCs w:val="28"/>
        </w:rPr>
        <w:tab/>
      </w:r>
    </w:p>
    <w:p w:rsidR="00275E03" w:rsidRPr="0063404E" w:rsidRDefault="004857F0" w:rsidP="00BD07E4">
      <w:pPr>
        <w:numPr>
          <w:ilvl w:val="0"/>
          <w:numId w:val="21"/>
        </w:numPr>
        <w:rPr>
          <w:b/>
          <w:szCs w:val="18"/>
        </w:rPr>
      </w:pPr>
      <w:r w:rsidRPr="0063404E">
        <w:rPr>
          <w:b/>
          <w:szCs w:val="18"/>
        </w:rPr>
        <w:t>Statement of Accounting Policies</w:t>
      </w:r>
    </w:p>
    <w:p w:rsidR="00275E03" w:rsidRPr="0063404E" w:rsidRDefault="00275E03" w:rsidP="006626D4">
      <w:pPr>
        <w:rPr>
          <w:szCs w:val="18"/>
        </w:rPr>
      </w:pPr>
    </w:p>
    <w:p w:rsidR="00E3074C" w:rsidRPr="0063404E" w:rsidRDefault="00E3074C" w:rsidP="006626D4">
      <w:pPr>
        <w:rPr>
          <w:szCs w:val="18"/>
        </w:rPr>
      </w:pPr>
    </w:p>
    <w:p w:rsidR="00C03048" w:rsidRPr="0063404E" w:rsidRDefault="00C03048" w:rsidP="00BD07E4">
      <w:pPr>
        <w:numPr>
          <w:ilvl w:val="0"/>
          <w:numId w:val="5"/>
        </w:numPr>
        <w:tabs>
          <w:tab w:val="clear" w:pos="540"/>
          <w:tab w:val="num" w:pos="1260"/>
        </w:tabs>
        <w:spacing w:after="240"/>
        <w:ind w:left="1440" w:hanging="720"/>
      </w:pPr>
      <w:r w:rsidRPr="0063404E">
        <w:rPr>
          <w:b/>
        </w:rPr>
        <w:t>General</w:t>
      </w:r>
    </w:p>
    <w:p w:rsidR="00C03048" w:rsidRPr="0063404E" w:rsidRDefault="00C03048" w:rsidP="00C03048">
      <w:pPr>
        <w:spacing w:after="240"/>
        <w:ind w:left="720"/>
        <w:jc w:val="both"/>
      </w:pPr>
      <w:r w:rsidRPr="0063404E">
        <w:t>The Statement of Accounts summarises the cou</w:t>
      </w:r>
      <w:r w:rsidR="00837DF5" w:rsidRPr="0063404E">
        <w:t>ncil's transactions for the 2011/12</w:t>
      </w:r>
      <w:r w:rsidRPr="0063404E">
        <w:t xml:space="preserve"> financial year and its position </w:t>
      </w:r>
      <w:r w:rsidR="00837DF5" w:rsidRPr="0063404E">
        <w:t>at the year end of 31 March 2012</w:t>
      </w:r>
      <w:r w:rsidRPr="0063404E">
        <w:t xml:space="preserve">. The </w:t>
      </w:r>
      <w:r w:rsidR="00CB5417">
        <w:t>Council</w:t>
      </w:r>
      <w:r w:rsidR="00CB5417" w:rsidRPr="0063404E">
        <w:t xml:space="preserve"> </w:t>
      </w:r>
      <w:r w:rsidRPr="0063404E">
        <w:t>is required to prepare an annual Statement of Accounts by the Accounts and Audit Regulations, which require the accounts to be prepared in accordance with proper accounting practices. These practices primarily comprise the Code of Practice on Local Authority Accou</w:t>
      </w:r>
      <w:r w:rsidR="00837DF5" w:rsidRPr="0063404E">
        <w:t>nting in the United Kingdom 2011/12</w:t>
      </w:r>
      <w:r w:rsidRPr="0063404E">
        <w:t xml:space="preserve"> and the </w:t>
      </w:r>
      <w:r w:rsidR="003E55D7" w:rsidRPr="003E55D7">
        <w:t>Service Reporting Code of Practice</w:t>
      </w:r>
      <w:r w:rsidR="00837DF5" w:rsidRPr="0063404E">
        <w:t xml:space="preserve"> 2011/12</w:t>
      </w:r>
      <w:r w:rsidRPr="0063404E">
        <w:t xml:space="preserve">, supported by International Financial Reporting Standards (IFRS). The accounting convention adopted is historical cost, modified by the revaluation of certain categories of </w:t>
      </w:r>
      <w:r w:rsidR="00262145">
        <w:t xml:space="preserve">non-current </w:t>
      </w:r>
      <w:r w:rsidRPr="0063404E">
        <w:t>assets.</w:t>
      </w:r>
    </w:p>
    <w:p w:rsidR="00C03048" w:rsidRPr="0063404E" w:rsidRDefault="00C03048" w:rsidP="00C03048">
      <w:pPr>
        <w:spacing w:after="240"/>
        <w:ind w:left="720"/>
        <w:jc w:val="both"/>
      </w:pPr>
      <w:r w:rsidRPr="0063404E">
        <w:t>The balance sheet does not include the balances of the Lancashire County Pension Fund and several small trust funds, which are presented in separate statements. Most of the trust funds have been set up as a result of gifts and bequests to be used for the benefit of children, students or clients at particular schools, colleges, homes or in specific areas.</w:t>
      </w:r>
    </w:p>
    <w:p w:rsidR="00C03048" w:rsidRPr="0063404E" w:rsidRDefault="00C03048" w:rsidP="00BD07E4">
      <w:pPr>
        <w:numPr>
          <w:ilvl w:val="0"/>
          <w:numId w:val="5"/>
        </w:numPr>
        <w:tabs>
          <w:tab w:val="clear" w:pos="540"/>
          <w:tab w:val="num" w:pos="1260"/>
        </w:tabs>
        <w:spacing w:after="240"/>
        <w:ind w:left="1440" w:hanging="720"/>
      </w:pPr>
      <w:r w:rsidRPr="0063404E">
        <w:rPr>
          <w:b/>
        </w:rPr>
        <w:t>Accruals of income and expenditure</w:t>
      </w:r>
    </w:p>
    <w:p w:rsidR="00C03048" w:rsidRPr="0063404E" w:rsidRDefault="00C03048" w:rsidP="00C03048">
      <w:pPr>
        <w:spacing w:after="240"/>
        <w:ind w:left="720"/>
        <w:jc w:val="both"/>
      </w:pPr>
      <w:r w:rsidRPr="0063404E">
        <w:t>Activity is accounted for in the year that it takes place, not simply when cash payments are made or received. In particular:</w:t>
      </w:r>
    </w:p>
    <w:p w:rsidR="00C03048" w:rsidRPr="0063404E" w:rsidRDefault="00C03048" w:rsidP="00BD07E4">
      <w:pPr>
        <w:numPr>
          <w:ilvl w:val="0"/>
          <w:numId w:val="26"/>
        </w:numPr>
        <w:tabs>
          <w:tab w:val="clear" w:pos="2160"/>
          <w:tab w:val="num" w:pos="1134"/>
        </w:tabs>
        <w:spacing w:after="240"/>
        <w:ind w:left="1134" w:hanging="425"/>
        <w:jc w:val="both"/>
      </w:pPr>
      <w:r w:rsidRPr="0063404E">
        <w:t>Fees, charges and rents due from customers are accounted for as income at the date the council provides the relevant goods or services.</w:t>
      </w:r>
    </w:p>
    <w:p w:rsidR="00C03048" w:rsidRPr="0063404E" w:rsidRDefault="00C03048" w:rsidP="00BD07E4">
      <w:pPr>
        <w:numPr>
          <w:ilvl w:val="0"/>
          <w:numId w:val="26"/>
        </w:numPr>
        <w:tabs>
          <w:tab w:val="clear" w:pos="2160"/>
          <w:tab w:val="num" w:pos="1134"/>
        </w:tabs>
        <w:spacing w:after="240"/>
        <w:ind w:left="1134" w:hanging="425"/>
        <w:jc w:val="both"/>
      </w:pPr>
      <w:r w:rsidRPr="0063404E">
        <w:t xml:space="preserve">Supplies are recorded as expenditure when they are consumed; where there is a gap between the date supplies are received and their consumption they are carried as </w:t>
      </w:r>
      <w:r w:rsidR="00262145">
        <w:t>inventories</w:t>
      </w:r>
      <w:r w:rsidR="00262145" w:rsidRPr="0063404E">
        <w:t xml:space="preserve"> </w:t>
      </w:r>
      <w:r w:rsidRPr="0063404E">
        <w:t>on the balance sheet.</w:t>
      </w:r>
    </w:p>
    <w:p w:rsidR="00C03048" w:rsidRPr="0063404E" w:rsidRDefault="00C03048" w:rsidP="00BD07E4">
      <w:pPr>
        <w:numPr>
          <w:ilvl w:val="0"/>
          <w:numId w:val="26"/>
        </w:numPr>
        <w:tabs>
          <w:tab w:val="clear" w:pos="2160"/>
          <w:tab w:val="num" w:pos="1134"/>
        </w:tabs>
        <w:spacing w:after="240"/>
        <w:ind w:left="1134" w:hanging="425"/>
        <w:jc w:val="both"/>
      </w:pPr>
      <w:r w:rsidRPr="0063404E">
        <w:t>Works are charged as expenditure when they are completed, before which they are carried as works in progress on the balance sheet.</w:t>
      </w:r>
    </w:p>
    <w:p w:rsidR="00C03048" w:rsidRPr="0063404E" w:rsidRDefault="00C03048" w:rsidP="00BD07E4">
      <w:pPr>
        <w:numPr>
          <w:ilvl w:val="0"/>
          <w:numId w:val="26"/>
        </w:numPr>
        <w:tabs>
          <w:tab w:val="clear" w:pos="2160"/>
          <w:tab w:val="num" w:pos="1134"/>
        </w:tabs>
        <w:spacing w:after="240"/>
        <w:ind w:left="1134" w:hanging="425"/>
        <w:jc w:val="both"/>
      </w:pPr>
      <w:r w:rsidRPr="0063404E">
        <w:t>Interest payable on borrowings and receivable on investments is accounted for on the basis of the effective interest rate for the relevant financial instrument rather than the cash flows fixed or determined by the contract.</w:t>
      </w:r>
    </w:p>
    <w:p w:rsidR="00C03048" w:rsidRPr="0063404E" w:rsidRDefault="00C03048" w:rsidP="00BD07E4">
      <w:pPr>
        <w:numPr>
          <w:ilvl w:val="0"/>
          <w:numId w:val="26"/>
        </w:numPr>
        <w:tabs>
          <w:tab w:val="clear" w:pos="2160"/>
          <w:tab w:val="num" w:pos="1134"/>
        </w:tabs>
        <w:spacing w:after="240"/>
        <w:ind w:left="1134" w:hanging="425"/>
        <w:jc w:val="both"/>
      </w:pPr>
      <w:r w:rsidRPr="0063404E">
        <w:t>Where income and expenditure have been recognised but cash has not been received or paid, a debtor or creditor for the relevant amount is recorded in the balance sheet.  Debtors and creditors have been included in the accounts at year end on an actual or estimated basis in line with the accruals concept. Estimated debtors and creditors have only been included if they are material, which is defined as:</w:t>
      </w:r>
    </w:p>
    <w:p w:rsidR="00C03048" w:rsidRPr="0063404E" w:rsidRDefault="00C03048" w:rsidP="00BD07E4">
      <w:pPr>
        <w:numPr>
          <w:ilvl w:val="0"/>
          <w:numId w:val="6"/>
        </w:numPr>
        <w:tabs>
          <w:tab w:val="clear" w:pos="360"/>
          <w:tab w:val="num" w:pos="1134"/>
        </w:tabs>
        <w:ind w:left="1134" w:firstLine="0"/>
        <w:jc w:val="both"/>
      </w:pPr>
      <w:r w:rsidRPr="0063404E">
        <w:t>£1,000 or more for primary schools, nursery schools and pupil referral units; and</w:t>
      </w:r>
    </w:p>
    <w:p w:rsidR="00C03048" w:rsidRPr="0063404E" w:rsidRDefault="00C03048" w:rsidP="00BD07E4">
      <w:pPr>
        <w:numPr>
          <w:ilvl w:val="0"/>
          <w:numId w:val="6"/>
        </w:numPr>
        <w:tabs>
          <w:tab w:val="clear" w:pos="360"/>
          <w:tab w:val="num" w:pos="1134"/>
        </w:tabs>
        <w:spacing w:after="240"/>
        <w:ind w:left="1134" w:firstLine="0"/>
        <w:jc w:val="both"/>
      </w:pPr>
      <w:r w:rsidRPr="0063404E">
        <w:t>£5,000 or more for secondary schools and all other council services.</w:t>
      </w:r>
    </w:p>
    <w:p w:rsidR="00C03048" w:rsidRPr="0063404E" w:rsidRDefault="00C03048" w:rsidP="00C03048">
      <w:pPr>
        <w:tabs>
          <w:tab w:val="num" w:pos="1134"/>
        </w:tabs>
        <w:ind w:left="1134"/>
        <w:jc w:val="both"/>
      </w:pPr>
      <w:r w:rsidRPr="0063404E">
        <w:lastRenderedPageBreak/>
        <w:t xml:space="preserve">Where it is doubtful that debts will be settled, the balance of debtors is written down and a charge made to revenue for the income that might not be collected. </w:t>
      </w:r>
    </w:p>
    <w:p w:rsidR="00E3074C" w:rsidRPr="00286C0E" w:rsidRDefault="00E3074C" w:rsidP="00C03048">
      <w:pPr>
        <w:tabs>
          <w:tab w:val="num" w:pos="1134"/>
        </w:tabs>
        <w:ind w:left="1134"/>
        <w:jc w:val="both"/>
        <w:rPr>
          <w:highlight w:val="yellow"/>
        </w:rPr>
      </w:pPr>
    </w:p>
    <w:p w:rsidR="00C03048" w:rsidRPr="00286C0E" w:rsidRDefault="00C03048" w:rsidP="00C03048">
      <w:pPr>
        <w:tabs>
          <w:tab w:val="num" w:pos="1134"/>
        </w:tabs>
        <w:ind w:left="1134"/>
        <w:jc w:val="both"/>
        <w:rPr>
          <w:highlight w:val="yellow"/>
        </w:rPr>
      </w:pPr>
    </w:p>
    <w:p w:rsidR="00C03048" w:rsidRPr="005C0903" w:rsidRDefault="00C03048" w:rsidP="005C0903">
      <w:pPr>
        <w:pStyle w:val="ListParagraph"/>
        <w:numPr>
          <w:ilvl w:val="0"/>
          <w:numId w:val="5"/>
        </w:numPr>
        <w:tabs>
          <w:tab w:val="clear" w:pos="540"/>
          <w:tab w:val="num" w:pos="1080"/>
        </w:tabs>
        <w:ind w:left="1080"/>
        <w:jc w:val="both"/>
        <w:rPr>
          <w:b/>
        </w:rPr>
      </w:pPr>
      <w:r w:rsidRPr="005C0903">
        <w:rPr>
          <w:b/>
        </w:rPr>
        <w:t>Cash and Cash Equivalents</w:t>
      </w:r>
    </w:p>
    <w:p w:rsidR="00C03048" w:rsidRPr="00ED1F6F" w:rsidRDefault="00C03048" w:rsidP="00C03048">
      <w:pPr>
        <w:jc w:val="both"/>
        <w:rPr>
          <w:b/>
        </w:rPr>
      </w:pPr>
      <w:r w:rsidRPr="00ED1F6F">
        <w:rPr>
          <w:b/>
        </w:rPr>
        <w:t xml:space="preserve">            </w:t>
      </w:r>
    </w:p>
    <w:p w:rsidR="00C03048" w:rsidRPr="00ED1F6F" w:rsidRDefault="00C03048" w:rsidP="00C03048">
      <w:pPr>
        <w:ind w:left="720"/>
        <w:jc w:val="both"/>
      </w:pPr>
      <w:r w:rsidRPr="00ED1F6F">
        <w:t>Cash is represented by cash in hand and deposits with financial institutions repayable without penalty on notice of not more than 24 hours. Cash equivalents are investments that mature or are available for recall in three months or less from the date of acquisition and that are readily convertible to known amounts of cash with insignificant risk of change in value. This category will include cash on call and three months or less term deposit and also instant access money market funds.</w:t>
      </w:r>
    </w:p>
    <w:p w:rsidR="00C03048" w:rsidRPr="00ED1F6F" w:rsidRDefault="00C03048" w:rsidP="00C03048">
      <w:pPr>
        <w:jc w:val="both"/>
      </w:pPr>
    </w:p>
    <w:p w:rsidR="00C03048" w:rsidRPr="00ED1F6F" w:rsidRDefault="00C03048" w:rsidP="00C03048">
      <w:pPr>
        <w:ind w:left="720"/>
        <w:jc w:val="both"/>
      </w:pPr>
      <w:r w:rsidRPr="00ED1F6F">
        <w:t xml:space="preserve">In the Cash Flow Statement, cash and cash equivalents are shown net of bank overdrafts that are repayable on demand and form an integral part of the </w:t>
      </w:r>
      <w:r w:rsidR="00CB5417">
        <w:t>Council</w:t>
      </w:r>
      <w:r w:rsidRPr="00ED1F6F">
        <w:t>'s cash management.</w:t>
      </w:r>
    </w:p>
    <w:p w:rsidR="00E3074C" w:rsidRPr="00286C0E" w:rsidRDefault="00E3074C" w:rsidP="00C03048">
      <w:pPr>
        <w:ind w:left="720"/>
        <w:jc w:val="both"/>
        <w:rPr>
          <w:highlight w:val="yellow"/>
        </w:rPr>
      </w:pPr>
    </w:p>
    <w:p w:rsidR="00C03048" w:rsidRPr="0063404E" w:rsidRDefault="00C03048" w:rsidP="00C03048">
      <w:pPr>
        <w:jc w:val="both"/>
      </w:pPr>
    </w:p>
    <w:p w:rsidR="00C03048" w:rsidRPr="005C0903" w:rsidRDefault="00C03048" w:rsidP="005C0903">
      <w:pPr>
        <w:pStyle w:val="ListParagraph"/>
        <w:numPr>
          <w:ilvl w:val="0"/>
          <w:numId w:val="5"/>
        </w:numPr>
        <w:tabs>
          <w:tab w:val="clear" w:pos="540"/>
          <w:tab w:val="num" w:pos="1020"/>
        </w:tabs>
        <w:ind w:left="1020"/>
        <w:jc w:val="both"/>
        <w:rPr>
          <w:b/>
        </w:rPr>
      </w:pPr>
      <w:r w:rsidRPr="005C0903">
        <w:rPr>
          <w:b/>
        </w:rPr>
        <w:t xml:space="preserve">Prior Period Adjustments, Changes in </w:t>
      </w:r>
      <w:r w:rsidR="004B0D70" w:rsidRPr="005C0903">
        <w:rPr>
          <w:b/>
        </w:rPr>
        <w:t>Accounting Policies, Estimates a</w:t>
      </w:r>
      <w:r w:rsidRPr="005C0903">
        <w:rPr>
          <w:b/>
        </w:rPr>
        <w:t>nd Errors</w:t>
      </w:r>
    </w:p>
    <w:p w:rsidR="00C03048" w:rsidRPr="0063404E" w:rsidRDefault="00C03048" w:rsidP="00C03048">
      <w:pPr>
        <w:jc w:val="both"/>
        <w:rPr>
          <w:b/>
        </w:rPr>
      </w:pPr>
    </w:p>
    <w:p w:rsidR="00C03048" w:rsidRPr="0063404E" w:rsidRDefault="00C03048" w:rsidP="00C03048">
      <w:pPr>
        <w:ind w:left="660"/>
        <w:jc w:val="both"/>
      </w:pPr>
      <w:r w:rsidRPr="0063404E">
        <w:t>Prior period adjustments may arise as a result of a change in accounting policies or to correct a material error. Changes in accounting estimates are accounted for prospectively, i.e. in the current and future years affected by the change and do not give rise to a prior period adjustment.</w:t>
      </w:r>
    </w:p>
    <w:p w:rsidR="00C03048" w:rsidRPr="0063404E" w:rsidRDefault="00C03048" w:rsidP="00C03048">
      <w:pPr>
        <w:ind w:left="660"/>
        <w:jc w:val="both"/>
      </w:pPr>
    </w:p>
    <w:p w:rsidR="00C03048" w:rsidRPr="0063404E" w:rsidRDefault="00C03048" w:rsidP="00C03048">
      <w:pPr>
        <w:ind w:left="660"/>
        <w:jc w:val="both"/>
      </w:pPr>
      <w:r w:rsidRPr="0063404E">
        <w:t xml:space="preserve">Changes in accounting policies are only made when required by proper accounting practices or the change provides more reliable or relevant information about the effect of transactions, other events and conditions on the </w:t>
      </w:r>
      <w:r w:rsidR="00CB5417">
        <w:t>Council</w:t>
      </w:r>
      <w:r w:rsidRPr="0063404E">
        <w:t xml:space="preserve">'s financial position or financial performance. Where a change is made, it is applied retrospectively (unless stated otherwise) by adjusting opening balances and comparative amounts for the prior period as if the new policy had always been applied. </w:t>
      </w:r>
    </w:p>
    <w:p w:rsidR="00C03048" w:rsidRPr="0063404E" w:rsidRDefault="00C03048" w:rsidP="00C03048">
      <w:pPr>
        <w:ind w:left="660"/>
        <w:jc w:val="both"/>
      </w:pPr>
    </w:p>
    <w:p w:rsidR="00C03048" w:rsidRPr="0063404E" w:rsidRDefault="00C03048" w:rsidP="00C03048">
      <w:pPr>
        <w:ind w:left="660"/>
        <w:jc w:val="both"/>
      </w:pPr>
      <w:r w:rsidRPr="0063404E">
        <w:t>Material errors discovered in prior period figures are corrected retrospectively by amending opening balances and comparative amounts for the prior period.</w:t>
      </w:r>
    </w:p>
    <w:p w:rsidR="00E3074C" w:rsidRPr="00286C0E" w:rsidRDefault="00E3074C" w:rsidP="00C03048">
      <w:pPr>
        <w:ind w:left="660"/>
        <w:jc w:val="both"/>
        <w:rPr>
          <w:b/>
          <w:highlight w:val="yellow"/>
        </w:rPr>
      </w:pPr>
    </w:p>
    <w:p w:rsidR="00C03048" w:rsidRPr="00F83FB9" w:rsidRDefault="00C03048" w:rsidP="00C03048">
      <w:pPr>
        <w:ind w:left="720"/>
        <w:jc w:val="both"/>
      </w:pPr>
    </w:p>
    <w:p w:rsidR="00C03048" w:rsidRPr="00F83FB9" w:rsidRDefault="00C03048" w:rsidP="005C0903">
      <w:pPr>
        <w:pStyle w:val="ListParagraph"/>
        <w:numPr>
          <w:ilvl w:val="0"/>
          <w:numId w:val="5"/>
        </w:numPr>
        <w:tabs>
          <w:tab w:val="clear" w:pos="540"/>
          <w:tab w:val="num" w:pos="1020"/>
        </w:tabs>
        <w:spacing w:after="240"/>
        <w:ind w:left="1020"/>
      </w:pPr>
      <w:r w:rsidRPr="005C0903">
        <w:rPr>
          <w:b/>
        </w:rPr>
        <w:t>Reserves</w:t>
      </w:r>
    </w:p>
    <w:p w:rsidR="00C03048" w:rsidRPr="00F83FB9" w:rsidRDefault="00C03048" w:rsidP="00C03048">
      <w:pPr>
        <w:spacing w:after="240"/>
        <w:ind w:left="720"/>
        <w:jc w:val="both"/>
      </w:pPr>
      <w:r w:rsidRPr="00F83FB9">
        <w:t xml:space="preserve">The council sets aside specific amounts as reserves for future policy purposes or to cover contingencies </w:t>
      </w:r>
      <w:r w:rsidR="00CF4EBE" w:rsidRPr="00F83FB9">
        <w:t>(see the details in notes 11 and 12</w:t>
      </w:r>
      <w:r w:rsidRPr="00F83FB9">
        <w:t xml:space="preserve"> to the accounts). Reserves are created by appropriating amounts out of the County Fund balance in the Movement in Reserves Statement.</w:t>
      </w:r>
    </w:p>
    <w:p w:rsidR="00C03048" w:rsidRPr="00F83FB9" w:rsidRDefault="00C03048" w:rsidP="00C03048">
      <w:pPr>
        <w:spacing w:after="240"/>
        <w:ind w:left="720"/>
        <w:jc w:val="both"/>
      </w:pPr>
      <w:r w:rsidRPr="00F83FB9">
        <w:t>When expenditure to be financed from a reserve is incurred, it is charged to the appropriate service revenue account in that year to score against the surplus or deficit on the provision of services in the Comprehensive Income and Expenditure Statement. The reserve is then appropriated back into the County Fund in the Movement in Reserves Statement so that there is no net charge against council tax for the expenditure.</w:t>
      </w:r>
    </w:p>
    <w:p w:rsidR="002116D1" w:rsidRDefault="00C03048" w:rsidP="00B65901">
      <w:pPr>
        <w:spacing w:after="240"/>
        <w:ind w:left="720"/>
        <w:jc w:val="both"/>
      </w:pPr>
      <w:r w:rsidRPr="00F83FB9">
        <w:t xml:space="preserve">Certain reserves are kept to manage the accounting processes for non-current assets, financial instruments, </w:t>
      </w:r>
      <w:r w:rsidR="00A744F9" w:rsidRPr="00F83FB9">
        <w:t>and retirement</w:t>
      </w:r>
      <w:r w:rsidRPr="00F83FB9">
        <w:t xml:space="preserve"> and employee benefits and do not represent usable resources for the </w:t>
      </w:r>
      <w:r w:rsidR="00CB5417">
        <w:t>Council</w:t>
      </w:r>
      <w:r w:rsidR="00CB5417" w:rsidRPr="00F83FB9">
        <w:t xml:space="preserve"> </w:t>
      </w:r>
      <w:r w:rsidRPr="00F83FB9">
        <w:t xml:space="preserve">– these reserves are explained in the relevant policies. </w:t>
      </w:r>
    </w:p>
    <w:p w:rsidR="00B65901" w:rsidRPr="0063404E" w:rsidRDefault="00B65901" w:rsidP="00B65901">
      <w:pPr>
        <w:spacing w:after="240"/>
        <w:ind w:left="720"/>
        <w:jc w:val="both"/>
      </w:pPr>
    </w:p>
    <w:p w:rsidR="00C03048" w:rsidRPr="00CB3823" w:rsidRDefault="00C03048" w:rsidP="00BD07E4">
      <w:pPr>
        <w:numPr>
          <w:ilvl w:val="0"/>
          <w:numId w:val="50"/>
        </w:numPr>
        <w:spacing w:after="240"/>
      </w:pPr>
      <w:r w:rsidRPr="00CB3823">
        <w:rPr>
          <w:b/>
        </w:rPr>
        <w:t xml:space="preserve">Provisions </w:t>
      </w:r>
    </w:p>
    <w:p w:rsidR="00C03048" w:rsidRPr="00CB3823" w:rsidRDefault="00C03048" w:rsidP="00C03048">
      <w:pPr>
        <w:spacing w:after="240"/>
        <w:ind w:left="720"/>
        <w:jc w:val="both"/>
      </w:pPr>
      <w:r w:rsidRPr="00CB3823">
        <w:t>Provisions are made where an event has taken place that gives the council a legal or constructive obligation that probably requires settlement by a transfer of economic benefits or service potential, and a reliable estimate can be made of the amount of the obligation. For instance, the council may be involved in a court case that could eventually result in the making of a settlement or the payment of compensation.</w:t>
      </w:r>
    </w:p>
    <w:p w:rsidR="00C03048" w:rsidRPr="00CB3823" w:rsidRDefault="00C03048" w:rsidP="00C03048">
      <w:pPr>
        <w:spacing w:after="240"/>
        <w:ind w:left="720"/>
        <w:jc w:val="both"/>
      </w:pPr>
      <w:r w:rsidRPr="00CB3823">
        <w:t xml:space="preserve">Provisions are charged as an expense to the appropriate service line in the Comprehensive Income and Expenditure Statement in the year the </w:t>
      </w:r>
      <w:r w:rsidR="00CB5417">
        <w:t>Council</w:t>
      </w:r>
      <w:r w:rsidR="00CB5417" w:rsidRPr="00CB3823">
        <w:t xml:space="preserve"> </w:t>
      </w:r>
      <w:r w:rsidRPr="00CB3823">
        <w:t xml:space="preserve">becomes aware of the obligation, and are measured at the best estimate at the balance sheet date of the expenditure required to settle the obligation, taking into account relevant risks and uncertainties. </w:t>
      </w:r>
    </w:p>
    <w:p w:rsidR="00C03048" w:rsidRPr="00CB3823" w:rsidRDefault="00C03048" w:rsidP="00C03048">
      <w:pPr>
        <w:spacing w:after="240"/>
        <w:ind w:left="720"/>
        <w:jc w:val="both"/>
      </w:pPr>
      <w:r w:rsidRPr="00CB3823">
        <w:t>When payments are eventually made, they are charged to the provision carried in the balance sheet. Estimated settlements are reviewed at the end of each financial year – where it becomes more likely than not that a transfer of economic benefits will not now be required (or a lower settlement than anticipated is made), the provision is reversed and credited back to the relevant service revenue account.</w:t>
      </w:r>
    </w:p>
    <w:p w:rsidR="00053A62" w:rsidRPr="00CB3823" w:rsidRDefault="00C03048" w:rsidP="00053A62">
      <w:pPr>
        <w:spacing w:after="240"/>
        <w:ind w:left="720"/>
        <w:jc w:val="both"/>
      </w:pPr>
      <w:r w:rsidRPr="00CB3823">
        <w:t>Where some or all of the payment requ</w:t>
      </w:r>
      <w:r w:rsidR="00B65901">
        <w:t>ired to settle</w:t>
      </w:r>
      <w:r w:rsidRPr="00CB3823">
        <w:t xml:space="preserve"> a provision is expected to be met by another party (e.g. from an insurance claim), this is only recognised as income in the relevant service revenue account if it is virtually certain that reimbursement will be received if the obligation is settled. Details of our provisions are given in </w:t>
      </w:r>
      <w:r w:rsidR="00CF4EBE" w:rsidRPr="00CB3823">
        <w:t>note 5</w:t>
      </w:r>
      <w:r w:rsidR="00FA4E44">
        <w:t>1</w:t>
      </w:r>
      <w:r w:rsidRPr="00CB3823">
        <w:t xml:space="preserve"> to the accounts.</w:t>
      </w:r>
    </w:p>
    <w:p w:rsidR="00E3074C" w:rsidRPr="00CB3823" w:rsidRDefault="00E3074C" w:rsidP="00053A62">
      <w:pPr>
        <w:spacing w:after="240"/>
        <w:ind w:left="720"/>
        <w:jc w:val="both"/>
      </w:pPr>
    </w:p>
    <w:p w:rsidR="00C03048" w:rsidRPr="00CB3823" w:rsidRDefault="00C03048" w:rsidP="00BD07E4">
      <w:pPr>
        <w:numPr>
          <w:ilvl w:val="0"/>
          <w:numId w:val="50"/>
        </w:numPr>
        <w:spacing w:after="240"/>
        <w:jc w:val="both"/>
      </w:pPr>
      <w:r w:rsidRPr="00CB3823">
        <w:rPr>
          <w:b/>
        </w:rPr>
        <w:t xml:space="preserve">Intangible Assets </w:t>
      </w:r>
    </w:p>
    <w:p w:rsidR="00C03048" w:rsidRPr="00CB3823" w:rsidRDefault="00C03048" w:rsidP="00BC6A99">
      <w:pPr>
        <w:spacing w:after="240"/>
        <w:ind w:left="720"/>
        <w:jc w:val="both"/>
      </w:pPr>
      <w:r w:rsidRPr="00CB3823">
        <w:t xml:space="preserve">Expenditure on assets that do not have physical substance but are controlled by the </w:t>
      </w:r>
      <w:r w:rsidR="00CB5417">
        <w:t>Council</w:t>
      </w:r>
      <w:r w:rsidR="00CB5417" w:rsidRPr="00CB3823">
        <w:t xml:space="preserve"> </w:t>
      </w:r>
      <w:r w:rsidRPr="00CB3823">
        <w:t xml:space="preserve">is capitalised when it is expected that future economic benefits or service potential will flow from the intangible asset to the </w:t>
      </w:r>
      <w:r w:rsidR="00CB5417">
        <w:t>Council</w:t>
      </w:r>
      <w:r w:rsidRPr="00CB3823">
        <w:t>.</w:t>
      </w:r>
    </w:p>
    <w:p w:rsidR="00C03048" w:rsidRPr="00CB3823" w:rsidRDefault="00C03048" w:rsidP="00BC6A99">
      <w:pPr>
        <w:spacing w:after="240"/>
        <w:ind w:left="720"/>
        <w:jc w:val="both"/>
      </w:pPr>
      <w:r w:rsidRPr="00CB3823">
        <w:t xml:space="preserve">Expenditure on the development of websites is not capitalised if the website is solely or primarily intended to promote or advertise the </w:t>
      </w:r>
      <w:r w:rsidR="00CB5417">
        <w:t>Council</w:t>
      </w:r>
      <w:r w:rsidR="00CB5417" w:rsidRPr="00CB3823">
        <w:t xml:space="preserve">'s </w:t>
      </w:r>
      <w:r w:rsidRPr="00CB3823">
        <w:t>goods or services.</w:t>
      </w:r>
    </w:p>
    <w:p w:rsidR="00E3074C" w:rsidRPr="00CB3823" w:rsidRDefault="00C03048" w:rsidP="00BC6A99">
      <w:pPr>
        <w:spacing w:after="240"/>
        <w:ind w:left="720"/>
        <w:jc w:val="both"/>
      </w:pPr>
      <w:r w:rsidRPr="00CB3823">
        <w:t>Intangible assets are measure</w:t>
      </w:r>
      <w:r w:rsidR="00FD083A" w:rsidRPr="00CB3823">
        <w:t>d</w:t>
      </w:r>
      <w:r w:rsidRPr="00CB3823">
        <w:t xml:space="preserve"> initially at cost. Amounts are only revalued where the fair value of the assets held by the </w:t>
      </w:r>
      <w:r w:rsidR="00CB5417">
        <w:t>Council</w:t>
      </w:r>
      <w:r w:rsidR="00CB5417" w:rsidRPr="00CB3823">
        <w:t xml:space="preserve"> </w:t>
      </w:r>
      <w:r w:rsidRPr="00CB3823">
        <w:t xml:space="preserve">can be determined by reference to an active market. In practice, no intangible asset held by the </w:t>
      </w:r>
      <w:r w:rsidR="00CB5417">
        <w:t>Council</w:t>
      </w:r>
      <w:r w:rsidR="00CB5417" w:rsidRPr="00CB3823">
        <w:t xml:space="preserve"> </w:t>
      </w:r>
      <w:r w:rsidRPr="00CB3823">
        <w:t xml:space="preserve">meets this criterion and they are therefore carried at amortised cost. The depreciable amount of an intangible asset is amortised over its useful life to the relevant service line(s) in the Comprehensive Income and Expenditure Statement. An asset is tested for impairment whenever there is an indication that the asset might be impaired – any losses recognised are posted to the relevant service line(s) in the Comprehensive Income and Expenditure Statement. </w:t>
      </w:r>
    </w:p>
    <w:p w:rsidR="00C03048" w:rsidRPr="00CB3823" w:rsidRDefault="00C03048" w:rsidP="00BC6A99">
      <w:pPr>
        <w:spacing w:after="240"/>
        <w:ind w:left="720"/>
        <w:jc w:val="both"/>
      </w:pPr>
      <w:r w:rsidRPr="00CB3823">
        <w:t>Any gain or loss arising on the disposal or abandonment of an intangible asset is posted to the Other Operating Expenditure line in the Comprehensive Income and Expenditure Statement.</w:t>
      </w:r>
    </w:p>
    <w:p w:rsidR="00C03048" w:rsidRPr="00CB3823" w:rsidRDefault="00C03048" w:rsidP="00BC6A99">
      <w:pPr>
        <w:spacing w:after="240"/>
        <w:ind w:left="720"/>
        <w:jc w:val="both"/>
      </w:pPr>
      <w:r w:rsidRPr="00CB3823">
        <w:lastRenderedPageBreak/>
        <w:t>Where expenditure on intangible assets qualifies as capital expenditure for statutory purposes, amortisation, impairment losses and disposal gains and losses are not permitted to have an impact on the County Fund balance. The gains and losses are therefore reversed out of the County Fund balance in the Movement in Reserves Statement and posted to the Capital Adjustment Account and (for any sale proceeds greater than £10,000) the Capital Receipts Reserve.</w:t>
      </w:r>
    </w:p>
    <w:p w:rsidR="00C03048" w:rsidRPr="00CB3823" w:rsidRDefault="00C03048" w:rsidP="00C03048">
      <w:pPr>
        <w:spacing w:after="240"/>
        <w:ind w:left="540"/>
      </w:pPr>
    </w:p>
    <w:p w:rsidR="00C03048" w:rsidRPr="00CB3823" w:rsidRDefault="00C03048" w:rsidP="00BD07E4">
      <w:pPr>
        <w:numPr>
          <w:ilvl w:val="0"/>
          <w:numId w:val="50"/>
        </w:numPr>
        <w:spacing w:after="240"/>
        <w:rPr>
          <w:b/>
        </w:rPr>
      </w:pPr>
      <w:r w:rsidRPr="00CB3823">
        <w:rPr>
          <w:b/>
        </w:rPr>
        <w:t>Property, Plant and Equipment</w:t>
      </w:r>
    </w:p>
    <w:p w:rsidR="00C03048" w:rsidRPr="00CB3823" w:rsidRDefault="00C03048" w:rsidP="00053A62">
      <w:pPr>
        <w:spacing w:after="240"/>
        <w:ind w:left="720"/>
      </w:pPr>
      <w:r w:rsidRPr="00CB3823">
        <w:t>Physical assets held for use in the production or supply of goods or services, for rental to others, or for administrative purposes and that are expected to be used during more than one financial year are classified as Property, Plant and Equipment.</w:t>
      </w:r>
    </w:p>
    <w:p w:rsidR="00C03048" w:rsidRPr="00CB3823" w:rsidRDefault="00C03048" w:rsidP="00053A62">
      <w:pPr>
        <w:spacing w:after="240"/>
        <w:ind w:left="525" w:firstLine="195"/>
        <w:rPr>
          <w:b/>
        </w:rPr>
      </w:pPr>
      <w:r w:rsidRPr="00CB3823">
        <w:rPr>
          <w:b/>
        </w:rPr>
        <w:t>Recognition</w:t>
      </w:r>
    </w:p>
    <w:p w:rsidR="00C03048" w:rsidRPr="00CB3823" w:rsidRDefault="00C03048" w:rsidP="00BC6A99">
      <w:pPr>
        <w:spacing w:after="240"/>
        <w:ind w:left="720"/>
        <w:jc w:val="both"/>
      </w:pPr>
      <w:r w:rsidRPr="00CB3823">
        <w:t xml:space="preserve">Expenditure on the acquisition, creation or enhancement of Property, Plant and Equipment is capitalised provided the benefits accruing from the expenditure is for more than one year. This expenditure is accounted for on an accruals basis provided that it is probable that the future economic benefits or service potential associated with the item will flow to the </w:t>
      </w:r>
      <w:r w:rsidR="00CB5417">
        <w:t>Council</w:t>
      </w:r>
      <w:r w:rsidR="00CB5417" w:rsidRPr="00CB3823">
        <w:t xml:space="preserve"> </w:t>
      </w:r>
      <w:r w:rsidRPr="00CB3823">
        <w:t>and the cost of the item can be measured reliably. Expenditure that maintains but does not add to an asset's potential to deliver future economic benefits or service potential (i.e. repairs and maintenance) is charged as a revenue expense when it is incurred.</w:t>
      </w:r>
    </w:p>
    <w:p w:rsidR="00C03048" w:rsidRPr="00CB3823" w:rsidRDefault="00C03048" w:rsidP="00BC6A99">
      <w:pPr>
        <w:spacing w:after="240"/>
        <w:ind w:left="525" w:firstLine="195"/>
        <w:jc w:val="both"/>
        <w:rPr>
          <w:b/>
        </w:rPr>
      </w:pPr>
      <w:r w:rsidRPr="00CB3823">
        <w:rPr>
          <w:b/>
        </w:rPr>
        <w:t xml:space="preserve">Measurement </w:t>
      </w:r>
    </w:p>
    <w:p w:rsidR="00C03048" w:rsidRPr="00CB3823" w:rsidRDefault="00C03048" w:rsidP="00BC6A99">
      <w:pPr>
        <w:spacing w:after="240"/>
        <w:ind w:left="525" w:firstLine="195"/>
        <w:jc w:val="both"/>
      </w:pPr>
      <w:r w:rsidRPr="00CB3823">
        <w:t>For assets that are purchased</w:t>
      </w:r>
      <w:r w:rsidR="0065514C" w:rsidRPr="00CB3823">
        <w:t>,</w:t>
      </w:r>
      <w:r w:rsidRPr="00CB3823">
        <w:t xml:space="preserve"> they are initially recognised at cost. The cost comprises of:</w:t>
      </w:r>
    </w:p>
    <w:p w:rsidR="00C03048" w:rsidRPr="00CB3823" w:rsidRDefault="00A744F9" w:rsidP="00BD07E4">
      <w:pPr>
        <w:numPr>
          <w:ilvl w:val="0"/>
          <w:numId w:val="39"/>
        </w:numPr>
        <w:spacing w:after="240"/>
        <w:jc w:val="both"/>
      </w:pPr>
      <w:r w:rsidRPr="00CB3823">
        <w:t>The</w:t>
      </w:r>
      <w:r w:rsidR="00C03048" w:rsidRPr="00CB3823">
        <w:t xml:space="preserve"> purchase price</w:t>
      </w:r>
      <w:r w:rsidR="00FD083A" w:rsidRPr="00CB3823">
        <w:t>.</w:t>
      </w:r>
      <w:r w:rsidR="00C03048" w:rsidRPr="00CB3823">
        <w:t xml:space="preserve"> </w:t>
      </w:r>
    </w:p>
    <w:p w:rsidR="00C03048" w:rsidRPr="00CB3823" w:rsidRDefault="00A744F9" w:rsidP="00BD07E4">
      <w:pPr>
        <w:numPr>
          <w:ilvl w:val="0"/>
          <w:numId w:val="39"/>
        </w:numPr>
        <w:spacing w:after="240"/>
        <w:jc w:val="both"/>
      </w:pPr>
      <w:r w:rsidRPr="00CB3823">
        <w:t>Any</w:t>
      </w:r>
      <w:r w:rsidR="00C03048" w:rsidRPr="00CB3823">
        <w:t xml:space="preserve"> costs attributable to bringing the asset to the location and condition necessary for it to be operational. </w:t>
      </w:r>
    </w:p>
    <w:p w:rsidR="00C03048" w:rsidRPr="00CB3823" w:rsidRDefault="00A744F9" w:rsidP="00BD07E4">
      <w:pPr>
        <w:numPr>
          <w:ilvl w:val="0"/>
          <w:numId w:val="39"/>
        </w:numPr>
        <w:spacing w:after="240"/>
        <w:jc w:val="both"/>
      </w:pPr>
      <w:r w:rsidRPr="00CB3823">
        <w:t>The</w:t>
      </w:r>
      <w:r w:rsidR="00C03048" w:rsidRPr="00CB3823">
        <w:t xml:space="preserve"> initial estimate of the costs of dismantling and removing the item and restoring the site on which it is located.</w:t>
      </w:r>
    </w:p>
    <w:p w:rsidR="00C03048" w:rsidRPr="00CB3823" w:rsidRDefault="00C03048" w:rsidP="00BC6A99">
      <w:pPr>
        <w:spacing w:after="240"/>
        <w:ind w:left="720"/>
        <w:jc w:val="both"/>
      </w:pPr>
      <w:r w:rsidRPr="00CB3823">
        <w:t xml:space="preserve">Assets that are being constructed by the </w:t>
      </w:r>
      <w:r w:rsidR="00CB5417">
        <w:t>Council</w:t>
      </w:r>
      <w:r w:rsidR="00CB5417" w:rsidRPr="00CB3823">
        <w:t xml:space="preserve"> </w:t>
      </w:r>
      <w:r w:rsidRPr="00CB3823">
        <w:t>will initially be recognised at cost. Only those costs that can be directly attributable to bringing the asset into operation will be capitalised</w:t>
      </w:r>
      <w:r w:rsidR="00FD083A" w:rsidRPr="00CB3823">
        <w:t>.</w:t>
      </w:r>
    </w:p>
    <w:p w:rsidR="00C03048" w:rsidRPr="00CB3823" w:rsidRDefault="00C03048" w:rsidP="00BC6A99">
      <w:pPr>
        <w:spacing w:after="240"/>
        <w:ind w:left="720"/>
        <w:jc w:val="both"/>
      </w:pPr>
      <w:r w:rsidRPr="00CB3823">
        <w:t xml:space="preserve">The </w:t>
      </w:r>
      <w:r w:rsidR="00CB5417">
        <w:t>Council</w:t>
      </w:r>
      <w:r w:rsidR="00CB5417" w:rsidRPr="00CB3823">
        <w:t xml:space="preserve"> </w:t>
      </w:r>
      <w:r w:rsidRPr="00CB3823">
        <w:t>does not capitalise borrowing costs incurred whilst assets are under construction.</w:t>
      </w:r>
    </w:p>
    <w:p w:rsidR="00C03048" w:rsidRPr="00CB3823" w:rsidRDefault="00C03048" w:rsidP="00BC6A99">
      <w:pPr>
        <w:spacing w:after="240"/>
        <w:ind w:left="720"/>
        <w:jc w:val="both"/>
      </w:pPr>
      <w:r w:rsidRPr="00CB3823">
        <w:t xml:space="preserve">Alternative ways of acquiring assets are either via an exchange or an asset is donated. Where an asset is acquired via an exchange, the cost of the acquisition is the carrying amount of the asset given up by the </w:t>
      </w:r>
      <w:r w:rsidR="00CB5417">
        <w:t>Council</w:t>
      </w:r>
      <w:r w:rsidRPr="00CB3823">
        <w:t>.</w:t>
      </w:r>
    </w:p>
    <w:p w:rsidR="007622C4" w:rsidRPr="00CB3823" w:rsidRDefault="00C03048" w:rsidP="00BC6A99">
      <w:pPr>
        <w:spacing w:after="240"/>
        <w:ind w:left="720"/>
        <w:jc w:val="both"/>
      </w:pPr>
      <w:r w:rsidRPr="00CB3823">
        <w:t xml:space="preserve">Donated assets are measured initially at fair value. The difference between fair value and any consideration paid is credited to the Taxation and Non-Specific Grant Income line of the Comprehensive Income and Expenditure Statement, unless the donation has been made conditionally. Until conditions are satisfied, the gain is held in the Donated Assets Account. </w:t>
      </w:r>
    </w:p>
    <w:p w:rsidR="00C03048" w:rsidRPr="00CB3823" w:rsidRDefault="00C03048" w:rsidP="00BC6A99">
      <w:pPr>
        <w:spacing w:after="240"/>
        <w:ind w:left="720"/>
        <w:jc w:val="both"/>
      </w:pPr>
      <w:r w:rsidRPr="00CB3823">
        <w:lastRenderedPageBreak/>
        <w:t>Where gains are credited to the Comprehensive Income and Expenditure Statement, they are reversed out of the County Fund balance to the Capital Adjustment Account in the Movement in Reserves Statement.</w:t>
      </w:r>
    </w:p>
    <w:p w:rsidR="00C03048" w:rsidRPr="00CB3823" w:rsidRDefault="00C03048" w:rsidP="00BC6A99">
      <w:pPr>
        <w:spacing w:after="240"/>
        <w:ind w:left="525" w:firstLine="195"/>
        <w:jc w:val="both"/>
      </w:pPr>
      <w:r w:rsidRPr="00CB3823">
        <w:t>Assets are then carried in the Balance Sheet using the following measurement bases:</w:t>
      </w:r>
    </w:p>
    <w:p w:rsidR="00C03048" w:rsidRPr="00CB3823" w:rsidRDefault="00C03048" w:rsidP="00BC6A99">
      <w:pPr>
        <w:spacing w:after="240"/>
        <w:ind w:left="720"/>
        <w:jc w:val="both"/>
      </w:pPr>
      <w:r w:rsidRPr="00CB3823">
        <w:t>Infrastructure, community assets and assets under construction – depreciated historical cost; although for certain community assets which were acquired years ago they are included at a notional amount of £1.</w:t>
      </w:r>
    </w:p>
    <w:p w:rsidR="00C03048" w:rsidRPr="00CB3823" w:rsidRDefault="00C03048" w:rsidP="00BC6A99">
      <w:pPr>
        <w:spacing w:after="240"/>
        <w:ind w:left="720"/>
        <w:jc w:val="both"/>
      </w:pPr>
      <w:r w:rsidRPr="00CB3823">
        <w:t>All other assets – fair value, determined as the amount that would be paid for the asset in its existing use (existing use value – EUV).</w:t>
      </w:r>
    </w:p>
    <w:p w:rsidR="00C03048" w:rsidRPr="00CB3823" w:rsidRDefault="00C03048" w:rsidP="00BC6A99">
      <w:pPr>
        <w:spacing w:after="240"/>
        <w:ind w:left="720"/>
        <w:jc w:val="both"/>
      </w:pPr>
      <w:r w:rsidRPr="00CB3823">
        <w:t>Where there is no market-based evidence of fair value because of the specialist nature of an asset, depreciated replacement cost (DRC) is used as an estimate of fair value.</w:t>
      </w:r>
    </w:p>
    <w:p w:rsidR="00C03048" w:rsidRPr="00CB3823" w:rsidRDefault="00C03048" w:rsidP="00BC6A99">
      <w:pPr>
        <w:spacing w:after="240"/>
        <w:ind w:left="720"/>
        <w:jc w:val="both"/>
      </w:pPr>
      <w:r w:rsidRPr="00CB3823">
        <w:t>Where non-property assets, principally furniture and equipment, that have short useful lives or low values (or both), depreciated historical cost basis is used as a proxy for fair value.</w:t>
      </w:r>
    </w:p>
    <w:p w:rsidR="00C03048" w:rsidRPr="00CB3823" w:rsidRDefault="00C03048" w:rsidP="00BC6A99">
      <w:pPr>
        <w:spacing w:after="240"/>
        <w:ind w:left="720"/>
        <w:jc w:val="both"/>
      </w:pPr>
      <w:r w:rsidRPr="00CB3823">
        <w:t>Assets included in the Balance Sheet at fair value are revalued sufficiently regularly to ensure that their carrying amount is not materially different from their fair value at the year-end, but as a minimum every five years. Increases in valuations are matched by credits to the Revaluation Reserve to recognise unrealised gains unless the gain reverses a loss previously charged to a service. In such circumstances the gain up to the amount of the loss will be credited to the Comprehensive Income and Expenditure Statement.</w:t>
      </w:r>
    </w:p>
    <w:p w:rsidR="00C03048" w:rsidRPr="00CB3823" w:rsidRDefault="00C03048" w:rsidP="00BC6A99">
      <w:pPr>
        <w:spacing w:after="240"/>
        <w:ind w:left="525" w:firstLine="195"/>
        <w:jc w:val="both"/>
      </w:pPr>
      <w:r w:rsidRPr="00CB3823">
        <w:t>Where decreases in value are ident</w:t>
      </w:r>
      <w:r w:rsidR="005B55D3" w:rsidRPr="00CB3823">
        <w:t>ified, they are accounted for as follows</w:t>
      </w:r>
      <w:r w:rsidRPr="00CB3823">
        <w:t>:</w:t>
      </w:r>
    </w:p>
    <w:p w:rsidR="00C03048" w:rsidRPr="00CB3823" w:rsidRDefault="00A744F9" w:rsidP="00BD07E4">
      <w:pPr>
        <w:numPr>
          <w:ilvl w:val="0"/>
          <w:numId w:val="40"/>
        </w:numPr>
        <w:spacing w:after="240"/>
        <w:jc w:val="both"/>
      </w:pPr>
      <w:r w:rsidRPr="00CB3823">
        <w:t>Where</w:t>
      </w:r>
      <w:r w:rsidR="00C03048" w:rsidRPr="00CB3823">
        <w:t xml:space="preserve"> there is a balance of revaluation gains for the asset in the Revaluation Reserve, the carrying amount of the asset is written down against that balance (up to the amount of the accumulated gains)</w:t>
      </w:r>
      <w:r w:rsidR="008D3B29" w:rsidRPr="00CB3823">
        <w:t>.</w:t>
      </w:r>
    </w:p>
    <w:p w:rsidR="00C03048" w:rsidRPr="00CB3823" w:rsidRDefault="00A744F9" w:rsidP="00BD07E4">
      <w:pPr>
        <w:numPr>
          <w:ilvl w:val="0"/>
          <w:numId w:val="40"/>
        </w:numPr>
        <w:spacing w:after="240"/>
        <w:jc w:val="both"/>
      </w:pPr>
      <w:r w:rsidRPr="00CB3823">
        <w:t>Where</w:t>
      </w:r>
      <w:r w:rsidR="00C03048" w:rsidRPr="00CB3823">
        <w:t xml:space="preserve"> there is no balance in the Revaluation Reserve or an insufficient balance, the carrying amount of the asset is written down against the relevant service line(s) in the Comprehensive Income and Expenditure Statement.</w:t>
      </w:r>
    </w:p>
    <w:p w:rsidR="00C03048" w:rsidRPr="00CB3823" w:rsidRDefault="00C03048" w:rsidP="00BC6A99">
      <w:pPr>
        <w:spacing w:after="240"/>
        <w:ind w:left="720"/>
        <w:jc w:val="both"/>
      </w:pPr>
      <w:r w:rsidRPr="00CB3823">
        <w:t>The Revaluation Reserve contains revaluation gains recognised since 1 April 2007 only, the date of its formal implementation. Gains arising before that date have been consolidated into the Capital Adjustment Account.</w:t>
      </w:r>
    </w:p>
    <w:p w:rsidR="00C03048" w:rsidRPr="00CB3823" w:rsidRDefault="00C03048" w:rsidP="00BC6A99">
      <w:pPr>
        <w:spacing w:after="240"/>
        <w:ind w:left="390" w:firstLine="330"/>
        <w:jc w:val="both"/>
        <w:rPr>
          <w:b/>
        </w:rPr>
      </w:pPr>
      <w:r w:rsidRPr="00CB3823">
        <w:rPr>
          <w:b/>
        </w:rPr>
        <w:t>Impairment</w:t>
      </w:r>
    </w:p>
    <w:p w:rsidR="00C03048" w:rsidRPr="00CB3823" w:rsidRDefault="00C03048" w:rsidP="00BC6A99">
      <w:pPr>
        <w:spacing w:after="240"/>
        <w:ind w:left="720"/>
        <w:jc w:val="both"/>
      </w:pPr>
      <w:r w:rsidRPr="00CB3823">
        <w:t>Assets are assessed at each year-end as to whether there is any indication that an asset may be impaired. Where indications exist and any possible differences are estimated to be material, the recoverable amount of the asset is estimated and, where this is less than the carrying amount of the asset, an impairment loss is recognised for the shortfall.</w:t>
      </w:r>
    </w:p>
    <w:p w:rsidR="00C03048" w:rsidRPr="00CB3823" w:rsidRDefault="00C03048" w:rsidP="00BC6A99">
      <w:pPr>
        <w:spacing w:after="240"/>
        <w:ind w:left="390" w:firstLine="330"/>
        <w:jc w:val="both"/>
      </w:pPr>
      <w:r w:rsidRPr="00CB3823">
        <w:t xml:space="preserve">Where impairment losses are identified, they are accounted for </w:t>
      </w:r>
      <w:r w:rsidR="005B55D3" w:rsidRPr="00CB3823">
        <w:t>as follows</w:t>
      </w:r>
      <w:r w:rsidRPr="00CB3823">
        <w:t>:</w:t>
      </w:r>
    </w:p>
    <w:p w:rsidR="00C03048" w:rsidRPr="00CB3823" w:rsidRDefault="00A744F9" w:rsidP="00BD07E4">
      <w:pPr>
        <w:numPr>
          <w:ilvl w:val="0"/>
          <w:numId w:val="41"/>
        </w:numPr>
        <w:spacing w:after="240"/>
        <w:jc w:val="both"/>
      </w:pPr>
      <w:r w:rsidRPr="00CB3823">
        <w:t>Where</w:t>
      </w:r>
      <w:r w:rsidR="00C03048" w:rsidRPr="00CB3823">
        <w:t xml:space="preserve"> there is a balance of revaluation gains for the asset in the Revaluation Reserve, the carrying amount of the asset is written down against that balance (up to the amount of the accumulated gains)</w:t>
      </w:r>
      <w:r w:rsidR="008D3B29" w:rsidRPr="00CB3823">
        <w:t>.</w:t>
      </w:r>
    </w:p>
    <w:p w:rsidR="00C03048" w:rsidRPr="00CB3823" w:rsidRDefault="00A744F9" w:rsidP="00BD07E4">
      <w:pPr>
        <w:numPr>
          <w:ilvl w:val="0"/>
          <w:numId w:val="41"/>
        </w:numPr>
        <w:spacing w:after="240"/>
        <w:jc w:val="both"/>
      </w:pPr>
      <w:r w:rsidRPr="00CB3823">
        <w:lastRenderedPageBreak/>
        <w:t>Where</w:t>
      </w:r>
      <w:r w:rsidR="00C03048" w:rsidRPr="00CB3823">
        <w:t xml:space="preserve"> there is no balance in the Revaluation Reserve or an insufficient balance, the carrying amount of the asset is written down against the relevant service line(s) in the Comprehensive Income and Expenditure Statement.</w:t>
      </w:r>
    </w:p>
    <w:p w:rsidR="00C03048" w:rsidRPr="00CB3823" w:rsidRDefault="00C03048" w:rsidP="00BC6A99">
      <w:pPr>
        <w:spacing w:after="240"/>
        <w:ind w:left="720"/>
        <w:jc w:val="both"/>
      </w:pPr>
      <w:r w:rsidRPr="00CB3823">
        <w:t>Where an impairment loss is reversed subsequently, the reversal is credited to the relevant service line(s) in the Comprehensive Income and Expenditure Statement, up to the amount of the original loss, adjusted for depreciation that would have been charged if the loss had not been recognised.</w:t>
      </w:r>
    </w:p>
    <w:p w:rsidR="00C03048" w:rsidRPr="00CB3823" w:rsidRDefault="00C03048" w:rsidP="00BC6A99">
      <w:pPr>
        <w:spacing w:after="240"/>
        <w:ind w:left="255" w:firstLine="465"/>
        <w:jc w:val="both"/>
        <w:rPr>
          <w:b/>
        </w:rPr>
      </w:pPr>
      <w:r w:rsidRPr="00CB3823">
        <w:rPr>
          <w:b/>
        </w:rPr>
        <w:t>Depreciation</w:t>
      </w:r>
    </w:p>
    <w:p w:rsidR="00C03048" w:rsidRPr="00CB3823" w:rsidRDefault="00C03048" w:rsidP="00BC6A99">
      <w:pPr>
        <w:spacing w:after="240"/>
        <w:ind w:left="720"/>
        <w:jc w:val="both"/>
      </w:pPr>
      <w:r w:rsidRPr="00CB3823">
        <w:t>Depreciation is provided for on all Property, Plant and Equipment assets by the systematic allocation of their depreciable amounts over their useful lives. An exception is made for assets without a determinable finite useful life (i.e. freehold land and certain Community Assets) and assets that are not yet available for use (i.e. assets under construction).</w:t>
      </w:r>
    </w:p>
    <w:p w:rsidR="00C03048" w:rsidRPr="00CB3823" w:rsidRDefault="00C03048" w:rsidP="00BC6A99">
      <w:pPr>
        <w:spacing w:after="240"/>
        <w:ind w:left="255" w:firstLine="465"/>
        <w:jc w:val="both"/>
      </w:pPr>
      <w:r w:rsidRPr="00CB3823">
        <w:t>Depreciation is calculated on the following bases:</w:t>
      </w:r>
    </w:p>
    <w:p w:rsidR="00C03048" w:rsidRPr="00CB3823" w:rsidRDefault="00A744F9" w:rsidP="00BD07E4">
      <w:pPr>
        <w:numPr>
          <w:ilvl w:val="0"/>
          <w:numId w:val="42"/>
        </w:numPr>
        <w:spacing w:after="240"/>
        <w:jc w:val="both"/>
      </w:pPr>
      <w:r w:rsidRPr="00CB3823">
        <w:t>Dwellings</w:t>
      </w:r>
      <w:r w:rsidR="00C03048" w:rsidRPr="00CB3823">
        <w:t xml:space="preserve"> and other buildings – straight-line allocation over the useful life of the property as estimated by the valuer</w:t>
      </w:r>
      <w:r w:rsidR="008D3B29" w:rsidRPr="00CB3823">
        <w:t>.</w:t>
      </w:r>
    </w:p>
    <w:p w:rsidR="008D3B29" w:rsidRPr="00CB3823" w:rsidRDefault="00C03048" w:rsidP="00BD07E4">
      <w:pPr>
        <w:numPr>
          <w:ilvl w:val="0"/>
          <w:numId w:val="42"/>
        </w:numPr>
        <w:spacing w:after="240"/>
        <w:jc w:val="both"/>
      </w:pPr>
      <w:r w:rsidRPr="00CB3823">
        <w:t xml:space="preserve">Vehicles, plant, furniture and equipment – on a straight line </w:t>
      </w:r>
      <w:r w:rsidR="00CB3823" w:rsidRPr="00CB3823">
        <w:t xml:space="preserve">generally </w:t>
      </w:r>
      <w:r w:rsidRPr="00CB3823">
        <w:t>over 10 years</w:t>
      </w:r>
      <w:r w:rsidR="00CB3823" w:rsidRPr="00CB3823">
        <w:t xml:space="preserve"> unless it is considered the life of the asset is less than 10 years</w:t>
      </w:r>
      <w:r w:rsidRPr="00CB3823">
        <w:t>.</w:t>
      </w:r>
      <w:r w:rsidR="002274E9" w:rsidRPr="00CB3823">
        <w:t xml:space="preserve"> </w:t>
      </w:r>
    </w:p>
    <w:p w:rsidR="00C03048" w:rsidRPr="00CB3823" w:rsidRDefault="00C03048" w:rsidP="00BD07E4">
      <w:pPr>
        <w:numPr>
          <w:ilvl w:val="0"/>
          <w:numId w:val="42"/>
        </w:numPr>
        <w:spacing w:after="240"/>
        <w:jc w:val="both"/>
      </w:pPr>
      <w:r w:rsidRPr="00CB3823">
        <w:t>Infrastructure – straight-line allocation over the estimated life of the asset. This varies from 20 to 50 years depending upon the nature of the asset.</w:t>
      </w:r>
    </w:p>
    <w:p w:rsidR="00C03048" w:rsidRPr="00CB3823" w:rsidRDefault="00C03048" w:rsidP="00BC6A99">
      <w:pPr>
        <w:spacing w:after="240"/>
        <w:ind w:left="720"/>
        <w:jc w:val="both"/>
      </w:pPr>
      <w:r w:rsidRPr="00CB3823">
        <w:t xml:space="preserve">Where an item of Property, Plant and Equipment asset has major components whose cost is significant in relation to the total cost of the item, the components are depreciated separately. In considering whether or not there is a component the policy followed is: </w:t>
      </w:r>
    </w:p>
    <w:p w:rsidR="00C03048" w:rsidRPr="00CB3823" w:rsidRDefault="00C03048" w:rsidP="00BD07E4">
      <w:pPr>
        <w:pStyle w:val="ListParagraph"/>
        <w:numPr>
          <w:ilvl w:val="0"/>
          <w:numId w:val="46"/>
        </w:numPr>
        <w:contextualSpacing/>
        <w:jc w:val="both"/>
      </w:pPr>
      <w:r w:rsidRPr="00CB3823">
        <w:t>The land element will continue to be considered as a separate asset with its own valuation which, except in very unusual circumstances, will not be subject to depreciation.</w:t>
      </w:r>
    </w:p>
    <w:p w:rsidR="00C03048" w:rsidRPr="00CB3823" w:rsidRDefault="00C03048" w:rsidP="00BC6A99">
      <w:pPr>
        <w:pStyle w:val="ListParagraph"/>
        <w:ind w:left="780"/>
        <w:jc w:val="both"/>
      </w:pPr>
    </w:p>
    <w:p w:rsidR="00C03048" w:rsidRPr="00CB3823" w:rsidRDefault="00C03048" w:rsidP="00BD07E4">
      <w:pPr>
        <w:pStyle w:val="ListParagraph"/>
        <w:numPr>
          <w:ilvl w:val="0"/>
          <w:numId w:val="46"/>
        </w:numPr>
        <w:contextualSpacing/>
        <w:jc w:val="both"/>
      </w:pPr>
      <w:r w:rsidRPr="00CB3823">
        <w:t xml:space="preserve">The asset will be reviewed and any part of the asset which can be identified as a self contained building will be subject to a separate valuation and asset life. This will ensure any part of the overall asset which is not of the same construction quality, has a specific use and/or economic life will be identified.   </w:t>
      </w:r>
    </w:p>
    <w:p w:rsidR="00C03048" w:rsidRPr="00CB3823" w:rsidRDefault="00C03048" w:rsidP="00BC6A99">
      <w:pPr>
        <w:pStyle w:val="ListParagraph"/>
        <w:ind w:left="780"/>
        <w:jc w:val="both"/>
      </w:pPr>
    </w:p>
    <w:p w:rsidR="00C03048" w:rsidRPr="00CB3823" w:rsidRDefault="00C03048" w:rsidP="00BD07E4">
      <w:pPr>
        <w:pStyle w:val="ListParagraph"/>
        <w:numPr>
          <w:ilvl w:val="0"/>
          <w:numId w:val="46"/>
        </w:numPr>
        <w:contextualSpacing/>
        <w:jc w:val="both"/>
      </w:pPr>
      <w:r w:rsidRPr="00CB3823">
        <w:t xml:space="preserve">For any building with a value above £2 million consideration will be given as to whether or not there is any significant part which requires a separate component. This will take into consideration any aspect of the construction, such as the roof, </w:t>
      </w:r>
      <w:r w:rsidR="00A744F9" w:rsidRPr="00CB3823">
        <w:t>windows</w:t>
      </w:r>
      <w:r w:rsidR="00B65901">
        <w:t xml:space="preserve"> or</w:t>
      </w:r>
      <w:r w:rsidRPr="00CB3823">
        <w:t xml:space="preserve"> any specialist item</w:t>
      </w:r>
      <w:r w:rsidR="00B65901">
        <w:t>s</w:t>
      </w:r>
      <w:r w:rsidRPr="00CB3823">
        <w:t xml:space="preserve">. For the purposes of this exercise it is considered that an element that represents more than 25% of the valuation is considered significant. </w:t>
      </w:r>
    </w:p>
    <w:p w:rsidR="00C03048" w:rsidRPr="00CB3823" w:rsidRDefault="00C03048" w:rsidP="00BC6A99">
      <w:pPr>
        <w:pStyle w:val="ListParagraph"/>
        <w:jc w:val="both"/>
      </w:pPr>
    </w:p>
    <w:p w:rsidR="007622C4" w:rsidRDefault="00C03048" w:rsidP="00BD07E4">
      <w:pPr>
        <w:pStyle w:val="ListParagraph"/>
        <w:numPr>
          <w:ilvl w:val="0"/>
          <w:numId w:val="46"/>
        </w:numPr>
        <w:contextualSpacing/>
        <w:jc w:val="both"/>
      </w:pPr>
      <w:r w:rsidRPr="00CB3823">
        <w:t>Any equipment which is a fixture of the building will be included within the overall assets valuation. There will be a separate valuation if it is likely to exceed 25% of the property value.</w:t>
      </w:r>
    </w:p>
    <w:p w:rsidR="00C63351" w:rsidRDefault="00C63351" w:rsidP="00C63351">
      <w:pPr>
        <w:pStyle w:val="ListParagraph"/>
      </w:pPr>
    </w:p>
    <w:p w:rsidR="00C63351" w:rsidRPr="00CB3823" w:rsidRDefault="00C63351" w:rsidP="00C63351">
      <w:pPr>
        <w:contextualSpacing/>
        <w:jc w:val="both"/>
      </w:pPr>
    </w:p>
    <w:p w:rsidR="00C03048" w:rsidRPr="00CB3823" w:rsidRDefault="00C03048" w:rsidP="00053A62">
      <w:pPr>
        <w:spacing w:after="240"/>
        <w:ind w:left="720"/>
      </w:pPr>
      <w:r w:rsidRPr="00CB3823">
        <w:lastRenderedPageBreak/>
        <w:t>Revaluation gains are also depreciated, with an amount equal to the difference between current value depreciation charged on assets and the depreciation that would have been chargeable based on their historical cost being transferred each year from the Revaluation Reserve to the Capital Adjustment Account.</w:t>
      </w:r>
    </w:p>
    <w:p w:rsidR="00C03048" w:rsidRPr="00CB3823" w:rsidRDefault="00C03048" w:rsidP="00053A62">
      <w:pPr>
        <w:spacing w:after="240"/>
        <w:ind w:left="180" w:firstLine="540"/>
        <w:rPr>
          <w:b/>
        </w:rPr>
      </w:pPr>
      <w:r w:rsidRPr="00CB3823">
        <w:rPr>
          <w:b/>
        </w:rPr>
        <w:t>Disposals and Non-current Assets Held for Sale</w:t>
      </w:r>
    </w:p>
    <w:p w:rsidR="00C03048" w:rsidRPr="00CB3823" w:rsidRDefault="00C03048" w:rsidP="00BC6A99">
      <w:pPr>
        <w:spacing w:after="240"/>
        <w:ind w:left="720"/>
        <w:jc w:val="both"/>
      </w:pPr>
      <w:r w:rsidRPr="00CB3823">
        <w:t>When it becomes probable that the carrying amount of an asset will be recovered principally through a sale transaction rather than through its continuing use, it is reclassified as an Asset Held for Sale. The asset is revalued immediately before reclassification and then carried at the lower of this amount and fair value less costs to sell. Where there is a subsequent decrease to fair value less costs to sell, the loss is posted to the Other Operating Expenditure line in the Comprehensive Income and Expenditure Statement. Gains in fair value are recognised only up to the amount of any previous losses recognised in the surplus or deficit on the Provision of Services. Depreciation is not charged on Assets Held for Sale.</w:t>
      </w:r>
    </w:p>
    <w:p w:rsidR="00C03048" w:rsidRPr="00CB3823" w:rsidRDefault="00C03048" w:rsidP="00BC6A99">
      <w:pPr>
        <w:spacing w:after="240"/>
        <w:ind w:left="720"/>
        <w:jc w:val="both"/>
      </w:pPr>
      <w:r w:rsidRPr="00CB3823">
        <w:t>If assets no longer meet the criteria to be classified as Assets Held for Sale, they are reclassified back to non-current assets and valued at the lower of their carrying amount before they w</w:t>
      </w:r>
      <w:r w:rsidR="00B65901">
        <w:t>ere classified as held for sale,</w:t>
      </w:r>
      <w:r w:rsidRPr="00CB3823">
        <w:t xml:space="preserve"> adjusted for depreciation, amortisation or revaluations that would have been recognised had they not been classified as Held for Sale, and their recoverable amount at the date of the decision not to sell.</w:t>
      </w:r>
    </w:p>
    <w:p w:rsidR="00C03048" w:rsidRPr="00CB3823" w:rsidRDefault="00C03048" w:rsidP="00BC6A99">
      <w:pPr>
        <w:spacing w:after="240"/>
        <w:ind w:left="720"/>
        <w:jc w:val="both"/>
      </w:pPr>
      <w:r w:rsidRPr="00CB3823">
        <w:t>Assets that are to be abandoned or scrapped are not reclassified as Assets Held for Sale.</w:t>
      </w:r>
    </w:p>
    <w:p w:rsidR="00C03048" w:rsidRPr="00CB3823" w:rsidRDefault="00C03048" w:rsidP="00BC6A99">
      <w:pPr>
        <w:spacing w:after="240"/>
        <w:ind w:left="720"/>
        <w:jc w:val="both"/>
      </w:pPr>
      <w:r w:rsidRPr="00CB3823">
        <w:t>When an asset is disposed of or decommissioned, the carrying amount of the asset in the Balance Sheet (whether Property, Plant and Equipment or Assets Held for Sale) is written off to the Other Operating Expenditure line in the Comprehensive Income and Expenditure Statement as part of the gain or loss on disposal. Receipts from disposal (if any) are credited to the same line in the Comprehensive Income and Expenditure Statement also as part of the gain or loss on disposal (i.e. netted off against the carrying value of the asset at the time of the disposal). Any revaluation gains accumulated for the asset in the Revaluation Reserve are transferred to the Capital Adjustment Account.</w:t>
      </w:r>
    </w:p>
    <w:p w:rsidR="00C03048" w:rsidRPr="00CB3823" w:rsidRDefault="00C03048" w:rsidP="00BC6A99">
      <w:pPr>
        <w:spacing w:after="240"/>
        <w:ind w:left="720"/>
        <w:jc w:val="both"/>
      </w:pPr>
      <w:r w:rsidRPr="00CB3823">
        <w:t xml:space="preserve">Amounts received for a disposal in excess of £10,000 are categorised as capital receipts. These are credited to the Capital Receipts Reserve, and can then only be used for new capital investment or be set aside to reduce the </w:t>
      </w:r>
      <w:r w:rsidR="00CB5417">
        <w:t>Council</w:t>
      </w:r>
      <w:r w:rsidRPr="00CB3823">
        <w:t>'s underlying need to borrow (the capital financing requirement). Receipts are appropriated to the reserve from the County Fund balance in the Movement in Reserve Statement.</w:t>
      </w:r>
    </w:p>
    <w:p w:rsidR="00C03048" w:rsidRPr="00CB3823" w:rsidRDefault="00C03048" w:rsidP="00BC6A99">
      <w:pPr>
        <w:spacing w:after="240"/>
        <w:ind w:left="720"/>
        <w:jc w:val="both"/>
      </w:pPr>
      <w:r w:rsidRPr="00CB3823">
        <w:t xml:space="preserve">The written-off value of disposals is not a charge against council tax, as the cost of fixed assets is fully provided for under separate arrangements for capital financing.  </w:t>
      </w:r>
    </w:p>
    <w:p w:rsidR="00C03048" w:rsidRDefault="00C03048" w:rsidP="00BC6A99">
      <w:pPr>
        <w:spacing w:after="240"/>
        <w:ind w:left="720"/>
        <w:jc w:val="both"/>
      </w:pPr>
      <w:r w:rsidRPr="00CB3823">
        <w:t xml:space="preserve">Amounts are appropriated to the Capital Adjustment Account from the County Fund balance in the Movement in Reserve Statement. </w:t>
      </w:r>
    </w:p>
    <w:p w:rsidR="00B65901" w:rsidRPr="00CB3823" w:rsidRDefault="00B65901" w:rsidP="00BC6A99">
      <w:pPr>
        <w:spacing w:after="240"/>
        <w:ind w:left="720"/>
        <w:jc w:val="both"/>
      </w:pPr>
    </w:p>
    <w:p w:rsidR="00201D80" w:rsidRPr="00CB3823" w:rsidRDefault="00201D80" w:rsidP="00BD07E4">
      <w:pPr>
        <w:pStyle w:val="ListParagraph"/>
        <w:numPr>
          <w:ilvl w:val="0"/>
          <w:numId w:val="50"/>
        </w:numPr>
        <w:spacing w:after="240"/>
        <w:jc w:val="both"/>
        <w:rPr>
          <w:b/>
        </w:rPr>
      </w:pPr>
      <w:r w:rsidRPr="00CB3823">
        <w:rPr>
          <w:b/>
        </w:rPr>
        <w:t>Heritage Assets</w:t>
      </w:r>
    </w:p>
    <w:p w:rsidR="0013727A" w:rsidRDefault="0013727A" w:rsidP="00201D80">
      <w:pPr>
        <w:spacing w:after="240"/>
        <w:ind w:left="720"/>
        <w:jc w:val="both"/>
      </w:pPr>
      <w:r>
        <w:t xml:space="preserve">The CIPFA Code of Practice for 2011/12 introduced separate accounting requirements for Heritage assets for the first time. This has required any asset that is held for their </w:t>
      </w:r>
      <w:r>
        <w:lastRenderedPageBreak/>
        <w:t>contribution to the knowledge or culture to be treated as a separate category. The Authority has valued these figures and the both the value at 31</w:t>
      </w:r>
      <w:r w:rsidR="00687D2A" w:rsidRPr="00687D2A">
        <w:rPr>
          <w:vertAlign w:val="superscript"/>
        </w:rPr>
        <w:t>st</w:t>
      </w:r>
      <w:r>
        <w:t xml:space="preserve"> March 2012 and a restated figure for 31</w:t>
      </w:r>
      <w:r w:rsidR="00687D2A" w:rsidRPr="00687D2A">
        <w:rPr>
          <w:vertAlign w:val="superscript"/>
        </w:rPr>
        <w:t>st</w:t>
      </w:r>
      <w:r>
        <w:t xml:space="preserve"> March 2011 are included.   </w:t>
      </w:r>
    </w:p>
    <w:p w:rsidR="00201D80" w:rsidRPr="00CB3823" w:rsidRDefault="00201D80" w:rsidP="00201D80">
      <w:pPr>
        <w:spacing w:after="240"/>
        <w:ind w:left="720"/>
        <w:jc w:val="both"/>
      </w:pPr>
      <w:r w:rsidRPr="00CB3823">
        <w:t xml:space="preserve">The </w:t>
      </w:r>
      <w:r w:rsidR="00CB5417">
        <w:t>Council</w:t>
      </w:r>
      <w:r w:rsidR="00CB5417" w:rsidRPr="00CB3823">
        <w:t xml:space="preserve"> </w:t>
      </w:r>
      <w:r w:rsidRPr="00CB3823">
        <w:t>has a number of assets which are held and maintained principally for its contribution to knowledge and culture and therefore they are considered to meet the definition of Heritage assets. These assets have been valued at fair value in accordance with the policy on Property, Plant and Equipment. Any acquisitions would initially be valued at cost if purchased or at a valuation if donated however there have been no significant acquisitions in the year.</w:t>
      </w:r>
    </w:p>
    <w:p w:rsidR="00E3074C" w:rsidRDefault="00201D80" w:rsidP="00201D80">
      <w:pPr>
        <w:spacing w:after="240"/>
        <w:ind w:left="720"/>
        <w:jc w:val="both"/>
      </w:pPr>
      <w:r w:rsidRPr="00CB3823">
        <w:t>The collection has indeterminate life and is subject to appropriate conservation measures therefore depreciation is not charged on Heritage assets.</w:t>
      </w:r>
    </w:p>
    <w:p w:rsidR="00B65901" w:rsidRDefault="00EE236C" w:rsidP="00B65901">
      <w:pPr>
        <w:spacing w:after="240"/>
        <w:ind w:left="720"/>
        <w:jc w:val="both"/>
      </w:pPr>
      <w:r w:rsidRPr="00EE236C">
        <w:t xml:space="preserve">The </w:t>
      </w:r>
      <w:r w:rsidR="001F1A1A">
        <w:t>County Council</w:t>
      </w:r>
      <w:r w:rsidRPr="00EE236C">
        <w:t xml:space="preserve"> has a detailed acquisitions and disposal policy further information on which can be obtained from the </w:t>
      </w:r>
      <w:r w:rsidR="001F1A1A">
        <w:t>County Council</w:t>
      </w:r>
      <w:r w:rsidRPr="00EE236C">
        <w:t xml:space="preserve">. In broad terms any acquisition by the </w:t>
      </w:r>
      <w:r w:rsidR="001F1A1A">
        <w:t>County Council</w:t>
      </w:r>
      <w:r w:rsidRPr="00EE236C">
        <w:t xml:space="preserve"> must relate to the County Palatine of Lancaster. Consideration is also given to the ability of the </w:t>
      </w:r>
      <w:r w:rsidR="001F1A1A">
        <w:t>County Council</w:t>
      </w:r>
      <w:r w:rsidRPr="00EE236C">
        <w:t xml:space="preserve"> to ensure the long term care of the acquisition and that the acquisition does not conflict with the acquisitions policy of other museums in the region.</w:t>
      </w:r>
    </w:p>
    <w:p w:rsidR="00EE236C" w:rsidRPr="00EE236C" w:rsidRDefault="00EE236C" w:rsidP="00EE236C">
      <w:pPr>
        <w:spacing w:after="240"/>
        <w:ind w:left="720"/>
        <w:jc w:val="both"/>
      </w:pPr>
      <w:r w:rsidRPr="00EE236C">
        <w:t>With respect to disposals it is considered that the collection has a long term purpose and therefore there is a strong presumption against disposal. Disposals will not be made with the principal aim of generating funds.</w:t>
      </w:r>
    </w:p>
    <w:p w:rsidR="00EE236C" w:rsidRPr="00CB3823" w:rsidRDefault="00EE236C" w:rsidP="00201D80">
      <w:pPr>
        <w:spacing w:after="240"/>
        <w:ind w:left="720"/>
        <w:jc w:val="both"/>
      </w:pPr>
    </w:p>
    <w:p w:rsidR="00C03048" w:rsidRPr="00CB3823" w:rsidRDefault="005C0903" w:rsidP="00BD07E4">
      <w:pPr>
        <w:pStyle w:val="ListParagraph"/>
        <w:numPr>
          <w:ilvl w:val="0"/>
          <w:numId w:val="50"/>
        </w:numPr>
        <w:spacing w:after="240"/>
        <w:jc w:val="both"/>
        <w:rPr>
          <w:b/>
          <w:snapToGrid w:val="0"/>
          <w:lang w:eastAsia="en-US"/>
        </w:rPr>
      </w:pPr>
      <w:r>
        <w:rPr>
          <w:b/>
          <w:snapToGrid w:val="0"/>
          <w:lang w:eastAsia="en-US"/>
        </w:rPr>
        <w:t xml:space="preserve">  </w:t>
      </w:r>
      <w:r w:rsidR="00C03048" w:rsidRPr="00CB3823">
        <w:rPr>
          <w:b/>
          <w:snapToGrid w:val="0"/>
          <w:lang w:eastAsia="en-US"/>
        </w:rPr>
        <w:t>Charges to Revenue for Non-Current Assets</w:t>
      </w:r>
    </w:p>
    <w:p w:rsidR="00C03048" w:rsidRPr="00CB3823" w:rsidRDefault="00C03048" w:rsidP="00BC6A99">
      <w:pPr>
        <w:spacing w:after="240"/>
        <w:ind w:left="720"/>
        <w:jc w:val="both"/>
        <w:rPr>
          <w:snapToGrid w:val="0"/>
          <w:lang w:eastAsia="en-US"/>
        </w:rPr>
      </w:pPr>
      <w:r w:rsidRPr="00CB3823">
        <w:rPr>
          <w:snapToGrid w:val="0"/>
          <w:lang w:eastAsia="en-US"/>
        </w:rPr>
        <w:t xml:space="preserve">Services, support services and trading accounts are debited with the following amounts to record the cost of holding fixed assets during the year: </w:t>
      </w:r>
    </w:p>
    <w:p w:rsidR="00C03048" w:rsidRPr="00CB3823" w:rsidRDefault="00A744F9" w:rsidP="00BD07E4">
      <w:pPr>
        <w:numPr>
          <w:ilvl w:val="0"/>
          <w:numId w:val="43"/>
        </w:numPr>
        <w:spacing w:after="240"/>
        <w:jc w:val="both"/>
        <w:rPr>
          <w:snapToGrid w:val="0"/>
          <w:lang w:eastAsia="en-US"/>
        </w:rPr>
      </w:pPr>
      <w:r w:rsidRPr="00CB3823">
        <w:rPr>
          <w:snapToGrid w:val="0"/>
          <w:lang w:eastAsia="en-US"/>
        </w:rPr>
        <w:t>Depreciation</w:t>
      </w:r>
      <w:r w:rsidR="00C03048" w:rsidRPr="00CB3823">
        <w:rPr>
          <w:snapToGrid w:val="0"/>
          <w:lang w:eastAsia="en-US"/>
        </w:rPr>
        <w:t xml:space="preserve"> attributable to the assets used by the relevant service</w:t>
      </w:r>
      <w:r w:rsidR="0083162E" w:rsidRPr="00CB3823">
        <w:rPr>
          <w:snapToGrid w:val="0"/>
          <w:lang w:eastAsia="en-US"/>
        </w:rPr>
        <w:t>.</w:t>
      </w:r>
    </w:p>
    <w:p w:rsidR="00C03048" w:rsidRPr="00CB3823" w:rsidRDefault="00A744F9" w:rsidP="00BD07E4">
      <w:pPr>
        <w:numPr>
          <w:ilvl w:val="0"/>
          <w:numId w:val="43"/>
        </w:numPr>
        <w:spacing w:after="240"/>
        <w:jc w:val="both"/>
        <w:rPr>
          <w:snapToGrid w:val="0"/>
          <w:lang w:eastAsia="en-US"/>
        </w:rPr>
      </w:pPr>
      <w:r w:rsidRPr="00CB3823">
        <w:rPr>
          <w:snapToGrid w:val="0"/>
          <w:lang w:eastAsia="en-US"/>
        </w:rPr>
        <w:t>Revaluation</w:t>
      </w:r>
      <w:r w:rsidR="00C03048" w:rsidRPr="00CB3823">
        <w:rPr>
          <w:snapToGrid w:val="0"/>
          <w:lang w:eastAsia="en-US"/>
        </w:rPr>
        <w:t xml:space="preserve"> and impairment losses on assets used by the service where there are no accumulated gains in the Revaluation Reserve against which the losses can be written off</w:t>
      </w:r>
      <w:r w:rsidR="0083162E" w:rsidRPr="00CB3823">
        <w:rPr>
          <w:snapToGrid w:val="0"/>
          <w:lang w:eastAsia="en-US"/>
        </w:rPr>
        <w:t>.</w:t>
      </w:r>
    </w:p>
    <w:p w:rsidR="00C03048" w:rsidRPr="00CB3823" w:rsidRDefault="00A744F9" w:rsidP="00BD07E4">
      <w:pPr>
        <w:numPr>
          <w:ilvl w:val="0"/>
          <w:numId w:val="43"/>
        </w:numPr>
        <w:spacing w:after="240"/>
        <w:jc w:val="both"/>
        <w:rPr>
          <w:snapToGrid w:val="0"/>
          <w:lang w:eastAsia="en-US"/>
        </w:rPr>
      </w:pPr>
      <w:r w:rsidRPr="00CB3823">
        <w:rPr>
          <w:snapToGrid w:val="0"/>
          <w:lang w:eastAsia="en-US"/>
        </w:rPr>
        <w:t>Amortisation</w:t>
      </w:r>
      <w:r w:rsidR="00C03048" w:rsidRPr="00CB3823">
        <w:rPr>
          <w:snapToGrid w:val="0"/>
          <w:lang w:eastAsia="en-US"/>
        </w:rPr>
        <w:t xml:space="preserve"> of intangible fixed assets attributable to the service</w:t>
      </w:r>
      <w:r w:rsidR="0083162E" w:rsidRPr="00CB3823">
        <w:rPr>
          <w:snapToGrid w:val="0"/>
          <w:lang w:eastAsia="en-US"/>
        </w:rPr>
        <w:t>.</w:t>
      </w:r>
    </w:p>
    <w:p w:rsidR="00C03048" w:rsidRDefault="00C03048" w:rsidP="00BC6A99">
      <w:pPr>
        <w:spacing w:after="240"/>
        <w:ind w:left="720"/>
        <w:jc w:val="both"/>
        <w:rPr>
          <w:snapToGrid w:val="0"/>
          <w:lang w:eastAsia="en-US"/>
        </w:rPr>
      </w:pPr>
      <w:r w:rsidRPr="00CB3823">
        <w:rPr>
          <w:snapToGrid w:val="0"/>
          <w:lang w:eastAsia="en-US"/>
        </w:rPr>
        <w:t xml:space="preserve">The </w:t>
      </w:r>
      <w:r w:rsidR="00CB5417">
        <w:rPr>
          <w:snapToGrid w:val="0"/>
          <w:lang w:eastAsia="en-US"/>
        </w:rPr>
        <w:t>Council</w:t>
      </w:r>
      <w:r w:rsidR="00CB5417" w:rsidRPr="00CB3823">
        <w:rPr>
          <w:snapToGrid w:val="0"/>
          <w:lang w:eastAsia="en-US"/>
        </w:rPr>
        <w:t xml:space="preserve"> </w:t>
      </w:r>
      <w:r w:rsidRPr="00CB3823">
        <w:rPr>
          <w:snapToGrid w:val="0"/>
          <w:lang w:eastAsia="en-US"/>
        </w:rPr>
        <w:t>is not required to raise council tax to fund depreciation, revaluation and impairment losses or amortisations. However, it is required to make an annual charge to revenue towards the reduction in its overall borrowing requirement which is calculated on a prudent basis determined in accordance with statutory guidance. Depreciation, revaluation and impairment losses and amortisations are therefore replaced by the contribution in the County Fund balance (minimum revenue provision), by way of an adjusting transaction with the Capital Adjustment Account in the Movement in Reserves Statement for the difference between the two.</w:t>
      </w:r>
    </w:p>
    <w:p w:rsidR="00DC56C0" w:rsidRDefault="00DC56C0" w:rsidP="00BC6A99">
      <w:pPr>
        <w:spacing w:after="240"/>
        <w:ind w:left="720"/>
        <w:jc w:val="both"/>
        <w:rPr>
          <w:snapToGrid w:val="0"/>
          <w:lang w:eastAsia="en-US"/>
        </w:rPr>
      </w:pPr>
    </w:p>
    <w:p w:rsidR="005B005D" w:rsidRPr="00CB3823" w:rsidRDefault="005B005D" w:rsidP="00BC6A99">
      <w:pPr>
        <w:spacing w:after="240"/>
        <w:ind w:left="720"/>
        <w:jc w:val="both"/>
        <w:rPr>
          <w:snapToGrid w:val="0"/>
          <w:lang w:eastAsia="en-US"/>
        </w:rPr>
      </w:pPr>
    </w:p>
    <w:p w:rsidR="00687D2A" w:rsidRDefault="00916B89" w:rsidP="00687D2A">
      <w:pPr>
        <w:pStyle w:val="ListParagraph"/>
        <w:numPr>
          <w:ilvl w:val="0"/>
          <w:numId w:val="50"/>
        </w:numPr>
        <w:spacing w:after="240"/>
        <w:jc w:val="both"/>
      </w:pPr>
      <w:r>
        <w:rPr>
          <w:b/>
          <w:snapToGrid w:val="0"/>
          <w:lang w:eastAsia="en-US"/>
        </w:rPr>
        <w:lastRenderedPageBreak/>
        <w:t xml:space="preserve">  </w:t>
      </w:r>
      <w:r w:rsidR="00687D2A" w:rsidRPr="00687D2A">
        <w:rPr>
          <w:b/>
          <w:snapToGrid w:val="0"/>
          <w:lang w:eastAsia="en-US"/>
        </w:rPr>
        <w:t xml:space="preserve">Fixed assets not owned by the council </w:t>
      </w:r>
    </w:p>
    <w:p w:rsidR="00C03048" w:rsidRPr="00CB3823" w:rsidRDefault="00C03048" w:rsidP="00BC6A99">
      <w:pPr>
        <w:spacing w:after="240"/>
        <w:ind w:left="720"/>
        <w:jc w:val="both"/>
        <w:rPr>
          <w:snapToGrid w:val="0"/>
          <w:lang w:eastAsia="en-US"/>
        </w:rPr>
      </w:pPr>
      <w:r w:rsidRPr="00CB3823">
        <w:rPr>
          <w:snapToGrid w:val="0"/>
          <w:lang w:eastAsia="en-US"/>
        </w:rPr>
        <w:t xml:space="preserve">Some voluntary-aided and controlled schools are owned by the school governors. However these schools are included in our fixed assets as we receive the benefit from using the properties in terms of the delivery </w:t>
      </w:r>
      <w:r w:rsidR="00B65901">
        <w:rPr>
          <w:snapToGrid w:val="0"/>
          <w:lang w:eastAsia="en-US"/>
        </w:rPr>
        <w:t xml:space="preserve">of </w:t>
      </w:r>
      <w:r w:rsidRPr="00CB3823">
        <w:rPr>
          <w:snapToGrid w:val="0"/>
          <w:lang w:eastAsia="en-US"/>
        </w:rPr>
        <w:t xml:space="preserve">services and also meet their costs of service provision, using the assets and the costs of maintaining them. </w:t>
      </w:r>
    </w:p>
    <w:p w:rsidR="00DC56C0" w:rsidRDefault="00CB3823" w:rsidP="005B005D">
      <w:pPr>
        <w:spacing w:after="240"/>
        <w:ind w:firstLine="720"/>
        <w:jc w:val="both"/>
        <w:rPr>
          <w:snapToGrid w:val="0"/>
          <w:lang w:eastAsia="en-US"/>
        </w:rPr>
      </w:pPr>
      <w:r w:rsidRPr="00CB3823">
        <w:rPr>
          <w:snapToGrid w:val="0"/>
          <w:lang w:eastAsia="en-US"/>
        </w:rPr>
        <w:t>In total, £493</w:t>
      </w:r>
      <w:r w:rsidR="00B65901">
        <w:rPr>
          <w:snapToGrid w:val="0"/>
          <w:lang w:eastAsia="en-US"/>
        </w:rPr>
        <w:t xml:space="preserve"> m</w:t>
      </w:r>
      <w:r w:rsidR="00C03048" w:rsidRPr="00CB3823">
        <w:rPr>
          <w:snapToGrid w:val="0"/>
          <w:lang w:eastAsia="en-US"/>
        </w:rPr>
        <w:t xml:space="preserve"> of fixed assets not owned by us are included in the balance sheet.</w:t>
      </w:r>
    </w:p>
    <w:p w:rsidR="005B005D" w:rsidRPr="00DC56C0" w:rsidRDefault="005B005D" w:rsidP="005B005D">
      <w:pPr>
        <w:spacing w:after="240"/>
        <w:ind w:firstLine="720"/>
        <w:jc w:val="both"/>
        <w:rPr>
          <w:snapToGrid w:val="0"/>
          <w:lang w:eastAsia="en-US"/>
        </w:rPr>
      </w:pPr>
    </w:p>
    <w:p w:rsidR="00C03048" w:rsidRPr="001274CD" w:rsidRDefault="005C0903" w:rsidP="005C0903">
      <w:pPr>
        <w:pStyle w:val="ListParagraph"/>
        <w:numPr>
          <w:ilvl w:val="0"/>
          <w:numId w:val="50"/>
        </w:numPr>
        <w:spacing w:after="240"/>
        <w:rPr>
          <w:b/>
          <w:snapToGrid w:val="0"/>
          <w:lang w:eastAsia="en-US"/>
        </w:rPr>
      </w:pPr>
      <w:r>
        <w:rPr>
          <w:b/>
          <w:snapToGrid w:val="0"/>
          <w:lang w:eastAsia="en-US"/>
        </w:rPr>
        <w:t xml:space="preserve"> </w:t>
      </w:r>
      <w:r w:rsidR="00916B89">
        <w:rPr>
          <w:b/>
          <w:snapToGrid w:val="0"/>
          <w:lang w:eastAsia="en-US"/>
        </w:rPr>
        <w:t xml:space="preserve"> </w:t>
      </w:r>
      <w:r w:rsidR="00C03048" w:rsidRPr="001274CD">
        <w:rPr>
          <w:b/>
          <w:snapToGrid w:val="0"/>
          <w:lang w:eastAsia="en-US"/>
        </w:rPr>
        <w:t>Revenue Expenditure Funded from Capital under Statute</w:t>
      </w:r>
    </w:p>
    <w:p w:rsidR="00C03048" w:rsidRPr="001274CD" w:rsidRDefault="00C03048" w:rsidP="00C03048">
      <w:pPr>
        <w:spacing w:after="240"/>
        <w:ind w:left="720"/>
        <w:jc w:val="both"/>
        <w:rPr>
          <w:snapToGrid w:val="0"/>
          <w:lang w:eastAsia="en-US"/>
        </w:rPr>
      </w:pPr>
      <w:r w:rsidRPr="001274CD">
        <w:rPr>
          <w:snapToGrid w:val="0"/>
          <w:lang w:eastAsia="en-US"/>
        </w:rPr>
        <w:t xml:space="preserve">Expenditure incurred during the year that may be capitalised under statutory provisions but does not result in the creation of a non-current asset has been charged as expenditure to the relevant service in the Comprehensive Income and Expenditure Statement in the year. Where the council has determined to meet the cost of this expenditure from existing capital resources or by borrowing, a transfer in the Movement in Reserve from the County Fund to the Capital Adjustment Account then reverses out the amounts charged so that there is no impact on the level of council tax.  </w:t>
      </w:r>
    </w:p>
    <w:p w:rsidR="00E3074C" w:rsidRPr="001274CD" w:rsidRDefault="00E3074C" w:rsidP="00C03048">
      <w:pPr>
        <w:spacing w:after="240"/>
        <w:ind w:left="720"/>
        <w:jc w:val="both"/>
        <w:rPr>
          <w:snapToGrid w:val="0"/>
          <w:lang w:eastAsia="en-US"/>
        </w:rPr>
      </w:pPr>
    </w:p>
    <w:p w:rsidR="00C03048" w:rsidRPr="005C0903" w:rsidRDefault="00916B89" w:rsidP="005C0903">
      <w:pPr>
        <w:pStyle w:val="ListParagraph"/>
        <w:numPr>
          <w:ilvl w:val="0"/>
          <w:numId w:val="50"/>
        </w:numPr>
        <w:spacing w:after="240"/>
        <w:jc w:val="both"/>
        <w:rPr>
          <w:b/>
          <w:snapToGrid w:val="0"/>
          <w:lang w:eastAsia="en-US"/>
        </w:rPr>
      </w:pPr>
      <w:r>
        <w:rPr>
          <w:b/>
          <w:snapToGrid w:val="0"/>
          <w:lang w:eastAsia="en-US"/>
        </w:rPr>
        <w:t xml:space="preserve">  </w:t>
      </w:r>
      <w:r w:rsidR="00C03048" w:rsidRPr="005C0903">
        <w:rPr>
          <w:b/>
          <w:snapToGrid w:val="0"/>
          <w:lang w:eastAsia="en-US"/>
        </w:rPr>
        <w:t>Investment Property</w:t>
      </w:r>
    </w:p>
    <w:p w:rsidR="00E3074C" w:rsidRPr="001274CD" w:rsidRDefault="00C03048" w:rsidP="007622C4">
      <w:pPr>
        <w:spacing w:after="240"/>
        <w:ind w:left="660"/>
        <w:jc w:val="both"/>
        <w:rPr>
          <w:snapToGrid w:val="0"/>
          <w:lang w:eastAsia="en-US"/>
        </w:rPr>
      </w:pPr>
      <w:r w:rsidRPr="001274CD">
        <w:rPr>
          <w:snapToGrid w:val="0"/>
          <w:lang w:eastAsia="en-US"/>
        </w:rPr>
        <w:t>Investment properties are those that are used solely to earn rentals and/or for capital appreciation. The definition is not met if the property is used in any way to facilitate the delivery of services or production of goods or is held for sale.</w:t>
      </w:r>
    </w:p>
    <w:p w:rsidR="00C03048" w:rsidRPr="001274CD" w:rsidRDefault="00C03048" w:rsidP="00C03048">
      <w:pPr>
        <w:spacing w:after="240"/>
        <w:ind w:left="660"/>
        <w:jc w:val="both"/>
        <w:rPr>
          <w:snapToGrid w:val="0"/>
          <w:lang w:eastAsia="en-US"/>
        </w:rPr>
      </w:pPr>
      <w:r w:rsidRPr="001274CD">
        <w:rPr>
          <w:snapToGrid w:val="0"/>
          <w:lang w:eastAsia="en-US"/>
        </w:rPr>
        <w:t>Investment properties are measured initially at cost and subsequently at fair value, based on the amount at which the asset could be exchanged betwe</w:t>
      </w:r>
      <w:r w:rsidR="001465CE">
        <w:rPr>
          <w:snapToGrid w:val="0"/>
          <w:lang w:eastAsia="en-US"/>
        </w:rPr>
        <w:t>en knowledgeable parties at arm</w:t>
      </w:r>
      <w:r w:rsidR="001465CE" w:rsidRPr="001274CD">
        <w:rPr>
          <w:snapToGrid w:val="0"/>
          <w:lang w:eastAsia="en-US"/>
        </w:rPr>
        <w:t>'s</w:t>
      </w:r>
      <w:r w:rsidRPr="001274CD">
        <w:rPr>
          <w:snapToGrid w:val="0"/>
          <w:lang w:eastAsia="en-US"/>
        </w:rPr>
        <w:t>-length. Properties are not depreciated but are revalued annually according to market conditions at the year end. Gains and losses on revaluation are posted to the Financing and Investment Income and Expenditure line in the Comprehensive Income and Expenditure Statement. The same treatment is applied to gains and losses on disposal.</w:t>
      </w:r>
    </w:p>
    <w:p w:rsidR="00C03048" w:rsidRPr="001274CD" w:rsidRDefault="00C03048" w:rsidP="00C03048">
      <w:pPr>
        <w:spacing w:after="240"/>
        <w:ind w:left="660"/>
        <w:jc w:val="both"/>
        <w:rPr>
          <w:snapToGrid w:val="0"/>
          <w:lang w:eastAsia="en-US"/>
        </w:rPr>
      </w:pPr>
      <w:r w:rsidRPr="001274CD">
        <w:rPr>
          <w:snapToGrid w:val="0"/>
          <w:lang w:eastAsia="en-US"/>
        </w:rPr>
        <w:t>Rentals received in relation to investment properties are credited to the Financing and Investment Income line and result in a gain for the County Fund balance. However, revaluation and disposal gains and losses are not permitted by statutory arrangements to have an impact on the County Fund balance. The gains and losses are therefore reversed out of the County Fund balance in the Movement in Reserves Statement and posted to the Capital Adjustment Accounts and (for any sale proceeds greater than £10,000) the Capital Receipts Reserve.</w:t>
      </w:r>
    </w:p>
    <w:p w:rsidR="00C03048" w:rsidRPr="00286C0E" w:rsidRDefault="00C03048" w:rsidP="00C03048">
      <w:pPr>
        <w:spacing w:after="240"/>
        <w:ind w:left="660"/>
        <w:jc w:val="both"/>
        <w:rPr>
          <w:snapToGrid w:val="0"/>
          <w:highlight w:val="yellow"/>
          <w:lang w:eastAsia="en-US"/>
        </w:rPr>
      </w:pPr>
    </w:p>
    <w:p w:rsidR="00C03048" w:rsidRPr="003E55D7" w:rsidRDefault="005C0903" w:rsidP="00C03048">
      <w:pPr>
        <w:spacing w:after="240"/>
        <w:ind w:left="720" w:hanging="60"/>
      </w:pPr>
      <w:r>
        <w:rPr>
          <w:b/>
        </w:rPr>
        <w:t>14</w:t>
      </w:r>
      <w:r w:rsidR="00C03048" w:rsidRPr="003E55D7">
        <w:rPr>
          <w:b/>
        </w:rPr>
        <w:t xml:space="preserve">.   Overheads and Support Services </w:t>
      </w:r>
    </w:p>
    <w:p w:rsidR="00C03048" w:rsidRPr="003E55D7" w:rsidRDefault="00C03048" w:rsidP="00C03048">
      <w:pPr>
        <w:spacing w:after="240"/>
        <w:ind w:left="720"/>
        <w:jc w:val="both"/>
      </w:pPr>
      <w:r w:rsidRPr="003E55D7">
        <w:t xml:space="preserve">The costs of overheads and support services are charged to those that benefit from the supply or service in accordance with the costing principles of the CIPFA </w:t>
      </w:r>
      <w:r w:rsidR="003E55D7" w:rsidRPr="003E55D7">
        <w:t>Service Reporting Code of Practice 201</w:t>
      </w:r>
      <w:r w:rsidR="003E55D7">
        <w:t>1</w:t>
      </w:r>
      <w:r w:rsidR="003E55D7" w:rsidRPr="003E55D7">
        <w:t>/1</w:t>
      </w:r>
      <w:r w:rsidR="003E55D7">
        <w:t>2</w:t>
      </w:r>
      <w:r w:rsidR="003E55D7" w:rsidRPr="003E55D7">
        <w:t xml:space="preserve"> (S</w:t>
      </w:r>
      <w:r w:rsidR="003E55D7">
        <w:t>e</w:t>
      </w:r>
      <w:r w:rsidR="003E55D7" w:rsidRPr="003E55D7">
        <w:t>RCOP</w:t>
      </w:r>
      <w:r w:rsidRPr="003E55D7">
        <w:t xml:space="preserve">). The total absorption costing principle is used; the full </w:t>
      </w:r>
      <w:r w:rsidRPr="003E55D7">
        <w:lastRenderedPageBreak/>
        <w:t>cost of overheads and support services are shared between users in proportion to the benefits received, with the exception of:</w:t>
      </w:r>
    </w:p>
    <w:p w:rsidR="00C03048" w:rsidRPr="003E55D7" w:rsidRDefault="00C03048" w:rsidP="00BD07E4">
      <w:pPr>
        <w:numPr>
          <w:ilvl w:val="0"/>
          <w:numId w:val="27"/>
        </w:numPr>
        <w:spacing w:after="240"/>
        <w:jc w:val="both"/>
      </w:pPr>
      <w:r w:rsidRPr="003E55D7">
        <w:t>Corporate and democratic core – costs relating to the council’s status as a multi-func</w:t>
      </w:r>
      <w:r w:rsidR="003C30D4" w:rsidRPr="003E55D7">
        <w:t>tional, democratic organisation.</w:t>
      </w:r>
    </w:p>
    <w:p w:rsidR="00C03048" w:rsidRPr="003E55D7" w:rsidRDefault="00C03048" w:rsidP="00BD07E4">
      <w:pPr>
        <w:numPr>
          <w:ilvl w:val="0"/>
          <w:numId w:val="14"/>
        </w:numPr>
        <w:spacing w:after="240"/>
        <w:jc w:val="both"/>
      </w:pPr>
      <w:r w:rsidRPr="003E55D7">
        <w:t>Non-distributed costs – the cost of discretionary benefits awarded to employees retiring early and any depreciation and impairment losses chargeable on Assets Held for Sale.</w:t>
      </w:r>
    </w:p>
    <w:p w:rsidR="00C03048" w:rsidRPr="003E55D7" w:rsidRDefault="00C03048" w:rsidP="00C03048">
      <w:pPr>
        <w:spacing w:after="240"/>
        <w:ind w:left="720"/>
        <w:jc w:val="both"/>
      </w:pPr>
      <w:r w:rsidRPr="003E55D7">
        <w:t xml:space="preserve">These two cost categories are defined in </w:t>
      </w:r>
      <w:r w:rsidR="003E55D7">
        <w:t xml:space="preserve">SeRCOP </w:t>
      </w:r>
      <w:r w:rsidRPr="003E55D7">
        <w:t>and accounted for as separate headings in the Comprehensive Income and Expenditure Statement, as part of the Net Expenditure on Continuing Services.</w:t>
      </w:r>
    </w:p>
    <w:p w:rsidR="00C03048" w:rsidRPr="003E55D7" w:rsidRDefault="00C03048" w:rsidP="00C03048">
      <w:pPr>
        <w:spacing w:after="240"/>
        <w:ind w:left="720"/>
        <w:jc w:val="both"/>
      </w:pPr>
      <w:r w:rsidRPr="003E55D7">
        <w:t xml:space="preserve">Where CIPFA’s </w:t>
      </w:r>
      <w:r w:rsidR="003E55D7" w:rsidRPr="003E55D7">
        <w:t>Service Reporting Code of Practice</w:t>
      </w:r>
      <w:r w:rsidRPr="003E55D7">
        <w:t xml:space="preserve"> requires support services to be recharged, this has b</w:t>
      </w:r>
      <w:r w:rsidR="001465CE">
        <w:t>een done on the following bases:</w:t>
      </w:r>
    </w:p>
    <w:p w:rsidR="00C03048" w:rsidRPr="003E55D7" w:rsidRDefault="00C03048" w:rsidP="00BD07E4">
      <w:pPr>
        <w:numPr>
          <w:ilvl w:val="0"/>
          <w:numId w:val="12"/>
        </w:numPr>
        <w:spacing w:after="240"/>
        <w:jc w:val="both"/>
      </w:pPr>
      <w:r w:rsidRPr="003E55D7">
        <w:t>The cost of administrative offices is based on the floor area occupied by each service.</w:t>
      </w:r>
    </w:p>
    <w:p w:rsidR="00C03048" w:rsidRPr="003E55D7" w:rsidRDefault="00C03048" w:rsidP="00BD07E4">
      <w:pPr>
        <w:numPr>
          <w:ilvl w:val="0"/>
          <w:numId w:val="12"/>
        </w:numPr>
        <w:spacing w:after="240"/>
        <w:jc w:val="both"/>
      </w:pPr>
      <w:r w:rsidRPr="003E55D7">
        <w:t xml:space="preserve">The Information Services Group's charges are allocated wherever possible on output measures. This means that creditor payment costs are allocated as a charge per invoice, payroll administration costs are based on charges per payslip, </w:t>
      </w:r>
      <w:r w:rsidR="00A744F9" w:rsidRPr="003E55D7">
        <w:t>and the</w:t>
      </w:r>
      <w:r w:rsidRPr="003E55D7">
        <w:t xml:space="preserve"> central computer's costs are based on machine usage, and so on. </w:t>
      </w:r>
    </w:p>
    <w:p w:rsidR="00C03048" w:rsidRPr="003E55D7" w:rsidRDefault="00C03048" w:rsidP="00BD07E4">
      <w:pPr>
        <w:numPr>
          <w:ilvl w:val="0"/>
          <w:numId w:val="12"/>
        </w:numPr>
        <w:spacing w:after="240"/>
        <w:jc w:val="both"/>
      </w:pPr>
      <w:r w:rsidRPr="003E55D7">
        <w:t>The Finance Group's charges for accountancy and auditing are based on staff time.</w:t>
      </w:r>
    </w:p>
    <w:p w:rsidR="00C03048" w:rsidRPr="003E55D7" w:rsidRDefault="00C03048" w:rsidP="00BD07E4">
      <w:pPr>
        <w:numPr>
          <w:ilvl w:val="0"/>
          <w:numId w:val="12"/>
        </w:numPr>
        <w:spacing w:after="240"/>
        <w:jc w:val="both"/>
      </w:pPr>
      <w:r w:rsidRPr="003E55D7">
        <w:t>The Property Service Group’s costs are allocated on several bases in line with commercial practice, for example linked to professional fee scales and relevant discounts.</w:t>
      </w:r>
    </w:p>
    <w:p w:rsidR="00C03048" w:rsidRPr="003E55D7" w:rsidRDefault="00C03048" w:rsidP="00BD07E4">
      <w:pPr>
        <w:numPr>
          <w:ilvl w:val="0"/>
          <w:numId w:val="12"/>
        </w:numPr>
        <w:spacing w:after="240"/>
        <w:jc w:val="both"/>
      </w:pPr>
      <w:r w:rsidRPr="003E55D7">
        <w:t>The Legal Services Group’s charges are based on staff time, whilst the Corporate Personnel Group's costs are based on staff numbers.</w:t>
      </w:r>
    </w:p>
    <w:p w:rsidR="00C03048" w:rsidRPr="003E55D7" w:rsidRDefault="00C03048" w:rsidP="00BD07E4">
      <w:pPr>
        <w:numPr>
          <w:ilvl w:val="0"/>
          <w:numId w:val="12"/>
        </w:numPr>
        <w:spacing w:after="240"/>
        <w:jc w:val="both"/>
        <w:rPr>
          <w:b/>
        </w:rPr>
      </w:pPr>
      <w:r w:rsidRPr="003E55D7">
        <w:t xml:space="preserve">Costs defined under the </w:t>
      </w:r>
      <w:r w:rsidR="003E55D7" w:rsidRPr="003E55D7">
        <w:t>Service Reporting Code of Practice</w:t>
      </w:r>
      <w:r w:rsidRPr="003E55D7">
        <w:t xml:space="preserve"> as falling within corporate and democratic core services and central overheads </w:t>
      </w:r>
      <w:r w:rsidR="009D499F" w:rsidRPr="003E55D7">
        <w:t>cannot</w:t>
      </w:r>
      <w:r w:rsidR="00A744F9" w:rsidRPr="003E55D7">
        <w:t xml:space="preserve"> be apportioned </w:t>
      </w:r>
      <w:r w:rsidRPr="003E55D7">
        <w:t>(for example, member services) are charged to a separate account.</w:t>
      </w:r>
    </w:p>
    <w:p w:rsidR="00E3074C" w:rsidRPr="00286C0E" w:rsidRDefault="00E3074C" w:rsidP="00E3074C">
      <w:pPr>
        <w:spacing w:after="240"/>
        <w:ind w:left="1353"/>
        <w:jc w:val="both"/>
        <w:rPr>
          <w:b/>
          <w:highlight w:val="yellow"/>
        </w:rPr>
      </w:pPr>
    </w:p>
    <w:p w:rsidR="00C03048" w:rsidRPr="007E06D9" w:rsidRDefault="005C0903" w:rsidP="00C03048">
      <w:pPr>
        <w:spacing w:after="240"/>
        <w:ind w:left="180" w:firstLine="540"/>
      </w:pPr>
      <w:r>
        <w:rPr>
          <w:b/>
        </w:rPr>
        <w:t>15</w:t>
      </w:r>
      <w:r w:rsidR="00C03048" w:rsidRPr="007E06D9">
        <w:rPr>
          <w:b/>
        </w:rPr>
        <w:t xml:space="preserve">.   Inventories and Long Term Contracts </w:t>
      </w:r>
    </w:p>
    <w:p w:rsidR="00C03048" w:rsidRPr="007E06D9" w:rsidRDefault="00C03048" w:rsidP="00C03048">
      <w:pPr>
        <w:spacing w:after="240"/>
        <w:ind w:left="720"/>
        <w:jc w:val="both"/>
      </w:pPr>
      <w:r w:rsidRPr="007E06D9">
        <w:t>Inventories are included in the Balance Sheet at the lower of cost and net realisable value. The cost of inventories is assigned using the (FIFO/weighted average) costing formula.</w:t>
      </w:r>
    </w:p>
    <w:p w:rsidR="00040C0E" w:rsidRDefault="00C03048" w:rsidP="00DC56C0">
      <w:pPr>
        <w:spacing w:after="240"/>
        <w:ind w:left="720"/>
        <w:jc w:val="both"/>
      </w:pPr>
      <w:r w:rsidRPr="007E06D9">
        <w:t>Long term contracts are accounted for on the basis of charging the surplus or deficit on the Provision of Services with the value of works and services received under the contract during the financial year.</w:t>
      </w:r>
    </w:p>
    <w:p w:rsidR="008C38DD" w:rsidRDefault="008C38DD" w:rsidP="00DC56C0">
      <w:pPr>
        <w:spacing w:after="240"/>
        <w:ind w:left="720"/>
        <w:jc w:val="both"/>
      </w:pPr>
    </w:p>
    <w:p w:rsidR="005B005D" w:rsidRDefault="005B005D" w:rsidP="00DC56C0">
      <w:pPr>
        <w:spacing w:after="240"/>
        <w:ind w:left="720"/>
        <w:jc w:val="both"/>
      </w:pPr>
    </w:p>
    <w:p w:rsidR="00C03048" w:rsidRPr="005E24BB" w:rsidRDefault="005C0903" w:rsidP="00C03048">
      <w:pPr>
        <w:spacing w:after="240"/>
        <w:ind w:left="180" w:firstLine="540"/>
      </w:pPr>
      <w:r>
        <w:rPr>
          <w:b/>
        </w:rPr>
        <w:lastRenderedPageBreak/>
        <w:t>16</w:t>
      </w:r>
      <w:r w:rsidR="00C03048" w:rsidRPr="005E24BB">
        <w:rPr>
          <w:b/>
        </w:rPr>
        <w:t xml:space="preserve">.   Government Grants and Contributions </w:t>
      </w:r>
    </w:p>
    <w:p w:rsidR="00C03048" w:rsidRPr="005E24BB" w:rsidRDefault="00C03048" w:rsidP="00C03048">
      <w:pPr>
        <w:spacing w:after="240"/>
        <w:ind w:left="720"/>
        <w:jc w:val="both"/>
      </w:pPr>
      <w:r w:rsidRPr="005E24BB">
        <w:t xml:space="preserve">Whether paid on account, by instalments or in arrears, government grants and third party contributions and donations are recognised as due to the </w:t>
      </w:r>
      <w:r w:rsidR="00CB5417">
        <w:t>Council</w:t>
      </w:r>
      <w:r w:rsidR="00CB5417" w:rsidRPr="005E24BB">
        <w:t xml:space="preserve"> </w:t>
      </w:r>
      <w:r w:rsidRPr="005E24BB">
        <w:t>when there is reasonable assurance that:</w:t>
      </w:r>
    </w:p>
    <w:p w:rsidR="00C03048" w:rsidRPr="005E24BB" w:rsidRDefault="00B37E6A" w:rsidP="00BD07E4">
      <w:pPr>
        <w:numPr>
          <w:ilvl w:val="0"/>
          <w:numId w:val="14"/>
        </w:numPr>
        <w:spacing w:after="240"/>
        <w:jc w:val="both"/>
      </w:pPr>
      <w:r>
        <w:t>T</w:t>
      </w:r>
      <w:r w:rsidR="00C03048" w:rsidRPr="005E24BB">
        <w:t xml:space="preserve">he </w:t>
      </w:r>
      <w:r w:rsidR="00CB5417">
        <w:t>Council</w:t>
      </w:r>
      <w:r w:rsidR="00CB5417" w:rsidRPr="005E24BB">
        <w:t xml:space="preserve"> </w:t>
      </w:r>
      <w:r w:rsidR="00C03048" w:rsidRPr="005E24BB">
        <w:t>will comply with the conditions attached to the payments, and</w:t>
      </w:r>
    </w:p>
    <w:p w:rsidR="00C03048" w:rsidRPr="005E24BB" w:rsidRDefault="00A744F9" w:rsidP="00BD07E4">
      <w:pPr>
        <w:numPr>
          <w:ilvl w:val="0"/>
          <w:numId w:val="14"/>
        </w:numPr>
        <w:spacing w:after="240"/>
        <w:jc w:val="both"/>
      </w:pPr>
      <w:r w:rsidRPr="005E24BB">
        <w:t>The</w:t>
      </w:r>
      <w:r w:rsidR="00C03048" w:rsidRPr="005E24BB">
        <w:t xml:space="preserve"> grants or contributions will be received</w:t>
      </w:r>
      <w:r w:rsidR="00040C0E" w:rsidRPr="005E24BB">
        <w:t>.</w:t>
      </w:r>
    </w:p>
    <w:p w:rsidR="00C03048" w:rsidRPr="005E24BB" w:rsidRDefault="00C03048" w:rsidP="00C03048">
      <w:pPr>
        <w:spacing w:after="240"/>
        <w:ind w:left="720"/>
        <w:jc w:val="both"/>
      </w:pPr>
      <w:r w:rsidRPr="005E24BB">
        <w:t>Amounts recognised as due to the council are not credited to the Comprehensive Income and Expenditure Statement until conditions attached to the grant or contribution have been satisfied. Conditions are stipulations that specify that the future economic benefits or service potential embodied in the asset acquired using the grant or contribution are required to be consumed by the recipient as specified, or future economic benefits or service potential must be returned to the transferor.</w:t>
      </w:r>
    </w:p>
    <w:p w:rsidR="00C03048" w:rsidRPr="005E24BB" w:rsidRDefault="00C03048" w:rsidP="00C03048">
      <w:pPr>
        <w:spacing w:after="240"/>
        <w:ind w:left="720"/>
        <w:jc w:val="both"/>
      </w:pPr>
      <w:r w:rsidRPr="005E24BB">
        <w:t>Monies advanced as grants and contributions for which conditions have not been satisfied are carried in the balance sheet as creditors. When conditions are satisfied, the grant or contribution is credited to the relevant service line (attributable revenue grants and contributions) or Taxation and Non-Specific Grant Income (non-</w:t>
      </w:r>
      <w:r w:rsidR="00A744F9" w:rsidRPr="005E24BB">
        <w:t>ring fenced</w:t>
      </w:r>
      <w:r w:rsidRPr="005E24BB">
        <w:t xml:space="preserve"> revenue grants and all capital grants) in the Comprehensive Income and Expenditure Statement.</w:t>
      </w:r>
    </w:p>
    <w:p w:rsidR="00C03048" w:rsidRPr="005A7A20" w:rsidRDefault="00C03048" w:rsidP="00C03048">
      <w:pPr>
        <w:spacing w:after="240"/>
        <w:ind w:left="720"/>
        <w:jc w:val="both"/>
      </w:pPr>
      <w:r w:rsidRPr="005E24BB">
        <w:t>Where capital grants are credited to the Comprehensive Income and Expenditure Statement, they are reversed out of the County Fund balance in the Movement in Reserves Statement. Where the grant has yet to be used to finance capital expenditure, it is posted to the Capital Grants Unapplied reserve. Where it has been applied, it is posted to the Capital Adjustment Account. Amounts in the Capital Grants Unapplied reserve are transferred to the Capital Adjustment Account once they have been applied to fund capital expenditure.</w:t>
      </w:r>
    </w:p>
    <w:p w:rsidR="00E3074C" w:rsidRPr="00286C0E" w:rsidRDefault="00E3074C" w:rsidP="00C03048">
      <w:pPr>
        <w:spacing w:after="240"/>
        <w:ind w:left="720"/>
        <w:jc w:val="both"/>
        <w:rPr>
          <w:highlight w:val="yellow"/>
        </w:rPr>
      </w:pPr>
    </w:p>
    <w:p w:rsidR="00C03048" w:rsidRPr="00620002" w:rsidRDefault="00C03048" w:rsidP="00053A62">
      <w:pPr>
        <w:spacing w:after="240"/>
        <w:ind w:firstLine="720"/>
      </w:pPr>
      <w:r w:rsidRPr="005E24BB">
        <w:rPr>
          <w:b/>
        </w:rPr>
        <w:t>1</w:t>
      </w:r>
      <w:r w:rsidR="005C0903">
        <w:rPr>
          <w:b/>
        </w:rPr>
        <w:t>7</w:t>
      </w:r>
      <w:r w:rsidRPr="005E24BB">
        <w:rPr>
          <w:b/>
        </w:rPr>
        <w:t xml:space="preserve">.   </w:t>
      </w:r>
      <w:r w:rsidRPr="00620002">
        <w:rPr>
          <w:b/>
        </w:rPr>
        <w:t xml:space="preserve">Leases </w:t>
      </w:r>
    </w:p>
    <w:p w:rsidR="00C03048" w:rsidRPr="00620002" w:rsidRDefault="00C03048" w:rsidP="00C03048">
      <w:pPr>
        <w:spacing w:after="240"/>
        <w:ind w:left="720"/>
        <w:jc w:val="both"/>
      </w:pPr>
      <w:r w:rsidRPr="00620002">
        <w:t>Leases are classified as finance leases where the terms of the lease transfers substantially all the risks and rewards incidental to ownership of the property, plant or equipment from the lessor to the lessee. All other leases are classified as operating leases.</w:t>
      </w:r>
    </w:p>
    <w:p w:rsidR="00C03048" w:rsidRPr="00620002" w:rsidRDefault="00C03048" w:rsidP="00C03048">
      <w:pPr>
        <w:spacing w:after="240"/>
        <w:ind w:left="720"/>
        <w:jc w:val="both"/>
      </w:pPr>
      <w:r w:rsidRPr="00620002">
        <w:t>Where a lease covers both land and buildings, the land and buildings elements are considered separately for classification.</w:t>
      </w:r>
    </w:p>
    <w:p w:rsidR="00C03048" w:rsidRPr="00620002" w:rsidRDefault="00C03048" w:rsidP="00C03048">
      <w:pPr>
        <w:spacing w:after="240"/>
        <w:ind w:left="720"/>
        <w:jc w:val="both"/>
      </w:pPr>
      <w:r w:rsidRPr="00620002">
        <w:t>Arrangements that do not have the legal status of a lease but convey a right to use an asset in return for payment are accounted for under this policy where fulfilment of the arrangement is dependent on the use of specific assets.</w:t>
      </w:r>
    </w:p>
    <w:p w:rsidR="008E253D" w:rsidRPr="00620002" w:rsidRDefault="00C03048" w:rsidP="00E3074C">
      <w:pPr>
        <w:spacing w:after="240"/>
        <w:ind w:left="720"/>
        <w:jc w:val="both"/>
      </w:pPr>
      <w:r w:rsidRPr="00620002">
        <w:t xml:space="preserve">The </w:t>
      </w:r>
      <w:r w:rsidR="00CB5417">
        <w:t>Council</w:t>
      </w:r>
      <w:r w:rsidR="00CB5417" w:rsidRPr="00620002">
        <w:t xml:space="preserve"> </w:t>
      </w:r>
      <w:r w:rsidRPr="00620002">
        <w:t>does not hold any finance leases.</w:t>
      </w:r>
    </w:p>
    <w:p w:rsidR="00C03048" w:rsidRPr="00620002" w:rsidRDefault="00C03048" w:rsidP="00C03048">
      <w:pPr>
        <w:spacing w:after="240"/>
        <w:ind w:left="720"/>
        <w:jc w:val="both"/>
        <w:rPr>
          <w:b/>
        </w:rPr>
      </w:pPr>
      <w:r w:rsidRPr="00620002">
        <w:rPr>
          <w:b/>
        </w:rPr>
        <w:t xml:space="preserve">The </w:t>
      </w:r>
      <w:r w:rsidR="00CB5417">
        <w:rPr>
          <w:b/>
        </w:rPr>
        <w:t>Council</w:t>
      </w:r>
      <w:r w:rsidR="00CB5417" w:rsidRPr="00620002">
        <w:rPr>
          <w:b/>
        </w:rPr>
        <w:t xml:space="preserve"> </w:t>
      </w:r>
      <w:r w:rsidRPr="00620002">
        <w:rPr>
          <w:b/>
        </w:rPr>
        <w:t>as Lessee</w:t>
      </w:r>
    </w:p>
    <w:p w:rsidR="00C03048" w:rsidRPr="00620002" w:rsidRDefault="00C03048" w:rsidP="00C03048">
      <w:pPr>
        <w:spacing w:after="240"/>
        <w:ind w:left="600" w:firstLine="120"/>
        <w:jc w:val="both"/>
        <w:rPr>
          <w:b/>
        </w:rPr>
      </w:pPr>
      <w:r w:rsidRPr="00620002">
        <w:rPr>
          <w:b/>
        </w:rPr>
        <w:t>Operating Leases</w:t>
      </w:r>
    </w:p>
    <w:p w:rsidR="00C03048" w:rsidRDefault="00C03048" w:rsidP="00C03048">
      <w:pPr>
        <w:spacing w:after="240"/>
        <w:ind w:left="720"/>
        <w:jc w:val="both"/>
      </w:pPr>
      <w:r w:rsidRPr="00620002">
        <w:t xml:space="preserve">Rentals paid under operating leases are charged to the Comprehensive Income and Expenditure Statement as an expense of the services benefitting from use of the leased </w:t>
      </w:r>
      <w:r w:rsidRPr="00620002">
        <w:lastRenderedPageBreak/>
        <w:t>property, plant or equipment. Charges are made on a straight-line basis over the life of the lease, even if this does not match the pattern of payments (e.g</w:t>
      </w:r>
      <w:r w:rsidR="00652B53" w:rsidRPr="00620002">
        <w:t>.</w:t>
      </w:r>
      <w:r w:rsidRPr="00620002">
        <w:t xml:space="preserve"> there is a rent-free period at the commencement of the lease).</w:t>
      </w:r>
    </w:p>
    <w:p w:rsidR="00916B89" w:rsidRPr="00620002" w:rsidRDefault="00916B89" w:rsidP="005B005D">
      <w:pPr>
        <w:spacing w:after="240"/>
        <w:jc w:val="both"/>
      </w:pPr>
    </w:p>
    <w:p w:rsidR="00C03048" w:rsidRPr="00620002" w:rsidRDefault="00C03048" w:rsidP="00053A62">
      <w:pPr>
        <w:spacing w:after="240"/>
        <w:ind w:left="600" w:firstLine="120"/>
        <w:jc w:val="both"/>
        <w:rPr>
          <w:b/>
        </w:rPr>
      </w:pPr>
      <w:r w:rsidRPr="00620002">
        <w:rPr>
          <w:b/>
        </w:rPr>
        <w:t xml:space="preserve">The </w:t>
      </w:r>
      <w:r w:rsidR="00CB5417">
        <w:rPr>
          <w:b/>
        </w:rPr>
        <w:t>Council</w:t>
      </w:r>
      <w:r w:rsidR="00CB5417" w:rsidRPr="00620002">
        <w:rPr>
          <w:b/>
        </w:rPr>
        <w:t xml:space="preserve"> </w:t>
      </w:r>
      <w:r w:rsidRPr="00620002">
        <w:rPr>
          <w:b/>
        </w:rPr>
        <w:t>as a Lessor</w:t>
      </w:r>
    </w:p>
    <w:p w:rsidR="00C03048" w:rsidRPr="00620002" w:rsidRDefault="00C03048" w:rsidP="00053A62">
      <w:pPr>
        <w:spacing w:after="240"/>
        <w:ind w:left="480" w:firstLine="240"/>
        <w:jc w:val="both"/>
        <w:rPr>
          <w:b/>
        </w:rPr>
      </w:pPr>
      <w:r w:rsidRPr="00620002">
        <w:rPr>
          <w:b/>
        </w:rPr>
        <w:t>Operating Leases</w:t>
      </w:r>
    </w:p>
    <w:p w:rsidR="00E3074C" w:rsidRPr="00620002" w:rsidRDefault="00C03048" w:rsidP="007622C4">
      <w:pPr>
        <w:spacing w:after="240"/>
        <w:ind w:left="720"/>
        <w:jc w:val="both"/>
      </w:pPr>
      <w:r w:rsidRPr="00620002">
        <w:t xml:space="preserve">Where the </w:t>
      </w:r>
      <w:r w:rsidR="00CB5417">
        <w:t>Council</w:t>
      </w:r>
      <w:r w:rsidR="00CB5417" w:rsidRPr="00620002">
        <w:t xml:space="preserve"> </w:t>
      </w:r>
      <w:r w:rsidRPr="00620002">
        <w:t>grants an operating lease over a property or an item or plant or equipment, the asset is retained in the Balance Sheet. Rental income is credited to the Other Operating Expenditure line in the Comprehensive Income and Expenditure Statement. Credits are made on a straight-line basis over the life of the lease, even if this does not match the pattern of payments (e.g. there is a premium paid at the commencement of the lease). Initial direct costs incurred in negotiation and arranging the lease are added to the carrying amount of the relevant asset and charged as an expense over the lease term on the same basis as rental income.</w:t>
      </w:r>
    </w:p>
    <w:p w:rsidR="007622C4" w:rsidRPr="000603EA" w:rsidRDefault="007622C4" w:rsidP="007622C4">
      <w:pPr>
        <w:spacing w:after="240"/>
        <w:jc w:val="both"/>
      </w:pPr>
    </w:p>
    <w:p w:rsidR="00C03048" w:rsidRPr="000603EA" w:rsidRDefault="00837EDA" w:rsidP="00053A62">
      <w:pPr>
        <w:spacing w:after="240"/>
        <w:ind w:firstLine="720"/>
        <w:rPr>
          <w:b/>
        </w:rPr>
      </w:pPr>
      <w:r>
        <w:rPr>
          <w:b/>
        </w:rPr>
        <w:t>1</w:t>
      </w:r>
      <w:r w:rsidR="005C0903">
        <w:rPr>
          <w:b/>
        </w:rPr>
        <w:t>8</w:t>
      </w:r>
      <w:r w:rsidR="00C03048" w:rsidRPr="000603EA">
        <w:rPr>
          <w:b/>
        </w:rPr>
        <w:t>.   Employee Benefits</w:t>
      </w:r>
    </w:p>
    <w:p w:rsidR="00C03048" w:rsidRPr="000603EA" w:rsidRDefault="00C03048" w:rsidP="003018D5">
      <w:pPr>
        <w:spacing w:after="240"/>
        <w:ind w:left="720"/>
        <w:rPr>
          <w:b/>
        </w:rPr>
      </w:pPr>
      <w:r w:rsidRPr="000603EA">
        <w:rPr>
          <w:b/>
        </w:rPr>
        <w:t xml:space="preserve">Benefits Payable </w:t>
      </w:r>
      <w:r w:rsidR="00C543E1" w:rsidRPr="000603EA">
        <w:rPr>
          <w:b/>
        </w:rPr>
        <w:t>during</w:t>
      </w:r>
      <w:r w:rsidRPr="000603EA">
        <w:rPr>
          <w:b/>
        </w:rPr>
        <w:t xml:space="preserve"> Employment</w:t>
      </w:r>
    </w:p>
    <w:p w:rsidR="007622C4" w:rsidRPr="000603EA" w:rsidRDefault="00C03048" w:rsidP="00BC6A99">
      <w:pPr>
        <w:spacing w:after="240"/>
        <w:ind w:left="720"/>
        <w:jc w:val="both"/>
      </w:pPr>
      <w:r w:rsidRPr="000603EA">
        <w:t xml:space="preserve">Short-term employee benefits are those due to be settled within 12 months of the year end. They include such benefits as wages and salaries, paid annual leave and paid sick leave, bonuses and non-monetary benefits and are recognised as an expense for services in the year in which employees render service to the </w:t>
      </w:r>
      <w:r w:rsidR="00CB5417">
        <w:t>Council</w:t>
      </w:r>
      <w:r w:rsidRPr="000603EA">
        <w:t xml:space="preserve">. An accrual is made for the cost of holiday entitlements earned by employees but not taken before the year end which employees can carry forward into the next financial year.  The accrual is made at the wage and salary rates applicable in the following accounting year, being the period in which the employee takes the benefit. </w:t>
      </w:r>
    </w:p>
    <w:p w:rsidR="00C03048" w:rsidRPr="000603EA" w:rsidRDefault="00C03048" w:rsidP="00BC6A99">
      <w:pPr>
        <w:spacing w:after="240"/>
        <w:ind w:left="720"/>
        <w:jc w:val="both"/>
      </w:pPr>
      <w:r w:rsidRPr="000603EA">
        <w:t>The accrual is charged to the surplus or deficit on the Provision of Services, but then reversed out through the Movement in Reserves Statement so that holiday benefits are charged to revenue in the financial year in which the holiday absence occurs.</w:t>
      </w:r>
    </w:p>
    <w:p w:rsidR="00C03048" w:rsidRPr="000603EA" w:rsidRDefault="00C03048" w:rsidP="00C03048">
      <w:pPr>
        <w:spacing w:after="240"/>
        <w:ind w:left="720"/>
        <w:rPr>
          <w:b/>
        </w:rPr>
      </w:pPr>
      <w:r w:rsidRPr="000603EA">
        <w:rPr>
          <w:b/>
        </w:rPr>
        <w:t>Termination Benefits</w:t>
      </w:r>
    </w:p>
    <w:p w:rsidR="006626D4" w:rsidRPr="000603EA" w:rsidRDefault="00C03048" w:rsidP="00BC6A99">
      <w:pPr>
        <w:spacing w:after="240"/>
        <w:ind w:left="720"/>
        <w:jc w:val="both"/>
      </w:pPr>
      <w:r w:rsidRPr="000603EA">
        <w:t xml:space="preserve">Termination benefits are amounts payable as a result of a decision by the </w:t>
      </w:r>
      <w:r w:rsidR="00CB5417">
        <w:t>Council</w:t>
      </w:r>
      <w:r w:rsidR="00CB5417" w:rsidRPr="000603EA">
        <w:t xml:space="preserve"> </w:t>
      </w:r>
      <w:r w:rsidRPr="000603EA">
        <w:t xml:space="preserve">to terminate an officer's employment before the normal retirement date or an officer's decision to accept voluntary redundancy and are charged on an accruals basis to the continuing operations costs in the Comprehensive Income and Expenditure Statement, when the </w:t>
      </w:r>
      <w:r w:rsidR="00CB5417">
        <w:t>Council</w:t>
      </w:r>
      <w:r w:rsidR="00CB5417" w:rsidRPr="000603EA">
        <w:t xml:space="preserve"> </w:t>
      </w:r>
      <w:r w:rsidRPr="000603EA">
        <w:t>is demonstrably committed to the termination of the employment of an officer or group of officers or making an offer to encourage voluntary redundancy.</w:t>
      </w:r>
    </w:p>
    <w:p w:rsidR="00C03048" w:rsidRPr="000603EA" w:rsidRDefault="00C03048" w:rsidP="00BC6A99">
      <w:pPr>
        <w:spacing w:after="240"/>
        <w:ind w:left="720"/>
        <w:jc w:val="both"/>
      </w:pPr>
      <w:r w:rsidRPr="000603EA">
        <w:t xml:space="preserve">Where termination benefits involve the enhancement of pensions, statutory provisions require the County Fund balance to be charged with the amount payable by the </w:t>
      </w:r>
      <w:r w:rsidR="00CB5417">
        <w:t>Council</w:t>
      </w:r>
      <w:r w:rsidRPr="000603EA">
        <w:t xml:space="preserve"> to the pension fund or pensioner in the year, not the amount calculated according to the relevant accounting standards. In the Movement in Reserves Statement, appropriations are required to and from the Pensions Reserve to remove the notional debits and credits for </w:t>
      </w:r>
      <w:r w:rsidRPr="000603EA">
        <w:lastRenderedPageBreak/>
        <w:t xml:space="preserve">pension enhancement termination benefits and replace them with debits for the cash paid to the pension fund and pensioners and any such amounts payable but unpaid at the year end. </w:t>
      </w:r>
    </w:p>
    <w:p w:rsidR="002920A1" w:rsidRDefault="002920A1" w:rsidP="003018D5">
      <w:pPr>
        <w:spacing w:after="240"/>
        <w:ind w:left="709"/>
        <w:rPr>
          <w:b/>
        </w:rPr>
      </w:pPr>
    </w:p>
    <w:p w:rsidR="00C03048" w:rsidRPr="000603EA" w:rsidRDefault="00C03048" w:rsidP="003018D5">
      <w:pPr>
        <w:spacing w:after="240"/>
        <w:ind w:left="709"/>
      </w:pPr>
      <w:r w:rsidRPr="000603EA">
        <w:rPr>
          <w:b/>
        </w:rPr>
        <w:t>Pension Arrangements</w:t>
      </w:r>
    </w:p>
    <w:p w:rsidR="00C03048" w:rsidRPr="007B0ED3" w:rsidRDefault="00687D2A" w:rsidP="00C03048">
      <w:pPr>
        <w:spacing w:after="240"/>
        <w:ind w:left="709"/>
      </w:pPr>
      <w:r w:rsidRPr="00687D2A">
        <w:t>Employees of the council are members of two separate pension schemes:</w:t>
      </w:r>
    </w:p>
    <w:p w:rsidR="00C03048" w:rsidRPr="000603EA" w:rsidRDefault="00C03048" w:rsidP="00BD07E4">
      <w:pPr>
        <w:numPr>
          <w:ilvl w:val="0"/>
          <w:numId w:val="16"/>
        </w:numPr>
        <w:spacing w:after="240"/>
        <w:jc w:val="both"/>
      </w:pPr>
      <w:r w:rsidRPr="000603EA">
        <w:t xml:space="preserve">The Teachers’ Pension Scheme, administered by Capita Teachers’ Pensions on behalf of the Department for </w:t>
      </w:r>
      <w:r w:rsidR="009C57ED" w:rsidRPr="000603EA">
        <w:t>Education (Df</w:t>
      </w:r>
      <w:r w:rsidR="00A744F9" w:rsidRPr="000603EA">
        <w:t>E</w:t>
      </w:r>
      <w:r w:rsidR="009C57ED" w:rsidRPr="000603EA">
        <w:t>)</w:t>
      </w:r>
      <w:r w:rsidRPr="000603EA">
        <w:t xml:space="preserve"> </w:t>
      </w:r>
    </w:p>
    <w:p w:rsidR="00C03048" w:rsidRPr="000603EA" w:rsidRDefault="00C03048" w:rsidP="00BD07E4">
      <w:pPr>
        <w:numPr>
          <w:ilvl w:val="0"/>
          <w:numId w:val="16"/>
        </w:numPr>
        <w:spacing w:after="240"/>
        <w:jc w:val="both"/>
      </w:pPr>
      <w:r w:rsidRPr="000603EA">
        <w:t xml:space="preserve">The Local Government Pensions Scheme, administered by Lancashire </w:t>
      </w:r>
      <w:r w:rsidR="001F1A1A">
        <w:t>County Council</w:t>
      </w:r>
      <w:r w:rsidRPr="000603EA">
        <w:t>.</w:t>
      </w:r>
    </w:p>
    <w:p w:rsidR="00C03048" w:rsidRPr="000603EA" w:rsidRDefault="00C03048" w:rsidP="00C03048">
      <w:pPr>
        <w:spacing w:after="240"/>
        <w:ind w:left="709"/>
        <w:jc w:val="both"/>
      </w:pPr>
      <w:r w:rsidRPr="000603EA">
        <w:t>Both schemes provided defined benefits to members (retirement lump sums and pensions), earned as employees worked for the council.</w:t>
      </w:r>
    </w:p>
    <w:p w:rsidR="00E3074C" w:rsidRPr="000603EA" w:rsidRDefault="00C03048" w:rsidP="00C03048">
      <w:pPr>
        <w:spacing w:after="240"/>
        <w:ind w:left="709"/>
        <w:jc w:val="both"/>
      </w:pPr>
      <w:r w:rsidRPr="000603EA">
        <w:t xml:space="preserve">However, the arrangements for the teachers’ scheme mean that liabilities for these benefits cannot be identified to the council. </w:t>
      </w:r>
    </w:p>
    <w:p w:rsidR="00C03048" w:rsidRPr="000603EA" w:rsidRDefault="00C03048" w:rsidP="00C03048">
      <w:pPr>
        <w:spacing w:after="240"/>
        <w:ind w:left="709"/>
        <w:jc w:val="both"/>
        <w:rPr>
          <w:b/>
        </w:rPr>
      </w:pPr>
      <w:r w:rsidRPr="000603EA">
        <w:t>The scheme is therefore accounted for as if it were a defined contributions scheme – no liability for future payments of benefits is recognised in the Balance Sheet and the education service revenue account is charged with the employer’s contributions payable to teachers’ pensions in the year.</w:t>
      </w:r>
    </w:p>
    <w:p w:rsidR="00C03048" w:rsidRPr="000603EA" w:rsidRDefault="00C03048" w:rsidP="00C03048">
      <w:pPr>
        <w:spacing w:after="240"/>
        <w:ind w:firstLine="709"/>
        <w:rPr>
          <w:b/>
        </w:rPr>
      </w:pPr>
      <w:r w:rsidRPr="000603EA">
        <w:rPr>
          <w:b/>
        </w:rPr>
        <w:t>Local Government Pension Scheme</w:t>
      </w:r>
    </w:p>
    <w:p w:rsidR="00C03048" w:rsidRPr="000603EA" w:rsidRDefault="00C03048" w:rsidP="00C03048">
      <w:pPr>
        <w:spacing w:after="240"/>
        <w:ind w:left="709"/>
        <w:jc w:val="both"/>
      </w:pPr>
      <w:r w:rsidRPr="000603EA">
        <w:t>The Local Government Pension Scheme is accounted for as a defined benefits scheme:</w:t>
      </w:r>
    </w:p>
    <w:p w:rsidR="00C03048" w:rsidRPr="000603EA" w:rsidRDefault="00C03048" w:rsidP="00BD07E4">
      <w:pPr>
        <w:numPr>
          <w:ilvl w:val="0"/>
          <w:numId w:val="17"/>
        </w:numPr>
        <w:spacing w:after="240"/>
        <w:jc w:val="both"/>
      </w:pPr>
      <w:r w:rsidRPr="000603EA">
        <w:t>The liabilities of the Local Government Pension Scheme attributable to the council are included in the balance sheet on an actuarial basis using the projected unit method, i.e. an assessment of the future payments that will be made in relation to retirement benefits earned to date by employees, based on assumptions about mortality rates, employee turnover rates, etc, and projections of projected earnings for current employees.</w:t>
      </w:r>
    </w:p>
    <w:p w:rsidR="00C03048" w:rsidRPr="000603EA" w:rsidRDefault="00C03048" w:rsidP="00BD07E4">
      <w:pPr>
        <w:numPr>
          <w:ilvl w:val="0"/>
          <w:numId w:val="17"/>
        </w:numPr>
        <w:spacing w:after="240"/>
        <w:jc w:val="both"/>
      </w:pPr>
      <w:r w:rsidRPr="000603EA">
        <w:t>Liabilities are discounted to their value at current pric</w:t>
      </w:r>
      <w:r w:rsidR="00DD1AA2">
        <w:t>es, using a discount rate of 4.9</w:t>
      </w:r>
      <w:r w:rsidRPr="000603EA">
        <w:t>%; this was based on a weighted average of “spot yields” on AA rated corporate bonds.</w:t>
      </w:r>
    </w:p>
    <w:p w:rsidR="00C03048" w:rsidRPr="000603EA" w:rsidRDefault="00C03048" w:rsidP="00BD07E4">
      <w:pPr>
        <w:numPr>
          <w:ilvl w:val="0"/>
          <w:numId w:val="17"/>
        </w:numPr>
        <w:spacing w:after="240"/>
        <w:jc w:val="both"/>
      </w:pPr>
      <w:r w:rsidRPr="000603EA">
        <w:t>The assets of the Local Government Pension Fund attributable to the council are included in the balance sheet at their fair value:</w:t>
      </w:r>
    </w:p>
    <w:p w:rsidR="00C03048" w:rsidRPr="000603EA" w:rsidRDefault="00B37E6A" w:rsidP="00BD07E4">
      <w:pPr>
        <w:numPr>
          <w:ilvl w:val="0"/>
          <w:numId w:val="18"/>
        </w:numPr>
        <w:spacing w:after="240"/>
        <w:jc w:val="both"/>
      </w:pPr>
      <w:r>
        <w:t>Q</w:t>
      </w:r>
      <w:r w:rsidR="00C03048" w:rsidRPr="000603EA">
        <w:t>uoted securities – current bid price;</w:t>
      </w:r>
    </w:p>
    <w:p w:rsidR="00C03048" w:rsidRPr="000603EA" w:rsidRDefault="00B37E6A" w:rsidP="00BD07E4">
      <w:pPr>
        <w:numPr>
          <w:ilvl w:val="0"/>
          <w:numId w:val="18"/>
        </w:numPr>
        <w:spacing w:after="240"/>
        <w:jc w:val="both"/>
      </w:pPr>
      <w:r>
        <w:t>U</w:t>
      </w:r>
      <w:r w:rsidR="00C03048" w:rsidRPr="000603EA">
        <w:t>nquoted securities – professional estimate;</w:t>
      </w:r>
    </w:p>
    <w:p w:rsidR="00C03048" w:rsidRPr="000603EA" w:rsidRDefault="00B37E6A" w:rsidP="00BD07E4">
      <w:pPr>
        <w:numPr>
          <w:ilvl w:val="0"/>
          <w:numId w:val="18"/>
        </w:numPr>
        <w:spacing w:after="240"/>
        <w:jc w:val="both"/>
      </w:pPr>
      <w:r>
        <w:t>U</w:t>
      </w:r>
      <w:r w:rsidR="00C03048" w:rsidRPr="000603EA">
        <w:t>nitised securities – current bid price; and</w:t>
      </w:r>
    </w:p>
    <w:p w:rsidR="00C03048" w:rsidRPr="000603EA" w:rsidRDefault="00B37E6A" w:rsidP="00BD07E4">
      <w:pPr>
        <w:numPr>
          <w:ilvl w:val="0"/>
          <w:numId w:val="18"/>
        </w:numPr>
        <w:spacing w:after="240"/>
        <w:jc w:val="both"/>
      </w:pPr>
      <w:r>
        <w:t>P</w:t>
      </w:r>
      <w:r w:rsidR="00C03048" w:rsidRPr="000603EA">
        <w:t>roperty – market value.</w:t>
      </w:r>
    </w:p>
    <w:p w:rsidR="00C03048" w:rsidRPr="000603EA" w:rsidRDefault="00C03048" w:rsidP="00BD07E4">
      <w:pPr>
        <w:numPr>
          <w:ilvl w:val="0"/>
          <w:numId w:val="17"/>
        </w:numPr>
        <w:spacing w:after="240"/>
      </w:pPr>
      <w:r w:rsidRPr="000603EA">
        <w:lastRenderedPageBreak/>
        <w:t>The change in the net pensions liability is analysed into seven components:</w:t>
      </w:r>
    </w:p>
    <w:p w:rsidR="00C03048" w:rsidRPr="000603EA" w:rsidRDefault="00754DF4" w:rsidP="00BD07E4">
      <w:pPr>
        <w:numPr>
          <w:ilvl w:val="0"/>
          <w:numId w:val="18"/>
        </w:numPr>
        <w:spacing w:after="240"/>
        <w:jc w:val="both"/>
      </w:pPr>
      <w:r>
        <w:t>C</w:t>
      </w:r>
      <w:r w:rsidR="00C03048" w:rsidRPr="000603EA">
        <w:t xml:space="preserve">urrent service cost – the increase in liabilities as a result of years of service earned this year, allocated in the Comprehensive Income and Expenditure Statement to </w:t>
      </w:r>
      <w:r w:rsidR="00F62E30" w:rsidRPr="000603EA">
        <w:t>the services</w:t>
      </w:r>
      <w:r w:rsidR="00C03048" w:rsidRPr="000603EA">
        <w:t xml:space="preserve"> for which the employees worked.</w:t>
      </w:r>
    </w:p>
    <w:p w:rsidR="00C03048" w:rsidRPr="000603EA" w:rsidRDefault="00754DF4" w:rsidP="00BD07E4">
      <w:pPr>
        <w:numPr>
          <w:ilvl w:val="0"/>
          <w:numId w:val="18"/>
        </w:numPr>
        <w:spacing w:after="240"/>
        <w:jc w:val="both"/>
      </w:pPr>
      <w:r>
        <w:t>P</w:t>
      </w:r>
      <w:r w:rsidR="00C03048" w:rsidRPr="000603EA">
        <w:t>ast service cost – the increase in liabilities arising from current year decisions whose effect relates to years of service earned in earlier years, debited to the Surplus or Deficit on the Provision of Services in the Comprehensive Income and Expenditure Statement as part of the Non Distributed Costs.</w:t>
      </w:r>
    </w:p>
    <w:p w:rsidR="00C03048" w:rsidRPr="000603EA" w:rsidRDefault="00754DF4" w:rsidP="00BD07E4">
      <w:pPr>
        <w:numPr>
          <w:ilvl w:val="0"/>
          <w:numId w:val="18"/>
        </w:numPr>
        <w:spacing w:after="240"/>
        <w:jc w:val="both"/>
      </w:pPr>
      <w:r>
        <w:t>I</w:t>
      </w:r>
      <w:r w:rsidR="00C03048" w:rsidRPr="000603EA">
        <w:t>nterest cost – the expected increase in the present value of liabilities during the year as they move one year closer to being paid, debited to the Financing and Investment Income and Expenditure line in the Comprehensive I</w:t>
      </w:r>
      <w:r w:rsidR="008E253D" w:rsidRPr="000603EA">
        <w:t>ncome and Expenditure Statement.</w:t>
      </w:r>
    </w:p>
    <w:p w:rsidR="00C03048" w:rsidRPr="000603EA" w:rsidRDefault="00754DF4" w:rsidP="00BD07E4">
      <w:pPr>
        <w:numPr>
          <w:ilvl w:val="0"/>
          <w:numId w:val="18"/>
        </w:numPr>
        <w:spacing w:after="240"/>
        <w:jc w:val="both"/>
      </w:pPr>
      <w:r>
        <w:t>E</w:t>
      </w:r>
      <w:r w:rsidR="00C03048" w:rsidRPr="000603EA">
        <w:t>xpected return on assets – the annual investment return on the fund assets attributable to the council, based on an average of the expected long-term return, credited to the Financing and Investment Income and Expenditure line in the Comprehensive Income and Expenditure Statement</w:t>
      </w:r>
      <w:r w:rsidR="008E253D" w:rsidRPr="000603EA">
        <w:t>.</w:t>
      </w:r>
    </w:p>
    <w:p w:rsidR="00C03048" w:rsidRPr="000603EA" w:rsidRDefault="00754DF4" w:rsidP="00BD07E4">
      <w:pPr>
        <w:numPr>
          <w:ilvl w:val="0"/>
          <w:numId w:val="18"/>
        </w:numPr>
        <w:spacing w:after="240"/>
        <w:jc w:val="both"/>
      </w:pPr>
      <w:r>
        <w:t>G</w:t>
      </w:r>
      <w:r w:rsidR="00C03048" w:rsidRPr="000603EA">
        <w:t>ains/losses on settlements and curtailments – the result of actions to relieve the council of liabilities or events that reduce the expected future service or accrual of benefits of employees, debited or credited to the Surplus or Deficit on the Provision of Services in the Comprehensive Income and Expenditure Statement as part of Non Distributed Costs.</w:t>
      </w:r>
    </w:p>
    <w:p w:rsidR="00C03048" w:rsidRPr="000603EA" w:rsidRDefault="00C03048" w:rsidP="00BD07E4">
      <w:pPr>
        <w:numPr>
          <w:ilvl w:val="0"/>
          <w:numId w:val="18"/>
        </w:numPr>
        <w:spacing w:after="240"/>
        <w:jc w:val="both"/>
      </w:pPr>
      <w:r w:rsidRPr="000603EA">
        <w:t>Actuarial gains and losses – changes in the net pensions liability that arise because events have not coincided with assumptions made at the last actuarial valuation or because the actuaries have updated their assumptions, debited to the Pensions Reserve.</w:t>
      </w:r>
    </w:p>
    <w:p w:rsidR="00633C50" w:rsidRPr="000603EA" w:rsidRDefault="00C03048" w:rsidP="00BD07E4">
      <w:pPr>
        <w:numPr>
          <w:ilvl w:val="0"/>
          <w:numId w:val="18"/>
        </w:numPr>
        <w:spacing w:after="240"/>
        <w:jc w:val="both"/>
      </w:pPr>
      <w:r w:rsidRPr="000603EA">
        <w:t>Contributions paid to the Local Government Pension Fund – cash paid as employer’s contributions to the pension fund in settlement of liabilities; not accounted for as an expense.</w:t>
      </w:r>
    </w:p>
    <w:p w:rsidR="006626D4" w:rsidRPr="000603EA" w:rsidRDefault="00C03048" w:rsidP="00E3074C">
      <w:pPr>
        <w:spacing w:after="240"/>
        <w:ind w:left="720"/>
        <w:jc w:val="both"/>
      </w:pPr>
      <w:r w:rsidRPr="000603EA">
        <w:t xml:space="preserve">In relation to retirement benefits, statutory provisions require the County Fund balance to be charged with the amount payable by the </w:t>
      </w:r>
      <w:r w:rsidR="00CB5417">
        <w:t>Council</w:t>
      </w:r>
      <w:r w:rsidR="00CB5417" w:rsidRPr="000603EA">
        <w:t xml:space="preserve"> </w:t>
      </w:r>
      <w:r w:rsidRPr="000603EA">
        <w:t xml:space="preserve">to the pension fund or directly to pensioners in the year, not the amount calculated according to the relevant accounting standards. In the Movement in Reserves Statement, this means that there are appropriations to and from the Pensions Reserve to remove the notional debits and credits for retirement Benefits and replace them with debits for the cash paid to the pension fund and pensioners and any such amounts payable but unpaid at the year end. The negative balance that arises on the Pensions Reserve thereby measures the beneficial impact to the County Fund of being required to account for retirement benefits on the basis of cash flows rather than as benefits are earned by employees. </w:t>
      </w:r>
    </w:p>
    <w:p w:rsidR="00C03048" w:rsidRPr="000603EA" w:rsidRDefault="00C03048" w:rsidP="00C03048">
      <w:pPr>
        <w:spacing w:after="240"/>
        <w:ind w:left="720"/>
        <w:rPr>
          <w:b/>
        </w:rPr>
      </w:pPr>
      <w:r w:rsidRPr="000603EA">
        <w:rPr>
          <w:b/>
        </w:rPr>
        <w:t>Discretionary benefits</w:t>
      </w:r>
    </w:p>
    <w:p w:rsidR="003018D5" w:rsidRPr="005B005D" w:rsidRDefault="00C03048" w:rsidP="005B005D">
      <w:pPr>
        <w:spacing w:after="240"/>
        <w:ind w:left="720"/>
        <w:jc w:val="both"/>
      </w:pPr>
      <w:r w:rsidRPr="000603EA">
        <w:t xml:space="preserve">The council also has restricted powers to make discretionary awards of retirement benefits in the event of early retirements. Any liabilities estimated to arise as a result of an award to any member of staff (including teachers) are accrued in the year of the decision to make the </w:t>
      </w:r>
      <w:r w:rsidRPr="000603EA">
        <w:lastRenderedPageBreak/>
        <w:t>award and accounted for using the same policies as are applied to the Local Government Pension Scheme.</w:t>
      </w:r>
    </w:p>
    <w:p w:rsidR="003018D5" w:rsidRPr="00286C0E" w:rsidRDefault="003018D5" w:rsidP="00C03048">
      <w:pPr>
        <w:spacing w:after="240"/>
        <w:ind w:left="720"/>
        <w:jc w:val="both"/>
        <w:rPr>
          <w:highlight w:val="yellow"/>
        </w:rPr>
      </w:pPr>
    </w:p>
    <w:p w:rsidR="00C03048" w:rsidRPr="00620002" w:rsidRDefault="007E273D" w:rsidP="00C03048">
      <w:pPr>
        <w:spacing w:after="240"/>
        <w:ind w:firstLine="720"/>
        <w:rPr>
          <w:b/>
        </w:rPr>
      </w:pPr>
      <w:r w:rsidRPr="00620002">
        <w:rPr>
          <w:b/>
        </w:rPr>
        <w:t>1</w:t>
      </w:r>
      <w:r w:rsidR="00916B89">
        <w:rPr>
          <w:b/>
        </w:rPr>
        <w:t>9</w:t>
      </w:r>
      <w:r w:rsidR="00C03048" w:rsidRPr="00620002">
        <w:rPr>
          <w:b/>
        </w:rPr>
        <w:t xml:space="preserve">.   Private Finance Initiatives (PFI) </w:t>
      </w:r>
    </w:p>
    <w:p w:rsidR="00C03048" w:rsidRPr="00620002" w:rsidRDefault="00C03048" w:rsidP="00C03048">
      <w:pPr>
        <w:ind w:firstLine="720"/>
      </w:pPr>
      <w:r w:rsidRPr="00620002">
        <w:rPr>
          <w:b/>
        </w:rPr>
        <w:t xml:space="preserve">Current Status of PFI Projects </w:t>
      </w:r>
    </w:p>
    <w:p w:rsidR="00C03048" w:rsidRPr="00620002" w:rsidRDefault="00C03048" w:rsidP="00C03048"/>
    <w:p w:rsidR="00C03048" w:rsidRPr="00620002" w:rsidRDefault="00C03048" w:rsidP="00C03048">
      <w:pPr>
        <w:ind w:left="720"/>
        <w:jc w:val="both"/>
      </w:pPr>
      <w:r w:rsidRPr="00620002">
        <w:t xml:space="preserve">The PFI arrangement for </w:t>
      </w:r>
      <w:smartTag w:uri="urn:schemas-microsoft-com:office:smarttags" w:element="PlaceName">
        <w:r w:rsidRPr="00620002">
          <w:t>Fleetwood</w:t>
        </w:r>
      </w:smartTag>
      <w:r w:rsidRPr="00620002">
        <w:t xml:space="preserve"> </w:t>
      </w:r>
      <w:smartTag w:uri="urn:schemas-microsoft-com:office:smarttags" w:element="PlaceName">
        <w:r w:rsidRPr="00620002">
          <w:t>Sports</w:t>
        </w:r>
      </w:smartTag>
      <w:r w:rsidRPr="00620002">
        <w:t xml:space="preserve"> </w:t>
      </w:r>
      <w:smartTag w:uri="urn:schemas-microsoft-com:office:smarttags" w:element="PlaceType">
        <w:r w:rsidRPr="00620002">
          <w:t>College</w:t>
        </w:r>
      </w:smartTag>
      <w:r w:rsidRPr="00620002">
        <w:t xml:space="preserve"> (formerly known as </w:t>
      </w:r>
      <w:smartTag w:uri="urn:schemas-microsoft-com:office:smarttags" w:element="place">
        <w:smartTag w:uri="urn:schemas-microsoft-com:office:smarttags" w:element="PlaceName">
          <w:r w:rsidRPr="00620002">
            <w:t>Fleetwood</w:t>
          </w:r>
        </w:smartTag>
        <w:r w:rsidRPr="00620002">
          <w:t xml:space="preserve"> </w:t>
        </w:r>
        <w:smartTag w:uri="urn:schemas-microsoft-com:office:smarttags" w:element="PlaceType">
          <w:r w:rsidRPr="00620002">
            <w:t>High School</w:t>
          </w:r>
        </w:smartTag>
      </w:smartTag>
      <w:r w:rsidRPr="00620002">
        <w:t>) is a continuing commitment for 25 years from September 2002.</w:t>
      </w:r>
    </w:p>
    <w:p w:rsidR="00C03048" w:rsidRPr="00620002" w:rsidRDefault="00C03048" w:rsidP="00C03048">
      <w:pPr>
        <w:jc w:val="both"/>
      </w:pPr>
    </w:p>
    <w:p w:rsidR="00C03048" w:rsidRPr="00620002" w:rsidRDefault="00C03048" w:rsidP="00C03048">
      <w:pPr>
        <w:ind w:left="720"/>
        <w:jc w:val="both"/>
      </w:pPr>
      <w:r w:rsidRPr="00620002">
        <w:t>We have signed four separate PFI contracts for different phases of the Building Schools for the Future initiative. The schools opened between September 2008 and September 2010. Each contract will run for 25 years from the opening date. Payments to the PFI contractor begin when the schools open.</w:t>
      </w:r>
    </w:p>
    <w:p w:rsidR="00C03048" w:rsidRPr="00620002" w:rsidRDefault="00C03048" w:rsidP="00C03048">
      <w:pPr>
        <w:jc w:val="both"/>
      </w:pPr>
    </w:p>
    <w:p w:rsidR="00C03048" w:rsidRPr="00620002" w:rsidRDefault="00C03048" w:rsidP="00C03048">
      <w:pPr>
        <w:ind w:left="720"/>
        <w:jc w:val="both"/>
      </w:pPr>
      <w:r w:rsidRPr="00620002">
        <w:t>Revenue transactions and balance sheet entries relating to the above</w:t>
      </w:r>
      <w:r w:rsidR="00CF4EBE" w:rsidRPr="00620002">
        <w:t xml:space="preserve"> schemes are explained in note 2</w:t>
      </w:r>
      <w:r w:rsidR="002A038C" w:rsidRPr="00620002">
        <w:t>9</w:t>
      </w:r>
      <w:r w:rsidR="00CF4EBE" w:rsidRPr="00620002">
        <w:t>.</w:t>
      </w:r>
    </w:p>
    <w:p w:rsidR="00C03048" w:rsidRPr="00620002" w:rsidRDefault="00C03048" w:rsidP="00C03048">
      <w:pPr>
        <w:jc w:val="both"/>
      </w:pPr>
    </w:p>
    <w:p w:rsidR="00C03048" w:rsidRPr="00620002" w:rsidRDefault="00C03048" w:rsidP="00620002">
      <w:pPr>
        <w:ind w:left="720"/>
        <w:jc w:val="both"/>
      </w:pPr>
      <w:r w:rsidRPr="00620002">
        <w:t xml:space="preserve">We have also signed a PFI contract with Global Renewables Lancashire (GRL) Limited for waste treatment facilities in Leyland and Thornton. The facilities will receive and process "green" garden and kitchen waste, "recyclable" waste such as paper, glass, aluminium cans and textiles, and "black bag" rubbish from households in Lancashire and </w:t>
      </w:r>
      <w:smartTag w:uri="urn:schemas-microsoft-com:office:smarttags" w:element="place">
        <w:r w:rsidRPr="00620002">
          <w:t>Blackpool</w:t>
        </w:r>
      </w:smartTag>
      <w:r w:rsidRPr="00620002">
        <w:t xml:space="preserve">. Blackpool Council is our partner for the project and will contribute towards the costs. The basis of the partnership is set out in a joint working agreement. </w:t>
      </w:r>
      <w:r w:rsidR="00620002" w:rsidRPr="00620002">
        <w:t>The project started service commencement in 2011/12.</w:t>
      </w:r>
    </w:p>
    <w:p w:rsidR="00620002" w:rsidRPr="00620002" w:rsidRDefault="00620002" w:rsidP="00620002">
      <w:pPr>
        <w:ind w:left="720"/>
        <w:jc w:val="both"/>
      </w:pPr>
    </w:p>
    <w:p w:rsidR="00C03048" w:rsidRPr="00620002" w:rsidRDefault="00C03048" w:rsidP="00C03048">
      <w:pPr>
        <w:ind w:firstLine="720"/>
        <w:rPr>
          <w:b/>
        </w:rPr>
      </w:pPr>
      <w:r w:rsidRPr="00620002">
        <w:rPr>
          <w:b/>
        </w:rPr>
        <w:t xml:space="preserve">Accounting for PFI </w:t>
      </w:r>
    </w:p>
    <w:p w:rsidR="00C03048" w:rsidRPr="00620002" w:rsidRDefault="00C03048" w:rsidP="00C03048"/>
    <w:p w:rsidR="00C03048" w:rsidRPr="00620002" w:rsidRDefault="00C03048" w:rsidP="00C03048">
      <w:pPr>
        <w:ind w:left="720"/>
        <w:jc w:val="both"/>
      </w:pPr>
      <w:r w:rsidRPr="00620002">
        <w:t xml:space="preserve">PFI contracts are agreements to receive services, where responsibility for making available the property plant and equipment needed to provide services passes to the PFI contractor. As the </w:t>
      </w:r>
      <w:r w:rsidR="00CB5417">
        <w:t>Council</w:t>
      </w:r>
      <w:r w:rsidRPr="00620002">
        <w:t xml:space="preserve"> is deemed to control the services that are provided under our PFI schemes, and as ownership of the property, plant and equipment will pass to the </w:t>
      </w:r>
      <w:r w:rsidR="00CB5417">
        <w:t>Council</w:t>
      </w:r>
      <w:r w:rsidR="00CB5417" w:rsidRPr="00620002">
        <w:t xml:space="preserve"> </w:t>
      </w:r>
      <w:r w:rsidRPr="00620002">
        <w:t xml:space="preserve">at the end of the contracts for no additional charge, the </w:t>
      </w:r>
      <w:r w:rsidR="00CB5417">
        <w:t>Council</w:t>
      </w:r>
      <w:r w:rsidR="00CB5417" w:rsidRPr="00620002">
        <w:t xml:space="preserve"> </w:t>
      </w:r>
      <w:r w:rsidRPr="00620002">
        <w:t>carries the assets used under the contracts on the Balance Sheet as part of Property, Plant and Equipment.</w:t>
      </w:r>
    </w:p>
    <w:p w:rsidR="00C03048" w:rsidRPr="00620002" w:rsidRDefault="00C03048" w:rsidP="00C03048">
      <w:pPr>
        <w:ind w:left="720"/>
        <w:jc w:val="both"/>
      </w:pPr>
    </w:p>
    <w:p w:rsidR="00C03048" w:rsidRPr="00620002" w:rsidRDefault="00C03048" w:rsidP="00C03048">
      <w:pPr>
        <w:ind w:left="720"/>
        <w:jc w:val="both"/>
      </w:pPr>
      <w:r w:rsidRPr="00620002">
        <w:t>The original recognition of these assets at fair value (based on the cost to purchase the property, plant and equipment) was balanced by the recognition of a liability for amounts due to the scheme operation to pay for the capital investment. For the BSF Schemes the liability was written down by an initial capital contribution of £10.5 million (phase 1) and £1.609 million (phase 2a).</w:t>
      </w:r>
    </w:p>
    <w:p w:rsidR="00C03048" w:rsidRPr="00620002" w:rsidRDefault="00C03048" w:rsidP="00C03048">
      <w:pPr>
        <w:ind w:left="720"/>
        <w:jc w:val="both"/>
      </w:pPr>
    </w:p>
    <w:p w:rsidR="00C03048" w:rsidRPr="00620002" w:rsidRDefault="00C03048" w:rsidP="00C03048">
      <w:pPr>
        <w:ind w:left="720"/>
        <w:jc w:val="both"/>
      </w:pPr>
      <w:r w:rsidRPr="00620002">
        <w:t>The amounts payable to the PFI operators each year are analysed into five elements:</w:t>
      </w:r>
    </w:p>
    <w:p w:rsidR="00C03048" w:rsidRPr="00620002" w:rsidRDefault="00C03048" w:rsidP="00C03048">
      <w:pPr>
        <w:ind w:left="720"/>
        <w:jc w:val="both"/>
      </w:pPr>
    </w:p>
    <w:p w:rsidR="00C03048" w:rsidRPr="00620002" w:rsidRDefault="00B37E6A" w:rsidP="00BD07E4">
      <w:pPr>
        <w:numPr>
          <w:ilvl w:val="0"/>
          <w:numId w:val="17"/>
        </w:numPr>
        <w:jc w:val="both"/>
      </w:pPr>
      <w:r>
        <w:t>F</w:t>
      </w:r>
      <w:r w:rsidR="00C03048" w:rsidRPr="00620002">
        <w:t>air value of the services received during the year – debited to the relevant service in the Comprehensive Income and Expenditure Statement</w:t>
      </w:r>
    </w:p>
    <w:p w:rsidR="00C03048" w:rsidRPr="00620002" w:rsidRDefault="00C03048" w:rsidP="00C03048">
      <w:pPr>
        <w:ind w:left="720"/>
        <w:jc w:val="both"/>
      </w:pPr>
    </w:p>
    <w:p w:rsidR="00C03048" w:rsidRPr="00620002" w:rsidRDefault="00B37E6A" w:rsidP="00BD07E4">
      <w:pPr>
        <w:numPr>
          <w:ilvl w:val="0"/>
          <w:numId w:val="17"/>
        </w:numPr>
        <w:jc w:val="both"/>
      </w:pPr>
      <w:r>
        <w:t>F</w:t>
      </w:r>
      <w:r w:rsidR="00C03048" w:rsidRPr="00620002">
        <w:t xml:space="preserve">inance cost – an interest charge which varies for each scheme but lies in the range of 8.03% to 11.24% on the outstanding Balance Sheet liability, debited to the </w:t>
      </w:r>
      <w:r w:rsidR="00C03048" w:rsidRPr="00620002">
        <w:lastRenderedPageBreak/>
        <w:t>Financing and Investment Income and Expenditure line in the Comprehensive Income and Expenditure Statement.</w:t>
      </w:r>
    </w:p>
    <w:p w:rsidR="00C03048" w:rsidRPr="00620002" w:rsidRDefault="00C03048" w:rsidP="00C03048">
      <w:pPr>
        <w:ind w:left="720"/>
        <w:jc w:val="both"/>
      </w:pPr>
    </w:p>
    <w:p w:rsidR="00C03048" w:rsidRPr="00620002" w:rsidRDefault="00B37E6A" w:rsidP="00BD07E4">
      <w:pPr>
        <w:numPr>
          <w:ilvl w:val="0"/>
          <w:numId w:val="17"/>
        </w:numPr>
        <w:jc w:val="both"/>
      </w:pPr>
      <w:r>
        <w:t>C</w:t>
      </w:r>
      <w:r w:rsidR="00C03048" w:rsidRPr="00620002">
        <w:t>ontingent rent – increases in the amount to be paid for the property arising during the contract, debited to the Financing and Investment Income and Expenditure line in the Comprehensive Income and Expenditure Statement.</w:t>
      </w:r>
    </w:p>
    <w:p w:rsidR="00C03048" w:rsidRPr="00620002" w:rsidRDefault="00C03048" w:rsidP="00C03048">
      <w:pPr>
        <w:ind w:left="720"/>
        <w:jc w:val="both"/>
      </w:pPr>
    </w:p>
    <w:p w:rsidR="00C03048" w:rsidRPr="00620002" w:rsidRDefault="00C03048" w:rsidP="00BD07E4">
      <w:pPr>
        <w:numPr>
          <w:ilvl w:val="0"/>
          <w:numId w:val="17"/>
        </w:numPr>
        <w:jc w:val="both"/>
      </w:pPr>
      <w:r w:rsidRPr="00620002">
        <w:t>Payment towards liability – applied to write down the Balance Sheet liability towards the PFI operator (the profile of write-downs is calculated using the same principles as for a finance lease).</w:t>
      </w:r>
    </w:p>
    <w:p w:rsidR="00C03048" w:rsidRPr="00620002" w:rsidRDefault="00C03048" w:rsidP="00C03048">
      <w:pPr>
        <w:ind w:left="720"/>
        <w:jc w:val="both"/>
      </w:pPr>
    </w:p>
    <w:p w:rsidR="00C03048" w:rsidRPr="00620002" w:rsidRDefault="00C03048" w:rsidP="00BD07E4">
      <w:pPr>
        <w:numPr>
          <w:ilvl w:val="0"/>
          <w:numId w:val="17"/>
        </w:numPr>
        <w:jc w:val="both"/>
      </w:pPr>
      <w:r w:rsidRPr="00620002">
        <w:t>Lifecycle replacement costs – proportion of the amounts payable is posted to the Balance Sheet as a prepayment and then recognised as additions to Property, Plant and Equipment when the relevant works are eventually carried out.</w:t>
      </w:r>
    </w:p>
    <w:p w:rsidR="00C03048" w:rsidRPr="00620002" w:rsidRDefault="00C03048" w:rsidP="00C03048">
      <w:pPr>
        <w:ind w:left="720"/>
        <w:jc w:val="both"/>
      </w:pPr>
    </w:p>
    <w:p w:rsidR="00C03048" w:rsidRPr="00620002" w:rsidRDefault="00C03048" w:rsidP="00C03048">
      <w:pPr>
        <w:ind w:firstLine="720"/>
      </w:pPr>
      <w:r w:rsidRPr="00620002">
        <w:rPr>
          <w:b/>
        </w:rPr>
        <w:t>Recognition of assets and liabilities</w:t>
      </w:r>
    </w:p>
    <w:p w:rsidR="00C03048" w:rsidRPr="00620002" w:rsidRDefault="00C03048" w:rsidP="00C03048">
      <w:pPr>
        <w:rPr>
          <w:sz w:val="20"/>
        </w:rPr>
      </w:pPr>
    </w:p>
    <w:p w:rsidR="00E3074C" w:rsidRDefault="00C03048" w:rsidP="00C03048">
      <w:pPr>
        <w:ind w:left="720"/>
        <w:jc w:val="both"/>
      </w:pPr>
      <w:r w:rsidRPr="00620002">
        <w:t xml:space="preserve">Properties used in the PFI schemes are now recognised as fixed assets of the Council. A related liability is also recognised. The asset and liability are recognised when the asset is made available for use. </w:t>
      </w:r>
    </w:p>
    <w:p w:rsidR="00754DF4" w:rsidRPr="00620002" w:rsidRDefault="00754DF4" w:rsidP="00C03048">
      <w:pPr>
        <w:ind w:left="720"/>
        <w:jc w:val="both"/>
      </w:pPr>
    </w:p>
    <w:p w:rsidR="00C03048" w:rsidRPr="00620002" w:rsidRDefault="00C03048" w:rsidP="00C03048">
      <w:pPr>
        <w:ind w:left="720"/>
        <w:jc w:val="both"/>
      </w:pPr>
      <w:r w:rsidRPr="00620002">
        <w:t>Separate assets are recognised in respect of land and buildings where appropriate. The related liability is initially measured at the value of the related asset and subsequently calculated using the same actuarial method used for finance leases.</w:t>
      </w:r>
    </w:p>
    <w:p w:rsidR="00C03048" w:rsidRPr="00620002" w:rsidRDefault="00C03048" w:rsidP="00C03048">
      <w:pPr>
        <w:jc w:val="both"/>
      </w:pPr>
    </w:p>
    <w:p w:rsidR="00C03048" w:rsidRPr="00620002" w:rsidRDefault="00C03048" w:rsidP="00C03048">
      <w:pPr>
        <w:ind w:left="720"/>
        <w:jc w:val="both"/>
      </w:pPr>
      <w:r w:rsidRPr="00620002">
        <w:t xml:space="preserve">Once on the balance sheet the PFI assets will be treated in the same way as all other </w:t>
      </w:r>
      <w:r w:rsidR="009D499F" w:rsidRPr="00620002">
        <w:t>non</w:t>
      </w:r>
      <w:r w:rsidR="009D499F">
        <w:t>-</w:t>
      </w:r>
      <w:r w:rsidR="009D499F" w:rsidRPr="00620002">
        <w:t>current</w:t>
      </w:r>
      <w:r w:rsidRPr="00620002">
        <w:t xml:space="preserve"> assets of the same type including depreciation, impairment and revaluation.</w:t>
      </w:r>
    </w:p>
    <w:p w:rsidR="00C03048" w:rsidRPr="00620002" w:rsidRDefault="00C03048" w:rsidP="00C03048"/>
    <w:p w:rsidR="00C03048" w:rsidRPr="00620002" w:rsidRDefault="00C03048" w:rsidP="00C03048">
      <w:pPr>
        <w:ind w:firstLine="720"/>
      </w:pPr>
      <w:r w:rsidRPr="00620002">
        <w:rPr>
          <w:b/>
        </w:rPr>
        <w:t>Prepayments</w:t>
      </w:r>
      <w:r w:rsidRPr="00620002">
        <w:t xml:space="preserve"> </w:t>
      </w:r>
    </w:p>
    <w:p w:rsidR="00C03048" w:rsidRPr="00620002" w:rsidRDefault="00C03048" w:rsidP="00C03048"/>
    <w:p w:rsidR="00633C50" w:rsidRPr="00620002" w:rsidRDefault="00C03048" w:rsidP="0012575D">
      <w:pPr>
        <w:ind w:left="720"/>
        <w:jc w:val="both"/>
      </w:pPr>
      <w:r w:rsidRPr="00620002">
        <w:t>Where the PFI contract requires payments to be made as a lump sum contribution before the related property is recognised as an asset on the balance sheet, such payments are recognised as prepayments. At the point that the property is recognised as an asset, the related liability is also recognised. The prepayment is then applied to reduce the outstanding liability.</w:t>
      </w:r>
    </w:p>
    <w:p w:rsidR="00C03048" w:rsidRPr="00620002" w:rsidRDefault="00C03048" w:rsidP="00C03048"/>
    <w:p w:rsidR="00C03048" w:rsidRPr="00620002" w:rsidRDefault="00C03048" w:rsidP="00C03048">
      <w:pPr>
        <w:ind w:firstLine="720"/>
      </w:pPr>
      <w:r w:rsidRPr="00620002">
        <w:rPr>
          <w:b/>
        </w:rPr>
        <w:t>Minimum Revenue Provision (MRP</w:t>
      </w:r>
      <w:r w:rsidRPr="00620002">
        <w:rPr>
          <w:b/>
          <w:sz w:val="20"/>
        </w:rPr>
        <w:t>)</w:t>
      </w:r>
    </w:p>
    <w:p w:rsidR="00C03048" w:rsidRPr="00620002" w:rsidRDefault="00C03048" w:rsidP="00C03048">
      <w:pPr>
        <w:jc w:val="both"/>
      </w:pPr>
    </w:p>
    <w:p w:rsidR="00C03048" w:rsidRPr="00620002" w:rsidRDefault="00C03048" w:rsidP="00C03048">
      <w:pPr>
        <w:ind w:left="720"/>
        <w:jc w:val="both"/>
      </w:pPr>
      <w:r w:rsidRPr="00620002">
        <w:t>Assets acquired under a PFI that are recognised on the balance sheet are subject to MRP in the same way as assets acquired using other forms of borrowing. The amounts of MRP are calculated in accordance with the appropriate regulations and statutory guidance. MRP is equal to that element of the unitary charge which is applied to repay the outstanding liability.</w:t>
      </w:r>
    </w:p>
    <w:p w:rsidR="00C03048" w:rsidRPr="00620002" w:rsidRDefault="00C03048" w:rsidP="00C03048">
      <w:pPr>
        <w:rPr>
          <w:b/>
          <w:sz w:val="20"/>
        </w:rPr>
      </w:pPr>
    </w:p>
    <w:p w:rsidR="00C03048" w:rsidRPr="00620002" w:rsidRDefault="00C03048" w:rsidP="00C03048">
      <w:pPr>
        <w:ind w:firstLine="720"/>
        <w:rPr>
          <w:b/>
        </w:rPr>
      </w:pPr>
      <w:r w:rsidRPr="00620002">
        <w:rPr>
          <w:b/>
        </w:rPr>
        <w:t>Development Costs</w:t>
      </w:r>
    </w:p>
    <w:p w:rsidR="00C03048" w:rsidRPr="00620002" w:rsidRDefault="00C03048" w:rsidP="00C03048">
      <w:pPr>
        <w:rPr>
          <w:b/>
          <w:sz w:val="20"/>
        </w:rPr>
      </w:pPr>
    </w:p>
    <w:p w:rsidR="00C03048" w:rsidRPr="00620002" w:rsidRDefault="00C03048" w:rsidP="00C03048">
      <w:pPr>
        <w:ind w:left="720"/>
      </w:pPr>
      <w:r w:rsidRPr="00620002">
        <w:t>The Council's internal and external development costs associated with the procurement of PFI projects are charged to revenue as they are incurred.</w:t>
      </w:r>
    </w:p>
    <w:p w:rsidR="006626D4" w:rsidRPr="00620002" w:rsidRDefault="006626D4" w:rsidP="00D6442C">
      <w:pPr>
        <w:rPr>
          <w:b/>
        </w:rPr>
      </w:pPr>
    </w:p>
    <w:p w:rsidR="005B005D" w:rsidRDefault="005B005D" w:rsidP="00C03048">
      <w:pPr>
        <w:ind w:firstLine="720"/>
        <w:rPr>
          <w:b/>
        </w:rPr>
      </w:pPr>
    </w:p>
    <w:p w:rsidR="005B005D" w:rsidRDefault="005B005D" w:rsidP="00C03048">
      <w:pPr>
        <w:ind w:firstLine="720"/>
        <w:rPr>
          <w:b/>
        </w:rPr>
      </w:pPr>
    </w:p>
    <w:p w:rsidR="00C03048" w:rsidRPr="00620002" w:rsidRDefault="00C03048" w:rsidP="00C03048">
      <w:pPr>
        <w:ind w:firstLine="720"/>
      </w:pPr>
      <w:r w:rsidRPr="00620002">
        <w:rPr>
          <w:b/>
        </w:rPr>
        <w:lastRenderedPageBreak/>
        <w:t>Deductions from the Unitary Payment</w:t>
      </w:r>
    </w:p>
    <w:p w:rsidR="00C03048" w:rsidRPr="00620002" w:rsidRDefault="00C03048" w:rsidP="00C03048">
      <w:pPr>
        <w:rPr>
          <w:b/>
          <w:sz w:val="20"/>
        </w:rPr>
      </w:pPr>
    </w:p>
    <w:p w:rsidR="00C03048" w:rsidRPr="00620002" w:rsidRDefault="00C03048" w:rsidP="00C03048">
      <w:pPr>
        <w:ind w:left="720"/>
        <w:jc w:val="both"/>
      </w:pPr>
      <w:r w:rsidRPr="00620002">
        <w:t xml:space="preserve">The PFI contract provides for deductions from the unitary payment in the case of sub standard performance or when the facilities are unavailable. </w:t>
      </w:r>
    </w:p>
    <w:p w:rsidR="00C03048" w:rsidRPr="00620002" w:rsidRDefault="00C03048" w:rsidP="00C03048">
      <w:pPr>
        <w:jc w:val="both"/>
      </w:pPr>
    </w:p>
    <w:p w:rsidR="00C03048" w:rsidRPr="00620002" w:rsidRDefault="00C03048" w:rsidP="00C03048">
      <w:pPr>
        <w:ind w:left="720"/>
        <w:jc w:val="both"/>
      </w:pPr>
      <w:r w:rsidRPr="00620002">
        <w:t>Deductions for sub standard performance are accounted for as a reduction in the amount paid for the affected services. Deductions arising from unavailability of the property are apportioned pro rata to the proportions of the service and property elements of the unitary payment:</w:t>
      </w:r>
    </w:p>
    <w:p w:rsidR="00C03048" w:rsidRPr="00620002" w:rsidRDefault="00C03048" w:rsidP="00C03048">
      <w:pPr>
        <w:ind w:left="720"/>
        <w:jc w:val="both"/>
      </w:pPr>
    </w:p>
    <w:p w:rsidR="00C03048" w:rsidRPr="00620002" w:rsidRDefault="00C03048" w:rsidP="00BD07E4">
      <w:pPr>
        <w:numPr>
          <w:ilvl w:val="0"/>
          <w:numId w:val="29"/>
        </w:numPr>
        <w:jc w:val="both"/>
      </w:pPr>
      <w:r w:rsidRPr="00620002">
        <w:t>a reduction for part or all of the property being unavailable for use – this will first be accounted for as an abatement of the contingent lease rentals, then finance costs if contingent rents are insufficient; and</w:t>
      </w:r>
    </w:p>
    <w:p w:rsidR="00C03048" w:rsidRPr="00620002" w:rsidRDefault="00C03048" w:rsidP="00BD07E4">
      <w:pPr>
        <w:numPr>
          <w:ilvl w:val="0"/>
          <w:numId w:val="29"/>
        </w:numPr>
        <w:jc w:val="both"/>
      </w:pPr>
      <w:r w:rsidRPr="00620002">
        <w:t>a reduction in the price paid for services whilst services are not being provided accounted for as a reduction in the amount paid for the affected services.</w:t>
      </w:r>
    </w:p>
    <w:p w:rsidR="00C03048" w:rsidRPr="00620002" w:rsidRDefault="00C03048" w:rsidP="00C03048">
      <w:pPr>
        <w:jc w:val="both"/>
      </w:pPr>
    </w:p>
    <w:p w:rsidR="00C03048" w:rsidRPr="00620002" w:rsidRDefault="00C03048" w:rsidP="00C03048">
      <w:pPr>
        <w:ind w:left="720"/>
        <w:jc w:val="both"/>
      </w:pPr>
      <w:r w:rsidRPr="00620002">
        <w:t>Deductions of either type are accounted for when the Council's entitlement has been established and it is probable that the Council will be able to make the deduction.</w:t>
      </w:r>
    </w:p>
    <w:p w:rsidR="00F41B77" w:rsidRPr="00286C0E" w:rsidRDefault="00F41B77" w:rsidP="00F41B77">
      <w:pPr>
        <w:spacing w:after="240"/>
        <w:rPr>
          <w:b/>
          <w:caps/>
          <w:highlight w:val="yellow"/>
        </w:rPr>
      </w:pPr>
    </w:p>
    <w:p w:rsidR="00C03048" w:rsidRPr="00ED1F6F" w:rsidRDefault="005C0903" w:rsidP="00C03048">
      <w:pPr>
        <w:spacing w:after="240"/>
        <w:ind w:firstLine="720"/>
        <w:rPr>
          <w:b/>
        </w:rPr>
      </w:pPr>
      <w:r>
        <w:rPr>
          <w:b/>
          <w:caps/>
        </w:rPr>
        <w:t>20</w:t>
      </w:r>
      <w:r w:rsidR="00C03048" w:rsidRPr="00ED1F6F">
        <w:rPr>
          <w:b/>
          <w:caps/>
        </w:rPr>
        <w:t>.   f</w:t>
      </w:r>
      <w:r w:rsidR="00F46420">
        <w:rPr>
          <w:b/>
        </w:rPr>
        <w:t>inancial L</w:t>
      </w:r>
      <w:r w:rsidR="00C03048" w:rsidRPr="00ED1F6F">
        <w:rPr>
          <w:b/>
        </w:rPr>
        <w:t>iabilities</w:t>
      </w:r>
    </w:p>
    <w:p w:rsidR="00C03048" w:rsidRPr="00ED1F6F" w:rsidRDefault="00C03048" w:rsidP="00C03048">
      <w:pPr>
        <w:spacing w:after="240"/>
        <w:ind w:left="720"/>
        <w:jc w:val="both"/>
      </w:pPr>
      <w:r w:rsidRPr="00ED1F6F">
        <w:t xml:space="preserve">Financial liabilities are recognised on the Balance Sheet when the </w:t>
      </w:r>
      <w:r w:rsidR="00CB5417">
        <w:t>Council</w:t>
      </w:r>
      <w:r w:rsidR="00CB5417" w:rsidRPr="00ED1F6F">
        <w:t xml:space="preserve"> </w:t>
      </w:r>
      <w:r w:rsidRPr="00ED1F6F">
        <w:t>becomes a party to the contractual provisions of a financial instrument and are initially measured at fair value and carried at their amortised cost. Annual charges to the Financing and Investment Income and Expenditure line in the Comprehensive Income and Expenditure Statement for interest payable are based on the carrying amount of the liability, multiplied by the effective rate of interest for the instrument. The effective interest rate is the rate that exactly discounts estimated future cash payments over the life of the instrument to the amount at which it was originally recognised.</w:t>
      </w:r>
    </w:p>
    <w:p w:rsidR="00384EDD" w:rsidRPr="00ED1F6F" w:rsidRDefault="00C03048" w:rsidP="006B495D">
      <w:pPr>
        <w:spacing w:after="240"/>
        <w:ind w:left="720"/>
        <w:jc w:val="both"/>
      </w:pPr>
      <w:r w:rsidRPr="00ED1F6F">
        <w:t xml:space="preserve">For most of the borrowings that the </w:t>
      </w:r>
      <w:r w:rsidR="00CB5417">
        <w:t>Council</w:t>
      </w:r>
      <w:r w:rsidRPr="00ED1F6F">
        <w:t xml:space="preserve"> has, this means that the amount presented in the Balance Sheet is the outstanding principal repayable (plus accrued interest); and interest charged to the Comprehensive Income and Expenditure Statement is the amount payable for the year according to the loan agreement.</w:t>
      </w:r>
    </w:p>
    <w:p w:rsidR="00C03048" w:rsidRPr="00ED1F6F" w:rsidRDefault="00C03048" w:rsidP="00C03048">
      <w:pPr>
        <w:spacing w:after="240"/>
        <w:ind w:left="720"/>
        <w:jc w:val="both"/>
      </w:pPr>
      <w:r w:rsidRPr="00ED1F6F">
        <w:t>Gains and losses on the repurchase or early settlement of borrowing are credited and debited to the Financing and Investment Income and Expenditure line in the Comprehensive Income and Expenditure Statement in the year of repurchase/settlement. However, where the repurchase has taken place as part of a restructuring of the loan portfolio that involves the modification or exchange of existing instruments, the premium or discount is respectively deducted from or added to the amortised cost of the new or modified loan and the write-down to the Comprehensive Income and Expenditure Statement is spread over the life of the loan by an adjustment to the effective interest rate.</w:t>
      </w:r>
    </w:p>
    <w:p w:rsidR="006626D4" w:rsidRPr="00ED1F6F" w:rsidRDefault="00C03048" w:rsidP="00C03048">
      <w:pPr>
        <w:spacing w:after="240"/>
        <w:ind w:left="720"/>
        <w:jc w:val="both"/>
      </w:pPr>
      <w:r w:rsidRPr="00ED1F6F">
        <w:t xml:space="preserve">Where premiums and discounts have been charged to the Comprehensive Income and Expenditure Statement, regulations allow the impact on the County Fund balance to be spread over future years. The </w:t>
      </w:r>
      <w:r w:rsidR="00CB5417">
        <w:t>Council</w:t>
      </w:r>
      <w:r w:rsidRPr="00ED1F6F">
        <w:t xml:space="preserve"> has a policy of spreading the gain or loss over the term that was remaining on the loan against which the premium was payable or discount receivable when it was repaid. </w:t>
      </w:r>
    </w:p>
    <w:p w:rsidR="00384EDD" w:rsidRPr="005B005D" w:rsidRDefault="00C03048" w:rsidP="005B005D">
      <w:pPr>
        <w:spacing w:after="240"/>
        <w:ind w:left="720"/>
        <w:jc w:val="both"/>
      </w:pPr>
      <w:r w:rsidRPr="00ED1F6F">
        <w:lastRenderedPageBreak/>
        <w:t xml:space="preserve">The reconciliation of amounts charged to the Comprehensive Income and Expenditure Statement to the net charge required against the County Fund balance is managed by a transfer to or from the Financial Instruments Adjustment Account in the Movement in Reserves Statement. </w:t>
      </w:r>
    </w:p>
    <w:p w:rsidR="003018D5" w:rsidRPr="00286C0E" w:rsidRDefault="003018D5" w:rsidP="00C03048">
      <w:pPr>
        <w:spacing w:after="240"/>
        <w:ind w:left="720"/>
        <w:jc w:val="both"/>
        <w:rPr>
          <w:highlight w:val="yellow"/>
        </w:rPr>
      </w:pPr>
    </w:p>
    <w:p w:rsidR="00C03048" w:rsidRPr="00B525D5" w:rsidRDefault="00837EDA" w:rsidP="00C03048">
      <w:pPr>
        <w:spacing w:after="240"/>
        <w:ind w:firstLine="720"/>
        <w:rPr>
          <w:b/>
        </w:rPr>
      </w:pPr>
      <w:r>
        <w:rPr>
          <w:b/>
          <w:caps/>
        </w:rPr>
        <w:t>2</w:t>
      </w:r>
      <w:r w:rsidR="005C0903">
        <w:rPr>
          <w:b/>
          <w:caps/>
        </w:rPr>
        <w:t>1</w:t>
      </w:r>
      <w:r w:rsidR="00C03048" w:rsidRPr="00B525D5">
        <w:rPr>
          <w:b/>
          <w:caps/>
        </w:rPr>
        <w:t>.   F</w:t>
      </w:r>
      <w:r w:rsidR="00C03048" w:rsidRPr="00B525D5">
        <w:rPr>
          <w:b/>
        </w:rPr>
        <w:t>inancial Assets</w:t>
      </w:r>
    </w:p>
    <w:p w:rsidR="00B525D5" w:rsidRPr="00442EEE" w:rsidRDefault="00B525D5" w:rsidP="00B525D5">
      <w:pPr>
        <w:spacing w:after="240"/>
        <w:ind w:firstLine="720"/>
      </w:pPr>
      <w:r w:rsidRPr="00442EEE">
        <w:t xml:space="preserve">Financial assets are classified into </w:t>
      </w:r>
      <w:r>
        <w:t>three</w:t>
      </w:r>
      <w:r w:rsidRPr="00442EEE">
        <w:t xml:space="preserve"> types:</w:t>
      </w:r>
    </w:p>
    <w:p w:rsidR="00B525D5" w:rsidRPr="00442EEE" w:rsidRDefault="00B37E6A" w:rsidP="00BD07E4">
      <w:pPr>
        <w:numPr>
          <w:ilvl w:val="0"/>
          <w:numId w:val="15"/>
        </w:numPr>
        <w:spacing w:after="240"/>
      </w:pPr>
      <w:r>
        <w:t>L</w:t>
      </w:r>
      <w:r w:rsidR="00B525D5" w:rsidRPr="00442EEE">
        <w:t>oans and receivables – assets that have fixed or determinable payments but are not quoted in an active marke</w:t>
      </w:r>
      <w:r w:rsidR="00B525D5">
        <w:t>t for example term deposits made with UK domiciled banks.</w:t>
      </w:r>
    </w:p>
    <w:p w:rsidR="00B525D5" w:rsidRDefault="00B37E6A" w:rsidP="00BD07E4">
      <w:pPr>
        <w:numPr>
          <w:ilvl w:val="0"/>
          <w:numId w:val="15"/>
        </w:numPr>
        <w:spacing w:after="240"/>
      </w:pPr>
      <w:r>
        <w:t>A</w:t>
      </w:r>
      <w:r w:rsidR="00B525D5" w:rsidRPr="00442EEE">
        <w:t xml:space="preserve">vailable-for-sale assets – assets that have a quoted market price and/or do not have fixed or determinable payments. This category includes, for example, investment bonds such as UK </w:t>
      </w:r>
      <w:r w:rsidR="00B525D5">
        <w:t>local authority bonds and UK T</w:t>
      </w:r>
      <w:r w:rsidR="00B525D5" w:rsidRPr="00442EEE">
        <w:t>reasury gilt edged securities.</w:t>
      </w:r>
    </w:p>
    <w:p w:rsidR="00B525D5" w:rsidRPr="00442EEE" w:rsidRDefault="00B37E6A" w:rsidP="00BD07E4">
      <w:pPr>
        <w:numPr>
          <w:ilvl w:val="0"/>
          <w:numId w:val="15"/>
        </w:numPr>
        <w:spacing w:after="240"/>
      </w:pPr>
      <w:r>
        <w:t>F</w:t>
      </w:r>
      <w:r w:rsidR="00B525D5">
        <w:t>air value through profit and loss – this classification is for assets which are held primarily for trading or have a recent history of being traded</w:t>
      </w:r>
    </w:p>
    <w:p w:rsidR="00B525D5" w:rsidRPr="00442EEE" w:rsidRDefault="00B525D5" w:rsidP="00B525D5">
      <w:pPr>
        <w:spacing w:after="240"/>
        <w:ind w:firstLine="720"/>
        <w:rPr>
          <w:b/>
        </w:rPr>
      </w:pPr>
      <w:r w:rsidRPr="00442EEE">
        <w:rPr>
          <w:b/>
        </w:rPr>
        <w:t>Loans and Receivables</w:t>
      </w:r>
    </w:p>
    <w:p w:rsidR="00B525D5" w:rsidRPr="00442EEE" w:rsidRDefault="00B525D5" w:rsidP="00B525D5">
      <w:pPr>
        <w:spacing w:after="240"/>
        <w:ind w:left="720"/>
        <w:jc w:val="both"/>
      </w:pPr>
      <w:r w:rsidRPr="00442EEE">
        <w:t xml:space="preserve">Loans and receivables are recognised on the Balance Sheet when the </w:t>
      </w:r>
      <w:r w:rsidR="00CB5417">
        <w:t>Council</w:t>
      </w:r>
      <w:r w:rsidRPr="00442EEE">
        <w:t xml:space="preserve"> becomes a party to the contractual provisions of a financial instrument and are initially measured at fair value. They are subsequently measured at their amortised cost. Annual credits to the Financing and Investment Income and Expenditure line in the Comprehensive Income and Expenditure Statement for interest receivable are based on the carrying amount of the asset multiplied by the effective rate of interest for the instrument. For most of the loans that the </w:t>
      </w:r>
      <w:r w:rsidR="00CB5417">
        <w:t>Council</w:t>
      </w:r>
      <w:r w:rsidRPr="00442EEE">
        <w:t xml:space="preserve"> has made, this means that the amount presented in the Balance Sheet is the outstanding principal receivable (plus accrued interest) and interest credited to the Comprehensive income and Expenditure Statement is the amount receivable for the year in the loan agreement.</w:t>
      </w:r>
    </w:p>
    <w:p w:rsidR="00B525D5" w:rsidRDefault="00B525D5" w:rsidP="00B525D5">
      <w:pPr>
        <w:spacing w:after="240"/>
        <w:ind w:left="720"/>
        <w:jc w:val="both"/>
      </w:pPr>
      <w:r w:rsidRPr="00442EEE">
        <w:t xml:space="preserve">Where assets are identified as impaired because of a likelihood arising from a past event that payments due under the contract will not be made, the asset is written down and a charge made to the relevant service (for receivables specific to that service) or the Financing and Investment Income and Expenditure line in the Comprehensive Income and Expenditure Statement. </w:t>
      </w:r>
    </w:p>
    <w:p w:rsidR="00B525D5" w:rsidRPr="00442EEE" w:rsidRDefault="00B525D5" w:rsidP="00B525D5">
      <w:pPr>
        <w:spacing w:after="240"/>
        <w:ind w:left="720"/>
        <w:jc w:val="both"/>
      </w:pPr>
      <w:r w:rsidRPr="00442EEE">
        <w:t>The impairment loss is measure</w:t>
      </w:r>
      <w:r w:rsidR="00B37E6A">
        <w:t>d</w:t>
      </w:r>
      <w:r w:rsidRPr="00442EEE">
        <w:t xml:space="preserve"> as the difference between the carrying amount and the present value of the revised future cash flows discounted at the asset's original effective interest rate.</w:t>
      </w:r>
    </w:p>
    <w:p w:rsidR="00B525D5" w:rsidRPr="00442EEE" w:rsidRDefault="00B525D5" w:rsidP="00B525D5">
      <w:pPr>
        <w:spacing w:after="240"/>
        <w:ind w:left="720"/>
        <w:jc w:val="both"/>
      </w:pPr>
      <w:r w:rsidRPr="00442EEE">
        <w:t>Any gains and losses that arise on the de-recognition of an asset are credited or debited to the Financing and Investment Income and Expenditure line in the Comprehensive Income and Expenditure Statement.</w:t>
      </w:r>
    </w:p>
    <w:p w:rsidR="005B005D" w:rsidRDefault="005B005D" w:rsidP="00B525D5">
      <w:pPr>
        <w:spacing w:after="240"/>
        <w:ind w:left="720"/>
        <w:rPr>
          <w:b/>
        </w:rPr>
      </w:pPr>
    </w:p>
    <w:p w:rsidR="00B525D5" w:rsidRPr="00442EEE" w:rsidRDefault="00B525D5" w:rsidP="00B525D5">
      <w:pPr>
        <w:spacing w:after="240"/>
        <w:ind w:left="720"/>
        <w:rPr>
          <w:b/>
        </w:rPr>
      </w:pPr>
      <w:r w:rsidRPr="00442EEE">
        <w:rPr>
          <w:b/>
        </w:rPr>
        <w:lastRenderedPageBreak/>
        <w:t>Available-for-Sale Assets</w:t>
      </w:r>
    </w:p>
    <w:p w:rsidR="00B525D5" w:rsidRPr="00442EEE" w:rsidRDefault="00B525D5" w:rsidP="00B525D5">
      <w:pPr>
        <w:spacing w:after="240"/>
        <w:ind w:left="720"/>
        <w:jc w:val="both"/>
      </w:pPr>
      <w:r w:rsidRPr="00442EEE">
        <w:t xml:space="preserve">Available-for-sale assets are recognised on the Balance Sheet when the </w:t>
      </w:r>
      <w:r w:rsidR="00CB5417">
        <w:t>Council</w:t>
      </w:r>
      <w:r w:rsidRPr="00442EEE">
        <w:t xml:space="preserve"> becomes a party to the contractual provisions of a financial instrument and are initially measured and carried at fair value. Where the assets have fixed or determinable payments, annual credits to the financing and Investment Income and Expenditure line in the Comprehensive Income and Expenditure Statement for interest receivable are based on the amortised cost of the asset multiplied by the effective rate of interest for the instrument. Where there are no fixed or determinable payments, income (e.g. dividends) is credited to the Comprehensive Income and Expenditure Statement when it becomes receivable by the </w:t>
      </w:r>
      <w:r w:rsidR="00CB5417">
        <w:t>Council</w:t>
      </w:r>
      <w:r w:rsidRPr="00442EEE">
        <w:t>.</w:t>
      </w:r>
    </w:p>
    <w:p w:rsidR="00B525D5" w:rsidRPr="00442EEE" w:rsidRDefault="00B525D5" w:rsidP="00B525D5">
      <w:pPr>
        <w:spacing w:after="240"/>
        <w:ind w:left="720"/>
        <w:jc w:val="both"/>
      </w:pPr>
      <w:r w:rsidRPr="00442EEE">
        <w:t>Assets are maintained in the balance sheet at fair value. Values are based on the following principles:</w:t>
      </w:r>
    </w:p>
    <w:p w:rsidR="00B525D5" w:rsidRPr="00442EEE" w:rsidRDefault="00B37E6A" w:rsidP="00BD07E4">
      <w:pPr>
        <w:numPr>
          <w:ilvl w:val="0"/>
          <w:numId w:val="19"/>
        </w:numPr>
        <w:spacing w:after="240"/>
        <w:jc w:val="both"/>
      </w:pPr>
      <w:r>
        <w:t>I</w:t>
      </w:r>
      <w:r w:rsidR="00B525D5" w:rsidRPr="00442EEE">
        <w:t>nstruments with quoted market prices – the sale or bid market price;</w:t>
      </w:r>
    </w:p>
    <w:p w:rsidR="00B525D5" w:rsidRPr="00442EEE" w:rsidRDefault="00B37E6A" w:rsidP="00BD07E4">
      <w:pPr>
        <w:numPr>
          <w:ilvl w:val="0"/>
          <w:numId w:val="19"/>
        </w:numPr>
        <w:spacing w:after="240"/>
        <w:jc w:val="both"/>
      </w:pPr>
      <w:r>
        <w:t>O</w:t>
      </w:r>
      <w:r w:rsidR="00B525D5" w:rsidRPr="00442EEE">
        <w:t>ther instruments with fixed and determinable payments – discounted cash flow analysis; and</w:t>
      </w:r>
    </w:p>
    <w:p w:rsidR="00B525D5" w:rsidRPr="00442EEE" w:rsidRDefault="00B37E6A" w:rsidP="00BD07E4">
      <w:pPr>
        <w:numPr>
          <w:ilvl w:val="0"/>
          <w:numId w:val="19"/>
        </w:numPr>
        <w:spacing w:after="240"/>
        <w:jc w:val="both"/>
      </w:pPr>
      <w:r>
        <w:t>E</w:t>
      </w:r>
      <w:r w:rsidR="00B525D5" w:rsidRPr="00442EEE">
        <w:t>quity shares with no quoted market prices – independent appraisal of company valuations.</w:t>
      </w:r>
    </w:p>
    <w:p w:rsidR="00B525D5" w:rsidRPr="00442EEE" w:rsidRDefault="00B525D5" w:rsidP="00B525D5">
      <w:pPr>
        <w:spacing w:after="240"/>
        <w:ind w:left="720"/>
        <w:jc w:val="both"/>
      </w:pPr>
      <w:r w:rsidRPr="00442EEE">
        <w:t>Changes in fair value (other than impairment losses) a</w:t>
      </w:r>
      <w:r w:rsidR="00B37E6A">
        <w:t>re balanced by an entry in the A</w:t>
      </w:r>
      <w:r w:rsidRPr="00442EEE">
        <w:t xml:space="preserve">vailable-for-Sale Reserve and the gain/loss is recognised in the Surplus or Deficit on Revaluation of Available-for-Sale Financial Assets. </w:t>
      </w:r>
    </w:p>
    <w:p w:rsidR="00B525D5" w:rsidRPr="00442EEE" w:rsidRDefault="00B525D5" w:rsidP="00B525D5">
      <w:pPr>
        <w:spacing w:after="240"/>
        <w:ind w:left="720"/>
        <w:jc w:val="both"/>
      </w:pPr>
      <w:r w:rsidRPr="00442EEE">
        <w:t>Where assets are identified as impaired because of a likelihood arising from a past event that payments due under the contract will not be made (fixed and determinable payments) or fair value falls below cost (for equity instruments), the asset is written down and a charge made to the Financing and Investment Income and Expenditure line in the Comprehensive Income and Expenditure Statement. If the asset has fixed or determinable payments, the impairment loss is measured as the difference between the carrying amount and the present value of the revised future cash flows discounted at the asset's original effective interest rate. Otherwise, the impairment loss is measured as any shortfall of fair value against the acquisition cost o</w:t>
      </w:r>
      <w:r w:rsidR="00B37E6A">
        <w:t>f</w:t>
      </w:r>
      <w:r w:rsidRPr="00442EEE">
        <w:t xml:space="preserve"> the instrument (net of any principal repayment and amortisation).</w:t>
      </w:r>
    </w:p>
    <w:p w:rsidR="00B525D5" w:rsidRPr="00442EEE" w:rsidRDefault="00B525D5" w:rsidP="00B525D5">
      <w:pPr>
        <w:spacing w:after="240"/>
        <w:ind w:left="720"/>
        <w:jc w:val="both"/>
      </w:pPr>
      <w:r w:rsidRPr="00442EEE">
        <w:t>Any gains and losses that arise on the de-recognition of the asset are credited/debited to the Financing and Investment Income and Expenditure line in the Comprehensive Income and Expenditure Statement, along with any accumulated gains or losses previously recognised in the Available-for-Sale Reserve.</w:t>
      </w:r>
    </w:p>
    <w:p w:rsidR="00B525D5" w:rsidRDefault="00B525D5" w:rsidP="00B525D5">
      <w:pPr>
        <w:spacing w:after="240"/>
        <w:ind w:left="720"/>
        <w:jc w:val="both"/>
      </w:pPr>
      <w:r w:rsidRPr="00442EEE">
        <w:t>Where fair value cannot be measured reliably, the instrument is carried at cost (less any impairment losses).</w:t>
      </w:r>
    </w:p>
    <w:p w:rsidR="00B525D5" w:rsidRPr="00DE31BF" w:rsidRDefault="00B525D5" w:rsidP="00B525D5">
      <w:pPr>
        <w:spacing w:after="240"/>
        <w:ind w:left="720"/>
        <w:jc w:val="both"/>
        <w:rPr>
          <w:b/>
        </w:rPr>
      </w:pPr>
      <w:r w:rsidRPr="00DE31BF">
        <w:rPr>
          <w:b/>
        </w:rPr>
        <w:t>Fair Value through Profit and Loss</w:t>
      </w:r>
    </w:p>
    <w:p w:rsidR="00B525D5" w:rsidRPr="00DE31BF" w:rsidRDefault="00B525D5" w:rsidP="00B525D5">
      <w:pPr>
        <w:spacing w:after="240"/>
        <w:ind w:left="720"/>
        <w:jc w:val="both"/>
      </w:pPr>
      <w:r w:rsidRPr="00DE31BF">
        <w:t xml:space="preserve">Fair value through profit and loss assets are recognised on the Balance Sheet when the </w:t>
      </w:r>
      <w:r w:rsidR="00CB5417">
        <w:t>Council</w:t>
      </w:r>
      <w:r w:rsidRPr="00DE31BF">
        <w:t xml:space="preserve"> becomes a party to the contractual provisions of a financial instrument and are initially and subsequently measured and carried at fair value. Investments are accounted for under this category if they are either:</w:t>
      </w:r>
    </w:p>
    <w:p w:rsidR="00B525D5" w:rsidRPr="00DE31BF" w:rsidRDefault="00B525D5" w:rsidP="00BD07E4">
      <w:pPr>
        <w:pStyle w:val="ListParagraph"/>
        <w:numPr>
          <w:ilvl w:val="0"/>
          <w:numId w:val="53"/>
        </w:numPr>
        <w:spacing w:after="240"/>
        <w:contextualSpacing/>
        <w:jc w:val="both"/>
      </w:pPr>
      <w:r w:rsidRPr="00DE31BF">
        <w:lastRenderedPageBreak/>
        <w:t>acquired principally for the purpose of selling in the near term, or</w:t>
      </w:r>
    </w:p>
    <w:p w:rsidR="00B525D5" w:rsidRPr="00DE31BF" w:rsidRDefault="00B525D5" w:rsidP="00BD07E4">
      <w:pPr>
        <w:pStyle w:val="ListParagraph"/>
        <w:numPr>
          <w:ilvl w:val="0"/>
          <w:numId w:val="53"/>
        </w:numPr>
        <w:spacing w:after="240"/>
        <w:contextualSpacing/>
        <w:jc w:val="both"/>
      </w:pPr>
      <w:r w:rsidRPr="00DE31BF">
        <w:t>part of a portfolio of identified financial instruments that are managed together and for which there is evidence of a recent actual pattern of short term profit taking.</w:t>
      </w:r>
    </w:p>
    <w:p w:rsidR="00B525D5" w:rsidRPr="00DE31BF" w:rsidRDefault="00B525D5" w:rsidP="00B525D5">
      <w:pPr>
        <w:pStyle w:val="ListParagraph"/>
        <w:spacing w:after="240"/>
        <w:ind w:left="1440"/>
        <w:jc w:val="both"/>
      </w:pPr>
    </w:p>
    <w:p w:rsidR="00B525D5" w:rsidRDefault="00B525D5" w:rsidP="00B525D5">
      <w:pPr>
        <w:pStyle w:val="ListParagraph"/>
        <w:spacing w:after="240"/>
        <w:ind w:left="709"/>
        <w:jc w:val="both"/>
      </w:pPr>
      <w:r w:rsidRPr="00DE31BF">
        <w:t>Any gains and losses that arise on the de-recognition of the assets are credited/debited to the Financing and Investment Income and Expenditure line in the Comprehensive Income and Expenditure Statement. In addition any unrealised gains and losses are also credited/debited to the Financing and Investment Income and Expenditure line in the Comprehensive Income and Expenditure Statement. Unrealised gains and losses are the amounts that arise through the change in market value of financial instruments before they mature or are sold.</w:t>
      </w:r>
    </w:p>
    <w:p w:rsidR="00384EDD" w:rsidRPr="00C63351" w:rsidRDefault="00384EDD" w:rsidP="00C03048">
      <w:pPr>
        <w:spacing w:after="240"/>
        <w:rPr>
          <w:b/>
        </w:rPr>
      </w:pPr>
    </w:p>
    <w:p w:rsidR="00C03048" w:rsidRPr="00835CA9" w:rsidRDefault="005C0903" w:rsidP="00C03048">
      <w:pPr>
        <w:spacing w:after="240"/>
        <w:ind w:firstLine="720"/>
      </w:pPr>
      <w:r>
        <w:rPr>
          <w:b/>
        </w:rPr>
        <w:t>22</w:t>
      </w:r>
      <w:r w:rsidR="00C03048" w:rsidRPr="00C63351">
        <w:rPr>
          <w:b/>
        </w:rPr>
        <w:t>.</w:t>
      </w:r>
      <w:r w:rsidR="00C03048" w:rsidRPr="00835CA9">
        <w:rPr>
          <w:b/>
        </w:rPr>
        <w:t xml:space="preserve">   Landfill Allowance Trading Scheme</w:t>
      </w:r>
    </w:p>
    <w:p w:rsidR="00D6442C" w:rsidRPr="00835CA9" w:rsidRDefault="00C03048" w:rsidP="00C03048">
      <w:pPr>
        <w:spacing w:after="240"/>
        <w:ind w:left="720"/>
        <w:jc w:val="both"/>
      </w:pPr>
      <w:r w:rsidRPr="00835CA9">
        <w:t>The Landfill Allowance Trading Scheme began on 1 April 2005</w:t>
      </w:r>
      <w:r w:rsidR="00835CA9" w:rsidRPr="00835CA9">
        <w:t xml:space="preserve"> and is due to cease at 31 March 2013</w:t>
      </w:r>
      <w:r w:rsidRPr="00835CA9">
        <w:t xml:space="preserve">. Each year we are given permits to landfill a certain amount of biodegradable waste. </w:t>
      </w:r>
    </w:p>
    <w:p w:rsidR="00C03048" w:rsidRPr="00835CA9" w:rsidRDefault="00C03048" w:rsidP="00C03048">
      <w:pPr>
        <w:spacing w:after="240"/>
        <w:ind w:left="720"/>
        <w:jc w:val="both"/>
      </w:pPr>
      <w:r w:rsidRPr="00835CA9">
        <w:t>Landfill allowances, whether allocated by the department for Environment, Food and Rural Affairs (DEFRA) or purchased from another Waste Disposal Authority (WDA) are recognised as current assets and are initially measured at fair value. Landfill allowances allocated by DEFRA are accounted for as a government grant.</w:t>
      </w:r>
    </w:p>
    <w:p w:rsidR="00C03048" w:rsidRPr="00835CA9" w:rsidRDefault="00C03048" w:rsidP="00C03048">
      <w:pPr>
        <w:spacing w:after="240"/>
        <w:ind w:left="720"/>
        <w:jc w:val="both"/>
      </w:pPr>
      <w:r w:rsidRPr="00835CA9">
        <w:t xml:space="preserve">After initial recognition, allowances are measured at the lower </w:t>
      </w:r>
      <w:r w:rsidR="00071A4F" w:rsidRPr="00835CA9">
        <w:t>o</w:t>
      </w:r>
      <w:r w:rsidRPr="00835CA9">
        <w:t>f cost and net realisable value.</w:t>
      </w:r>
    </w:p>
    <w:p w:rsidR="00C03048" w:rsidRPr="00835CA9" w:rsidRDefault="00C03048" w:rsidP="00C03048">
      <w:pPr>
        <w:spacing w:after="240"/>
        <w:ind w:left="720"/>
        <w:jc w:val="both"/>
      </w:pPr>
      <w:r w:rsidRPr="00835CA9">
        <w:t>As landfill is used, a liability and an expense are recognised. The liability is discharged either by surrendering allowances or by payment of a cash penalty to DEFRA (or by a combination). The liability is measured at the best estimate of the expenditure required to meet the obligation, normally the market price of the number of allowances required to meet the liability at the reporting date. However, where some of the obl</w:t>
      </w:r>
      <w:r w:rsidR="000223B4" w:rsidRPr="00835CA9">
        <w:t>igation will be met by paying a</w:t>
      </w:r>
      <w:r w:rsidR="00A744F9" w:rsidRPr="00835CA9">
        <w:t xml:space="preserve"> </w:t>
      </w:r>
      <w:r w:rsidRPr="00835CA9">
        <w:t>cash penalty to DEFRA, that part of its liability is measure</w:t>
      </w:r>
      <w:r w:rsidR="00B37E6A">
        <w:t>d at the cost of the penalty.</w:t>
      </w:r>
    </w:p>
    <w:p w:rsidR="00C03048" w:rsidRPr="00286C0E" w:rsidRDefault="00C03048" w:rsidP="00C03048">
      <w:pPr>
        <w:spacing w:after="240"/>
        <w:ind w:left="720"/>
        <w:jc w:val="both"/>
        <w:rPr>
          <w:highlight w:val="yellow"/>
        </w:rPr>
      </w:pPr>
      <w:r w:rsidRPr="00835CA9">
        <w:t>If we do not use our full allowance for the year, we can carry it forward to the next year. Unused allowances carried forward at the end of the year are included in current assets. They are valued at net realisable value.</w:t>
      </w:r>
    </w:p>
    <w:p w:rsidR="00D6442C" w:rsidRPr="00286C0E" w:rsidRDefault="00D6442C" w:rsidP="00C03048">
      <w:pPr>
        <w:spacing w:after="240"/>
        <w:ind w:left="720"/>
        <w:jc w:val="both"/>
        <w:rPr>
          <w:highlight w:val="yellow"/>
        </w:rPr>
      </w:pPr>
    </w:p>
    <w:p w:rsidR="00C03048" w:rsidRPr="00B525D5" w:rsidRDefault="00C03048" w:rsidP="00C03048">
      <w:pPr>
        <w:spacing w:after="240"/>
        <w:ind w:firstLine="720"/>
      </w:pPr>
      <w:r w:rsidRPr="00B525D5">
        <w:rPr>
          <w:b/>
        </w:rPr>
        <w:t>2</w:t>
      </w:r>
      <w:r w:rsidR="005C0903">
        <w:rPr>
          <w:b/>
        </w:rPr>
        <w:t>3</w:t>
      </w:r>
      <w:r w:rsidRPr="00B525D5">
        <w:t xml:space="preserve">. </w:t>
      </w:r>
      <w:r w:rsidR="00F46420">
        <w:rPr>
          <w:b/>
        </w:rPr>
        <w:t>Group A</w:t>
      </w:r>
      <w:r w:rsidRPr="00B525D5">
        <w:rPr>
          <w:b/>
        </w:rPr>
        <w:t>ccounts</w:t>
      </w:r>
    </w:p>
    <w:p w:rsidR="00B525D5" w:rsidRPr="00442EEE" w:rsidRDefault="00B525D5" w:rsidP="00B525D5">
      <w:pPr>
        <w:spacing w:after="240"/>
        <w:ind w:left="720" w:firstLine="15"/>
        <w:jc w:val="both"/>
      </w:pPr>
      <w:r w:rsidRPr="00442EEE">
        <w:t xml:space="preserve">In previous years we have prepared a set of group accounts, but this was reviewed in 2006/07 and a set of group accounts was not prepared. </w:t>
      </w:r>
    </w:p>
    <w:p w:rsidR="00B525D5" w:rsidRPr="00442EEE" w:rsidRDefault="00B525D5" w:rsidP="00B525D5">
      <w:pPr>
        <w:spacing w:after="240"/>
        <w:ind w:left="720" w:firstLine="15"/>
        <w:jc w:val="both"/>
      </w:pPr>
      <w:r w:rsidRPr="00442EEE">
        <w:t>We hav</w:t>
      </w:r>
      <w:r>
        <w:t>e reviewed the position for 2011/12</w:t>
      </w:r>
      <w:r w:rsidRPr="00442EEE">
        <w:t xml:space="preserve"> and again, this year’s statement of accounts does not include a set of group accounts due to the following factors:</w:t>
      </w:r>
    </w:p>
    <w:p w:rsidR="00B525D5" w:rsidRPr="00442EEE" w:rsidRDefault="00B525D5" w:rsidP="00BD07E4">
      <w:pPr>
        <w:numPr>
          <w:ilvl w:val="0"/>
          <w:numId w:val="13"/>
        </w:numPr>
        <w:spacing w:after="240"/>
        <w:jc w:val="both"/>
      </w:pPr>
      <w:r w:rsidRPr="00442EEE">
        <w:lastRenderedPageBreak/>
        <w:t>The relative lack of materiality of the financial size of the g</w:t>
      </w:r>
      <w:r w:rsidR="001F1A1A">
        <w:t>roup members compared with the County Council</w:t>
      </w:r>
      <w:r w:rsidRPr="00442EEE">
        <w:t>.</w:t>
      </w:r>
    </w:p>
    <w:p w:rsidR="00B525D5" w:rsidRPr="00442EEE" w:rsidRDefault="00B525D5" w:rsidP="00BD07E4">
      <w:pPr>
        <w:numPr>
          <w:ilvl w:val="0"/>
          <w:numId w:val="13"/>
        </w:numPr>
        <w:spacing w:after="240"/>
        <w:jc w:val="both"/>
      </w:pPr>
      <w:r w:rsidRPr="00442EEE">
        <w:t xml:space="preserve">The low </w:t>
      </w:r>
      <w:r w:rsidR="001F1A1A">
        <w:t>level of financial risk to the County Council</w:t>
      </w:r>
      <w:r w:rsidRPr="00442EEE">
        <w:t xml:space="preserve"> from its involvement with the group members: for example many group members are companies limited by guarantee, with the </w:t>
      </w:r>
      <w:r w:rsidR="001F1A1A">
        <w:t>County Council</w:t>
      </w:r>
      <w:r w:rsidRPr="00442EEE">
        <w:t>’s guarantee sum being £1.</w:t>
      </w:r>
    </w:p>
    <w:p w:rsidR="00B525D5" w:rsidRPr="00442EEE" w:rsidRDefault="00B525D5" w:rsidP="00BD07E4">
      <w:pPr>
        <w:numPr>
          <w:ilvl w:val="0"/>
          <w:numId w:val="13"/>
        </w:numPr>
        <w:spacing w:after="240"/>
        <w:jc w:val="both"/>
      </w:pPr>
      <w:r w:rsidRPr="00442EEE">
        <w:t>The very low level of involvement of the group members in delivering the council’s statutory or significant core services.</w:t>
      </w:r>
    </w:p>
    <w:p w:rsidR="00B525D5" w:rsidRPr="00442EEE" w:rsidRDefault="00B525D5" w:rsidP="00B525D5">
      <w:pPr>
        <w:spacing w:after="240"/>
        <w:ind w:left="720" w:firstLine="15"/>
        <w:jc w:val="both"/>
      </w:pPr>
      <w:r w:rsidRPr="00442EEE">
        <w:t xml:space="preserve">The statement of accounts does include, at </w:t>
      </w:r>
      <w:r w:rsidR="00FA4E44">
        <w:t>note 63</w:t>
      </w:r>
      <w:r w:rsidRPr="00442EEE">
        <w:t>, a</w:t>
      </w:r>
      <w:r>
        <w:t xml:space="preserve"> full description of the fifteen</w:t>
      </w:r>
      <w:r w:rsidRPr="00442EEE">
        <w:t xml:space="preserve"> organisations within the group boundary, the percentage of voting rights controlled by the council for each group member, and the nature of the council’s relationship with them. The note also includes financial information in respect of the profit or loss before tax, turnover, and net assets or liabilities for each group member. </w:t>
      </w:r>
    </w:p>
    <w:p w:rsidR="00733F47" w:rsidRPr="00286C0E" w:rsidRDefault="00733F47" w:rsidP="006626D4">
      <w:pPr>
        <w:rPr>
          <w:b/>
          <w:highlight w:val="yellow"/>
        </w:rPr>
      </w:pPr>
    </w:p>
    <w:p w:rsidR="00384EDD" w:rsidRPr="00B426B4" w:rsidRDefault="00384EDD" w:rsidP="006626D4">
      <w:pPr>
        <w:rPr>
          <w:b/>
        </w:rPr>
      </w:pPr>
    </w:p>
    <w:p w:rsidR="00C03048" w:rsidRPr="00B426B4" w:rsidRDefault="00C03048" w:rsidP="00C03048">
      <w:pPr>
        <w:ind w:firstLine="709"/>
        <w:rPr>
          <w:b/>
        </w:rPr>
      </w:pPr>
      <w:r w:rsidRPr="00B426B4">
        <w:rPr>
          <w:b/>
        </w:rPr>
        <w:t>2</w:t>
      </w:r>
      <w:r w:rsidR="005C0903">
        <w:rPr>
          <w:b/>
        </w:rPr>
        <w:t>4</w:t>
      </w:r>
      <w:r w:rsidRPr="00B426B4">
        <w:t xml:space="preserve">.   </w:t>
      </w:r>
      <w:r w:rsidRPr="00B426B4">
        <w:rPr>
          <w:b/>
        </w:rPr>
        <w:t>Council Tax Agency Arrangements</w:t>
      </w:r>
    </w:p>
    <w:p w:rsidR="00C03048" w:rsidRPr="00B426B4" w:rsidRDefault="00C03048" w:rsidP="00C03048">
      <w:pPr>
        <w:rPr>
          <w:b/>
        </w:rPr>
      </w:pPr>
    </w:p>
    <w:p w:rsidR="00C03048" w:rsidRPr="00B426B4" w:rsidRDefault="00C03048" w:rsidP="00C03048">
      <w:pPr>
        <w:spacing w:after="240"/>
        <w:ind w:left="709"/>
        <w:jc w:val="both"/>
      </w:pPr>
      <w:r w:rsidRPr="00B426B4">
        <w:t xml:space="preserve">Billing authorities in </w:t>
      </w:r>
      <w:smartTag w:uri="urn:schemas-microsoft-com:office:smarttags" w:element="place">
        <w:smartTag w:uri="urn:schemas-microsoft-com:office:smarttags" w:element="country-region">
          <w:r w:rsidRPr="00B426B4">
            <w:t>England</w:t>
          </w:r>
        </w:smartTag>
      </w:smartTag>
      <w:r w:rsidRPr="00B426B4">
        <w:t xml:space="preserve"> are required by statute to maintain a separate fund for the collection and distribution of amounts due in respect of council tax and national non-domestic rates (NNDR). The fund</w:t>
      </w:r>
      <w:r w:rsidR="00B37E6A">
        <w:t>'</w:t>
      </w:r>
      <w:r w:rsidRPr="00B426B4">
        <w:t>s key features relevant to accounting for council tax in core financial statements are:</w:t>
      </w:r>
    </w:p>
    <w:p w:rsidR="00C03048" w:rsidRPr="00B426B4" w:rsidRDefault="00C03048" w:rsidP="00BD07E4">
      <w:pPr>
        <w:numPr>
          <w:ilvl w:val="0"/>
          <w:numId w:val="31"/>
        </w:numPr>
        <w:spacing w:after="240"/>
        <w:jc w:val="both"/>
      </w:pPr>
      <w:r w:rsidRPr="00B426B4">
        <w:t>In its capacity as a billing authorit</w:t>
      </w:r>
      <w:r w:rsidR="00B37E6A">
        <w:t>y an authority acts as an agent;</w:t>
      </w:r>
      <w:r w:rsidRPr="00B426B4">
        <w:t xml:space="preserve"> it collects and distributes council tax income on behalf of the major preceptors and itself.</w:t>
      </w:r>
    </w:p>
    <w:p w:rsidR="00C03048" w:rsidRPr="00B426B4" w:rsidRDefault="00C03048" w:rsidP="00BD07E4">
      <w:pPr>
        <w:numPr>
          <w:ilvl w:val="0"/>
          <w:numId w:val="31"/>
        </w:numPr>
        <w:spacing w:after="240"/>
        <w:jc w:val="both"/>
      </w:pPr>
      <w:r w:rsidRPr="00B426B4">
        <w:t xml:space="preserve">While the council tax income for the year credited to the billing authority's Collection Fund is the accrued income for the year, regulations determine when it should be released from the Collection Fund and transferred to the County Fund of the billing authority or paid out of the Collection Fund to major preceptors (and in turn credited to their County Fund). </w:t>
      </w:r>
    </w:p>
    <w:p w:rsidR="00384EDD" w:rsidRPr="00B426B4" w:rsidRDefault="00C03048" w:rsidP="00B426B4">
      <w:pPr>
        <w:tabs>
          <w:tab w:val="left" w:pos="426"/>
        </w:tabs>
        <w:spacing w:after="240"/>
        <w:ind w:left="709"/>
        <w:jc w:val="both"/>
      </w:pPr>
      <w:r w:rsidRPr="00B426B4">
        <w:tab/>
        <w:t xml:space="preserve">Lancashire </w:t>
      </w:r>
      <w:r w:rsidR="001F1A1A">
        <w:t>County Council</w:t>
      </w:r>
      <w:r w:rsidRPr="00B426B4">
        <w:t xml:space="preserve"> is a major preceptor with 12 district and </w:t>
      </w:r>
      <w:r w:rsidR="0063404E" w:rsidRPr="00B426B4">
        <w:t xml:space="preserve">2 </w:t>
      </w:r>
      <w:r w:rsidRPr="00B426B4">
        <w:t xml:space="preserve">unitary billing authorities. </w:t>
      </w:r>
    </w:p>
    <w:p w:rsidR="00C03048" w:rsidRPr="00B426B4" w:rsidRDefault="00C03048" w:rsidP="00C03048">
      <w:pPr>
        <w:tabs>
          <w:tab w:val="left" w:pos="426"/>
        </w:tabs>
        <w:spacing w:after="240"/>
        <w:ind w:left="709"/>
        <w:jc w:val="both"/>
      </w:pPr>
      <w:r w:rsidRPr="00B426B4">
        <w:t>Up to 2008/09 the SORP required the Council Tax income included in the Comprehensive Income and Expenditure Account to be the amount that, under regulation, was required to be paid from the Collection Funds to the major preceptors. From the year commencing 1 April 2009, for both billing authorities and major preceptors the Council Tax income included in the Comprehensive Income and Expenditure Account for the year is required to be the accrued income for the year.</w:t>
      </w:r>
    </w:p>
    <w:p w:rsidR="00C03048" w:rsidRPr="00B426B4" w:rsidRDefault="00C03048" w:rsidP="00C03048">
      <w:pPr>
        <w:spacing w:after="240"/>
        <w:ind w:left="709"/>
        <w:jc w:val="both"/>
      </w:pPr>
      <w:r w:rsidRPr="00B426B4">
        <w:t>The difference between the income included in the Comprehensive Income and Expenditure Account and the amount required by regulation to be credited to the County Fund is taken to the Collection Fund Adjustment Account and included as a reconciling item in the Movement in Reserves Statement on the County Fund Balance to ensure that there is no impact from this change on the taxpayer.</w:t>
      </w:r>
    </w:p>
    <w:p w:rsidR="00C03048" w:rsidRPr="00B426B4" w:rsidRDefault="00C03048" w:rsidP="00C03048">
      <w:pPr>
        <w:spacing w:after="240"/>
        <w:ind w:left="709"/>
        <w:jc w:val="both"/>
      </w:pPr>
      <w:r w:rsidRPr="00B426B4">
        <w:lastRenderedPageBreak/>
        <w:t xml:space="preserve">Since the collection of council tax is, in substance, an agency arrangement, the cash collected by the billing authorities from council taxpayers belongs proportionately to the billing authority and the major preceptors (e.g. Lancashire </w:t>
      </w:r>
      <w:r w:rsidR="001F1A1A">
        <w:t>County Council</w:t>
      </w:r>
      <w:r w:rsidRPr="00B426B4">
        <w:t xml:space="preserve">). </w:t>
      </w:r>
    </w:p>
    <w:p w:rsidR="00C03048" w:rsidRPr="00B426B4" w:rsidRDefault="00C03048" w:rsidP="00C03048">
      <w:pPr>
        <w:spacing w:after="240"/>
        <w:ind w:left="709"/>
        <w:jc w:val="both"/>
      </w:pPr>
      <w:r w:rsidRPr="00B426B4">
        <w:t>There will therefore be a debtor/creditor position between the billing authorities and each major preceptor to be recognised since the net cash paid to each major preceptor in the year will not be its share of cash collected from council taxpayers.</w:t>
      </w:r>
    </w:p>
    <w:p w:rsidR="00C03048" w:rsidRPr="00B426B4" w:rsidRDefault="00C03048" w:rsidP="00C03048">
      <w:pPr>
        <w:spacing w:after="240"/>
        <w:ind w:left="709"/>
        <w:jc w:val="both"/>
      </w:pPr>
      <w:r w:rsidRPr="00B426B4">
        <w:t>In addition, the balance sheet of both billing and precepting authorities will include:</w:t>
      </w:r>
    </w:p>
    <w:p w:rsidR="00C03048" w:rsidRPr="00B426B4" w:rsidRDefault="00C03048" w:rsidP="00BD07E4">
      <w:pPr>
        <w:numPr>
          <w:ilvl w:val="0"/>
          <w:numId w:val="32"/>
        </w:numPr>
        <w:tabs>
          <w:tab w:val="clear" w:pos="753"/>
          <w:tab w:val="num" w:pos="1134"/>
        </w:tabs>
        <w:spacing w:after="240"/>
        <w:ind w:left="1134" w:hanging="425"/>
        <w:jc w:val="both"/>
      </w:pPr>
      <w:r w:rsidRPr="00B426B4">
        <w:t>An attributable share of council tax debtors, net of impairment allowances for doubtful debts;</w:t>
      </w:r>
    </w:p>
    <w:p w:rsidR="00C03048" w:rsidRPr="00B426B4" w:rsidRDefault="00C03048" w:rsidP="00BD07E4">
      <w:pPr>
        <w:numPr>
          <w:ilvl w:val="0"/>
          <w:numId w:val="32"/>
        </w:numPr>
        <w:tabs>
          <w:tab w:val="clear" w:pos="753"/>
          <w:tab w:val="num" w:pos="1134"/>
        </w:tabs>
        <w:spacing w:after="240"/>
        <w:ind w:left="1134" w:hanging="425"/>
        <w:jc w:val="both"/>
      </w:pPr>
      <w:r w:rsidRPr="00B426B4">
        <w:t>An attributable share of creditors for overpaid council tax; and</w:t>
      </w:r>
    </w:p>
    <w:p w:rsidR="00D6442C" w:rsidRPr="007E06D9" w:rsidRDefault="00C03048" w:rsidP="00BD07E4">
      <w:pPr>
        <w:numPr>
          <w:ilvl w:val="0"/>
          <w:numId w:val="32"/>
        </w:numPr>
        <w:tabs>
          <w:tab w:val="clear" w:pos="753"/>
          <w:tab w:val="num" w:pos="1134"/>
        </w:tabs>
        <w:spacing w:after="240"/>
        <w:ind w:left="1134" w:hanging="425"/>
        <w:jc w:val="both"/>
      </w:pPr>
      <w:r w:rsidRPr="00B426B4">
        <w:t>A debtor for the billing authorities for cash collected from council tax payers but not paid across, or a creditor for cash paid in advance from council tax payers.</w:t>
      </w:r>
    </w:p>
    <w:p w:rsidR="00733F47" w:rsidRPr="007E06D9" w:rsidRDefault="00733F47" w:rsidP="006626D4">
      <w:pPr>
        <w:jc w:val="both"/>
        <w:rPr>
          <w:b/>
        </w:rPr>
      </w:pPr>
    </w:p>
    <w:p w:rsidR="00C03048" w:rsidRPr="007E06D9" w:rsidRDefault="005C0903" w:rsidP="00053A62">
      <w:pPr>
        <w:spacing w:after="240"/>
        <w:ind w:firstLine="709"/>
        <w:jc w:val="both"/>
        <w:rPr>
          <w:b/>
        </w:rPr>
      </w:pPr>
      <w:r>
        <w:rPr>
          <w:b/>
        </w:rPr>
        <w:t>25</w:t>
      </w:r>
      <w:r w:rsidR="00C03048" w:rsidRPr="007E06D9">
        <w:rPr>
          <w:b/>
        </w:rPr>
        <w:t>.</w:t>
      </w:r>
      <w:r w:rsidR="003018D5">
        <w:t xml:space="preserve"> </w:t>
      </w:r>
      <w:r w:rsidR="00C03048" w:rsidRPr="007E06D9">
        <w:rPr>
          <w:b/>
        </w:rPr>
        <w:t xml:space="preserve">Events </w:t>
      </w:r>
      <w:r w:rsidR="00C543E1" w:rsidRPr="007E06D9">
        <w:rPr>
          <w:b/>
        </w:rPr>
        <w:t>after</w:t>
      </w:r>
      <w:r w:rsidR="00C03048" w:rsidRPr="007E06D9">
        <w:rPr>
          <w:b/>
        </w:rPr>
        <w:t xml:space="preserve"> the Balance Sheet Date</w:t>
      </w:r>
    </w:p>
    <w:p w:rsidR="00C03048" w:rsidRPr="007E06D9" w:rsidRDefault="007E06D9" w:rsidP="00053A62">
      <w:pPr>
        <w:spacing w:after="240"/>
        <w:ind w:left="709"/>
        <w:jc w:val="both"/>
      </w:pPr>
      <w:r w:rsidRPr="007E06D9">
        <w:t>Events after the balance s</w:t>
      </w:r>
      <w:r w:rsidR="00C03048" w:rsidRPr="007E06D9">
        <w:t>heet date are those events, both favourable and unfavourable, that occur between the end of the reporting period and the date when the Statement of Accounts is authorised for issue. Two types of events can be identified:</w:t>
      </w:r>
    </w:p>
    <w:p w:rsidR="00C03048" w:rsidRPr="007E06D9" w:rsidRDefault="009D499F" w:rsidP="00BD07E4">
      <w:pPr>
        <w:numPr>
          <w:ilvl w:val="0"/>
          <w:numId w:val="18"/>
        </w:numPr>
        <w:spacing w:after="240"/>
        <w:jc w:val="both"/>
      </w:pPr>
      <w:r w:rsidRPr="007E06D9">
        <w:t>Those</w:t>
      </w:r>
      <w:r w:rsidR="00C03048" w:rsidRPr="007E06D9">
        <w:t xml:space="preserve"> that provide evidence of conditions that existed at the end of the reporting period – the Statement of Accounts is adjusted to reflect such events</w:t>
      </w:r>
      <w:r w:rsidR="00687E14" w:rsidRPr="007E06D9">
        <w:t>.</w:t>
      </w:r>
    </w:p>
    <w:p w:rsidR="00C03048" w:rsidRPr="007E06D9" w:rsidRDefault="009D499F" w:rsidP="00BD07E4">
      <w:pPr>
        <w:numPr>
          <w:ilvl w:val="0"/>
          <w:numId w:val="18"/>
        </w:numPr>
        <w:spacing w:after="240"/>
        <w:jc w:val="both"/>
      </w:pPr>
      <w:r w:rsidRPr="007E06D9">
        <w:t>Those</w:t>
      </w:r>
      <w:r w:rsidR="00C03048" w:rsidRPr="007E06D9">
        <w:t xml:space="preserve"> that are indicative of conditions that arose after the reporting period – the Statement of Accounts </w:t>
      </w:r>
      <w:r w:rsidR="00C543E1" w:rsidRPr="007E06D9">
        <w:t>are</w:t>
      </w:r>
      <w:r w:rsidR="00C03048" w:rsidRPr="007E06D9">
        <w:t xml:space="preserve"> not adjusted to reflect such events, but where a category of events would have a material effect, disclosure is made in the notes to the nature of the events and their estimated financial effect.</w:t>
      </w:r>
    </w:p>
    <w:p w:rsidR="00C03048" w:rsidRPr="007E06D9" w:rsidRDefault="00C03048" w:rsidP="00053A62">
      <w:pPr>
        <w:spacing w:after="240"/>
        <w:ind w:left="709"/>
        <w:jc w:val="both"/>
      </w:pPr>
      <w:r w:rsidRPr="007E06D9">
        <w:t>Events taking place after the date of authorisation for issue are not reflected in the Statement of Accounts.</w:t>
      </w:r>
    </w:p>
    <w:p w:rsidR="00D6442C" w:rsidRPr="00B426B4" w:rsidRDefault="00D6442C" w:rsidP="00053A62">
      <w:pPr>
        <w:spacing w:after="240"/>
        <w:ind w:left="709"/>
        <w:jc w:val="both"/>
      </w:pPr>
    </w:p>
    <w:p w:rsidR="00C03048" w:rsidRPr="00B426B4" w:rsidRDefault="00837EDA" w:rsidP="00053A62">
      <w:pPr>
        <w:spacing w:after="240"/>
        <w:ind w:firstLine="709"/>
        <w:jc w:val="both"/>
        <w:rPr>
          <w:b/>
        </w:rPr>
      </w:pPr>
      <w:r>
        <w:rPr>
          <w:b/>
        </w:rPr>
        <w:t>2</w:t>
      </w:r>
      <w:r w:rsidR="005C0903">
        <w:rPr>
          <w:b/>
        </w:rPr>
        <w:t>6</w:t>
      </w:r>
      <w:r w:rsidR="003018D5">
        <w:rPr>
          <w:b/>
        </w:rPr>
        <w:t xml:space="preserve">. </w:t>
      </w:r>
      <w:r w:rsidR="00C03048" w:rsidRPr="00B426B4">
        <w:rPr>
          <w:b/>
        </w:rPr>
        <w:t>Contingent Liabilities</w:t>
      </w:r>
    </w:p>
    <w:p w:rsidR="00C03048" w:rsidRPr="00B426B4" w:rsidRDefault="00C03048" w:rsidP="00053A62">
      <w:pPr>
        <w:spacing w:after="240"/>
        <w:ind w:left="709"/>
        <w:jc w:val="both"/>
        <w:rPr>
          <w:b/>
        </w:rPr>
      </w:pPr>
      <w:r w:rsidRPr="00B426B4">
        <w:t xml:space="preserve">A contingent liability arises where an event has taken place that gives the </w:t>
      </w:r>
      <w:r w:rsidR="00CB5417">
        <w:t>Council</w:t>
      </w:r>
      <w:r w:rsidR="00CB5417" w:rsidRPr="00B426B4" w:rsidDel="00CB5417">
        <w:t xml:space="preserve"> </w:t>
      </w:r>
      <w:r w:rsidRPr="00B426B4">
        <w:t xml:space="preserve">a possible obligation whose existence will only be confirmed by the occurrence or otherwise of uncertain future events not wholly within the control of the </w:t>
      </w:r>
      <w:r w:rsidR="00CB5417">
        <w:t>Council</w:t>
      </w:r>
      <w:r w:rsidRPr="00B426B4">
        <w:t>. Contingent liabilities also arise in circumstances where a provision would otherwise be made but either it is not probable that the outflow of resources will be required or the amount of the obligation cannot be measured reliably.</w:t>
      </w:r>
      <w:r w:rsidRPr="00B426B4">
        <w:rPr>
          <w:b/>
        </w:rPr>
        <w:tab/>
      </w:r>
    </w:p>
    <w:p w:rsidR="00C03048" w:rsidRDefault="00C03048" w:rsidP="00053A62">
      <w:pPr>
        <w:spacing w:after="240"/>
        <w:ind w:left="709"/>
        <w:jc w:val="both"/>
      </w:pPr>
      <w:r w:rsidRPr="005F122B">
        <w:t>Contingent liabilities are not recognised in the Balance Sheet but disc</w:t>
      </w:r>
      <w:r w:rsidR="00CF4EBE" w:rsidRPr="005F122B">
        <w:t>losed in a n</w:t>
      </w:r>
      <w:r w:rsidR="00B426B4" w:rsidRPr="005F122B">
        <w:t xml:space="preserve">ote to the accounts </w:t>
      </w:r>
      <w:r w:rsidR="005F122B" w:rsidRPr="005F122B">
        <w:t>(see note 64</w:t>
      </w:r>
      <w:r w:rsidR="00CF4EBE" w:rsidRPr="005F122B">
        <w:t>).</w:t>
      </w:r>
    </w:p>
    <w:p w:rsidR="005B005D" w:rsidRDefault="005B005D" w:rsidP="00053A62">
      <w:pPr>
        <w:spacing w:after="240"/>
        <w:ind w:left="709"/>
        <w:jc w:val="both"/>
      </w:pPr>
    </w:p>
    <w:p w:rsidR="005B005D" w:rsidRPr="00B426B4" w:rsidRDefault="005B005D" w:rsidP="00053A62">
      <w:pPr>
        <w:spacing w:after="240"/>
        <w:ind w:left="709"/>
        <w:jc w:val="both"/>
      </w:pPr>
    </w:p>
    <w:p w:rsidR="00687D2A" w:rsidRPr="00687D2A" w:rsidRDefault="003018D5" w:rsidP="005F122B">
      <w:pPr>
        <w:pStyle w:val="ListParagraph"/>
        <w:numPr>
          <w:ilvl w:val="0"/>
          <w:numId w:val="67"/>
        </w:numPr>
        <w:spacing w:after="240"/>
        <w:jc w:val="both"/>
        <w:rPr>
          <w:b/>
        </w:rPr>
      </w:pPr>
      <w:r>
        <w:rPr>
          <w:b/>
        </w:rPr>
        <w:lastRenderedPageBreak/>
        <w:t xml:space="preserve"> </w:t>
      </w:r>
      <w:r w:rsidR="00687D2A" w:rsidRPr="00687D2A">
        <w:rPr>
          <w:b/>
        </w:rPr>
        <w:t>Contingent Assets</w:t>
      </w:r>
    </w:p>
    <w:p w:rsidR="00D6442C" w:rsidRPr="00DC56C0" w:rsidRDefault="00C03048" w:rsidP="00DC56C0">
      <w:pPr>
        <w:spacing w:after="240"/>
        <w:ind w:left="709"/>
        <w:jc w:val="both"/>
      </w:pPr>
      <w:r w:rsidRPr="00B426B4">
        <w:t xml:space="preserve">A contingent asset arises where an event has taken place that gives the </w:t>
      </w:r>
      <w:r w:rsidR="00CB5417">
        <w:t>Council</w:t>
      </w:r>
      <w:r w:rsidRPr="00B426B4">
        <w:t xml:space="preserve"> a possible asset whose existence will only be confirmed by the occurrence or otherwise of uncertain future events not wholly with</w:t>
      </w:r>
      <w:r w:rsidR="00CF4EBE" w:rsidRPr="00B426B4">
        <w:t>in the contr</w:t>
      </w:r>
      <w:r w:rsidR="00B426B4" w:rsidRPr="00B426B4">
        <w:t>ol of the</w:t>
      </w:r>
      <w:r w:rsidR="00CB5417" w:rsidRPr="00CB5417">
        <w:t xml:space="preserve"> </w:t>
      </w:r>
      <w:r w:rsidR="00CB5417">
        <w:t>Council</w:t>
      </w:r>
      <w:r w:rsidR="00CB5417" w:rsidRPr="00B426B4" w:rsidDel="00CB5417">
        <w:t xml:space="preserve"> </w:t>
      </w:r>
      <w:r w:rsidR="00CB5417">
        <w:t xml:space="preserve"> </w:t>
      </w:r>
      <w:r w:rsidR="00B426B4" w:rsidRPr="00C63351">
        <w:t>(see note 6</w:t>
      </w:r>
      <w:r w:rsidR="00111FF1">
        <w:t>5</w:t>
      </w:r>
      <w:r w:rsidR="00CF4EBE" w:rsidRPr="00C63351">
        <w:t>).</w:t>
      </w:r>
      <w:r w:rsidR="003E55D7">
        <w:t xml:space="preserve"> </w:t>
      </w:r>
    </w:p>
    <w:p w:rsidR="00C03048" w:rsidRPr="00184A47" w:rsidRDefault="00837EDA" w:rsidP="00053A62">
      <w:pPr>
        <w:spacing w:after="240"/>
        <w:ind w:firstLine="709"/>
        <w:jc w:val="both"/>
        <w:rPr>
          <w:b/>
        </w:rPr>
      </w:pPr>
      <w:r>
        <w:rPr>
          <w:b/>
        </w:rPr>
        <w:t>2</w:t>
      </w:r>
      <w:r w:rsidR="005F122B">
        <w:rPr>
          <w:b/>
        </w:rPr>
        <w:t>8</w:t>
      </w:r>
      <w:r w:rsidR="00C03048" w:rsidRPr="00184A47">
        <w:rPr>
          <w:b/>
        </w:rPr>
        <w:t>.   Value Added Tax (VAT)</w:t>
      </w:r>
    </w:p>
    <w:p w:rsidR="002920A1" w:rsidRPr="00DC56C0" w:rsidRDefault="00B37E6A" w:rsidP="005B005D">
      <w:pPr>
        <w:spacing w:after="240"/>
        <w:ind w:left="709"/>
        <w:jc w:val="both"/>
      </w:pPr>
      <w:r>
        <w:t xml:space="preserve">VAT </w:t>
      </w:r>
      <w:r w:rsidR="00C03048" w:rsidRPr="00184A47">
        <w:t>payable is included as an expense only to the extent that it is not recoverable from Her Majesty's Revenue and Customs. VAT receivable is excluded from income.</w:t>
      </w:r>
    </w:p>
    <w:p w:rsidR="009B5ED6" w:rsidRPr="00937DCA" w:rsidRDefault="00837EDA" w:rsidP="00053A62">
      <w:pPr>
        <w:spacing w:after="240"/>
        <w:ind w:left="709"/>
        <w:jc w:val="both"/>
        <w:rPr>
          <w:b/>
        </w:rPr>
      </w:pPr>
      <w:r w:rsidRPr="00937DCA">
        <w:rPr>
          <w:b/>
        </w:rPr>
        <w:t>2</w:t>
      </w:r>
      <w:r w:rsidR="005F122B">
        <w:rPr>
          <w:b/>
        </w:rPr>
        <w:t>9</w:t>
      </w:r>
      <w:r w:rsidR="009B5ED6" w:rsidRPr="00937DCA">
        <w:rPr>
          <w:b/>
        </w:rPr>
        <w:t>.   Construction Contracts</w:t>
      </w:r>
    </w:p>
    <w:p w:rsidR="00650835" w:rsidRPr="00937DCA" w:rsidRDefault="009B5ED6" w:rsidP="00384EDD">
      <w:pPr>
        <w:spacing w:after="240"/>
        <w:ind w:left="709"/>
        <w:jc w:val="both"/>
      </w:pPr>
      <w:r w:rsidRPr="00937DCA">
        <w:t xml:space="preserve">Construction contracts </w:t>
      </w:r>
      <w:r w:rsidR="001B5D52" w:rsidRPr="00937DCA">
        <w:t xml:space="preserve">are those contracts which the </w:t>
      </w:r>
      <w:r w:rsidR="00CB5417">
        <w:t>Council</w:t>
      </w:r>
      <w:r w:rsidR="001B5D52" w:rsidRPr="00937DCA">
        <w:t xml:space="preserve"> is undertaking on behalf of its customers, specifically negotiated for the construction of an asset. </w:t>
      </w:r>
    </w:p>
    <w:p w:rsidR="009B5ED6" w:rsidRPr="00937DCA" w:rsidRDefault="001B5D52" w:rsidP="00053A62">
      <w:pPr>
        <w:spacing w:after="240"/>
        <w:ind w:left="709"/>
        <w:jc w:val="both"/>
      </w:pPr>
      <w:r w:rsidRPr="00937DCA">
        <w:t xml:space="preserve">The </w:t>
      </w:r>
      <w:r w:rsidR="00CB5417">
        <w:t>Council</w:t>
      </w:r>
      <w:r w:rsidRPr="00937DCA">
        <w:t xml:space="preserve"> has </w:t>
      </w:r>
      <w:r w:rsidR="00937DCA">
        <w:t>98</w:t>
      </w:r>
      <w:r w:rsidR="003B4480" w:rsidRPr="00937DCA">
        <w:t xml:space="preserve"> </w:t>
      </w:r>
      <w:r w:rsidRPr="00937DCA">
        <w:t>construction</w:t>
      </w:r>
      <w:r w:rsidR="003B4480" w:rsidRPr="00937DCA">
        <w:t xml:space="preserve"> </w:t>
      </w:r>
      <w:r w:rsidRPr="00937DCA">
        <w:t>contracts in operation relating to Section 278 agreements</w:t>
      </w:r>
      <w:r w:rsidR="003B4480" w:rsidRPr="00937DCA">
        <w:t xml:space="preserve"> in which work is carried out on the existing adopted highway for the benefit of a third party, which is usually funded by the third party (e.g. a new supermarket). The full disclosure details are shown in </w:t>
      </w:r>
      <w:r w:rsidR="00CF4EBE" w:rsidRPr="00937DCA">
        <w:t>note 4</w:t>
      </w:r>
      <w:r w:rsidR="005F122B">
        <w:t>4</w:t>
      </w:r>
      <w:r w:rsidR="00CF4EBE" w:rsidRPr="00937DCA">
        <w:t>.</w:t>
      </w:r>
    </w:p>
    <w:p w:rsidR="00C03048" w:rsidRPr="00121E3C" w:rsidRDefault="00C03048" w:rsidP="00650835">
      <w:pPr>
        <w:rPr>
          <w:szCs w:val="18"/>
        </w:rPr>
      </w:pPr>
    </w:p>
    <w:p w:rsidR="00384EDD" w:rsidRPr="00121E3C" w:rsidRDefault="00384EDD" w:rsidP="00650835">
      <w:pPr>
        <w:rPr>
          <w:szCs w:val="18"/>
        </w:rPr>
      </w:pPr>
    </w:p>
    <w:p w:rsidR="008F2906" w:rsidRPr="00121E3C" w:rsidRDefault="008F2906" w:rsidP="00BD07E4">
      <w:pPr>
        <w:numPr>
          <w:ilvl w:val="0"/>
          <w:numId w:val="21"/>
        </w:numPr>
        <w:tabs>
          <w:tab w:val="num" w:pos="426"/>
        </w:tabs>
        <w:rPr>
          <w:szCs w:val="18"/>
        </w:rPr>
      </w:pPr>
      <w:r w:rsidRPr="00121E3C">
        <w:rPr>
          <w:szCs w:val="18"/>
        </w:rPr>
        <w:t xml:space="preserve"> </w:t>
      </w:r>
      <w:r w:rsidRPr="00121E3C">
        <w:rPr>
          <w:b/>
        </w:rPr>
        <w:t>Prior Period Adjustments</w:t>
      </w:r>
    </w:p>
    <w:p w:rsidR="00E24142" w:rsidRPr="00121E3C" w:rsidRDefault="00053A62" w:rsidP="00121E3C">
      <w:pPr>
        <w:tabs>
          <w:tab w:val="right" w:pos="5760"/>
        </w:tabs>
      </w:pPr>
      <w:r w:rsidRPr="00121E3C">
        <w:tab/>
      </w:r>
    </w:p>
    <w:p w:rsidR="00CA272B" w:rsidRPr="001A5141" w:rsidRDefault="00407A70" w:rsidP="003018D5">
      <w:pPr>
        <w:ind w:left="720"/>
        <w:jc w:val="both"/>
      </w:pPr>
      <w:r w:rsidRPr="001A5141">
        <w:t>The Code of Practice 2011-12, introduced a change in the treatment in accounting for heritage assets held by the Authority. As reflected in the accounting policies these assets are now required to be carried in the Balance Sheet at valuation.</w:t>
      </w:r>
    </w:p>
    <w:p w:rsidR="00CA272B" w:rsidRPr="001A5141" w:rsidRDefault="00CA272B" w:rsidP="003018D5">
      <w:pPr>
        <w:ind w:left="720"/>
        <w:jc w:val="both"/>
      </w:pPr>
    </w:p>
    <w:p w:rsidR="00CA272B" w:rsidRPr="001A5141" w:rsidRDefault="00407A70" w:rsidP="003018D5">
      <w:pPr>
        <w:ind w:left="720" w:firstLine="45"/>
        <w:jc w:val="both"/>
      </w:pPr>
      <w:r w:rsidRPr="001A5141">
        <w:t>Previously the Heritage assets were not held in the Balance Sheet as it was not possible to ascertain detailed cost information on all of the assets.</w:t>
      </w:r>
    </w:p>
    <w:p w:rsidR="00CA272B" w:rsidRPr="001A5141" w:rsidRDefault="00CA272B" w:rsidP="003018D5">
      <w:pPr>
        <w:ind w:left="720" w:firstLine="45"/>
        <w:jc w:val="both"/>
      </w:pPr>
    </w:p>
    <w:p w:rsidR="00CA272B" w:rsidRPr="001A5141" w:rsidRDefault="00407A70" w:rsidP="003018D5">
      <w:pPr>
        <w:ind w:left="720"/>
        <w:jc w:val="both"/>
      </w:pPr>
      <w:r w:rsidRPr="001A5141">
        <w:t>In applying the new accounting policy the Authority has identified assets to the value of £28.4m which are now held as heritage assets with a corresponding increase in the Revaluation Reserve.</w:t>
      </w:r>
    </w:p>
    <w:p w:rsidR="00CA272B" w:rsidRPr="001A5141" w:rsidRDefault="00CA272B" w:rsidP="003018D5">
      <w:pPr>
        <w:ind w:left="720"/>
        <w:jc w:val="both"/>
      </w:pPr>
    </w:p>
    <w:p w:rsidR="00CA272B" w:rsidRPr="001A5141" w:rsidRDefault="00407A70" w:rsidP="003018D5">
      <w:pPr>
        <w:ind w:left="720"/>
        <w:jc w:val="both"/>
      </w:pPr>
      <w:r w:rsidRPr="001A5141">
        <w:t xml:space="preserve">There </w:t>
      </w:r>
      <w:r w:rsidR="003018D5" w:rsidRPr="001A5141">
        <w:t>have been no material purchases</w:t>
      </w:r>
      <w:r w:rsidRPr="001A5141">
        <w:t xml:space="preserve"> or impairment of these assets in the past two years and the nature of the assets is such that they are not subject to depreciation therefore in re-stating the Balance Sheet at 1 April 2010 and 31 March 2011 the Heritage assets have been included at £28.4m. </w:t>
      </w:r>
    </w:p>
    <w:p w:rsidR="00CA272B" w:rsidRPr="001A5141" w:rsidRDefault="00CA272B" w:rsidP="003018D5">
      <w:pPr>
        <w:ind w:left="720"/>
        <w:jc w:val="both"/>
      </w:pPr>
    </w:p>
    <w:p w:rsidR="00CA272B" w:rsidRDefault="00407A70" w:rsidP="003018D5">
      <w:pPr>
        <w:ind w:left="720"/>
        <w:jc w:val="both"/>
      </w:pPr>
      <w:r w:rsidRPr="001A5141">
        <w:t>Subsequently there has been no restatement of the Comprehensive Income and Expenditure accounts. The Movement in Reserves Statement was restated to reflect the increase in the Revaluation Reserve from 1 April 2010</w:t>
      </w:r>
      <w:r>
        <w:t>.</w:t>
      </w:r>
    </w:p>
    <w:p w:rsidR="00E24142" w:rsidRPr="00286C0E" w:rsidRDefault="00E24142" w:rsidP="003018D5">
      <w:pPr>
        <w:tabs>
          <w:tab w:val="right" w:pos="5760"/>
        </w:tabs>
        <w:ind w:left="426"/>
        <w:jc w:val="both"/>
        <w:rPr>
          <w:highlight w:val="yellow"/>
        </w:rPr>
      </w:pPr>
    </w:p>
    <w:p w:rsidR="00650835" w:rsidRPr="00286C0E" w:rsidRDefault="00650835" w:rsidP="008F2906">
      <w:pPr>
        <w:rPr>
          <w:szCs w:val="18"/>
          <w:highlight w:val="yellow"/>
        </w:rPr>
      </w:pPr>
    </w:p>
    <w:p w:rsidR="0086659F" w:rsidRPr="00184A47" w:rsidRDefault="00035B99" w:rsidP="00BD07E4">
      <w:pPr>
        <w:numPr>
          <w:ilvl w:val="0"/>
          <w:numId w:val="21"/>
        </w:numPr>
        <w:rPr>
          <w:szCs w:val="18"/>
        </w:rPr>
      </w:pPr>
      <w:r w:rsidRPr="00184A47">
        <w:rPr>
          <w:b/>
          <w:szCs w:val="18"/>
        </w:rPr>
        <w:t>Critical judgements in applying accounting policies</w:t>
      </w:r>
      <w:r w:rsidR="00F34549" w:rsidRPr="00184A47">
        <w:rPr>
          <w:b/>
          <w:szCs w:val="18"/>
        </w:rPr>
        <w:t xml:space="preserve"> </w:t>
      </w:r>
    </w:p>
    <w:p w:rsidR="0078213B" w:rsidRPr="00184A47" w:rsidRDefault="0078213B" w:rsidP="0078213B">
      <w:pPr>
        <w:ind w:left="720"/>
        <w:rPr>
          <w:b/>
          <w:szCs w:val="18"/>
        </w:rPr>
      </w:pPr>
    </w:p>
    <w:p w:rsidR="0078213B" w:rsidRPr="00184A47" w:rsidRDefault="0078213B" w:rsidP="00121E3C">
      <w:pPr>
        <w:ind w:left="720"/>
        <w:jc w:val="both"/>
        <w:rPr>
          <w:szCs w:val="18"/>
        </w:rPr>
      </w:pPr>
      <w:r w:rsidRPr="00184A47">
        <w:rPr>
          <w:szCs w:val="18"/>
        </w:rPr>
        <w:t xml:space="preserve">The Statement of Accounting Policies is set out </w:t>
      </w:r>
      <w:r w:rsidR="009A6368" w:rsidRPr="00184A47">
        <w:rPr>
          <w:szCs w:val="18"/>
        </w:rPr>
        <w:t>in note 1</w:t>
      </w:r>
      <w:r w:rsidRPr="00184A47">
        <w:rPr>
          <w:szCs w:val="18"/>
        </w:rPr>
        <w:t xml:space="preserve">. In applying the accounting </w:t>
      </w:r>
      <w:r w:rsidR="00D21E94" w:rsidRPr="00184A47">
        <w:rPr>
          <w:szCs w:val="18"/>
        </w:rPr>
        <w:t>policies, the authority has to make certain judgements about complex transactions or those involving uncertainty about future events.</w:t>
      </w:r>
    </w:p>
    <w:p w:rsidR="00D21E94" w:rsidRPr="00184A47" w:rsidRDefault="00D21E94" w:rsidP="00D21E94">
      <w:pPr>
        <w:ind w:left="720"/>
        <w:jc w:val="both"/>
        <w:rPr>
          <w:szCs w:val="18"/>
        </w:rPr>
      </w:pPr>
    </w:p>
    <w:p w:rsidR="00D21E94" w:rsidRPr="00184A47" w:rsidRDefault="00D21E94" w:rsidP="00D21E94">
      <w:pPr>
        <w:ind w:left="720"/>
        <w:jc w:val="both"/>
        <w:rPr>
          <w:szCs w:val="18"/>
        </w:rPr>
      </w:pPr>
      <w:r w:rsidRPr="00184A47">
        <w:rPr>
          <w:szCs w:val="18"/>
        </w:rPr>
        <w:lastRenderedPageBreak/>
        <w:t>The critical judgements made in the Statement of Accounts are:</w:t>
      </w:r>
    </w:p>
    <w:p w:rsidR="00D21E94" w:rsidRPr="00184A47" w:rsidRDefault="00D21E94" w:rsidP="0078213B">
      <w:pPr>
        <w:ind w:left="720"/>
        <w:rPr>
          <w:szCs w:val="18"/>
        </w:rPr>
      </w:pPr>
    </w:p>
    <w:p w:rsidR="00D21E94" w:rsidRPr="00184A47" w:rsidRDefault="00284DEA" w:rsidP="00BD07E4">
      <w:pPr>
        <w:numPr>
          <w:ilvl w:val="0"/>
          <w:numId w:val="45"/>
        </w:numPr>
        <w:jc w:val="both"/>
        <w:rPr>
          <w:szCs w:val="18"/>
        </w:rPr>
      </w:pPr>
      <w:r w:rsidRPr="00184A47">
        <w:rPr>
          <w:szCs w:val="18"/>
        </w:rPr>
        <w:t>There is a high degree of uncertainty about future levels of funding for local government. However, the authority has determined that this uncertainty is not yet sufficient to provide an indication that the assets of the authority might be impaired as a result of a need to close facilities and reduce levels of service provision.</w:t>
      </w:r>
    </w:p>
    <w:p w:rsidR="00284DEA" w:rsidRPr="00184A47" w:rsidRDefault="00284DEA" w:rsidP="00284DEA">
      <w:pPr>
        <w:ind w:left="1080"/>
        <w:rPr>
          <w:szCs w:val="18"/>
        </w:rPr>
      </w:pPr>
    </w:p>
    <w:p w:rsidR="00D21E94" w:rsidRPr="00184A47" w:rsidRDefault="00284DEA" w:rsidP="00BD07E4">
      <w:pPr>
        <w:numPr>
          <w:ilvl w:val="0"/>
          <w:numId w:val="45"/>
        </w:numPr>
        <w:jc w:val="both"/>
        <w:rPr>
          <w:szCs w:val="18"/>
        </w:rPr>
      </w:pPr>
      <w:r w:rsidRPr="00184A47">
        <w:rPr>
          <w:szCs w:val="18"/>
        </w:rPr>
        <w:t>The authority is deemed to control the</w:t>
      </w:r>
      <w:r w:rsidR="00277EC1" w:rsidRPr="00184A47">
        <w:rPr>
          <w:szCs w:val="18"/>
        </w:rPr>
        <w:t xml:space="preserve"> services provided under the Private Finance Initiative (PFI) agreement for 12 schools, one library and a faith centre and also to control the residual value of the properties at the end of the agreement. The accounting policies for PFI schemes and similar contracts have been applied to the arrangement and the buildings </w:t>
      </w:r>
      <w:r w:rsidR="00184A47" w:rsidRPr="00A075E6">
        <w:rPr>
          <w:szCs w:val="18"/>
        </w:rPr>
        <w:t>(valued at £</w:t>
      </w:r>
      <w:r w:rsidR="00A075E6" w:rsidRPr="00A075E6">
        <w:rPr>
          <w:szCs w:val="18"/>
        </w:rPr>
        <w:t xml:space="preserve">462 </w:t>
      </w:r>
      <w:r w:rsidR="00277EC1" w:rsidRPr="00A075E6">
        <w:rPr>
          <w:szCs w:val="18"/>
        </w:rPr>
        <w:t xml:space="preserve">million) </w:t>
      </w:r>
      <w:r w:rsidR="00277EC1" w:rsidRPr="00184A47">
        <w:rPr>
          <w:szCs w:val="18"/>
        </w:rPr>
        <w:t>are recognised as Property, Plant and Equipment on the authority's balance sheet.</w:t>
      </w:r>
    </w:p>
    <w:p w:rsidR="00284DEA" w:rsidRPr="00184A47" w:rsidRDefault="00284DEA" w:rsidP="00C828A8">
      <w:pPr>
        <w:pStyle w:val="ListParagraph"/>
        <w:jc w:val="both"/>
        <w:rPr>
          <w:szCs w:val="18"/>
        </w:rPr>
      </w:pPr>
    </w:p>
    <w:p w:rsidR="00284DEA" w:rsidRPr="00184A47" w:rsidRDefault="0052693A" w:rsidP="00BD07E4">
      <w:pPr>
        <w:numPr>
          <w:ilvl w:val="0"/>
          <w:numId w:val="45"/>
        </w:numPr>
        <w:jc w:val="both"/>
        <w:rPr>
          <w:szCs w:val="18"/>
        </w:rPr>
      </w:pPr>
      <w:r w:rsidRPr="00184A47">
        <w:rPr>
          <w:szCs w:val="18"/>
        </w:rPr>
        <w:t xml:space="preserve">The authority has to decide whether land and buildings owned by the authority are investment properties, whereby they are held solely for rental income or capital appreciation purposes or both. It has been determined that the authority does hold investment properties which have been valued </w:t>
      </w:r>
      <w:r w:rsidRPr="005A7A20">
        <w:rPr>
          <w:szCs w:val="18"/>
        </w:rPr>
        <w:t xml:space="preserve">at </w:t>
      </w:r>
      <w:r w:rsidR="00184A47" w:rsidRPr="005A7A20">
        <w:rPr>
          <w:szCs w:val="18"/>
        </w:rPr>
        <w:t>£</w:t>
      </w:r>
      <w:r w:rsidR="00ED02D2">
        <w:rPr>
          <w:szCs w:val="18"/>
        </w:rPr>
        <w:t>5.5</w:t>
      </w:r>
      <w:r w:rsidRPr="005A7A20">
        <w:rPr>
          <w:szCs w:val="18"/>
        </w:rPr>
        <w:t xml:space="preserve"> million </w:t>
      </w:r>
      <w:r w:rsidRPr="00184A47">
        <w:rPr>
          <w:szCs w:val="18"/>
        </w:rPr>
        <w:t>as at 31</w:t>
      </w:r>
      <w:r w:rsidR="00184A47" w:rsidRPr="00184A47">
        <w:rPr>
          <w:szCs w:val="18"/>
        </w:rPr>
        <w:t xml:space="preserve"> March 2012</w:t>
      </w:r>
      <w:r w:rsidRPr="00184A47">
        <w:rPr>
          <w:szCs w:val="18"/>
        </w:rPr>
        <w:t>.</w:t>
      </w:r>
    </w:p>
    <w:p w:rsidR="0052693A" w:rsidRPr="00184A47" w:rsidRDefault="0052693A" w:rsidP="00C828A8">
      <w:pPr>
        <w:pStyle w:val="ListParagraph"/>
        <w:jc w:val="both"/>
        <w:rPr>
          <w:szCs w:val="18"/>
        </w:rPr>
      </w:pPr>
    </w:p>
    <w:p w:rsidR="00650835" w:rsidRPr="00184A47" w:rsidRDefault="0052693A" w:rsidP="00BD07E4">
      <w:pPr>
        <w:numPr>
          <w:ilvl w:val="0"/>
          <w:numId w:val="45"/>
        </w:numPr>
        <w:jc w:val="both"/>
        <w:rPr>
          <w:szCs w:val="18"/>
        </w:rPr>
      </w:pPr>
      <w:r w:rsidRPr="00184A47">
        <w:rPr>
          <w:szCs w:val="18"/>
        </w:rPr>
        <w:t xml:space="preserve">The authority has to determine whether the leases it enters should be classified as operating or finance leases. The authority must also consider whether contractual arrangements it enters into have the substance of a lease. </w:t>
      </w:r>
    </w:p>
    <w:p w:rsidR="00650835" w:rsidRPr="00184A47" w:rsidRDefault="00650835" w:rsidP="00C828A8">
      <w:pPr>
        <w:pStyle w:val="ListParagraph"/>
        <w:jc w:val="both"/>
        <w:rPr>
          <w:szCs w:val="18"/>
        </w:rPr>
      </w:pPr>
    </w:p>
    <w:p w:rsidR="00FB7D0A" w:rsidRPr="00184A47" w:rsidRDefault="0052693A" w:rsidP="00BD07E4">
      <w:pPr>
        <w:numPr>
          <w:ilvl w:val="0"/>
          <w:numId w:val="45"/>
        </w:numPr>
        <w:jc w:val="both"/>
        <w:rPr>
          <w:szCs w:val="18"/>
        </w:rPr>
      </w:pPr>
      <w:r w:rsidRPr="00184A47">
        <w:rPr>
          <w:szCs w:val="18"/>
        </w:rPr>
        <w:t>These judgements are made on the professional opinion of the authority's accountants, valuers and procurement managers based on contract procedure rules and the strict criteria set out in International Accounting Standard 17 (IAS 17) relating to leases. In addition the International Financial Interpretations Committee</w:t>
      </w:r>
      <w:r w:rsidR="00E90557" w:rsidRPr="00184A47">
        <w:rPr>
          <w:szCs w:val="18"/>
        </w:rPr>
        <w:t>s 4 and 12</w:t>
      </w:r>
      <w:r w:rsidRPr="00184A47">
        <w:rPr>
          <w:szCs w:val="18"/>
        </w:rPr>
        <w:t xml:space="preserve"> (IFRIC</w:t>
      </w:r>
      <w:r w:rsidR="009133DE" w:rsidRPr="00184A47">
        <w:rPr>
          <w:szCs w:val="18"/>
        </w:rPr>
        <w:t xml:space="preserve"> </w:t>
      </w:r>
      <w:r w:rsidR="00E90557" w:rsidRPr="00184A47">
        <w:rPr>
          <w:szCs w:val="18"/>
        </w:rPr>
        <w:t>4 and IFRIC 12) contain specific criteria relating to whether contractual arrangements have the substance of a lease. The relevant accounting policy has been applied based on the outcome of the assessment.</w:t>
      </w:r>
    </w:p>
    <w:p w:rsidR="00FB7D0A" w:rsidRPr="00184A47" w:rsidRDefault="00FB7D0A" w:rsidP="00C828A8">
      <w:pPr>
        <w:pStyle w:val="ListParagraph"/>
        <w:jc w:val="both"/>
        <w:rPr>
          <w:szCs w:val="18"/>
        </w:rPr>
      </w:pPr>
    </w:p>
    <w:p w:rsidR="00E90557" w:rsidRPr="00184A47" w:rsidRDefault="00FB7D0A" w:rsidP="00BD07E4">
      <w:pPr>
        <w:numPr>
          <w:ilvl w:val="0"/>
          <w:numId w:val="45"/>
        </w:numPr>
        <w:jc w:val="both"/>
        <w:rPr>
          <w:szCs w:val="18"/>
        </w:rPr>
      </w:pPr>
      <w:r w:rsidRPr="00184A47">
        <w:rPr>
          <w:szCs w:val="18"/>
        </w:rPr>
        <w:t xml:space="preserve">The </w:t>
      </w:r>
      <w:r w:rsidR="00E90557" w:rsidRPr="00184A47">
        <w:rPr>
          <w:szCs w:val="18"/>
        </w:rPr>
        <w:t xml:space="preserve">authority has to determine whether there is a group relationship between the authority and other entities. The accountants have assessed each relationship that exists between the authority and other entities in accordance with the accounting standards and the finance guidance provided by the Chartered Institute of </w:t>
      </w:r>
      <w:r w:rsidR="009D499F" w:rsidRPr="00184A47">
        <w:rPr>
          <w:szCs w:val="18"/>
        </w:rPr>
        <w:t>Public</w:t>
      </w:r>
      <w:r w:rsidR="00E90557" w:rsidRPr="00184A47">
        <w:rPr>
          <w:szCs w:val="18"/>
        </w:rPr>
        <w:t xml:space="preserve"> Finance and Accountancy (CIPFA). The authority's relationships with other entities can been found in </w:t>
      </w:r>
      <w:r w:rsidR="00E90557" w:rsidRPr="004E2311">
        <w:rPr>
          <w:szCs w:val="18"/>
        </w:rPr>
        <w:t xml:space="preserve">note </w:t>
      </w:r>
      <w:r w:rsidR="00CF4EBE" w:rsidRPr="004E2311">
        <w:rPr>
          <w:szCs w:val="18"/>
        </w:rPr>
        <w:t>6</w:t>
      </w:r>
      <w:r w:rsidR="00111FF1">
        <w:rPr>
          <w:szCs w:val="18"/>
        </w:rPr>
        <w:t>3</w:t>
      </w:r>
      <w:r w:rsidR="00E90557" w:rsidRPr="00184A47">
        <w:rPr>
          <w:szCs w:val="18"/>
        </w:rPr>
        <w:t>.</w:t>
      </w:r>
      <w:r w:rsidR="009133DE" w:rsidRPr="00184A47">
        <w:rPr>
          <w:szCs w:val="18"/>
        </w:rPr>
        <w:t xml:space="preserve">  We have re</w:t>
      </w:r>
      <w:r w:rsidR="00184A47">
        <w:rPr>
          <w:szCs w:val="18"/>
        </w:rPr>
        <w:t>viewed the position for the 2011</w:t>
      </w:r>
      <w:r w:rsidR="009133DE" w:rsidRPr="00184A47">
        <w:rPr>
          <w:szCs w:val="18"/>
        </w:rPr>
        <w:t>/1</w:t>
      </w:r>
      <w:r w:rsidR="00184A47">
        <w:rPr>
          <w:szCs w:val="18"/>
        </w:rPr>
        <w:t>2</w:t>
      </w:r>
      <w:r w:rsidR="009133DE" w:rsidRPr="00184A47">
        <w:rPr>
          <w:szCs w:val="18"/>
        </w:rPr>
        <w:t xml:space="preserve"> accounts and again, this year's statement of accounts does not include a set of group accounts due to the following factors:</w:t>
      </w:r>
    </w:p>
    <w:p w:rsidR="009133DE" w:rsidRPr="00184A47" w:rsidRDefault="009133DE" w:rsidP="00C828A8">
      <w:pPr>
        <w:pStyle w:val="ListParagraph"/>
        <w:jc w:val="both"/>
        <w:rPr>
          <w:szCs w:val="18"/>
        </w:rPr>
      </w:pPr>
    </w:p>
    <w:p w:rsidR="009133DE" w:rsidRPr="00184A47" w:rsidRDefault="009133DE" w:rsidP="00BD07E4">
      <w:pPr>
        <w:numPr>
          <w:ilvl w:val="0"/>
          <w:numId w:val="49"/>
        </w:numPr>
        <w:jc w:val="both"/>
        <w:rPr>
          <w:szCs w:val="18"/>
        </w:rPr>
      </w:pPr>
      <w:r w:rsidRPr="00184A47">
        <w:rPr>
          <w:szCs w:val="18"/>
        </w:rPr>
        <w:t>The relative lack of materiality of the financi</w:t>
      </w:r>
      <w:r w:rsidR="00184A47">
        <w:rPr>
          <w:szCs w:val="18"/>
        </w:rPr>
        <w:t xml:space="preserve">al size of the group members </w:t>
      </w:r>
      <w:r w:rsidRPr="00184A47">
        <w:rPr>
          <w:szCs w:val="18"/>
        </w:rPr>
        <w:t>compared with that of the council.</w:t>
      </w:r>
    </w:p>
    <w:p w:rsidR="009133DE" w:rsidRPr="00184A47" w:rsidRDefault="009133DE" w:rsidP="00C828A8">
      <w:pPr>
        <w:ind w:left="1800"/>
        <w:jc w:val="both"/>
        <w:rPr>
          <w:szCs w:val="18"/>
        </w:rPr>
      </w:pPr>
    </w:p>
    <w:p w:rsidR="009133DE" w:rsidRPr="00184A47" w:rsidRDefault="009133DE" w:rsidP="00BD07E4">
      <w:pPr>
        <w:numPr>
          <w:ilvl w:val="0"/>
          <w:numId w:val="49"/>
        </w:numPr>
        <w:jc w:val="both"/>
        <w:rPr>
          <w:szCs w:val="18"/>
        </w:rPr>
      </w:pPr>
      <w:r w:rsidRPr="00184A47">
        <w:rPr>
          <w:szCs w:val="18"/>
        </w:rPr>
        <w:t xml:space="preserve"> The low level of financial risk to the </w:t>
      </w:r>
      <w:r w:rsidR="001F1A1A">
        <w:rPr>
          <w:szCs w:val="18"/>
        </w:rPr>
        <w:t>County Council</w:t>
      </w:r>
      <w:r w:rsidRPr="00184A47">
        <w:rPr>
          <w:szCs w:val="18"/>
        </w:rPr>
        <w:t xml:space="preserve"> f</w:t>
      </w:r>
      <w:r w:rsidR="00184A47">
        <w:rPr>
          <w:szCs w:val="18"/>
        </w:rPr>
        <w:t xml:space="preserve">rom its involvement with the </w:t>
      </w:r>
      <w:r w:rsidRPr="00184A47">
        <w:rPr>
          <w:szCs w:val="18"/>
        </w:rPr>
        <w:t xml:space="preserve">group members: for example many group members are companies limited by guarantee, the </w:t>
      </w:r>
      <w:r w:rsidR="001F1A1A">
        <w:rPr>
          <w:szCs w:val="18"/>
        </w:rPr>
        <w:t>County Council</w:t>
      </w:r>
      <w:r w:rsidRPr="00184A47">
        <w:rPr>
          <w:szCs w:val="18"/>
        </w:rPr>
        <w:t>'s guarantee sum being £1.</w:t>
      </w:r>
    </w:p>
    <w:p w:rsidR="009133DE" w:rsidRPr="00184A47" w:rsidRDefault="009133DE" w:rsidP="00C828A8">
      <w:pPr>
        <w:pStyle w:val="ListParagraph"/>
        <w:jc w:val="both"/>
        <w:rPr>
          <w:szCs w:val="18"/>
        </w:rPr>
      </w:pPr>
    </w:p>
    <w:p w:rsidR="009133DE" w:rsidRPr="00184A47" w:rsidRDefault="009133DE" w:rsidP="00BD07E4">
      <w:pPr>
        <w:numPr>
          <w:ilvl w:val="0"/>
          <w:numId w:val="49"/>
        </w:numPr>
        <w:jc w:val="both"/>
        <w:rPr>
          <w:szCs w:val="18"/>
        </w:rPr>
      </w:pPr>
      <w:r w:rsidRPr="00184A47">
        <w:rPr>
          <w:szCs w:val="18"/>
        </w:rPr>
        <w:t>The very low level of involvement of the group members in delivering the council's statutory or significant core services.</w:t>
      </w:r>
    </w:p>
    <w:p w:rsidR="006042F7" w:rsidRPr="00184A47" w:rsidRDefault="006042F7" w:rsidP="00C828A8">
      <w:pPr>
        <w:pStyle w:val="ListParagraph"/>
        <w:jc w:val="both"/>
        <w:rPr>
          <w:szCs w:val="18"/>
        </w:rPr>
      </w:pPr>
    </w:p>
    <w:p w:rsidR="006042F7" w:rsidRDefault="00284DD9" w:rsidP="00C828A8">
      <w:pPr>
        <w:numPr>
          <w:ilvl w:val="0"/>
          <w:numId w:val="51"/>
        </w:numPr>
        <w:jc w:val="both"/>
        <w:rPr>
          <w:szCs w:val="18"/>
        </w:rPr>
      </w:pPr>
      <w:r w:rsidRPr="00184A47">
        <w:rPr>
          <w:szCs w:val="18"/>
        </w:rPr>
        <w:lastRenderedPageBreak/>
        <w:t xml:space="preserve">The Valuation and Estates department are required to exercise judgement in determining the carrying value of land and, buildings on the authority’s Balance Sheet. The valuations are undertaken by in-house qualified </w:t>
      </w:r>
      <w:r w:rsidR="003018D5" w:rsidRPr="00184A47">
        <w:rPr>
          <w:szCs w:val="18"/>
        </w:rPr>
        <w:t>staffs that follow</w:t>
      </w:r>
      <w:r w:rsidRPr="00184A47">
        <w:rPr>
          <w:szCs w:val="18"/>
        </w:rPr>
        <w:t xml:space="preserve"> best practice. In addition to valuations which are undertaken in year the valuer uses the knowledge of the local market conditions and available national data to assess whether there have been changes which would require a review of all as</w:t>
      </w:r>
      <w:r w:rsidR="00184A47">
        <w:rPr>
          <w:szCs w:val="18"/>
        </w:rPr>
        <w:t>set values held at 31 March 2012</w:t>
      </w:r>
      <w:r w:rsidRPr="00184A47">
        <w:rPr>
          <w:szCs w:val="18"/>
        </w:rPr>
        <w:t>. It was not considered that th</w:t>
      </w:r>
      <w:r w:rsidR="00184A47">
        <w:rPr>
          <w:szCs w:val="18"/>
        </w:rPr>
        <w:t>ere was any such need in 2011/12</w:t>
      </w:r>
      <w:r w:rsidRPr="00184A47">
        <w:rPr>
          <w:szCs w:val="18"/>
        </w:rPr>
        <w:t>.</w:t>
      </w:r>
    </w:p>
    <w:p w:rsidR="002920A1" w:rsidRDefault="002920A1" w:rsidP="002920A1">
      <w:pPr>
        <w:jc w:val="both"/>
        <w:rPr>
          <w:szCs w:val="18"/>
        </w:rPr>
      </w:pPr>
    </w:p>
    <w:p w:rsidR="002920A1" w:rsidRPr="002920A1" w:rsidRDefault="002920A1" w:rsidP="002920A1">
      <w:pPr>
        <w:jc w:val="both"/>
        <w:rPr>
          <w:szCs w:val="18"/>
        </w:rPr>
      </w:pPr>
    </w:p>
    <w:p w:rsidR="007F011F" w:rsidRPr="00B426B4" w:rsidRDefault="007F011F" w:rsidP="00650835">
      <w:pPr>
        <w:rPr>
          <w:szCs w:val="18"/>
        </w:rPr>
      </w:pPr>
    </w:p>
    <w:p w:rsidR="00134E4F" w:rsidRPr="00B426B4" w:rsidRDefault="0078213B" w:rsidP="00BD07E4">
      <w:pPr>
        <w:numPr>
          <w:ilvl w:val="0"/>
          <w:numId w:val="21"/>
        </w:numPr>
        <w:rPr>
          <w:szCs w:val="18"/>
        </w:rPr>
      </w:pPr>
      <w:r w:rsidRPr="00B426B4">
        <w:rPr>
          <w:b/>
          <w:szCs w:val="18"/>
        </w:rPr>
        <w:t>Accounting Standards that have been issued but have not yet been adopted</w:t>
      </w:r>
    </w:p>
    <w:p w:rsidR="00EE7A0C" w:rsidRPr="00B426B4" w:rsidRDefault="00EE7A0C" w:rsidP="00570718">
      <w:pPr>
        <w:ind w:left="720"/>
        <w:rPr>
          <w:szCs w:val="18"/>
        </w:rPr>
      </w:pPr>
    </w:p>
    <w:p w:rsidR="00B426B4" w:rsidRPr="00B426B4" w:rsidRDefault="00B426B4" w:rsidP="00B426B4">
      <w:pPr>
        <w:autoSpaceDE w:val="0"/>
        <w:autoSpaceDN w:val="0"/>
        <w:adjustRightInd w:val="0"/>
        <w:ind w:left="720"/>
        <w:jc w:val="both"/>
        <w:rPr>
          <w:szCs w:val="18"/>
        </w:rPr>
      </w:pPr>
      <w:r w:rsidRPr="00B426B4">
        <w:rPr>
          <w:szCs w:val="18"/>
        </w:rPr>
        <w:t xml:space="preserve">The Code of Practice on Local Authority Accounting in the United Kingdom 2012/13 (the Code) has introduced a change in accounting policy as a result of amendments to IFRS 7 – Financial Instruments Disclosures (transfer of financial assets), issued in October 2010. </w:t>
      </w:r>
    </w:p>
    <w:p w:rsidR="00B426B4" w:rsidRPr="00B426B4" w:rsidRDefault="00B426B4" w:rsidP="00B426B4">
      <w:pPr>
        <w:autoSpaceDE w:val="0"/>
        <w:autoSpaceDN w:val="0"/>
        <w:adjustRightInd w:val="0"/>
        <w:ind w:left="720"/>
        <w:jc w:val="both"/>
        <w:rPr>
          <w:szCs w:val="18"/>
        </w:rPr>
      </w:pPr>
    </w:p>
    <w:p w:rsidR="00B426B4" w:rsidRPr="00B426B4" w:rsidRDefault="00B426B4" w:rsidP="00B426B4">
      <w:pPr>
        <w:autoSpaceDE w:val="0"/>
        <w:autoSpaceDN w:val="0"/>
        <w:adjustRightInd w:val="0"/>
        <w:ind w:left="720"/>
        <w:jc w:val="both"/>
        <w:rPr>
          <w:szCs w:val="18"/>
        </w:rPr>
      </w:pPr>
      <w:r w:rsidRPr="00B426B4">
        <w:rPr>
          <w:szCs w:val="18"/>
        </w:rPr>
        <w:t xml:space="preserve">The amendments are intended to assist users of the financial statements to evaluate the risk exposures that relate to transfers of financial assets and the effect of those risks on the authority’s financial position. Relevant circumstances would arise where an authority retains ownership of a financial asset but contracts to reassign or otherwise pay over the cash flows generated by the instrument, at the same time as retaining substantially all the risks and rewards of ownership. </w:t>
      </w:r>
    </w:p>
    <w:p w:rsidR="00B426B4" w:rsidRPr="00B426B4" w:rsidRDefault="00B426B4" w:rsidP="00B426B4">
      <w:pPr>
        <w:autoSpaceDE w:val="0"/>
        <w:autoSpaceDN w:val="0"/>
        <w:adjustRightInd w:val="0"/>
        <w:ind w:left="720"/>
        <w:jc w:val="both"/>
        <w:rPr>
          <w:szCs w:val="18"/>
        </w:rPr>
      </w:pPr>
    </w:p>
    <w:p w:rsidR="00B426B4" w:rsidRPr="00B426B4" w:rsidRDefault="00B426B4" w:rsidP="00B426B4">
      <w:pPr>
        <w:autoSpaceDE w:val="0"/>
        <w:autoSpaceDN w:val="0"/>
        <w:adjustRightInd w:val="0"/>
        <w:ind w:left="720"/>
        <w:jc w:val="both"/>
        <w:rPr>
          <w:szCs w:val="18"/>
        </w:rPr>
      </w:pPr>
      <w:r w:rsidRPr="00B426B4">
        <w:rPr>
          <w:szCs w:val="18"/>
        </w:rPr>
        <w:t>The Council is not currently party to any such arrangements and it is therefore not expected to have any impact on the 2012/13 financial statements.</w:t>
      </w:r>
    </w:p>
    <w:p w:rsidR="00B426B4" w:rsidRDefault="00B426B4" w:rsidP="00BC6A99">
      <w:pPr>
        <w:autoSpaceDE w:val="0"/>
        <w:autoSpaceDN w:val="0"/>
        <w:adjustRightInd w:val="0"/>
        <w:ind w:left="720"/>
        <w:jc w:val="both"/>
        <w:rPr>
          <w:szCs w:val="18"/>
          <w:highlight w:val="yellow"/>
        </w:rPr>
      </w:pPr>
    </w:p>
    <w:p w:rsidR="00035B99" w:rsidRPr="00DC56C0" w:rsidRDefault="00035B99" w:rsidP="00260021">
      <w:pPr>
        <w:rPr>
          <w:szCs w:val="18"/>
        </w:rPr>
      </w:pPr>
    </w:p>
    <w:p w:rsidR="00035B99" w:rsidRPr="00DC56C0" w:rsidRDefault="00035B99" w:rsidP="00BD07E4">
      <w:pPr>
        <w:numPr>
          <w:ilvl w:val="0"/>
          <w:numId w:val="21"/>
        </w:numPr>
        <w:rPr>
          <w:b/>
          <w:szCs w:val="18"/>
        </w:rPr>
      </w:pPr>
      <w:r w:rsidRPr="00DC56C0">
        <w:rPr>
          <w:b/>
          <w:szCs w:val="18"/>
        </w:rPr>
        <w:t>Assumptions made about the future and other major sources of estimation uncertainty</w:t>
      </w:r>
      <w:r w:rsidR="00F34549" w:rsidRPr="00DC56C0">
        <w:rPr>
          <w:b/>
          <w:szCs w:val="18"/>
        </w:rPr>
        <w:t xml:space="preserve"> </w:t>
      </w:r>
    </w:p>
    <w:p w:rsidR="0078213B" w:rsidRPr="00DC56C0" w:rsidRDefault="0078213B" w:rsidP="0078213B">
      <w:pPr>
        <w:pStyle w:val="ListParagraph"/>
        <w:rPr>
          <w:b/>
          <w:szCs w:val="18"/>
        </w:rPr>
      </w:pPr>
    </w:p>
    <w:p w:rsidR="00D21E94" w:rsidRPr="00DC56C0" w:rsidRDefault="00D21E94" w:rsidP="00BC6A99">
      <w:pPr>
        <w:pStyle w:val="ListParagraph"/>
        <w:jc w:val="both"/>
        <w:rPr>
          <w:szCs w:val="18"/>
        </w:rPr>
      </w:pPr>
      <w:r w:rsidRPr="00DC56C0">
        <w:rPr>
          <w:szCs w:val="18"/>
        </w:rPr>
        <w:t>The Statement of Accounts contains estimated figures that are based on assumptions made by the Authority about the future or that are otherwise uncertain.  Estimates are made taking into account historical experience, current trends and other relevant factors.  However, because balances cannot be determined with certainty, actual results could be materially different from the assumptions and estimates.</w:t>
      </w:r>
    </w:p>
    <w:p w:rsidR="00D21E94" w:rsidRPr="00DC56C0" w:rsidRDefault="00D21E94" w:rsidP="00BC6A99">
      <w:pPr>
        <w:pStyle w:val="ListParagraph"/>
        <w:jc w:val="both"/>
        <w:rPr>
          <w:szCs w:val="18"/>
        </w:rPr>
      </w:pPr>
    </w:p>
    <w:p w:rsidR="00284C6F" w:rsidRDefault="00D21E94" w:rsidP="00BC6A99">
      <w:pPr>
        <w:pStyle w:val="ListParagraph"/>
        <w:jc w:val="both"/>
        <w:rPr>
          <w:szCs w:val="18"/>
        </w:rPr>
      </w:pPr>
      <w:r w:rsidRPr="00DC56C0">
        <w:rPr>
          <w:szCs w:val="18"/>
        </w:rPr>
        <w:t>The items in the authority's balance sheet at 31 March 201</w:t>
      </w:r>
      <w:r w:rsidR="00DC56C0" w:rsidRPr="00DC56C0">
        <w:rPr>
          <w:szCs w:val="18"/>
        </w:rPr>
        <w:t>2</w:t>
      </w:r>
      <w:r w:rsidRPr="00DC56C0">
        <w:rPr>
          <w:szCs w:val="18"/>
        </w:rPr>
        <w:t xml:space="preserve"> for which there is a significant risk of material adjustment in the forthcoming financial year are as follows:</w:t>
      </w:r>
    </w:p>
    <w:p w:rsidR="005B005D" w:rsidRDefault="005B005D" w:rsidP="00BC6A99">
      <w:pPr>
        <w:pStyle w:val="ListParagraph"/>
        <w:jc w:val="both"/>
        <w:rPr>
          <w:szCs w:val="18"/>
        </w:rPr>
      </w:pPr>
    </w:p>
    <w:p w:rsidR="005B005D" w:rsidRDefault="005B005D" w:rsidP="00BC6A99">
      <w:pPr>
        <w:pStyle w:val="ListParagraph"/>
        <w:jc w:val="both"/>
        <w:rPr>
          <w:szCs w:val="18"/>
        </w:rPr>
      </w:pPr>
    </w:p>
    <w:p w:rsidR="005B005D" w:rsidRDefault="005B005D" w:rsidP="00BC6A99">
      <w:pPr>
        <w:pStyle w:val="ListParagraph"/>
        <w:jc w:val="both"/>
        <w:rPr>
          <w:szCs w:val="18"/>
        </w:rPr>
      </w:pPr>
    </w:p>
    <w:p w:rsidR="005B005D" w:rsidRDefault="005B005D" w:rsidP="00BC6A99">
      <w:pPr>
        <w:pStyle w:val="ListParagraph"/>
        <w:jc w:val="both"/>
        <w:rPr>
          <w:szCs w:val="18"/>
        </w:rPr>
      </w:pPr>
    </w:p>
    <w:p w:rsidR="005B005D" w:rsidRDefault="005B005D" w:rsidP="00BC6A99">
      <w:pPr>
        <w:pStyle w:val="ListParagraph"/>
        <w:jc w:val="both"/>
        <w:rPr>
          <w:szCs w:val="18"/>
        </w:rPr>
      </w:pPr>
    </w:p>
    <w:p w:rsidR="005B005D" w:rsidRDefault="005B005D" w:rsidP="00BC6A99">
      <w:pPr>
        <w:pStyle w:val="ListParagraph"/>
        <w:jc w:val="both"/>
        <w:rPr>
          <w:szCs w:val="18"/>
        </w:rPr>
      </w:pPr>
    </w:p>
    <w:p w:rsidR="005B005D" w:rsidRDefault="005B005D" w:rsidP="00BC6A99">
      <w:pPr>
        <w:pStyle w:val="ListParagraph"/>
        <w:jc w:val="both"/>
        <w:rPr>
          <w:szCs w:val="18"/>
        </w:rPr>
      </w:pPr>
    </w:p>
    <w:p w:rsidR="005B005D" w:rsidRDefault="005B005D" w:rsidP="00BC6A99">
      <w:pPr>
        <w:pStyle w:val="ListParagraph"/>
        <w:jc w:val="both"/>
        <w:rPr>
          <w:szCs w:val="18"/>
        </w:rPr>
      </w:pPr>
    </w:p>
    <w:p w:rsidR="005B005D" w:rsidRDefault="005B005D" w:rsidP="00BC6A99">
      <w:pPr>
        <w:pStyle w:val="ListParagraph"/>
        <w:jc w:val="both"/>
        <w:rPr>
          <w:szCs w:val="18"/>
        </w:rPr>
      </w:pPr>
    </w:p>
    <w:p w:rsidR="005B005D" w:rsidRDefault="005B005D" w:rsidP="00BC6A99">
      <w:pPr>
        <w:pStyle w:val="ListParagraph"/>
        <w:jc w:val="both"/>
        <w:rPr>
          <w:szCs w:val="18"/>
        </w:rPr>
      </w:pPr>
    </w:p>
    <w:p w:rsidR="005B005D" w:rsidRDefault="005B005D" w:rsidP="00BC6A99">
      <w:pPr>
        <w:pStyle w:val="ListParagraph"/>
        <w:jc w:val="both"/>
        <w:rPr>
          <w:szCs w:val="18"/>
        </w:rPr>
      </w:pPr>
    </w:p>
    <w:p w:rsidR="005B005D" w:rsidRPr="00DC56C0" w:rsidRDefault="005B005D" w:rsidP="00BC6A99">
      <w:pPr>
        <w:pStyle w:val="ListParagraph"/>
        <w:jc w:val="both"/>
        <w:rPr>
          <w:szCs w:val="18"/>
        </w:rPr>
      </w:pPr>
    </w:p>
    <w:p w:rsidR="005B4A35" w:rsidRPr="00DC56C0" w:rsidRDefault="005B4A35" w:rsidP="00BC6A99">
      <w:pPr>
        <w:pStyle w:val="ListParagraph"/>
        <w:jc w:val="both"/>
        <w:rPr>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2"/>
        <w:gridCol w:w="4538"/>
        <w:gridCol w:w="3342"/>
      </w:tblGrid>
      <w:tr w:rsidR="00457607" w:rsidRPr="00DC56C0" w:rsidTr="000A6A5A">
        <w:tc>
          <w:tcPr>
            <w:tcW w:w="2082" w:type="dxa"/>
          </w:tcPr>
          <w:p w:rsidR="00457607" w:rsidRPr="00DC56C0" w:rsidRDefault="00284C6F" w:rsidP="00F43CA1">
            <w:pPr>
              <w:pStyle w:val="ListParagraph"/>
              <w:ind w:left="0"/>
              <w:rPr>
                <w:szCs w:val="18"/>
              </w:rPr>
            </w:pPr>
            <w:r w:rsidRPr="00DC56C0">
              <w:rPr>
                <w:szCs w:val="18"/>
              </w:rPr>
              <w:lastRenderedPageBreak/>
              <w:br w:type="page"/>
            </w:r>
          </w:p>
          <w:p w:rsidR="005B4A35" w:rsidRPr="00DC56C0" w:rsidRDefault="005B4A35" w:rsidP="00F43CA1">
            <w:pPr>
              <w:pStyle w:val="ListParagraph"/>
              <w:ind w:left="0"/>
              <w:rPr>
                <w:b/>
                <w:szCs w:val="18"/>
              </w:rPr>
            </w:pPr>
          </w:p>
          <w:p w:rsidR="00457607" w:rsidRPr="00DC56C0" w:rsidRDefault="00457607" w:rsidP="00F43CA1">
            <w:pPr>
              <w:pStyle w:val="ListParagraph"/>
              <w:ind w:left="0"/>
              <w:rPr>
                <w:b/>
                <w:szCs w:val="18"/>
              </w:rPr>
            </w:pPr>
            <w:r w:rsidRPr="00DC56C0">
              <w:rPr>
                <w:b/>
                <w:szCs w:val="18"/>
              </w:rPr>
              <w:t>Item</w:t>
            </w:r>
          </w:p>
        </w:tc>
        <w:tc>
          <w:tcPr>
            <w:tcW w:w="4538" w:type="dxa"/>
          </w:tcPr>
          <w:p w:rsidR="00457607" w:rsidRPr="00DC56C0" w:rsidRDefault="00457607" w:rsidP="00F43CA1">
            <w:pPr>
              <w:pStyle w:val="ListParagraph"/>
              <w:ind w:left="0"/>
              <w:rPr>
                <w:b/>
                <w:szCs w:val="18"/>
              </w:rPr>
            </w:pPr>
          </w:p>
          <w:p w:rsidR="00457607" w:rsidRPr="00DC56C0" w:rsidRDefault="00457607" w:rsidP="00F43CA1">
            <w:pPr>
              <w:pStyle w:val="ListParagraph"/>
              <w:ind w:left="0"/>
              <w:rPr>
                <w:b/>
                <w:szCs w:val="18"/>
              </w:rPr>
            </w:pPr>
            <w:r w:rsidRPr="00DC56C0">
              <w:rPr>
                <w:b/>
                <w:szCs w:val="18"/>
              </w:rPr>
              <w:t>Uncertainties</w:t>
            </w:r>
          </w:p>
        </w:tc>
        <w:tc>
          <w:tcPr>
            <w:tcW w:w="3342" w:type="dxa"/>
          </w:tcPr>
          <w:p w:rsidR="00457607" w:rsidRPr="00DC56C0" w:rsidRDefault="00457607" w:rsidP="00F43CA1">
            <w:pPr>
              <w:pStyle w:val="ListParagraph"/>
              <w:ind w:left="0"/>
              <w:rPr>
                <w:b/>
                <w:szCs w:val="18"/>
              </w:rPr>
            </w:pPr>
            <w:r w:rsidRPr="00DC56C0">
              <w:rPr>
                <w:b/>
                <w:szCs w:val="18"/>
              </w:rPr>
              <w:t>Effect if Actual Results Differ from Assumptions</w:t>
            </w:r>
          </w:p>
        </w:tc>
      </w:tr>
      <w:tr w:rsidR="00457607" w:rsidRPr="00DC56C0" w:rsidTr="000A6A5A">
        <w:tc>
          <w:tcPr>
            <w:tcW w:w="2082" w:type="dxa"/>
          </w:tcPr>
          <w:p w:rsidR="00457607" w:rsidRPr="00DC56C0" w:rsidRDefault="00457607" w:rsidP="00F43CA1">
            <w:pPr>
              <w:pStyle w:val="ListParagraph"/>
              <w:ind w:left="0"/>
              <w:rPr>
                <w:b/>
                <w:szCs w:val="18"/>
              </w:rPr>
            </w:pPr>
          </w:p>
          <w:p w:rsidR="00457607" w:rsidRPr="00DC56C0" w:rsidRDefault="00457607" w:rsidP="00F43CA1">
            <w:pPr>
              <w:pStyle w:val="ListParagraph"/>
              <w:ind w:left="0"/>
              <w:rPr>
                <w:b/>
                <w:szCs w:val="18"/>
              </w:rPr>
            </w:pPr>
          </w:p>
          <w:p w:rsidR="00457607" w:rsidRPr="00DC56C0" w:rsidRDefault="00457607" w:rsidP="00F43CA1">
            <w:pPr>
              <w:pStyle w:val="ListParagraph"/>
              <w:ind w:left="0"/>
              <w:rPr>
                <w:szCs w:val="18"/>
              </w:rPr>
            </w:pPr>
            <w:r w:rsidRPr="00DC56C0">
              <w:rPr>
                <w:szCs w:val="18"/>
              </w:rPr>
              <w:t>Arrears</w:t>
            </w:r>
          </w:p>
        </w:tc>
        <w:tc>
          <w:tcPr>
            <w:tcW w:w="4538" w:type="dxa"/>
          </w:tcPr>
          <w:p w:rsidR="00457607" w:rsidRPr="00DC56C0" w:rsidRDefault="00DC56C0" w:rsidP="00DC56C0">
            <w:pPr>
              <w:pStyle w:val="ListParagraph"/>
              <w:ind w:left="0"/>
              <w:rPr>
                <w:szCs w:val="18"/>
              </w:rPr>
            </w:pPr>
            <w:r w:rsidRPr="00DC56C0">
              <w:rPr>
                <w:szCs w:val="18"/>
              </w:rPr>
              <w:t>At 31 March 2012</w:t>
            </w:r>
            <w:r w:rsidR="00457607" w:rsidRPr="00DC56C0">
              <w:rPr>
                <w:szCs w:val="18"/>
              </w:rPr>
              <w:t>, the authority had a balance of sundry debtors for £</w:t>
            </w:r>
            <w:r w:rsidR="000A694A" w:rsidRPr="00DC56C0">
              <w:rPr>
                <w:szCs w:val="18"/>
              </w:rPr>
              <w:t>3</w:t>
            </w:r>
            <w:r w:rsidRPr="00DC56C0">
              <w:rPr>
                <w:szCs w:val="18"/>
              </w:rPr>
              <w:t>6.2</w:t>
            </w:r>
            <w:r w:rsidR="000A694A" w:rsidRPr="00DC56C0">
              <w:rPr>
                <w:szCs w:val="18"/>
              </w:rPr>
              <w:t xml:space="preserve"> million</w:t>
            </w:r>
            <w:r w:rsidR="00457607" w:rsidRPr="00DC56C0">
              <w:rPr>
                <w:szCs w:val="18"/>
              </w:rPr>
              <w:t xml:space="preserve">. A review of significant balances suggested that an impairment of doubtful debts of </w:t>
            </w:r>
            <w:r w:rsidRPr="00DC56C0">
              <w:rPr>
                <w:szCs w:val="18"/>
              </w:rPr>
              <w:t>22.1</w:t>
            </w:r>
            <w:r w:rsidR="00457607" w:rsidRPr="00DC56C0">
              <w:rPr>
                <w:szCs w:val="18"/>
              </w:rPr>
              <w:t>%</w:t>
            </w:r>
            <w:r w:rsidR="004B5AC7" w:rsidRPr="00DC56C0">
              <w:rPr>
                <w:szCs w:val="18"/>
              </w:rPr>
              <w:t xml:space="preserve"> was appropriate. However in the current economic cli</w:t>
            </w:r>
            <w:r w:rsidR="001B7B23" w:rsidRPr="00DC56C0">
              <w:rPr>
                <w:szCs w:val="18"/>
              </w:rPr>
              <w:t>mate</w:t>
            </w:r>
            <w:r w:rsidR="004B5AC7" w:rsidRPr="00DC56C0">
              <w:rPr>
                <w:szCs w:val="18"/>
              </w:rPr>
              <w:t xml:space="preserve"> it is not certain that such an allowance would be sufficient</w:t>
            </w:r>
          </w:p>
        </w:tc>
        <w:tc>
          <w:tcPr>
            <w:tcW w:w="3342" w:type="dxa"/>
          </w:tcPr>
          <w:p w:rsidR="00457607" w:rsidRPr="00DC56C0" w:rsidRDefault="004B5AC7" w:rsidP="00DC56C0">
            <w:pPr>
              <w:pStyle w:val="ListParagraph"/>
              <w:ind w:left="0"/>
              <w:rPr>
                <w:szCs w:val="18"/>
              </w:rPr>
            </w:pPr>
            <w:r w:rsidRPr="00DC56C0">
              <w:rPr>
                <w:szCs w:val="18"/>
              </w:rPr>
              <w:t>If collection rates were to deteriorate, a doubling of the amount of the impairment of doubtful deb</w:t>
            </w:r>
            <w:r w:rsidR="00DC56C0" w:rsidRPr="00DC56C0">
              <w:rPr>
                <w:szCs w:val="18"/>
              </w:rPr>
              <w:t>ts would require an additional £8.01</w:t>
            </w:r>
            <w:r w:rsidR="000A694A" w:rsidRPr="00DC56C0">
              <w:rPr>
                <w:szCs w:val="18"/>
              </w:rPr>
              <w:t xml:space="preserve"> million</w:t>
            </w:r>
            <w:r w:rsidRPr="00DC56C0">
              <w:rPr>
                <w:szCs w:val="18"/>
              </w:rPr>
              <w:t xml:space="preserve"> to be set aside as an allowance.</w:t>
            </w:r>
          </w:p>
        </w:tc>
      </w:tr>
      <w:tr w:rsidR="00457607" w:rsidRPr="00286C0E" w:rsidTr="000A6A5A">
        <w:tc>
          <w:tcPr>
            <w:tcW w:w="2082" w:type="dxa"/>
          </w:tcPr>
          <w:p w:rsidR="00457607" w:rsidRPr="00DC56C0" w:rsidRDefault="004B5AC7" w:rsidP="00F43CA1">
            <w:pPr>
              <w:pStyle w:val="ListParagraph"/>
              <w:ind w:left="0"/>
              <w:rPr>
                <w:szCs w:val="18"/>
              </w:rPr>
            </w:pPr>
            <w:r w:rsidRPr="00DC56C0">
              <w:rPr>
                <w:szCs w:val="18"/>
              </w:rPr>
              <w:t>Pensions Liability</w:t>
            </w:r>
          </w:p>
          <w:p w:rsidR="00457607" w:rsidRPr="00DC56C0" w:rsidRDefault="00457607" w:rsidP="00F43CA1">
            <w:pPr>
              <w:pStyle w:val="ListParagraph"/>
              <w:ind w:left="0"/>
              <w:rPr>
                <w:b/>
                <w:szCs w:val="18"/>
              </w:rPr>
            </w:pPr>
          </w:p>
          <w:p w:rsidR="00457607" w:rsidRPr="00DC56C0" w:rsidRDefault="00457607" w:rsidP="00F43CA1">
            <w:pPr>
              <w:pStyle w:val="ListParagraph"/>
              <w:ind w:left="0"/>
              <w:rPr>
                <w:b/>
                <w:szCs w:val="18"/>
              </w:rPr>
            </w:pPr>
          </w:p>
        </w:tc>
        <w:tc>
          <w:tcPr>
            <w:tcW w:w="4538" w:type="dxa"/>
          </w:tcPr>
          <w:p w:rsidR="00457607" w:rsidRPr="00DC56C0" w:rsidRDefault="004B5AC7" w:rsidP="00F43CA1">
            <w:pPr>
              <w:pStyle w:val="ListParagraph"/>
              <w:ind w:left="0"/>
              <w:rPr>
                <w:szCs w:val="18"/>
              </w:rPr>
            </w:pPr>
            <w:r w:rsidRPr="00DC56C0">
              <w:rPr>
                <w:szCs w:val="18"/>
              </w:rPr>
              <w:t>Estimation of the net liability to pay pensions depends on a number of complex judgements relating to the discount rate used, the rate at which salaries are projected to increase, changes in retirement ages, mortality rates and expected returns on pension fund assets. A firm of consulting actuaries (Mercers) is engaged to provide the authority with expert advice about the assumptions to be applied.</w:t>
            </w:r>
          </w:p>
          <w:p w:rsidR="004B5AC7" w:rsidRPr="00DC56C0" w:rsidRDefault="004B5AC7" w:rsidP="00F43CA1">
            <w:pPr>
              <w:pStyle w:val="ListParagraph"/>
              <w:ind w:left="0"/>
              <w:rPr>
                <w:szCs w:val="18"/>
              </w:rPr>
            </w:pPr>
          </w:p>
          <w:p w:rsidR="004B5AC7" w:rsidRPr="00DC56C0" w:rsidRDefault="004B5AC7" w:rsidP="00F43CA1">
            <w:pPr>
              <w:pStyle w:val="ListParagraph"/>
              <w:ind w:left="0"/>
              <w:rPr>
                <w:szCs w:val="18"/>
              </w:rPr>
            </w:pPr>
          </w:p>
          <w:p w:rsidR="004B5AC7" w:rsidRPr="00DC56C0" w:rsidRDefault="004B5AC7" w:rsidP="00F43CA1">
            <w:pPr>
              <w:pStyle w:val="ListParagraph"/>
              <w:ind w:left="0"/>
              <w:rPr>
                <w:szCs w:val="18"/>
              </w:rPr>
            </w:pPr>
          </w:p>
        </w:tc>
        <w:tc>
          <w:tcPr>
            <w:tcW w:w="3342" w:type="dxa"/>
          </w:tcPr>
          <w:p w:rsidR="00457607" w:rsidRPr="00DC56C0" w:rsidRDefault="004B5AC7" w:rsidP="00F43CA1">
            <w:pPr>
              <w:pStyle w:val="ListParagraph"/>
              <w:ind w:left="0"/>
              <w:rPr>
                <w:szCs w:val="18"/>
              </w:rPr>
            </w:pPr>
            <w:r w:rsidRPr="00DC56C0">
              <w:rPr>
                <w:szCs w:val="18"/>
              </w:rPr>
              <w:t xml:space="preserve">The effects on the net </w:t>
            </w:r>
            <w:r w:rsidR="00F62E30" w:rsidRPr="00DC56C0">
              <w:rPr>
                <w:szCs w:val="18"/>
              </w:rPr>
              <w:t>pension's</w:t>
            </w:r>
            <w:r w:rsidRPr="00DC56C0">
              <w:rPr>
                <w:szCs w:val="18"/>
              </w:rPr>
              <w:t xml:space="preserve"> liability of changes in individual assumptions can be measured. For instance, a</w:t>
            </w:r>
            <w:r w:rsidR="00CB7310" w:rsidRPr="00DC56C0">
              <w:rPr>
                <w:szCs w:val="18"/>
              </w:rPr>
              <w:t xml:space="preserve"> </w:t>
            </w:r>
            <w:r w:rsidRPr="00DC56C0">
              <w:rPr>
                <w:szCs w:val="18"/>
              </w:rPr>
              <w:t>0.5% increase in the discount rate assumption would result in a decrease in the pension liability of £</w:t>
            </w:r>
            <w:r w:rsidR="00DC56C0" w:rsidRPr="00DC56C0">
              <w:rPr>
                <w:szCs w:val="18"/>
              </w:rPr>
              <w:t>216.12</w:t>
            </w:r>
            <w:r w:rsidR="00D62395" w:rsidRPr="00DC56C0">
              <w:rPr>
                <w:szCs w:val="18"/>
              </w:rPr>
              <w:t>5 million</w:t>
            </w:r>
          </w:p>
          <w:p w:rsidR="004B5AC7" w:rsidRPr="00DC56C0" w:rsidRDefault="004B5AC7" w:rsidP="00F43CA1">
            <w:pPr>
              <w:pStyle w:val="ListParagraph"/>
              <w:ind w:left="0"/>
              <w:rPr>
                <w:szCs w:val="18"/>
              </w:rPr>
            </w:pPr>
          </w:p>
          <w:p w:rsidR="004B5AC7" w:rsidRPr="00DC56C0" w:rsidRDefault="004B5AC7" w:rsidP="00D62395">
            <w:pPr>
              <w:pStyle w:val="ListParagraph"/>
              <w:ind w:left="0"/>
              <w:rPr>
                <w:szCs w:val="18"/>
              </w:rPr>
            </w:pPr>
          </w:p>
        </w:tc>
      </w:tr>
      <w:tr w:rsidR="00457607" w:rsidRPr="00286C0E" w:rsidTr="000A6A5A">
        <w:tc>
          <w:tcPr>
            <w:tcW w:w="2082" w:type="dxa"/>
          </w:tcPr>
          <w:p w:rsidR="00457607" w:rsidRPr="005A7A20" w:rsidRDefault="007774E3" w:rsidP="00F43CA1">
            <w:pPr>
              <w:pStyle w:val="ListParagraph"/>
              <w:ind w:left="0"/>
              <w:rPr>
                <w:szCs w:val="18"/>
              </w:rPr>
            </w:pPr>
            <w:r w:rsidRPr="005A7A20">
              <w:rPr>
                <w:szCs w:val="18"/>
              </w:rPr>
              <w:t>Property, Plant and Equipment</w:t>
            </w:r>
          </w:p>
          <w:p w:rsidR="00457607" w:rsidRPr="005A7A20" w:rsidRDefault="00457607" w:rsidP="00F43CA1">
            <w:pPr>
              <w:pStyle w:val="ListParagraph"/>
              <w:ind w:left="0"/>
              <w:rPr>
                <w:szCs w:val="18"/>
              </w:rPr>
            </w:pPr>
          </w:p>
          <w:p w:rsidR="00457607" w:rsidRPr="005A7A20" w:rsidRDefault="00457607" w:rsidP="00F43CA1">
            <w:pPr>
              <w:pStyle w:val="ListParagraph"/>
              <w:ind w:left="0"/>
              <w:rPr>
                <w:szCs w:val="18"/>
              </w:rPr>
            </w:pPr>
          </w:p>
        </w:tc>
        <w:tc>
          <w:tcPr>
            <w:tcW w:w="4538" w:type="dxa"/>
          </w:tcPr>
          <w:p w:rsidR="00457607" w:rsidRPr="005A7A20" w:rsidRDefault="007774E3" w:rsidP="00F43CA1">
            <w:pPr>
              <w:pStyle w:val="ListParagraph"/>
              <w:ind w:left="0"/>
              <w:rPr>
                <w:szCs w:val="18"/>
              </w:rPr>
            </w:pPr>
            <w:r w:rsidRPr="005A7A20">
              <w:rPr>
                <w:szCs w:val="18"/>
              </w:rPr>
              <w:t>The value of the PPE is dependent upon a professional judgement based on information available at the time of making the value. Due to changes in Economic conditions a valuation taken on a different date could potentially result in a different valuation</w:t>
            </w:r>
          </w:p>
        </w:tc>
        <w:tc>
          <w:tcPr>
            <w:tcW w:w="3342" w:type="dxa"/>
          </w:tcPr>
          <w:p w:rsidR="00457607" w:rsidRPr="005A7A20" w:rsidRDefault="007774E3" w:rsidP="00F43CA1">
            <w:pPr>
              <w:pStyle w:val="ListParagraph"/>
              <w:ind w:left="0"/>
              <w:rPr>
                <w:szCs w:val="18"/>
              </w:rPr>
            </w:pPr>
            <w:r w:rsidRPr="005A7A20">
              <w:rPr>
                <w:szCs w:val="18"/>
              </w:rPr>
              <w:t>Impossible to quantify as economic changes could lead to an increase or decrease in the value of PPE</w:t>
            </w:r>
          </w:p>
        </w:tc>
      </w:tr>
    </w:tbl>
    <w:p w:rsidR="008B7840" w:rsidRPr="00286C0E" w:rsidRDefault="008B7840" w:rsidP="008B7840">
      <w:pPr>
        <w:pStyle w:val="ListParagraph"/>
        <w:rPr>
          <w:b/>
          <w:szCs w:val="18"/>
          <w:highlight w:val="yellow"/>
        </w:rPr>
      </w:pPr>
    </w:p>
    <w:p w:rsidR="0088556B" w:rsidRPr="008C38DD" w:rsidRDefault="00600679" w:rsidP="008C38DD">
      <w:pPr>
        <w:pStyle w:val="ListParagraph"/>
        <w:numPr>
          <w:ilvl w:val="0"/>
          <w:numId w:val="21"/>
        </w:numPr>
        <w:rPr>
          <w:b/>
          <w:szCs w:val="22"/>
        </w:rPr>
      </w:pPr>
      <w:r w:rsidRPr="008C38DD">
        <w:rPr>
          <w:b/>
          <w:szCs w:val="22"/>
        </w:rPr>
        <w:t>Levies</w:t>
      </w:r>
      <w:r w:rsidR="001D292A" w:rsidRPr="008C38DD">
        <w:rPr>
          <w:b/>
          <w:szCs w:val="22"/>
        </w:rPr>
        <w:t xml:space="preserve"> paid to other public bodies</w:t>
      </w:r>
    </w:p>
    <w:tbl>
      <w:tblPr>
        <w:tblW w:w="6454" w:type="dxa"/>
        <w:tblInd w:w="2376" w:type="dxa"/>
        <w:tblLook w:val="04A0"/>
      </w:tblPr>
      <w:tblGrid>
        <w:gridCol w:w="3299"/>
        <w:gridCol w:w="1578"/>
        <w:gridCol w:w="1577"/>
      </w:tblGrid>
      <w:tr w:rsidR="00F228DC" w:rsidRPr="00B525D5" w:rsidTr="00094EF0">
        <w:trPr>
          <w:trHeight w:val="530"/>
        </w:trPr>
        <w:tc>
          <w:tcPr>
            <w:tcW w:w="3299" w:type="dxa"/>
          </w:tcPr>
          <w:p w:rsidR="00F228DC" w:rsidRPr="00B525D5" w:rsidRDefault="00F228DC" w:rsidP="00C41135">
            <w:pPr>
              <w:spacing w:after="240"/>
              <w:rPr>
                <w:b/>
                <w:szCs w:val="22"/>
              </w:rPr>
            </w:pPr>
          </w:p>
        </w:tc>
        <w:tc>
          <w:tcPr>
            <w:tcW w:w="1578" w:type="dxa"/>
          </w:tcPr>
          <w:p w:rsidR="00F228DC" w:rsidRPr="00B525D5" w:rsidRDefault="00913FE3" w:rsidP="00913FE3">
            <w:pPr>
              <w:spacing w:after="240"/>
              <w:jc w:val="right"/>
              <w:rPr>
                <w:b/>
                <w:szCs w:val="22"/>
              </w:rPr>
            </w:pPr>
            <w:r w:rsidRPr="00B525D5">
              <w:rPr>
                <w:b/>
                <w:szCs w:val="22"/>
              </w:rPr>
              <w:t>2011</w:t>
            </w:r>
            <w:r w:rsidR="00F228DC" w:rsidRPr="00B525D5">
              <w:rPr>
                <w:b/>
                <w:szCs w:val="22"/>
              </w:rPr>
              <w:t>/1</w:t>
            </w:r>
            <w:r w:rsidRPr="00B525D5">
              <w:rPr>
                <w:b/>
                <w:szCs w:val="22"/>
              </w:rPr>
              <w:t>2</w:t>
            </w:r>
            <w:r w:rsidR="00F228DC" w:rsidRPr="00B525D5">
              <w:rPr>
                <w:b/>
                <w:szCs w:val="22"/>
              </w:rPr>
              <w:br/>
              <w:t>£000</w:t>
            </w:r>
          </w:p>
        </w:tc>
        <w:tc>
          <w:tcPr>
            <w:tcW w:w="1577" w:type="dxa"/>
          </w:tcPr>
          <w:p w:rsidR="00F228DC" w:rsidRPr="00B525D5" w:rsidRDefault="00F228DC" w:rsidP="00384EDD">
            <w:pPr>
              <w:spacing w:after="240"/>
              <w:jc w:val="right"/>
              <w:rPr>
                <w:b/>
                <w:szCs w:val="22"/>
              </w:rPr>
            </w:pPr>
            <w:r w:rsidRPr="00B525D5">
              <w:rPr>
                <w:b/>
                <w:szCs w:val="22"/>
              </w:rPr>
              <w:t>2</w:t>
            </w:r>
            <w:r w:rsidR="00913FE3" w:rsidRPr="00B525D5">
              <w:rPr>
                <w:b/>
                <w:szCs w:val="22"/>
              </w:rPr>
              <w:t>010/11</w:t>
            </w:r>
            <w:r w:rsidRPr="00B525D5">
              <w:rPr>
                <w:b/>
                <w:szCs w:val="22"/>
              </w:rPr>
              <w:t xml:space="preserve"> </w:t>
            </w:r>
            <w:r w:rsidRPr="00B525D5">
              <w:rPr>
                <w:b/>
                <w:szCs w:val="22"/>
              </w:rPr>
              <w:br/>
              <w:t>£000</w:t>
            </w:r>
          </w:p>
        </w:tc>
      </w:tr>
      <w:tr w:rsidR="00913FE3" w:rsidRPr="00B525D5" w:rsidTr="00F268C0">
        <w:trPr>
          <w:trHeight w:val="90"/>
        </w:trPr>
        <w:tc>
          <w:tcPr>
            <w:tcW w:w="3299" w:type="dxa"/>
          </w:tcPr>
          <w:p w:rsidR="00913FE3" w:rsidRPr="00B525D5" w:rsidRDefault="00913FE3" w:rsidP="00C41135">
            <w:pPr>
              <w:spacing w:after="240"/>
              <w:rPr>
                <w:szCs w:val="22"/>
              </w:rPr>
            </w:pPr>
            <w:r w:rsidRPr="00B525D5">
              <w:rPr>
                <w:szCs w:val="22"/>
              </w:rPr>
              <w:t>Environment Agency – Flood Defence</w:t>
            </w:r>
          </w:p>
        </w:tc>
        <w:tc>
          <w:tcPr>
            <w:tcW w:w="1578" w:type="dxa"/>
            <w:tcBorders>
              <w:left w:val="nil"/>
            </w:tcBorders>
          </w:tcPr>
          <w:p w:rsidR="00913FE3" w:rsidRPr="00B525D5" w:rsidRDefault="00B525D5" w:rsidP="00D12098">
            <w:pPr>
              <w:spacing w:after="240"/>
              <w:jc w:val="right"/>
              <w:rPr>
                <w:szCs w:val="22"/>
              </w:rPr>
            </w:pPr>
            <w:r w:rsidRPr="00B525D5">
              <w:rPr>
                <w:szCs w:val="22"/>
              </w:rPr>
              <w:t>606</w:t>
            </w:r>
          </w:p>
        </w:tc>
        <w:tc>
          <w:tcPr>
            <w:tcW w:w="1577" w:type="dxa"/>
          </w:tcPr>
          <w:p w:rsidR="00913FE3" w:rsidRPr="00B525D5" w:rsidRDefault="00913FE3" w:rsidP="00913FE3">
            <w:pPr>
              <w:spacing w:after="240"/>
              <w:jc w:val="right"/>
              <w:rPr>
                <w:szCs w:val="22"/>
              </w:rPr>
            </w:pPr>
            <w:r w:rsidRPr="00B525D5">
              <w:rPr>
                <w:szCs w:val="22"/>
              </w:rPr>
              <w:t>610</w:t>
            </w:r>
          </w:p>
        </w:tc>
      </w:tr>
      <w:tr w:rsidR="00913FE3" w:rsidRPr="00B525D5" w:rsidTr="00F55BF5">
        <w:trPr>
          <w:trHeight w:val="284"/>
        </w:trPr>
        <w:tc>
          <w:tcPr>
            <w:tcW w:w="3299" w:type="dxa"/>
          </w:tcPr>
          <w:p w:rsidR="00913FE3" w:rsidRPr="00B525D5" w:rsidRDefault="00913FE3" w:rsidP="00C41135">
            <w:pPr>
              <w:spacing w:after="240"/>
              <w:rPr>
                <w:szCs w:val="22"/>
              </w:rPr>
            </w:pPr>
            <w:r w:rsidRPr="00B525D5">
              <w:rPr>
                <w:szCs w:val="22"/>
              </w:rPr>
              <w:t>Sea Fisheries Committee</w:t>
            </w:r>
          </w:p>
        </w:tc>
        <w:tc>
          <w:tcPr>
            <w:tcW w:w="1578" w:type="dxa"/>
            <w:tcBorders>
              <w:left w:val="nil"/>
              <w:bottom w:val="single" w:sz="4" w:space="0" w:color="auto"/>
            </w:tcBorders>
          </w:tcPr>
          <w:p w:rsidR="00913FE3" w:rsidRPr="00B525D5" w:rsidRDefault="004D21F4" w:rsidP="00D12098">
            <w:pPr>
              <w:spacing w:after="240"/>
              <w:jc w:val="right"/>
              <w:rPr>
                <w:szCs w:val="22"/>
              </w:rPr>
            </w:pPr>
            <w:r>
              <w:rPr>
                <w:szCs w:val="22"/>
              </w:rPr>
              <w:t>382</w:t>
            </w:r>
          </w:p>
        </w:tc>
        <w:tc>
          <w:tcPr>
            <w:tcW w:w="1577" w:type="dxa"/>
            <w:tcBorders>
              <w:bottom w:val="single" w:sz="4" w:space="0" w:color="auto"/>
            </w:tcBorders>
          </w:tcPr>
          <w:p w:rsidR="00913FE3" w:rsidRPr="00B525D5" w:rsidRDefault="00913FE3" w:rsidP="00913FE3">
            <w:pPr>
              <w:spacing w:after="240"/>
              <w:jc w:val="right"/>
              <w:rPr>
                <w:szCs w:val="22"/>
              </w:rPr>
            </w:pPr>
            <w:r w:rsidRPr="00B525D5">
              <w:rPr>
                <w:szCs w:val="22"/>
              </w:rPr>
              <w:t>180</w:t>
            </w:r>
          </w:p>
        </w:tc>
      </w:tr>
      <w:tr w:rsidR="00913FE3" w:rsidRPr="00286C0E" w:rsidTr="00F55BF5">
        <w:trPr>
          <w:trHeight w:val="284"/>
        </w:trPr>
        <w:tc>
          <w:tcPr>
            <w:tcW w:w="3299" w:type="dxa"/>
          </w:tcPr>
          <w:p w:rsidR="00913FE3" w:rsidRPr="00B525D5" w:rsidRDefault="00913FE3" w:rsidP="00C41135">
            <w:pPr>
              <w:spacing w:after="240"/>
              <w:rPr>
                <w:b/>
                <w:szCs w:val="22"/>
              </w:rPr>
            </w:pPr>
            <w:r w:rsidRPr="00B525D5">
              <w:rPr>
                <w:b/>
                <w:szCs w:val="22"/>
              </w:rPr>
              <w:t>Total</w:t>
            </w:r>
          </w:p>
        </w:tc>
        <w:tc>
          <w:tcPr>
            <w:tcW w:w="1578" w:type="dxa"/>
            <w:tcBorders>
              <w:top w:val="single" w:sz="4" w:space="0" w:color="auto"/>
              <w:left w:val="nil"/>
              <w:bottom w:val="double" w:sz="6" w:space="0" w:color="auto"/>
            </w:tcBorders>
          </w:tcPr>
          <w:p w:rsidR="00913FE3" w:rsidRPr="00B525D5" w:rsidRDefault="004D21F4" w:rsidP="00F268C0">
            <w:pPr>
              <w:spacing w:after="240"/>
              <w:jc w:val="right"/>
              <w:rPr>
                <w:b/>
                <w:szCs w:val="22"/>
              </w:rPr>
            </w:pPr>
            <w:r>
              <w:rPr>
                <w:b/>
                <w:szCs w:val="22"/>
              </w:rPr>
              <w:t>988</w:t>
            </w:r>
          </w:p>
        </w:tc>
        <w:tc>
          <w:tcPr>
            <w:tcW w:w="1577" w:type="dxa"/>
            <w:tcBorders>
              <w:top w:val="single" w:sz="4" w:space="0" w:color="auto"/>
              <w:bottom w:val="double" w:sz="6" w:space="0" w:color="auto"/>
            </w:tcBorders>
          </w:tcPr>
          <w:p w:rsidR="00913FE3" w:rsidRPr="00B525D5" w:rsidRDefault="00913FE3" w:rsidP="00913FE3">
            <w:pPr>
              <w:spacing w:after="240"/>
              <w:jc w:val="right"/>
              <w:rPr>
                <w:b/>
                <w:szCs w:val="22"/>
              </w:rPr>
            </w:pPr>
            <w:r w:rsidRPr="00B525D5">
              <w:rPr>
                <w:b/>
                <w:szCs w:val="22"/>
              </w:rPr>
              <w:tab/>
              <w:t>790</w:t>
            </w:r>
          </w:p>
        </w:tc>
      </w:tr>
    </w:tbl>
    <w:p w:rsidR="0088556B" w:rsidRDefault="0088556B" w:rsidP="0088556B">
      <w:pPr>
        <w:spacing w:after="240"/>
        <w:ind w:left="720"/>
        <w:rPr>
          <w:b/>
          <w:szCs w:val="22"/>
          <w:highlight w:val="yellow"/>
        </w:rPr>
      </w:pPr>
    </w:p>
    <w:p w:rsidR="005B005D" w:rsidRDefault="005B005D" w:rsidP="0088556B">
      <w:pPr>
        <w:spacing w:after="240"/>
        <w:ind w:left="720"/>
        <w:rPr>
          <w:b/>
          <w:szCs w:val="22"/>
          <w:highlight w:val="yellow"/>
        </w:rPr>
      </w:pPr>
    </w:p>
    <w:p w:rsidR="005B005D" w:rsidRPr="00286C0E" w:rsidRDefault="005B005D" w:rsidP="0088556B">
      <w:pPr>
        <w:spacing w:after="240"/>
        <w:ind w:left="720"/>
        <w:rPr>
          <w:b/>
          <w:szCs w:val="22"/>
          <w:highlight w:val="yellow"/>
        </w:rPr>
      </w:pPr>
    </w:p>
    <w:p w:rsidR="00D6442C" w:rsidRPr="00286C0E" w:rsidRDefault="00D6442C" w:rsidP="0088556B">
      <w:pPr>
        <w:spacing w:after="240"/>
        <w:ind w:left="720"/>
        <w:rPr>
          <w:b/>
          <w:szCs w:val="22"/>
          <w:highlight w:val="yellow"/>
        </w:rPr>
      </w:pPr>
    </w:p>
    <w:p w:rsidR="00136C38" w:rsidRPr="00136C38" w:rsidRDefault="00AF762A" w:rsidP="00BD07E4">
      <w:pPr>
        <w:numPr>
          <w:ilvl w:val="0"/>
          <w:numId w:val="21"/>
        </w:numPr>
        <w:spacing w:after="240"/>
        <w:rPr>
          <w:sz w:val="22"/>
          <w:szCs w:val="22"/>
        </w:rPr>
      </w:pPr>
      <w:r w:rsidRPr="00136C38">
        <w:rPr>
          <w:b/>
        </w:rPr>
        <w:lastRenderedPageBreak/>
        <w:t>Statutory charge for the repayment of debt</w:t>
      </w:r>
    </w:p>
    <w:p w:rsidR="00136C38" w:rsidRDefault="00136C38" w:rsidP="00136C38">
      <w:pPr>
        <w:spacing w:after="240"/>
        <w:ind w:left="720"/>
        <w:jc w:val="both"/>
      </w:pPr>
      <w:r>
        <w:t xml:space="preserve">Our accounts must include a charge for the repayment of debt. This charge must be at least 4% of our adjusted capital financing requirements at the start of the year. For 2011/12 this charge is </w:t>
      </w:r>
      <w:r w:rsidRPr="00721BD6">
        <w:t>£26</w:t>
      </w:r>
      <w:r>
        <w:t>.193 million</w:t>
      </w:r>
      <w:r w:rsidR="00784CC9">
        <w:t xml:space="preserve"> (£24.151 million in 2010/11)</w:t>
      </w:r>
      <w:r w:rsidRPr="00721BD6">
        <w:t>.</w:t>
      </w:r>
    </w:p>
    <w:p w:rsidR="00136C38" w:rsidRDefault="00ED02D2" w:rsidP="00136C38">
      <w:pPr>
        <w:spacing w:after="240"/>
        <w:ind w:left="720"/>
        <w:jc w:val="both"/>
      </w:pPr>
      <w:r>
        <w:t>£26.081 million of this</w:t>
      </w:r>
      <w:r w:rsidR="00136C38">
        <w:t xml:space="preserve"> is shown </w:t>
      </w:r>
      <w:r>
        <w:t>within</w:t>
      </w:r>
      <w:r w:rsidR="00136C38">
        <w:t xml:space="preserve"> the Comprehensive Income and Expenditure Account.  Blackpool Council pay a contribution towards the capital financing charges related to the Waste PFI site, which in 2011/12 is </w:t>
      </w:r>
      <w:r w:rsidR="00136C38" w:rsidRPr="00721BD6">
        <w:t>£112,000</w:t>
      </w:r>
      <w:r w:rsidR="00784CC9">
        <w:t xml:space="preserve"> (£165,000 in 2010/11)</w:t>
      </w:r>
      <w:r w:rsidR="00136C38">
        <w:t xml:space="preserve">. This is deducted from the MRP figure in the Comprehensive Income and Expenditure Account. </w:t>
      </w:r>
    </w:p>
    <w:p w:rsidR="00136C38" w:rsidRDefault="00136C38" w:rsidP="00136C38">
      <w:pPr>
        <w:ind w:left="720"/>
        <w:jc w:val="both"/>
      </w:pPr>
      <w:r>
        <w:t xml:space="preserve">As shown in </w:t>
      </w:r>
      <w:r w:rsidRPr="004E2311">
        <w:t>note 9</w:t>
      </w:r>
      <w:r>
        <w:t xml:space="preserve"> below, capital charges in the income and expenditure account (depreciation, impairment, amortisation and revenue expenditure funded from capital under statute) are reversed or cancelled out and replaced by this statutory charge. </w:t>
      </w:r>
    </w:p>
    <w:p w:rsidR="00515E41" w:rsidRDefault="00515E41" w:rsidP="00AF762A">
      <w:pPr>
        <w:spacing w:after="240"/>
        <w:ind w:left="720"/>
        <w:jc w:val="both"/>
        <w:rPr>
          <w:highlight w:val="yellow"/>
        </w:rPr>
      </w:pPr>
    </w:p>
    <w:p w:rsidR="00515E41" w:rsidRDefault="00515E41" w:rsidP="00AF762A">
      <w:pPr>
        <w:spacing w:after="240"/>
        <w:ind w:left="720"/>
        <w:jc w:val="both"/>
        <w:rPr>
          <w:highlight w:val="yellow"/>
        </w:rPr>
      </w:pPr>
    </w:p>
    <w:p w:rsidR="00515E41" w:rsidRDefault="00515E41" w:rsidP="00AF762A">
      <w:pPr>
        <w:spacing w:after="240"/>
        <w:ind w:left="720"/>
        <w:jc w:val="both"/>
        <w:rPr>
          <w:highlight w:val="yellow"/>
        </w:rPr>
      </w:pPr>
    </w:p>
    <w:p w:rsidR="00D1374B" w:rsidRDefault="00D1374B" w:rsidP="00AF762A">
      <w:pPr>
        <w:spacing w:after="240"/>
        <w:ind w:left="720"/>
        <w:jc w:val="both"/>
        <w:rPr>
          <w:highlight w:val="yellow"/>
        </w:rPr>
      </w:pPr>
    </w:p>
    <w:p w:rsidR="00D1374B" w:rsidRDefault="00D1374B" w:rsidP="00AF762A">
      <w:pPr>
        <w:spacing w:after="240"/>
        <w:ind w:left="720"/>
        <w:jc w:val="both"/>
        <w:rPr>
          <w:highlight w:val="yellow"/>
        </w:rPr>
      </w:pPr>
    </w:p>
    <w:p w:rsidR="00515E41" w:rsidRDefault="00515E41" w:rsidP="00A1169B">
      <w:pPr>
        <w:rPr>
          <w:b/>
          <w:i/>
          <w:szCs w:val="18"/>
          <w:highlight w:val="yellow"/>
        </w:rPr>
        <w:sectPr w:rsidR="00515E41" w:rsidSect="003018D5">
          <w:headerReference w:type="even" r:id="rId11"/>
          <w:headerReference w:type="default" r:id="rId12"/>
          <w:footerReference w:type="even" r:id="rId13"/>
          <w:headerReference w:type="first" r:id="rId14"/>
          <w:pgSz w:w="11906" w:h="16838" w:code="9"/>
          <w:pgMar w:top="720" w:right="720" w:bottom="720" w:left="720" w:header="709" w:footer="709" w:gutter="0"/>
          <w:cols w:space="708"/>
          <w:docGrid w:linePitch="360"/>
        </w:sectPr>
      </w:pPr>
    </w:p>
    <w:p w:rsidR="00C3664D" w:rsidRPr="00C41782" w:rsidRDefault="00515E41" w:rsidP="00A1169B">
      <w:pPr>
        <w:rPr>
          <w:b/>
          <w:i/>
          <w:szCs w:val="18"/>
        </w:rPr>
      </w:pPr>
      <w:r w:rsidRPr="005527A7">
        <w:rPr>
          <w:b/>
          <w:i/>
          <w:szCs w:val="18"/>
        </w:rPr>
        <w:lastRenderedPageBreak/>
        <w:t>N</w:t>
      </w:r>
      <w:r w:rsidR="00570718" w:rsidRPr="005527A7">
        <w:rPr>
          <w:b/>
          <w:i/>
          <w:szCs w:val="18"/>
        </w:rPr>
        <w:t>otes to the Movement in Re</w:t>
      </w:r>
      <w:r w:rsidR="00570718" w:rsidRPr="00C41782">
        <w:rPr>
          <w:b/>
          <w:i/>
          <w:szCs w:val="18"/>
        </w:rPr>
        <w:t>serves Statement</w:t>
      </w:r>
    </w:p>
    <w:p w:rsidR="00D1374B" w:rsidRPr="00C41782" w:rsidRDefault="00D1374B" w:rsidP="00C3664D">
      <w:pPr>
        <w:spacing w:after="240"/>
        <w:rPr>
          <w:b/>
          <w:color w:val="FF0000"/>
        </w:rPr>
      </w:pPr>
    </w:p>
    <w:p w:rsidR="003C7860" w:rsidRPr="00C41782" w:rsidRDefault="003C7860" w:rsidP="00BD07E4">
      <w:pPr>
        <w:numPr>
          <w:ilvl w:val="0"/>
          <w:numId w:val="21"/>
        </w:numPr>
        <w:spacing w:after="240"/>
        <w:rPr>
          <w:b/>
        </w:rPr>
      </w:pPr>
      <w:r w:rsidRPr="00C41782">
        <w:rPr>
          <w:b/>
        </w:rPr>
        <w:t>Unusable Reserves</w:t>
      </w:r>
      <w:r w:rsidR="00450F4F" w:rsidRPr="00C41782">
        <w:rPr>
          <w:b/>
        </w:rPr>
        <w:t xml:space="preserve"> Movement</w:t>
      </w:r>
    </w:p>
    <w:p w:rsidR="00450F4F" w:rsidRPr="00C41782" w:rsidRDefault="00913FE3" w:rsidP="00450F4F">
      <w:pPr>
        <w:spacing w:after="240"/>
        <w:ind w:left="720"/>
        <w:rPr>
          <w:b/>
          <w:u w:val="single"/>
        </w:rPr>
      </w:pPr>
      <w:r w:rsidRPr="00C41782">
        <w:rPr>
          <w:b/>
          <w:u w:val="single"/>
        </w:rPr>
        <w:t>2011</w:t>
      </w:r>
      <w:r w:rsidR="00450F4F" w:rsidRPr="00C41782">
        <w:rPr>
          <w:b/>
          <w:u w:val="single"/>
        </w:rPr>
        <w:t>/1</w:t>
      </w:r>
      <w:r w:rsidRPr="00C41782">
        <w:rPr>
          <w:b/>
          <w:u w:val="single"/>
        </w:rPr>
        <w:t>2</w:t>
      </w:r>
    </w:p>
    <w:tbl>
      <w:tblPr>
        <w:tblW w:w="0" w:type="auto"/>
        <w:tblInd w:w="108" w:type="dxa"/>
        <w:tblLook w:val="04A0"/>
      </w:tblPr>
      <w:tblGrid>
        <w:gridCol w:w="2747"/>
        <w:gridCol w:w="1464"/>
        <w:gridCol w:w="1827"/>
        <w:gridCol w:w="1598"/>
        <w:gridCol w:w="1876"/>
        <w:gridCol w:w="1214"/>
        <w:gridCol w:w="1758"/>
        <w:gridCol w:w="1591"/>
        <w:gridCol w:w="1431"/>
      </w:tblGrid>
      <w:tr w:rsidR="007B67EA" w:rsidRPr="00C41782" w:rsidTr="00AE63C7">
        <w:trPr>
          <w:trHeight w:val="462"/>
        </w:trPr>
        <w:tc>
          <w:tcPr>
            <w:tcW w:w="0" w:type="auto"/>
            <w:tcBorders>
              <w:top w:val="nil"/>
              <w:left w:val="nil"/>
              <w:bottom w:val="nil"/>
              <w:right w:val="nil"/>
            </w:tcBorders>
            <w:shd w:val="clear" w:color="auto" w:fill="auto"/>
            <w:vAlign w:val="bottom"/>
            <w:hideMark/>
          </w:tcPr>
          <w:p w:rsidR="007B67EA" w:rsidRPr="00C41782" w:rsidRDefault="007B67EA" w:rsidP="007B67EA">
            <w:pPr>
              <w:rPr>
                <w:rFonts w:ascii="Calibri" w:hAnsi="Calibri"/>
                <w:color w:val="000000"/>
                <w:sz w:val="16"/>
                <w:szCs w:val="16"/>
              </w:rPr>
            </w:pPr>
          </w:p>
        </w:tc>
        <w:tc>
          <w:tcPr>
            <w:tcW w:w="0" w:type="auto"/>
            <w:tcBorders>
              <w:top w:val="nil"/>
              <w:left w:val="nil"/>
              <w:bottom w:val="single" w:sz="4" w:space="0" w:color="auto"/>
              <w:right w:val="nil"/>
            </w:tcBorders>
            <w:shd w:val="clear" w:color="auto" w:fill="auto"/>
            <w:vAlign w:val="center"/>
            <w:hideMark/>
          </w:tcPr>
          <w:p w:rsidR="007B67EA" w:rsidRPr="00C41782" w:rsidRDefault="007B67EA" w:rsidP="007B67EA">
            <w:pPr>
              <w:jc w:val="center"/>
              <w:rPr>
                <w:rFonts w:ascii="Calibri" w:hAnsi="Calibri"/>
                <w:sz w:val="16"/>
                <w:szCs w:val="16"/>
              </w:rPr>
            </w:pPr>
            <w:r w:rsidRPr="00C41782">
              <w:rPr>
                <w:rFonts w:ascii="Calibri" w:hAnsi="Calibri"/>
                <w:sz w:val="16"/>
                <w:szCs w:val="16"/>
              </w:rPr>
              <w:t>Revaluation Reserve</w:t>
            </w:r>
          </w:p>
        </w:tc>
        <w:tc>
          <w:tcPr>
            <w:tcW w:w="0" w:type="auto"/>
            <w:tcBorders>
              <w:top w:val="nil"/>
              <w:left w:val="nil"/>
              <w:bottom w:val="single" w:sz="4" w:space="0" w:color="auto"/>
              <w:right w:val="nil"/>
            </w:tcBorders>
            <w:shd w:val="clear" w:color="auto" w:fill="auto"/>
            <w:vAlign w:val="center"/>
            <w:hideMark/>
          </w:tcPr>
          <w:p w:rsidR="007B67EA" w:rsidRPr="00C41782" w:rsidRDefault="007B67EA" w:rsidP="007B67EA">
            <w:pPr>
              <w:jc w:val="center"/>
              <w:rPr>
                <w:rFonts w:ascii="Calibri" w:hAnsi="Calibri"/>
                <w:sz w:val="16"/>
                <w:szCs w:val="16"/>
              </w:rPr>
            </w:pPr>
            <w:r w:rsidRPr="00C41782">
              <w:rPr>
                <w:rFonts w:ascii="Calibri" w:hAnsi="Calibri"/>
                <w:sz w:val="16"/>
                <w:szCs w:val="16"/>
              </w:rPr>
              <w:t>Available for Sale Financial Instruments</w:t>
            </w:r>
          </w:p>
        </w:tc>
        <w:tc>
          <w:tcPr>
            <w:tcW w:w="0" w:type="auto"/>
            <w:tcBorders>
              <w:top w:val="nil"/>
              <w:left w:val="nil"/>
              <w:bottom w:val="single" w:sz="4" w:space="0" w:color="auto"/>
              <w:right w:val="nil"/>
            </w:tcBorders>
            <w:shd w:val="clear" w:color="auto" w:fill="auto"/>
            <w:vAlign w:val="center"/>
            <w:hideMark/>
          </w:tcPr>
          <w:p w:rsidR="007B67EA" w:rsidRPr="00C41782" w:rsidRDefault="007B67EA" w:rsidP="007B67EA">
            <w:pPr>
              <w:jc w:val="center"/>
              <w:rPr>
                <w:rFonts w:ascii="Calibri" w:hAnsi="Calibri"/>
                <w:sz w:val="16"/>
                <w:szCs w:val="16"/>
              </w:rPr>
            </w:pPr>
            <w:r w:rsidRPr="00C41782">
              <w:rPr>
                <w:rFonts w:ascii="Calibri" w:hAnsi="Calibri"/>
                <w:sz w:val="16"/>
                <w:szCs w:val="16"/>
              </w:rPr>
              <w:t>Capital Adjustment Account</w:t>
            </w:r>
          </w:p>
        </w:tc>
        <w:tc>
          <w:tcPr>
            <w:tcW w:w="0" w:type="auto"/>
            <w:tcBorders>
              <w:top w:val="nil"/>
              <w:left w:val="nil"/>
              <w:bottom w:val="single" w:sz="4" w:space="0" w:color="auto"/>
              <w:right w:val="nil"/>
            </w:tcBorders>
            <w:shd w:val="clear" w:color="auto" w:fill="auto"/>
            <w:vAlign w:val="center"/>
            <w:hideMark/>
          </w:tcPr>
          <w:p w:rsidR="007B67EA" w:rsidRPr="00C41782" w:rsidRDefault="007B67EA" w:rsidP="007B67EA">
            <w:pPr>
              <w:jc w:val="center"/>
              <w:rPr>
                <w:rFonts w:ascii="Calibri" w:hAnsi="Calibri"/>
                <w:sz w:val="16"/>
                <w:szCs w:val="16"/>
              </w:rPr>
            </w:pPr>
            <w:r w:rsidRPr="00C41782">
              <w:rPr>
                <w:rFonts w:ascii="Calibri" w:hAnsi="Calibri"/>
                <w:sz w:val="16"/>
                <w:szCs w:val="16"/>
              </w:rPr>
              <w:t>Financial Instruments Adjustment Account</w:t>
            </w:r>
          </w:p>
        </w:tc>
        <w:tc>
          <w:tcPr>
            <w:tcW w:w="0" w:type="auto"/>
            <w:tcBorders>
              <w:top w:val="nil"/>
              <w:left w:val="nil"/>
              <w:bottom w:val="single" w:sz="4" w:space="0" w:color="auto"/>
              <w:right w:val="nil"/>
            </w:tcBorders>
            <w:shd w:val="clear" w:color="auto" w:fill="auto"/>
            <w:vAlign w:val="center"/>
            <w:hideMark/>
          </w:tcPr>
          <w:p w:rsidR="007B67EA" w:rsidRPr="00C41782" w:rsidRDefault="007B67EA" w:rsidP="007B67EA">
            <w:pPr>
              <w:jc w:val="center"/>
              <w:rPr>
                <w:rFonts w:ascii="Calibri" w:hAnsi="Calibri"/>
                <w:sz w:val="16"/>
                <w:szCs w:val="16"/>
              </w:rPr>
            </w:pPr>
            <w:r w:rsidRPr="00C41782">
              <w:rPr>
                <w:rFonts w:ascii="Calibri" w:hAnsi="Calibri"/>
                <w:sz w:val="16"/>
                <w:szCs w:val="16"/>
              </w:rPr>
              <w:t>Pensions Reserves</w:t>
            </w:r>
          </w:p>
        </w:tc>
        <w:tc>
          <w:tcPr>
            <w:tcW w:w="0" w:type="auto"/>
            <w:tcBorders>
              <w:top w:val="nil"/>
              <w:left w:val="nil"/>
              <w:bottom w:val="single" w:sz="4" w:space="0" w:color="auto"/>
              <w:right w:val="nil"/>
            </w:tcBorders>
            <w:shd w:val="clear" w:color="auto" w:fill="auto"/>
            <w:vAlign w:val="center"/>
            <w:hideMark/>
          </w:tcPr>
          <w:p w:rsidR="007B67EA" w:rsidRPr="00C41782" w:rsidRDefault="007B67EA" w:rsidP="007B67EA">
            <w:pPr>
              <w:jc w:val="center"/>
              <w:rPr>
                <w:rFonts w:ascii="Calibri" w:hAnsi="Calibri"/>
                <w:sz w:val="16"/>
                <w:szCs w:val="16"/>
              </w:rPr>
            </w:pPr>
            <w:r w:rsidRPr="00C41782">
              <w:rPr>
                <w:rFonts w:ascii="Calibri" w:hAnsi="Calibri"/>
                <w:sz w:val="16"/>
                <w:szCs w:val="16"/>
              </w:rPr>
              <w:t>Collection Fund Adjustment Account</w:t>
            </w:r>
          </w:p>
        </w:tc>
        <w:tc>
          <w:tcPr>
            <w:tcW w:w="0" w:type="auto"/>
            <w:tcBorders>
              <w:top w:val="nil"/>
              <w:left w:val="nil"/>
              <w:bottom w:val="single" w:sz="4" w:space="0" w:color="auto"/>
              <w:right w:val="nil"/>
            </w:tcBorders>
            <w:shd w:val="clear" w:color="auto" w:fill="auto"/>
            <w:vAlign w:val="center"/>
            <w:hideMark/>
          </w:tcPr>
          <w:p w:rsidR="007B67EA" w:rsidRPr="00C41782" w:rsidRDefault="007B67EA" w:rsidP="007B67EA">
            <w:pPr>
              <w:jc w:val="center"/>
              <w:rPr>
                <w:rFonts w:ascii="Calibri" w:hAnsi="Calibri"/>
                <w:sz w:val="16"/>
                <w:szCs w:val="16"/>
              </w:rPr>
            </w:pPr>
            <w:r w:rsidRPr="00C41782">
              <w:rPr>
                <w:rFonts w:ascii="Calibri" w:hAnsi="Calibri"/>
                <w:sz w:val="16"/>
                <w:szCs w:val="16"/>
              </w:rPr>
              <w:t>Accumulated Absences Account</w:t>
            </w:r>
          </w:p>
        </w:tc>
        <w:tc>
          <w:tcPr>
            <w:tcW w:w="0" w:type="auto"/>
            <w:tcBorders>
              <w:top w:val="nil"/>
              <w:left w:val="nil"/>
              <w:bottom w:val="single" w:sz="4" w:space="0" w:color="auto"/>
              <w:right w:val="nil"/>
            </w:tcBorders>
            <w:shd w:val="clear" w:color="000000" w:fill="F2F2F2"/>
            <w:vAlign w:val="center"/>
            <w:hideMark/>
          </w:tcPr>
          <w:p w:rsidR="007B67EA" w:rsidRPr="00C41782" w:rsidRDefault="007B67EA" w:rsidP="007B67EA">
            <w:pPr>
              <w:jc w:val="center"/>
              <w:rPr>
                <w:rFonts w:ascii="Calibri" w:hAnsi="Calibri"/>
                <w:b/>
                <w:bCs/>
                <w:sz w:val="16"/>
                <w:szCs w:val="16"/>
              </w:rPr>
            </w:pPr>
            <w:r w:rsidRPr="00C41782">
              <w:rPr>
                <w:rFonts w:ascii="Calibri" w:hAnsi="Calibri"/>
                <w:b/>
                <w:bCs/>
                <w:sz w:val="16"/>
                <w:szCs w:val="16"/>
              </w:rPr>
              <w:t>Total unusable Reserves</w:t>
            </w:r>
          </w:p>
        </w:tc>
      </w:tr>
      <w:tr w:rsidR="00AE63C7" w:rsidRPr="00C41782" w:rsidTr="00AE63C7">
        <w:trPr>
          <w:trHeight w:val="315"/>
        </w:trPr>
        <w:tc>
          <w:tcPr>
            <w:tcW w:w="0" w:type="auto"/>
            <w:tcBorders>
              <w:top w:val="nil"/>
              <w:left w:val="nil"/>
              <w:bottom w:val="nil"/>
              <w:right w:val="nil"/>
            </w:tcBorders>
            <w:shd w:val="clear" w:color="auto" w:fill="auto"/>
            <w:vAlign w:val="bottom"/>
            <w:hideMark/>
          </w:tcPr>
          <w:p w:rsidR="00AE63C7" w:rsidRPr="00C41782" w:rsidRDefault="00AE63C7" w:rsidP="007B67EA">
            <w:pPr>
              <w:rPr>
                <w:rFonts w:ascii="Calibri" w:hAnsi="Calibri"/>
                <w:color w:val="000000"/>
                <w:sz w:val="16"/>
                <w:szCs w:val="16"/>
              </w:rPr>
            </w:pPr>
          </w:p>
        </w:tc>
        <w:tc>
          <w:tcPr>
            <w:tcW w:w="0" w:type="auto"/>
            <w:tcBorders>
              <w:top w:val="nil"/>
              <w:left w:val="nil"/>
              <w:bottom w:val="nil"/>
              <w:right w:val="nil"/>
            </w:tcBorders>
            <w:shd w:val="clear" w:color="auto" w:fill="auto"/>
            <w:noWrap/>
            <w:vAlign w:val="center"/>
            <w:hideMark/>
          </w:tcPr>
          <w:p w:rsidR="00AE63C7" w:rsidRPr="00C41782" w:rsidRDefault="00AE63C7" w:rsidP="00AE63C7">
            <w:pPr>
              <w:jc w:val="center"/>
              <w:rPr>
                <w:rFonts w:ascii="Calibri" w:hAnsi="Calibri"/>
                <w:color w:val="000000"/>
                <w:sz w:val="16"/>
                <w:szCs w:val="16"/>
              </w:rPr>
            </w:pPr>
            <w:r w:rsidRPr="00C41782">
              <w:rPr>
                <w:rFonts w:ascii="Calibri" w:hAnsi="Calibri"/>
                <w:color w:val="000000"/>
                <w:sz w:val="16"/>
                <w:szCs w:val="16"/>
              </w:rPr>
              <w:t>£000</w:t>
            </w:r>
          </w:p>
        </w:tc>
        <w:tc>
          <w:tcPr>
            <w:tcW w:w="0" w:type="auto"/>
            <w:tcBorders>
              <w:top w:val="nil"/>
              <w:left w:val="nil"/>
              <w:bottom w:val="nil"/>
              <w:right w:val="nil"/>
            </w:tcBorders>
            <w:shd w:val="clear" w:color="auto" w:fill="auto"/>
            <w:noWrap/>
            <w:vAlign w:val="center"/>
            <w:hideMark/>
          </w:tcPr>
          <w:p w:rsidR="00AE63C7" w:rsidRPr="00C41782" w:rsidRDefault="00AE63C7" w:rsidP="00AE63C7">
            <w:pPr>
              <w:jc w:val="center"/>
            </w:pPr>
            <w:r w:rsidRPr="00C41782">
              <w:rPr>
                <w:rFonts w:ascii="Calibri" w:hAnsi="Calibri"/>
                <w:color w:val="000000"/>
                <w:sz w:val="16"/>
                <w:szCs w:val="16"/>
              </w:rPr>
              <w:t>£000</w:t>
            </w:r>
          </w:p>
        </w:tc>
        <w:tc>
          <w:tcPr>
            <w:tcW w:w="0" w:type="auto"/>
            <w:tcBorders>
              <w:top w:val="nil"/>
              <w:left w:val="nil"/>
              <w:bottom w:val="nil"/>
              <w:right w:val="nil"/>
            </w:tcBorders>
            <w:shd w:val="clear" w:color="auto" w:fill="auto"/>
            <w:noWrap/>
            <w:vAlign w:val="center"/>
            <w:hideMark/>
          </w:tcPr>
          <w:p w:rsidR="00AE63C7" w:rsidRPr="00C41782" w:rsidRDefault="00AE63C7" w:rsidP="00AE63C7">
            <w:pPr>
              <w:jc w:val="center"/>
            </w:pPr>
            <w:r w:rsidRPr="00C41782">
              <w:rPr>
                <w:rFonts w:ascii="Calibri" w:hAnsi="Calibri"/>
                <w:color w:val="000000"/>
                <w:sz w:val="16"/>
                <w:szCs w:val="16"/>
              </w:rPr>
              <w:t>£000</w:t>
            </w:r>
          </w:p>
        </w:tc>
        <w:tc>
          <w:tcPr>
            <w:tcW w:w="0" w:type="auto"/>
            <w:tcBorders>
              <w:top w:val="nil"/>
              <w:left w:val="nil"/>
              <w:bottom w:val="nil"/>
              <w:right w:val="nil"/>
            </w:tcBorders>
            <w:shd w:val="clear" w:color="auto" w:fill="auto"/>
            <w:noWrap/>
            <w:vAlign w:val="center"/>
            <w:hideMark/>
          </w:tcPr>
          <w:p w:rsidR="00AE63C7" w:rsidRPr="00C41782" w:rsidRDefault="00AE63C7" w:rsidP="00AE63C7">
            <w:pPr>
              <w:jc w:val="center"/>
            </w:pPr>
            <w:r w:rsidRPr="00C41782">
              <w:rPr>
                <w:rFonts w:ascii="Calibri" w:hAnsi="Calibri"/>
                <w:color w:val="000000"/>
                <w:sz w:val="16"/>
                <w:szCs w:val="16"/>
              </w:rPr>
              <w:t>£000</w:t>
            </w:r>
          </w:p>
        </w:tc>
        <w:tc>
          <w:tcPr>
            <w:tcW w:w="0" w:type="auto"/>
            <w:tcBorders>
              <w:top w:val="nil"/>
              <w:left w:val="nil"/>
              <w:bottom w:val="nil"/>
              <w:right w:val="nil"/>
            </w:tcBorders>
            <w:shd w:val="clear" w:color="auto" w:fill="auto"/>
            <w:noWrap/>
            <w:vAlign w:val="center"/>
            <w:hideMark/>
          </w:tcPr>
          <w:p w:rsidR="00AE63C7" w:rsidRPr="00C41782" w:rsidRDefault="00AE63C7" w:rsidP="00AE63C7">
            <w:pPr>
              <w:jc w:val="center"/>
            </w:pPr>
            <w:r w:rsidRPr="00C41782">
              <w:rPr>
                <w:rFonts w:ascii="Calibri" w:hAnsi="Calibri"/>
                <w:color w:val="000000"/>
                <w:sz w:val="16"/>
                <w:szCs w:val="16"/>
              </w:rPr>
              <w:t>£000</w:t>
            </w:r>
          </w:p>
        </w:tc>
        <w:tc>
          <w:tcPr>
            <w:tcW w:w="0" w:type="auto"/>
            <w:tcBorders>
              <w:top w:val="nil"/>
              <w:left w:val="nil"/>
              <w:bottom w:val="nil"/>
              <w:right w:val="nil"/>
            </w:tcBorders>
            <w:shd w:val="clear" w:color="auto" w:fill="auto"/>
            <w:noWrap/>
            <w:vAlign w:val="center"/>
            <w:hideMark/>
          </w:tcPr>
          <w:p w:rsidR="00AE63C7" w:rsidRPr="00C41782" w:rsidRDefault="00AE63C7" w:rsidP="00AE63C7">
            <w:pPr>
              <w:jc w:val="center"/>
            </w:pPr>
            <w:r w:rsidRPr="00C41782">
              <w:rPr>
                <w:rFonts w:ascii="Calibri" w:hAnsi="Calibri"/>
                <w:color w:val="000000"/>
                <w:sz w:val="16"/>
                <w:szCs w:val="16"/>
              </w:rPr>
              <w:t>£000</w:t>
            </w:r>
          </w:p>
        </w:tc>
        <w:tc>
          <w:tcPr>
            <w:tcW w:w="0" w:type="auto"/>
            <w:tcBorders>
              <w:top w:val="nil"/>
              <w:left w:val="nil"/>
              <w:bottom w:val="nil"/>
              <w:right w:val="nil"/>
            </w:tcBorders>
            <w:shd w:val="clear" w:color="auto" w:fill="auto"/>
            <w:noWrap/>
            <w:vAlign w:val="center"/>
            <w:hideMark/>
          </w:tcPr>
          <w:p w:rsidR="00AE63C7" w:rsidRPr="00C41782" w:rsidRDefault="00AE63C7" w:rsidP="00AE63C7">
            <w:pPr>
              <w:jc w:val="center"/>
            </w:pPr>
            <w:r w:rsidRPr="00C41782">
              <w:rPr>
                <w:rFonts w:ascii="Calibri" w:hAnsi="Calibri"/>
                <w:color w:val="000000"/>
                <w:sz w:val="16"/>
                <w:szCs w:val="16"/>
              </w:rPr>
              <w:t>£000</w:t>
            </w:r>
          </w:p>
        </w:tc>
        <w:tc>
          <w:tcPr>
            <w:tcW w:w="0" w:type="auto"/>
            <w:tcBorders>
              <w:top w:val="nil"/>
              <w:left w:val="nil"/>
              <w:bottom w:val="nil"/>
              <w:right w:val="nil"/>
            </w:tcBorders>
            <w:shd w:val="clear" w:color="000000" w:fill="F2F2F2"/>
            <w:noWrap/>
            <w:vAlign w:val="center"/>
            <w:hideMark/>
          </w:tcPr>
          <w:p w:rsidR="00AE63C7" w:rsidRPr="00C41782" w:rsidRDefault="00AE63C7" w:rsidP="00AE63C7">
            <w:pPr>
              <w:jc w:val="center"/>
            </w:pPr>
            <w:r w:rsidRPr="00C41782">
              <w:rPr>
                <w:rFonts w:ascii="Calibri" w:hAnsi="Calibri"/>
                <w:color w:val="000000"/>
                <w:sz w:val="16"/>
                <w:szCs w:val="16"/>
              </w:rPr>
              <w:t>£000</w:t>
            </w:r>
          </w:p>
        </w:tc>
      </w:tr>
      <w:tr w:rsidR="007B67EA" w:rsidRPr="00C41782" w:rsidTr="00DC56C0">
        <w:trPr>
          <w:trHeight w:val="315"/>
        </w:trPr>
        <w:tc>
          <w:tcPr>
            <w:tcW w:w="0" w:type="auto"/>
            <w:tcBorders>
              <w:top w:val="nil"/>
              <w:left w:val="nil"/>
              <w:bottom w:val="nil"/>
              <w:right w:val="nil"/>
            </w:tcBorders>
            <w:shd w:val="clear" w:color="auto" w:fill="auto"/>
            <w:vAlign w:val="bottom"/>
            <w:hideMark/>
          </w:tcPr>
          <w:p w:rsidR="007B67EA" w:rsidRPr="00C41782" w:rsidRDefault="007B67EA" w:rsidP="007B67EA">
            <w:pPr>
              <w:rPr>
                <w:rFonts w:ascii="Calibri" w:hAnsi="Calibri"/>
                <w:color w:val="000000"/>
                <w:sz w:val="16"/>
                <w:szCs w:val="16"/>
              </w:rPr>
            </w:pPr>
            <w:r w:rsidRPr="00C41782">
              <w:rPr>
                <w:rFonts w:ascii="Calibri" w:hAnsi="Calibri"/>
                <w:color w:val="000000"/>
                <w:sz w:val="16"/>
                <w:szCs w:val="16"/>
              </w:rPr>
              <w:t>Balance at 1st April 2011</w:t>
            </w: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r w:rsidRPr="00C41782">
              <w:rPr>
                <w:rFonts w:ascii="Calibri" w:hAnsi="Calibri"/>
                <w:color w:val="000000"/>
                <w:sz w:val="16"/>
                <w:szCs w:val="16"/>
              </w:rPr>
              <w:t xml:space="preserve">              (769,550) </w:t>
            </w: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r w:rsidRPr="00C41782">
              <w:rPr>
                <w:rFonts w:ascii="Calibri" w:hAnsi="Calibri"/>
                <w:color w:val="000000"/>
                <w:sz w:val="16"/>
                <w:szCs w:val="16"/>
              </w:rPr>
              <w:t xml:space="preserve">                   7,160 </w:t>
            </w: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r w:rsidRPr="00C41782">
              <w:rPr>
                <w:rFonts w:ascii="Calibri" w:hAnsi="Calibri"/>
                <w:color w:val="000000"/>
                <w:sz w:val="16"/>
                <w:szCs w:val="16"/>
              </w:rPr>
              <w:t xml:space="preserve"> (861,965) </w:t>
            </w: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r w:rsidRPr="00C41782">
              <w:rPr>
                <w:rFonts w:ascii="Calibri" w:hAnsi="Calibri"/>
                <w:color w:val="000000"/>
                <w:sz w:val="16"/>
                <w:szCs w:val="16"/>
              </w:rPr>
              <w:t xml:space="preserve">                 25,622 </w:t>
            </w: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r w:rsidRPr="00C41782">
              <w:rPr>
                <w:rFonts w:ascii="Calibri" w:hAnsi="Calibri"/>
                <w:color w:val="000000"/>
                <w:sz w:val="16"/>
                <w:szCs w:val="16"/>
              </w:rPr>
              <w:t xml:space="preserve">         765,212 </w:t>
            </w: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r w:rsidRPr="00C41782">
              <w:rPr>
                <w:rFonts w:ascii="Calibri" w:hAnsi="Calibri"/>
                <w:color w:val="000000"/>
                <w:sz w:val="16"/>
                <w:szCs w:val="16"/>
              </w:rPr>
              <w:t xml:space="preserve">                 (1,170) </w:t>
            </w: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r w:rsidRPr="00C41782">
              <w:rPr>
                <w:rFonts w:ascii="Calibri" w:hAnsi="Calibri"/>
                <w:color w:val="000000"/>
                <w:sz w:val="16"/>
                <w:szCs w:val="16"/>
              </w:rPr>
              <w:t xml:space="preserve">               37,890 </w:t>
            </w:r>
          </w:p>
        </w:tc>
        <w:tc>
          <w:tcPr>
            <w:tcW w:w="0" w:type="auto"/>
            <w:tcBorders>
              <w:top w:val="nil"/>
              <w:left w:val="nil"/>
              <w:bottom w:val="nil"/>
              <w:right w:val="nil"/>
            </w:tcBorders>
            <w:shd w:val="clear" w:color="000000" w:fill="F2F2F2"/>
            <w:noWrap/>
            <w:vAlign w:val="bottom"/>
            <w:hideMark/>
          </w:tcPr>
          <w:p w:rsidR="007B67EA" w:rsidRPr="00C41782" w:rsidRDefault="007B67EA" w:rsidP="00DC56C0">
            <w:pPr>
              <w:jc w:val="right"/>
              <w:rPr>
                <w:rFonts w:ascii="Calibri" w:hAnsi="Calibri"/>
                <w:color w:val="000000"/>
                <w:sz w:val="16"/>
                <w:szCs w:val="16"/>
              </w:rPr>
            </w:pPr>
            <w:r w:rsidRPr="00C41782">
              <w:rPr>
                <w:rFonts w:ascii="Calibri" w:hAnsi="Calibri"/>
                <w:color w:val="000000"/>
                <w:sz w:val="16"/>
                <w:szCs w:val="16"/>
              </w:rPr>
              <w:t xml:space="preserve">          (796,800) </w:t>
            </w:r>
          </w:p>
        </w:tc>
      </w:tr>
      <w:tr w:rsidR="007B67EA" w:rsidRPr="00C41782" w:rsidTr="00DC56C0">
        <w:trPr>
          <w:trHeight w:val="315"/>
        </w:trPr>
        <w:tc>
          <w:tcPr>
            <w:tcW w:w="0" w:type="auto"/>
            <w:tcBorders>
              <w:top w:val="nil"/>
              <w:left w:val="nil"/>
              <w:bottom w:val="nil"/>
              <w:right w:val="nil"/>
            </w:tcBorders>
            <w:shd w:val="clear" w:color="auto" w:fill="auto"/>
            <w:vAlign w:val="bottom"/>
            <w:hideMark/>
          </w:tcPr>
          <w:p w:rsidR="007B67EA" w:rsidRPr="00C41782" w:rsidRDefault="007B67EA" w:rsidP="007B67EA">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p>
        </w:tc>
      </w:tr>
      <w:tr w:rsidR="007B67EA" w:rsidRPr="00C41782" w:rsidTr="00DC56C0">
        <w:trPr>
          <w:trHeight w:val="315"/>
        </w:trPr>
        <w:tc>
          <w:tcPr>
            <w:tcW w:w="0" w:type="auto"/>
            <w:tcBorders>
              <w:top w:val="nil"/>
              <w:left w:val="nil"/>
              <w:bottom w:val="nil"/>
              <w:right w:val="nil"/>
            </w:tcBorders>
            <w:shd w:val="clear" w:color="auto" w:fill="auto"/>
            <w:vAlign w:val="bottom"/>
            <w:hideMark/>
          </w:tcPr>
          <w:p w:rsidR="007B67EA" w:rsidRPr="00C41782" w:rsidRDefault="007B67EA" w:rsidP="007B67EA">
            <w:pPr>
              <w:rPr>
                <w:rFonts w:ascii="Calibri" w:hAnsi="Calibri"/>
                <w:color w:val="000000"/>
                <w:sz w:val="16"/>
                <w:szCs w:val="16"/>
                <w:u w:val="single"/>
              </w:rPr>
            </w:pPr>
            <w:r w:rsidRPr="00C41782">
              <w:rPr>
                <w:rFonts w:ascii="Calibri" w:hAnsi="Calibri"/>
                <w:color w:val="000000"/>
                <w:sz w:val="16"/>
                <w:szCs w:val="16"/>
                <w:u w:val="single"/>
              </w:rPr>
              <w:t>Movement in Reserves During 2011/12</w:t>
            </w: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p>
        </w:tc>
        <w:tc>
          <w:tcPr>
            <w:tcW w:w="0" w:type="auto"/>
            <w:tcBorders>
              <w:top w:val="nil"/>
              <w:left w:val="nil"/>
              <w:bottom w:val="nil"/>
              <w:right w:val="nil"/>
            </w:tcBorders>
            <w:shd w:val="clear" w:color="000000" w:fill="F2F2F2"/>
            <w:noWrap/>
            <w:vAlign w:val="bottom"/>
            <w:hideMark/>
          </w:tcPr>
          <w:p w:rsidR="007B67EA" w:rsidRPr="00C41782" w:rsidRDefault="007B67EA" w:rsidP="00DC56C0">
            <w:pPr>
              <w:jc w:val="right"/>
              <w:rPr>
                <w:rFonts w:ascii="Calibri" w:hAnsi="Calibri"/>
                <w:color w:val="000000"/>
                <w:sz w:val="16"/>
                <w:szCs w:val="16"/>
              </w:rPr>
            </w:pPr>
            <w:r w:rsidRPr="00C41782">
              <w:rPr>
                <w:rFonts w:ascii="Calibri" w:hAnsi="Calibri"/>
                <w:color w:val="000000"/>
                <w:sz w:val="16"/>
                <w:szCs w:val="16"/>
              </w:rPr>
              <w:t xml:space="preserve">                         - </w:t>
            </w:r>
          </w:p>
        </w:tc>
      </w:tr>
      <w:tr w:rsidR="007B67EA" w:rsidRPr="00C41782" w:rsidTr="00DC56C0">
        <w:trPr>
          <w:trHeight w:val="346"/>
        </w:trPr>
        <w:tc>
          <w:tcPr>
            <w:tcW w:w="0" w:type="auto"/>
            <w:tcBorders>
              <w:top w:val="nil"/>
              <w:left w:val="nil"/>
              <w:bottom w:val="nil"/>
              <w:right w:val="nil"/>
            </w:tcBorders>
            <w:shd w:val="clear" w:color="auto" w:fill="auto"/>
            <w:vAlign w:val="bottom"/>
            <w:hideMark/>
          </w:tcPr>
          <w:p w:rsidR="007B67EA" w:rsidRPr="00C41782" w:rsidRDefault="00DD56EA" w:rsidP="007B67EA">
            <w:pPr>
              <w:rPr>
                <w:rFonts w:ascii="Calibri" w:hAnsi="Calibri"/>
                <w:color w:val="000000"/>
                <w:sz w:val="16"/>
                <w:szCs w:val="16"/>
              </w:rPr>
            </w:pPr>
            <w:r>
              <w:rPr>
                <w:rFonts w:ascii="Calibri" w:hAnsi="Calibri"/>
                <w:color w:val="000000"/>
                <w:sz w:val="16"/>
                <w:szCs w:val="16"/>
              </w:rPr>
              <w:t>(</w:t>
            </w:r>
            <w:r w:rsidR="007B67EA" w:rsidRPr="00C41782">
              <w:rPr>
                <w:rFonts w:ascii="Calibri" w:hAnsi="Calibri"/>
                <w:color w:val="000000"/>
                <w:sz w:val="16"/>
                <w:szCs w:val="16"/>
              </w:rPr>
              <w:t>Surplus</w:t>
            </w:r>
            <w:r>
              <w:rPr>
                <w:rFonts w:ascii="Calibri" w:hAnsi="Calibri"/>
                <w:color w:val="000000"/>
                <w:sz w:val="16"/>
                <w:szCs w:val="16"/>
              </w:rPr>
              <w:t>)</w:t>
            </w:r>
            <w:r w:rsidR="007B67EA" w:rsidRPr="00C41782">
              <w:rPr>
                <w:rFonts w:ascii="Calibri" w:hAnsi="Calibri"/>
                <w:color w:val="000000"/>
                <w:sz w:val="16"/>
                <w:szCs w:val="16"/>
              </w:rPr>
              <w:t xml:space="preserve"> or deficit on provision of services </w:t>
            </w:r>
          </w:p>
        </w:tc>
        <w:tc>
          <w:tcPr>
            <w:tcW w:w="0" w:type="auto"/>
            <w:tcBorders>
              <w:top w:val="nil"/>
              <w:left w:val="nil"/>
              <w:bottom w:val="nil"/>
              <w:right w:val="nil"/>
            </w:tcBorders>
            <w:shd w:val="clear" w:color="auto" w:fill="auto"/>
            <w:noWrap/>
            <w:vAlign w:val="bottom"/>
            <w:hideMark/>
          </w:tcPr>
          <w:p w:rsidR="007B67EA" w:rsidRPr="00C41782" w:rsidRDefault="00DC56C0" w:rsidP="00DC56C0">
            <w:pPr>
              <w:jc w:val="right"/>
              <w:rPr>
                <w:rFonts w:ascii="Calibri" w:hAnsi="Calibri"/>
                <w:color w:val="000000"/>
                <w:sz w:val="16"/>
                <w:szCs w:val="16"/>
              </w:rPr>
            </w:pPr>
            <w:r>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7B67EA" w:rsidRPr="00C41782" w:rsidRDefault="00DC56C0" w:rsidP="00DC56C0">
            <w:pPr>
              <w:jc w:val="right"/>
              <w:rPr>
                <w:rFonts w:ascii="Calibri" w:hAnsi="Calibri"/>
                <w:color w:val="000000"/>
                <w:sz w:val="16"/>
                <w:szCs w:val="16"/>
              </w:rPr>
            </w:pPr>
            <w:r>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7B67EA" w:rsidRPr="00C41782" w:rsidRDefault="00DC56C0" w:rsidP="00DC56C0">
            <w:pPr>
              <w:jc w:val="right"/>
              <w:rPr>
                <w:rFonts w:ascii="Calibri" w:hAnsi="Calibri"/>
                <w:color w:val="000000"/>
                <w:sz w:val="16"/>
                <w:szCs w:val="16"/>
              </w:rPr>
            </w:pPr>
            <w:r>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7B67EA" w:rsidRPr="00C41782" w:rsidRDefault="00DC56C0" w:rsidP="00DC56C0">
            <w:pPr>
              <w:jc w:val="right"/>
              <w:rPr>
                <w:rFonts w:ascii="Calibri" w:hAnsi="Calibri"/>
                <w:color w:val="000000"/>
                <w:sz w:val="16"/>
                <w:szCs w:val="16"/>
              </w:rPr>
            </w:pPr>
            <w:r>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7B67EA" w:rsidRPr="00C41782" w:rsidRDefault="00DC56C0" w:rsidP="00DC56C0">
            <w:pPr>
              <w:jc w:val="right"/>
              <w:rPr>
                <w:rFonts w:ascii="Calibri" w:hAnsi="Calibri"/>
                <w:color w:val="000000"/>
                <w:sz w:val="16"/>
                <w:szCs w:val="16"/>
              </w:rPr>
            </w:pPr>
            <w:r>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7B67EA" w:rsidRPr="00C41782" w:rsidRDefault="00DC56C0" w:rsidP="00DC56C0">
            <w:pPr>
              <w:jc w:val="right"/>
              <w:rPr>
                <w:rFonts w:ascii="Calibri" w:hAnsi="Calibri"/>
                <w:color w:val="000000"/>
                <w:sz w:val="16"/>
                <w:szCs w:val="16"/>
              </w:rPr>
            </w:pPr>
            <w:r>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7B67EA" w:rsidRPr="00C41782" w:rsidRDefault="00DC56C0" w:rsidP="00DC56C0">
            <w:pPr>
              <w:jc w:val="right"/>
              <w:rPr>
                <w:rFonts w:ascii="Calibri" w:hAnsi="Calibri"/>
                <w:color w:val="000000"/>
                <w:sz w:val="16"/>
                <w:szCs w:val="16"/>
              </w:rPr>
            </w:pPr>
            <w:r>
              <w:rPr>
                <w:rFonts w:ascii="Calibri" w:hAnsi="Calibri"/>
                <w:color w:val="000000"/>
                <w:sz w:val="16"/>
                <w:szCs w:val="16"/>
              </w:rPr>
              <w:t>-</w:t>
            </w:r>
          </w:p>
        </w:tc>
        <w:tc>
          <w:tcPr>
            <w:tcW w:w="0" w:type="auto"/>
            <w:tcBorders>
              <w:top w:val="nil"/>
              <w:left w:val="nil"/>
              <w:bottom w:val="nil"/>
              <w:right w:val="nil"/>
            </w:tcBorders>
            <w:shd w:val="clear" w:color="000000" w:fill="F2F2F2"/>
            <w:noWrap/>
            <w:vAlign w:val="bottom"/>
            <w:hideMark/>
          </w:tcPr>
          <w:p w:rsidR="007B67EA" w:rsidRPr="00C41782" w:rsidRDefault="007B67EA" w:rsidP="00DC56C0">
            <w:pPr>
              <w:jc w:val="right"/>
              <w:rPr>
                <w:rFonts w:ascii="Calibri" w:hAnsi="Calibri"/>
                <w:color w:val="000000"/>
                <w:sz w:val="16"/>
                <w:szCs w:val="16"/>
              </w:rPr>
            </w:pPr>
            <w:r w:rsidRPr="00C41782">
              <w:rPr>
                <w:rFonts w:ascii="Calibri" w:hAnsi="Calibri"/>
                <w:color w:val="000000"/>
                <w:sz w:val="16"/>
                <w:szCs w:val="16"/>
              </w:rPr>
              <w:t xml:space="preserve">                         - </w:t>
            </w:r>
          </w:p>
        </w:tc>
      </w:tr>
      <w:tr w:rsidR="007B67EA" w:rsidRPr="00C41782" w:rsidTr="00DC56C0">
        <w:trPr>
          <w:trHeight w:val="394"/>
        </w:trPr>
        <w:tc>
          <w:tcPr>
            <w:tcW w:w="0" w:type="auto"/>
            <w:tcBorders>
              <w:top w:val="nil"/>
              <w:left w:val="nil"/>
              <w:bottom w:val="nil"/>
              <w:right w:val="nil"/>
            </w:tcBorders>
            <w:shd w:val="clear" w:color="auto" w:fill="auto"/>
            <w:vAlign w:val="bottom"/>
            <w:hideMark/>
          </w:tcPr>
          <w:p w:rsidR="007B67EA" w:rsidRPr="00C41782" w:rsidRDefault="007B67EA" w:rsidP="007B67EA">
            <w:pPr>
              <w:rPr>
                <w:rFonts w:ascii="Calibri" w:hAnsi="Calibri"/>
                <w:color w:val="000000"/>
                <w:sz w:val="16"/>
                <w:szCs w:val="16"/>
              </w:rPr>
            </w:pPr>
            <w:r w:rsidRPr="00C41782">
              <w:rPr>
                <w:rFonts w:ascii="Calibri" w:hAnsi="Calibri"/>
                <w:color w:val="000000"/>
                <w:sz w:val="16"/>
                <w:szCs w:val="16"/>
              </w:rPr>
              <w:t>Other Comprehensive Expenditure and Income</w:t>
            </w: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r w:rsidRPr="00C41782">
              <w:rPr>
                <w:rFonts w:ascii="Calibri" w:hAnsi="Calibri"/>
                <w:color w:val="000000"/>
                <w:sz w:val="16"/>
                <w:szCs w:val="16"/>
              </w:rPr>
              <w:t xml:space="preserve">                   (9,734) </w:t>
            </w:r>
          </w:p>
        </w:tc>
        <w:tc>
          <w:tcPr>
            <w:tcW w:w="0" w:type="auto"/>
            <w:tcBorders>
              <w:top w:val="nil"/>
              <w:left w:val="nil"/>
              <w:bottom w:val="nil"/>
              <w:right w:val="nil"/>
            </w:tcBorders>
            <w:shd w:val="clear" w:color="auto" w:fill="auto"/>
            <w:noWrap/>
            <w:vAlign w:val="bottom"/>
            <w:hideMark/>
          </w:tcPr>
          <w:p w:rsidR="007B67EA" w:rsidRPr="00C41782" w:rsidRDefault="00DC56C0" w:rsidP="00DC56C0">
            <w:pPr>
              <w:jc w:val="right"/>
              <w:rPr>
                <w:rFonts w:ascii="Calibri" w:hAnsi="Calibri"/>
                <w:color w:val="000000"/>
                <w:sz w:val="16"/>
                <w:szCs w:val="16"/>
              </w:rPr>
            </w:pPr>
            <w:r>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7B67EA" w:rsidRPr="00C41782" w:rsidRDefault="00DC56C0" w:rsidP="00DC56C0">
            <w:pPr>
              <w:jc w:val="right"/>
              <w:rPr>
                <w:rFonts w:ascii="Calibri" w:hAnsi="Calibri"/>
                <w:color w:val="000000"/>
                <w:sz w:val="16"/>
                <w:szCs w:val="16"/>
              </w:rPr>
            </w:pPr>
            <w:r>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7B67EA" w:rsidRPr="00C41782" w:rsidRDefault="00DC56C0" w:rsidP="00DC56C0">
            <w:pPr>
              <w:jc w:val="right"/>
              <w:rPr>
                <w:rFonts w:ascii="Calibri" w:hAnsi="Calibri"/>
                <w:color w:val="000000"/>
                <w:sz w:val="16"/>
                <w:szCs w:val="16"/>
              </w:rPr>
            </w:pPr>
            <w:r>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r w:rsidRPr="00C41782">
              <w:rPr>
                <w:rFonts w:ascii="Calibri" w:hAnsi="Calibri"/>
                <w:color w:val="000000"/>
                <w:sz w:val="16"/>
                <w:szCs w:val="16"/>
              </w:rPr>
              <w:t xml:space="preserve">         175,400 </w:t>
            </w:r>
          </w:p>
        </w:tc>
        <w:tc>
          <w:tcPr>
            <w:tcW w:w="0" w:type="auto"/>
            <w:tcBorders>
              <w:top w:val="nil"/>
              <w:left w:val="nil"/>
              <w:bottom w:val="nil"/>
              <w:right w:val="nil"/>
            </w:tcBorders>
            <w:shd w:val="clear" w:color="auto" w:fill="auto"/>
            <w:noWrap/>
            <w:vAlign w:val="bottom"/>
            <w:hideMark/>
          </w:tcPr>
          <w:p w:rsidR="007B67EA" w:rsidRPr="00C41782" w:rsidRDefault="00DC56C0" w:rsidP="00DC56C0">
            <w:pPr>
              <w:jc w:val="right"/>
              <w:rPr>
                <w:rFonts w:ascii="Calibri" w:hAnsi="Calibri"/>
                <w:color w:val="000000"/>
                <w:sz w:val="16"/>
                <w:szCs w:val="16"/>
              </w:rPr>
            </w:pPr>
            <w:r>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7B67EA" w:rsidRPr="00C41782" w:rsidRDefault="00DC56C0" w:rsidP="00DC56C0">
            <w:pPr>
              <w:jc w:val="right"/>
              <w:rPr>
                <w:rFonts w:ascii="Calibri" w:hAnsi="Calibri"/>
                <w:color w:val="000000"/>
                <w:sz w:val="16"/>
                <w:szCs w:val="16"/>
              </w:rPr>
            </w:pPr>
            <w:r>
              <w:rPr>
                <w:rFonts w:ascii="Calibri" w:hAnsi="Calibri"/>
                <w:color w:val="000000"/>
                <w:sz w:val="16"/>
                <w:szCs w:val="16"/>
              </w:rPr>
              <w:t>-</w:t>
            </w:r>
          </w:p>
        </w:tc>
        <w:tc>
          <w:tcPr>
            <w:tcW w:w="0" w:type="auto"/>
            <w:tcBorders>
              <w:top w:val="nil"/>
              <w:left w:val="nil"/>
              <w:bottom w:val="nil"/>
              <w:right w:val="nil"/>
            </w:tcBorders>
            <w:shd w:val="clear" w:color="000000" w:fill="F2F2F2"/>
            <w:noWrap/>
            <w:vAlign w:val="bottom"/>
            <w:hideMark/>
          </w:tcPr>
          <w:p w:rsidR="007B67EA" w:rsidRPr="00C41782" w:rsidRDefault="007B67EA" w:rsidP="00DC56C0">
            <w:pPr>
              <w:jc w:val="right"/>
              <w:rPr>
                <w:rFonts w:ascii="Calibri" w:hAnsi="Calibri"/>
                <w:color w:val="000000"/>
                <w:sz w:val="16"/>
                <w:szCs w:val="16"/>
              </w:rPr>
            </w:pPr>
            <w:r w:rsidRPr="00C41782">
              <w:rPr>
                <w:rFonts w:ascii="Calibri" w:hAnsi="Calibri"/>
                <w:color w:val="000000"/>
                <w:sz w:val="16"/>
                <w:szCs w:val="16"/>
              </w:rPr>
              <w:t xml:space="preserve">            165,666 </w:t>
            </w:r>
          </w:p>
        </w:tc>
      </w:tr>
      <w:tr w:rsidR="007B67EA" w:rsidRPr="00C41782" w:rsidTr="00DC56C0">
        <w:trPr>
          <w:trHeight w:val="413"/>
        </w:trPr>
        <w:tc>
          <w:tcPr>
            <w:tcW w:w="0" w:type="auto"/>
            <w:tcBorders>
              <w:top w:val="nil"/>
              <w:left w:val="nil"/>
              <w:bottom w:val="nil"/>
              <w:right w:val="nil"/>
            </w:tcBorders>
            <w:shd w:val="clear" w:color="000000" w:fill="D8D8D8"/>
            <w:vAlign w:val="bottom"/>
            <w:hideMark/>
          </w:tcPr>
          <w:p w:rsidR="007B67EA" w:rsidRPr="00C41782" w:rsidRDefault="007B67EA" w:rsidP="007B67EA">
            <w:pPr>
              <w:rPr>
                <w:rFonts w:ascii="Calibri" w:hAnsi="Calibri"/>
                <w:color w:val="000000"/>
                <w:sz w:val="16"/>
                <w:szCs w:val="16"/>
              </w:rPr>
            </w:pPr>
            <w:r w:rsidRPr="00C41782">
              <w:rPr>
                <w:rFonts w:ascii="Calibri" w:hAnsi="Calibri"/>
                <w:color w:val="000000"/>
                <w:sz w:val="16"/>
                <w:szCs w:val="16"/>
              </w:rPr>
              <w:t>Total Comprehensive Expenditure and Income</w:t>
            </w:r>
          </w:p>
        </w:tc>
        <w:tc>
          <w:tcPr>
            <w:tcW w:w="0" w:type="auto"/>
            <w:tcBorders>
              <w:top w:val="nil"/>
              <w:left w:val="nil"/>
              <w:bottom w:val="nil"/>
              <w:right w:val="nil"/>
            </w:tcBorders>
            <w:shd w:val="clear" w:color="000000" w:fill="D8D8D8"/>
            <w:noWrap/>
            <w:vAlign w:val="bottom"/>
            <w:hideMark/>
          </w:tcPr>
          <w:p w:rsidR="007B67EA" w:rsidRPr="00C41782" w:rsidRDefault="007B67EA" w:rsidP="00DC56C0">
            <w:pPr>
              <w:jc w:val="right"/>
              <w:rPr>
                <w:rFonts w:ascii="Calibri" w:hAnsi="Calibri"/>
                <w:b/>
                <w:bCs/>
                <w:color w:val="000000"/>
                <w:sz w:val="16"/>
                <w:szCs w:val="16"/>
              </w:rPr>
            </w:pPr>
            <w:r w:rsidRPr="00C41782">
              <w:rPr>
                <w:rFonts w:ascii="Calibri" w:hAnsi="Calibri"/>
                <w:b/>
                <w:bCs/>
                <w:color w:val="000000"/>
                <w:sz w:val="16"/>
                <w:szCs w:val="16"/>
              </w:rPr>
              <w:t xml:space="preserve">                    (9,734) </w:t>
            </w:r>
          </w:p>
        </w:tc>
        <w:tc>
          <w:tcPr>
            <w:tcW w:w="0" w:type="auto"/>
            <w:tcBorders>
              <w:top w:val="nil"/>
              <w:left w:val="nil"/>
              <w:bottom w:val="nil"/>
              <w:right w:val="nil"/>
            </w:tcBorders>
            <w:shd w:val="clear" w:color="000000" w:fill="D8D8D8"/>
            <w:noWrap/>
            <w:vAlign w:val="bottom"/>
            <w:hideMark/>
          </w:tcPr>
          <w:p w:rsidR="007B67EA" w:rsidRPr="00C41782" w:rsidRDefault="007B67EA" w:rsidP="00DC56C0">
            <w:pPr>
              <w:jc w:val="right"/>
              <w:rPr>
                <w:rFonts w:ascii="Calibri" w:hAnsi="Calibri"/>
                <w:b/>
                <w:bCs/>
                <w:color w:val="000000"/>
                <w:sz w:val="16"/>
                <w:szCs w:val="16"/>
              </w:rPr>
            </w:pPr>
            <w:r w:rsidRPr="00C41782">
              <w:rPr>
                <w:rFonts w:ascii="Calibri" w:hAnsi="Calibri"/>
                <w:b/>
                <w:bCs/>
                <w:color w:val="000000"/>
                <w:sz w:val="16"/>
                <w:szCs w:val="16"/>
              </w:rPr>
              <w:t xml:space="preserve">                            - </w:t>
            </w:r>
          </w:p>
        </w:tc>
        <w:tc>
          <w:tcPr>
            <w:tcW w:w="0" w:type="auto"/>
            <w:tcBorders>
              <w:top w:val="nil"/>
              <w:left w:val="nil"/>
              <w:bottom w:val="nil"/>
              <w:right w:val="nil"/>
            </w:tcBorders>
            <w:shd w:val="clear" w:color="000000" w:fill="D8D8D8"/>
            <w:noWrap/>
            <w:vAlign w:val="bottom"/>
            <w:hideMark/>
          </w:tcPr>
          <w:p w:rsidR="007B67EA" w:rsidRPr="00C41782" w:rsidRDefault="007B67EA" w:rsidP="00DC56C0">
            <w:pPr>
              <w:jc w:val="right"/>
              <w:rPr>
                <w:rFonts w:ascii="Calibri" w:hAnsi="Calibri"/>
                <w:b/>
                <w:bCs/>
                <w:color w:val="000000"/>
                <w:sz w:val="16"/>
                <w:szCs w:val="16"/>
              </w:rPr>
            </w:pPr>
            <w:r w:rsidRPr="00C41782">
              <w:rPr>
                <w:rFonts w:ascii="Calibri" w:hAnsi="Calibri"/>
                <w:b/>
                <w:bCs/>
                <w:color w:val="000000"/>
                <w:sz w:val="16"/>
                <w:szCs w:val="16"/>
              </w:rPr>
              <w:t xml:space="preserve">                             - </w:t>
            </w:r>
          </w:p>
        </w:tc>
        <w:tc>
          <w:tcPr>
            <w:tcW w:w="0" w:type="auto"/>
            <w:tcBorders>
              <w:top w:val="nil"/>
              <w:left w:val="nil"/>
              <w:bottom w:val="nil"/>
              <w:right w:val="nil"/>
            </w:tcBorders>
            <w:shd w:val="clear" w:color="000000" w:fill="D8D8D8"/>
            <w:noWrap/>
            <w:vAlign w:val="bottom"/>
            <w:hideMark/>
          </w:tcPr>
          <w:p w:rsidR="007B67EA" w:rsidRPr="00C41782" w:rsidRDefault="007B67EA" w:rsidP="00DC56C0">
            <w:pPr>
              <w:jc w:val="right"/>
              <w:rPr>
                <w:rFonts w:ascii="Calibri" w:hAnsi="Calibri"/>
                <w:b/>
                <w:bCs/>
                <w:color w:val="000000"/>
                <w:sz w:val="16"/>
                <w:szCs w:val="16"/>
              </w:rPr>
            </w:pPr>
            <w:r w:rsidRPr="00C41782">
              <w:rPr>
                <w:rFonts w:ascii="Calibri" w:hAnsi="Calibri"/>
                <w:b/>
                <w:bCs/>
                <w:color w:val="000000"/>
                <w:sz w:val="16"/>
                <w:szCs w:val="16"/>
              </w:rPr>
              <w:t xml:space="preserve">                            - </w:t>
            </w:r>
          </w:p>
        </w:tc>
        <w:tc>
          <w:tcPr>
            <w:tcW w:w="0" w:type="auto"/>
            <w:tcBorders>
              <w:top w:val="nil"/>
              <w:left w:val="nil"/>
              <w:bottom w:val="nil"/>
              <w:right w:val="nil"/>
            </w:tcBorders>
            <w:shd w:val="clear" w:color="000000" w:fill="D8D8D8"/>
            <w:noWrap/>
            <w:vAlign w:val="bottom"/>
            <w:hideMark/>
          </w:tcPr>
          <w:p w:rsidR="007B67EA" w:rsidRPr="00C41782" w:rsidRDefault="007B67EA" w:rsidP="00DC56C0">
            <w:pPr>
              <w:jc w:val="right"/>
              <w:rPr>
                <w:rFonts w:ascii="Calibri" w:hAnsi="Calibri"/>
                <w:b/>
                <w:bCs/>
                <w:color w:val="000000"/>
                <w:sz w:val="16"/>
                <w:szCs w:val="16"/>
              </w:rPr>
            </w:pPr>
            <w:r w:rsidRPr="00C41782">
              <w:rPr>
                <w:rFonts w:ascii="Calibri" w:hAnsi="Calibri"/>
                <w:b/>
                <w:bCs/>
                <w:color w:val="000000"/>
                <w:sz w:val="16"/>
                <w:szCs w:val="16"/>
              </w:rPr>
              <w:t xml:space="preserve">         175,400 </w:t>
            </w:r>
          </w:p>
        </w:tc>
        <w:tc>
          <w:tcPr>
            <w:tcW w:w="0" w:type="auto"/>
            <w:tcBorders>
              <w:top w:val="nil"/>
              <w:left w:val="nil"/>
              <w:bottom w:val="nil"/>
              <w:right w:val="nil"/>
            </w:tcBorders>
            <w:shd w:val="clear" w:color="000000" w:fill="D8D8D8"/>
            <w:noWrap/>
            <w:vAlign w:val="bottom"/>
            <w:hideMark/>
          </w:tcPr>
          <w:p w:rsidR="007B67EA" w:rsidRPr="00C41782" w:rsidRDefault="007B67EA" w:rsidP="00DC56C0">
            <w:pPr>
              <w:jc w:val="right"/>
              <w:rPr>
                <w:rFonts w:ascii="Calibri" w:hAnsi="Calibri"/>
                <w:b/>
                <w:bCs/>
                <w:color w:val="000000"/>
                <w:sz w:val="16"/>
                <w:szCs w:val="16"/>
              </w:rPr>
            </w:pPr>
            <w:r w:rsidRPr="00C41782">
              <w:rPr>
                <w:rFonts w:ascii="Calibri" w:hAnsi="Calibri"/>
                <w:b/>
                <w:bCs/>
                <w:color w:val="000000"/>
                <w:sz w:val="16"/>
                <w:szCs w:val="16"/>
              </w:rPr>
              <w:t xml:space="preserve">                            - </w:t>
            </w:r>
          </w:p>
        </w:tc>
        <w:tc>
          <w:tcPr>
            <w:tcW w:w="0" w:type="auto"/>
            <w:tcBorders>
              <w:top w:val="nil"/>
              <w:left w:val="nil"/>
              <w:bottom w:val="nil"/>
              <w:right w:val="nil"/>
            </w:tcBorders>
            <w:shd w:val="clear" w:color="000000" w:fill="D8D8D8"/>
            <w:noWrap/>
            <w:vAlign w:val="bottom"/>
            <w:hideMark/>
          </w:tcPr>
          <w:p w:rsidR="007B67EA" w:rsidRPr="00C41782" w:rsidRDefault="007B67EA" w:rsidP="00DC56C0">
            <w:pPr>
              <w:jc w:val="right"/>
              <w:rPr>
                <w:rFonts w:ascii="Calibri" w:hAnsi="Calibri"/>
                <w:b/>
                <w:bCs/>
                <w:color w:val="000000"/>
                <w:sz w:val="16"/>
                <w:szCs w:val="16"/>
              </w:rPr>
            </w:pPr>
            <w:r w:rsidRPr="00C41782">
              <w:rPr>
                <w:rFonts w:ascii="Calibri" w:hAnsi="Calibri"/>
                <w:b/>
                <w:bCs/>
                <w:color w:val="000000"/>
                <w:sz w:val="16"/>
                <w:szCs w:val="16"/>
              </w:rPr>
              <w:t xml:space="preserve">                          - </w:t>
            </w:r>
          </w:p>
        </w:tc>
        <w:tc>
          <w:tcPr>
            <w:tcW w:w="0" w:type="auto"/>
            <w:tcBorders>
              <w:top w:val="nil"/>
              <w:left w:val="nil"/>
              <w:bottom w:val="nil"/>
              <w:right w:val="nil"/>
            </w:tcBorders>
            <w:shd w:val="clear" w:color="000000" w:fill="D8D8D8"/>
            <w:noWrap/>
            <w:vAlign w:val="bottom"/>
            <w:hideMark/>
          </w:tcPr>
          <w:p w:rsidR="007B67EA" w:rsidRPr="00C41782" w:rsidRDefault="007B67EA" w:rsidP="00DC56C0">
            <w:pPr>
              <w:jc w:val="right"/>
              <w:rPr>
                <w:rFonts w:ascii="Calibri" w:hAnsi="Calibri"/>
                <w:b/>
                <w:bCs/>
                <w:color w:val="000000"/>
                <w:sz w:val="16"/>
                <w:szCs w:val="16"/>
              </w:rPr>
            </w:pPr>
            <w:r w:rsidRPr="00C41782">
              <w:rPr>
                <w:rFonts w:ascii="Calibri" w:hAnsi="Calibri"/>
                <w:b/>
                <w:bCs/>
                <w:color w:val="000000"/>
                <w:sz w:val="16"/>
                <w:szCs w:val="16"/>
              </w:rPr>
              <w:t xml:space="preserve">            165,666 </w:t>
            </w:r>
          </w:p>
        </w:tc>
      </w:tr>
      <w:tr w:rsidR="007B67EA" w:rsidRPr="00C41782" w:rsidTr="00DC56C0">
        <w:trPr>
          <w:trHeight w:val="630"/>
        </w:trPr>
        <w:tc>
          <w:tcPr>
            <w:tcW w:w="0" w:type="auto"/>
            <w:tcBorders>
              <w:top w:val="nil"/>
              <w:left w:val="nil"/>
              <w:bottom w:val="nil"/>
              <w:right w:val="nil"/>
            </w:tcBorders>
            <w:shd w:val="clear" w:color="auto" w:fill="auto"/>
            <w:vAlign w:val="bottom"/>
            <w:hideMark/>
          </w:tcPr>
          <w:p w:rsidR="007B67EA" w:rsidRPr="00C41782" w:rsidRDefault="007B67EA" w:rsidP="007B67EA">
            <w:pPr>
              <w:rPr>
                <w:rFonts w:ascii="Calibri" w:hAnsi="Calibri"/>
                <w:color w:val="000000"/>
                <w:sz w:val="16"/>
                <w:szCs w:val="16"/>
              </w:rPr>
            </w:pPr>
            <w:r w:rsidRPr="00C41782">
              <w:rPr>
                <w:rFonts w:ascii="Calibri" w:hAnsi="Calibri"/>
                <w:color w:val="000000"/>
                <w:sz w:val="16"/>
                <w:szCs w:val="16"/>
              </w:rPr>
              <w:t>Adjustments Between Accounting Basis &amp; Funding Basis Under Regulations</w:t>
            </w: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r w:rsidRPr="00C41782">
              <w:rPr>
                <w:rFonts w:ascii="Calibri" w:hAnsi="Calibri"/>
                <w:color w:val="000000"/>
                <w:sz w:val="16"/>
                <w:szCs w:val="16"/>
              </w:rPr>
              <w:t xml:space="preserve">                    60,616 </w:t>
            </w: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r w:rsidRPr="00C41782">
              <w:rPr>
                <w:rFonts w:ascii="Calibri" w:hAnsi="Calibri"/>
                <w:color w:val="000000"/>
                <w:sz w:val="16"/>
                <w:szCs w:val="16"/>
              </w:rPr>
              <w:t xml:space="preserve">                            - </w:t>
            </w: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r w:rsidRPr="00C41782">
              <w:rPr>
                <w:rFonts w:ascii="Calibri" w:hAnsi="Calibri"/>
                <w:color w:val="000000"/>
                <w:sz w:val="16"/>
                <w:szCs w:val="16"/>
              </w:rPr>
              <w:t xml:space="preserve">                   (6,303) </w:t>
            </w: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r w:rsidRPr="00C41782">
              <w:rPr>
                <w:rFonts w:ascii="Calibri" w:hAnsi="Calibri"/>
                <w:color w:val="000000"/>
                <w:sz w:val="16"/>
                <w:szCs w:val="16"/>
              </w:rPr>
              <w:t xml:space="preserve">                 (2,056) </w:t>
            </w: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r w:rsidRPr="00C41782">
              <w:rPr>
                <w:rFonts w:ascii="Calibri" w:hAnsi="Calibri"/>
                <w:color w:val="000000"/>
                <w:sz w:val="16"/>
                <w:szCs w:val="16"/>
              </w:rPr>
              <w:t xml:space="preserve">            (1,117) </w:t>
            </w: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r w:rsidRPr="00C41782">
              <w:rPr>
                <w:rFonts w:ascii="Calibri" w:hAnsi="Calibri"/>
                <w:color w:val="000000"/>
                <w:sz w:val="16"/>
                <w:szCs w:val="16"/>
              </w:rPr>
              <w:t xml:space="preserve">                     (351) </w:t>
            </w: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r w:rsidRPr="00C41782">
              <w:rPr>
                <w:rFonts w:ascii="Calibri" w:hAnsi="Calibri"/>
                <w:color w:val="000000"/>
                <w:sz w:val="16"/>
                <w:szCs w:val="16"/>
              </w:rPr>
              <w:t xml:space="preserve">               (8,458) </w:t>
            </w:r>
          </w:p>
        </w:tc>
        <w:tc>
          <w:tcPr>
            <w:tcW w:w="0" w:type="auto"/>
            <w:tcBorders>
              <w:top w:val="nil"/>
              <w:left w:val="nil"/>
              <w:bottom w:val="nil"/>
              <w:right w:val="nil"/>
            </w:tcBorders>
            <w:shd w:val="clear" w:color="000000" w:fill="F2F2F2"/>
            <w:noWrap/>
            <w:vAlign w:val="bottom"/>
            <w:hideMark/>
          </w:tcPr>
          <w:p w:rsidR="007B67EA" w:rsidRPr="00C41782" w:rsidRDefault="007B67EA" w:rsidP="00DC56C0">
            <w:pPr>
              <w:jc w:val="right"/>
              <w:rPr>
                <w:rFonts w:ascii="Calibri" w:hAnsi="Calibri"/>
                <w:b/>
                <w:bCs/>
                <w:color w:val="000000"/>
                <w:sz w:val="16"/>
                <w:szCs w:val="16"/>
              </w:rPr>
            </w:pPr>
            <w:r w:rsidRPr="00C41782">
              <w:rPr>
                <w:rFonts w:ascii="Calibri" w:hAnsi="Calibri"/>
                <w:b/>
                <w:bCs/>
                <w:color w:val="000000"/>
                <w:sz w:val="16"/>
                <w:szCs w:val="16"/>
              </w:rPr>
              <w:t xml:space="preserve">              42,332 </w:t>
            </w:r>
          </w:p>
        </w:tc>
      </w:tr>
      <w:tr w:rsidR="007B67EA" w:rsidRPr="00C41782" w:rsidTr="00DC56C0">
        <w:trPr>
          <w:trHeight w:val="372"/>
        </w:trPr>
        <w:tc>
          <w:tcPr>
            <w:tcW w:w="0" w:type="auto"/>
            <w:tcBorders>
              <w:top w:val="nil"/>
              <w:left w:val="nil"/>
              <w:bottom w:val="nil"/>
              <w:right w:val="nil"/>
            </w:tcBorders>
            <w:shd w:val="clear" w:color="000000" w:fill="D8D8D8"/>
            <w:vAlign w:val="bottom"/>
            <w:hideMark/>
          </w:tcPr>
          <w:p w:rsidR="007B67EA" w:rsidRPr="00C41782" w:rsidRDefault="007B67EA" w:rsidP="007B67EA">
            <w:pPr>
              <w:rPr>
                <w:rFonts w:ascii="Calibri" w:hAnsi="Calibri"/>
                <w:color w:val="000000"/>
                <w:sz w:val="16"/>
                <w:szCs w:val="16"/>
              </w:rPr>
            </w:pPr>
            <w:r w:rsidRPr="00C41782">
              <w:rPr>
                <w:rFonts w:ascii="Calibri" w:hAnsi="Calibri"/>
                <w:color w:val="000000"/>
                <w:sz w:val="16"/>
                <w:szCs w:val="16"/>
              </w:rPr>
              <w:t>Net Increase/</w:t>
            </w:r>
            <w:r w:rsidR="00BC64F7">
              <w:rPr>
                <w:rFonts w:ascii="Calibri" w:hAnsi="Calibri"/>
                <w:color w:val="000000"/>
                <w:sz w:val="16"/>
                <w:szCs w:val="16"/>
              </w:rPr>
              <w:t>(</w:t>
            </w:r>
            <w:r w:rsidRPr="00C41782">
              <w:rPr>
                <w:rFonts w:ascii="Calibri" w:hAnsi="Calibri"/>
                <w:color w:val="000000"/>
                <w:sz w:val="16"/>
                <w:szCs w:val="16"/>
              </w:rPr>
              <w:t>Decrease</w:t>
            </w:r>
            <w:r w:rsidR="00BC64F7">
              <w:rPr>
                <w:rFonts w:ascii="Calibri" w:hAnsi="Calibri"/>
                <w:color w:val="000000"/>
                <w:sz w:val="16"/>
                <w:szCs w:val="16"/>
              </w:rPr>
              <w:t>)</w:t>
            </w:r>
            <w:r w:rsidRPr="00C41782">
              <w:rPr>
                <w:rFonts w:ascii="Calibri" w:hAnsi="Calibri"/>
                <w:color w:val="000000"/>
                <w:sz w:val="16"/>
                <w:szCs w:val="16"/>
              </w:rPr>
              <w:t xml:space="preserve"> before Transfers to Earmarked Reserves</w:t>
            </w:r>
          </w:p>
        </w:tc>
        <w:tc>
          <w:tcPr>
            <w:tcW w:w="0" w:type="auto"/>
            <w:tcBorders>
              <w:top w:val="nil"/>
              <w:left w:val="nil"/>
              <w:bottom w:val="nil"/>
              <w:right w:val="nil"/>
            </w:tcBorders>
            <w:shd w:val="clear" w:color="000000" w:fill="D8D8D8"/>
            <w:noWrap/>
            <w:vAlign w:val="bottom"/>
            <w:hideMark/>
          </w:tcPr>
          <w:p w:rsidR="007B67EA" w:rsidRPr="00C41782" w:rsidRDefault="007B67EA" w:rsidP="00DC56C0">
            <w:pPr>
              <w:jc w:val="right"/>
              <w:rPr>
                <w:rFonts w:ascii="Calibri" w:hAnsi="Calibri"/>
                <w:b/>
                <w:bCs/>
                <w:color w:val="000000"/>
                <w:sz w:val="16"/>
                <w:szCs w:val="16"/>
              </w:rPr>
            </w:pPr>
            <w:r w:rsidRPr="00C41782">
              <w:rPr>
                <w:rFonts w:ascii="Calibri" w:hAnsi="Calibri"/>
                <w:b/>
                <w:bCs/>
                <w:color w:val="000000"/>
                <w:sz w:val="16"/>
                <w:szCs w:val="16"/>
              </w:rPr>
              <w:t xml:space="preserve">                    50,882 </w:t>
            </w:r>
          </w:p>
        </w:tc>
        <w:tc>
          <w:tcPr>
            <w:tcW w:w="0" w:type="auto"/>
            <w:tcBorders>
              <w:top w:val="nil"/>
              <w:left w:val="nil"/>
              <w:bottom w:val="nil"/>
              <w:right w:val="nil"/>
            </w:tcBorders>
            <w:shd w:val="clear" w:color="000000" w:fill="D8D8D8"/>
            <w:noWrap/>
            <w:vAlign w:val="bottom"/>
            <w:hideMark/>
          </w:tcPr>
          <w:p w:rsidR="007B67EA" w:rsidRPr="00C41782" w:rsidRDefault="007B67EA" w:rsidP="00DC56C0">
            <w:pPr>
              <w:jc w:val="right"/>
              <w:rPr>
                <w:rFonts w:ascii="Calibri" w:hAnsi="Calibri"/>
                <w:b/>
                <w:bCs/>
                <w:color w:val="000000"/>
                <w:sz w:val="16"/>
                <w:szCs w:val="16"/>
              </w:rPr>
            </w:pPr>
            <w:r w:rsidRPr="00C41782">
              <w:rPr>
                <w:rFonts w:ascii="Calibri" w:hAnsi="Calibri"/>
                <w:b/>
                <w:bCs/>
                <w:color w:val="000000"/>
                <w:sz w:val="16"/>
                <w:szCs w:val="16"/>
              </w:rPr>
              <w:t xml:space="preserve">                            - </w:t>
            </w:r>
          </w:p>
        </w:tc>
        <w:tc>
          <w:tcPr>
            <w:tcW w:w="0" w:type="auto"/>
            <w:tcBorders>
              <w:top w:val="nil"/>
              <w:left w:val="nil"/>
              <w:bottom w:val="nil"/>
              <w:right w:val="nil"/>
            </w:tcBorders>
            <w:shd w:val="clear" w:color="000000" w:fill="D8D8D8"/>
            <w:noWrap/>
            <w:vAlign w:val="bottom"/>
            <w:hideMark/>
          </w:tcPr>
          <w:p w:rsidR="007B67EA" w:rsidRPr="00C41782" w:rsidRDefault="007B67EA" w:rsidP="00DC56C0">
            <w:pPr>
              <w:jc w:val="right"/>
              <w:rPr>
                <w:rFonts w:ascii="Calibri" w:hAnsi="Calibri"/>
                <w:b/>
                <w:bCs/>
                <w:color w:val="000000"/>
                <w:sz w:val="16"/>
                <w:szCs w:val="16"/>
              </w:rPr>
            </w:pPr>
            <w:r w:rsidRPr="00C41782">
              <w:rPr>
                <w:rFonts w:ascii="Calibri" w:hAnsi="Calibri"/>
                <w:b/>
                <w:bCs/>
                <w:color w:val="000000"/>
                <w:sz w:val="16"/>
                <w:szCs w:val="16"/>
              </w:rPr>
              <w:t xml:space="preserve">                  (6,303) </w:t>
            </w:r>
          </w:p>
        </w:tc>
        <w:tc>
          <w:tcPr>
            <w:tcW w:w="0" w:type="auto"/>
            <w:tcBorders>
              <w:top w:val="nil"/>
              <w:left w:val="nil"/>
              <w:bottom w:val="nil"/>
              <w:right w:val="nil"/>
            </w:tcBorders>
            <w:shd w:val="clear" w:color="000000" w:fill="D8D8D8"/>
            <w:noWrap/>
            <w:vAlign w:val="bottom"/>
            <w:hideMark/>
          </w:tcPr>
          <w:p w:rsidR="007B67EA" w:rsidRPr="00C41782" w:rsidRDefault="007B67EA" w:rsidP="00DC56C0">
            <w:pPr>
              <w:jc w:val="right"/>
              <w:rPr>
                <w:rFonts w:ascii="Calibri" w:hAnsi="Calibri"/>
                <w:b/>
                <w:bCs/>
                <w:color w:val="000000"/>
                <w:sz w:val="16"/>
                <w:szCs w:val="16"/>
              </w:rPr>
            </w:pPr>
            <w:r w:rsidRPr="00C41782">
              <w:rPr>
                <w:rFonts w:ascii="Calibri" w:hAnsi="Calibri"/>
                <w:b/>
                <w:bCs/>
                <w:color w:val="000000"/>
                <w:sz w:val="16"/>
                <w:szCs w:val="16"/>
              </w:rPr>
              <w:t xml:space="preserve">                 (2,056) </w:t>
            </w:r>
          </w:p>
        </w:tc>
        <w:tc>
          <w:tcPr>
            <w:tcW w:w="0" w:type="auto"/>
            <w:tcBorders>
              <w:top w:val="nil"/>
              <w:left w:val="nil"/>
              <w:bottom w:val="nil"/>
              <w:right w:val="nil"/>
            </w:tcBorders>
            <w:shd w:val="clear" w:color="000000" w:fill="D8D8D8"/>
            <w:noWrap/>
            <w:vAlign w:val="bottom"/>
            <w:hideMark/>
          </w:tcPr>
          <w:p w:rsidR="007B67EA" w:rsidRPr="00C41782" w:rsidRDefault="007B67EA" w:rsidP="00DC56C0">
            <w:pPr>
              <w:jc w:val="right"/>
              <w:rPr>
                <w:rFonts w:ascii="Calibri" w:hAnsi="Calibri"/>
                <w:b/>
                <w:bCs/>
                <w:color w:val="000000"/>
                <w:sz w:val="16"/>
                <w:szCs w:val="16"/>
              </w:rPr>
            </w:pPr>
            <w:r w:rsidRPr="00C41782">
              <w:rPr>
                <w:rFonts w:ascii="Calibri" w:hAnsi="Calibri"/>
                <w:b/>
                <w:bCs/>
                <w:color w:val="000000"/>
                <w:sz w:val="16"/>
                <w:szCs w:val="16"/>
              </w:rPr>
              <w:t xml:space="preserve">         174,283 </w:t>
            </w:r>
          </w:p>
        </w:tc>
        <w:tc>
          <w:tcPr>
            <w:tcW w:w="0" w:type="auto"/>
            <w:tcBorders>
              <w:top w:val="nil"/>
              <w:left w:val="nil"/>
              <w:bottom w:val="nil"/>
              <w:right w:val="nil"/>
            </w:tcBorders>
            <w:shd w:val="clear" w:color="000000" w:fill="D8D8D8"/>
            <w:noWrap/>
            <w:vAlign w:val="bottom"/>
            <w:hideMark/>
          </w:tcPr>
          <w:p w:rsidR="007B67EA" w:rsidRPr="00C41782" w:rsidRDefault="007B67EA" w:rsidP="00DC56C0">
            <w:pPr>
              <w:jc w:val="right"/>
              <w:rPr>
                <w:rFonts w:ascii="Calibri" w:hAnsi="Calibri"/>
                <w:b/>
                <w:bCs/>
                <w:color w:val="000000"/>
                <w:sz w:val="16"/>
                <w:szCs w:val="16"/>
              </w:rPr>
            </w:pPr>
            <w:r w:rsidRPr="00C41782">
              <w:rPr>
                <w:rFonts w:ascii="Calibri" w:hAnsi="Calibri"/>
                <w:b/>
                <w:bCs/>
                <w:color w:val="000000"/>
                <w:sz w:val="16"/>
                <w:szCs w:val="16"/>
              </w:rPr>
              <w:t xml:space="preserve">                     (351) </w:t>
            </w:r>
          </w:p>
        </w:tc>
        <w:tc>
          <w:tcPr>
            <w:tcW w:w="0" w:type="auto"/>
            <w:tcBorders>
              <w:top w:val="nil"/>
              <w:left w:val="nil"/>
              <w:bottom w:val="nil"/>
              <w:right w:val="nil"/>
            </w:tcBorders>
            <w:shd w:val="clear" w:color="000000" w:fill="D8D8D8"/>
            <w:noWrap/>
            <w:vAlign w:val="bottom"/>
            <w:hideMark/>
          </w:tcPr>
          <w:p w:rsidR="007B67EA" w:rsidRPr="00C41782" w:rsidRDefault="007B67EA" w:rsidP="00DC56C0">
            <w:pPr>
              <w:jc w:val="right"/>
              <w:rPr>
                <w:rFonts w:ascii="Calibri" w:hAnsi="Calibri"/>
                <w:b/>
                <w:bCs/>
                <w:color w:val="000000"/>
                <w:sz w:val="16"/>
                <w:szCs w:val="16"/>
              </w:rPr>
            </w:pPr>
            <w:r w:rsidRPr="00C41782">
              <w:rPr>
                <w:rFonts w:ascii="Calibri" w:hAnsi="Calibri"/>
                <w:b/>
                <w:bCs/>
                <w:color w:val="000000"/>
                <w:sz w:val="16"/>
                <w:szCs w:val="16"/>
              </w:rPr>
              <w:t xml:space="preserve">               (8,458) </w:t>
            </w:r>
          </w:p>
        </w:tc>
        <w:tc>
          <w:tcPr>
            <w:tcW w:w="0" w:type="auto"/>
            <w:tcBorders>
              <w:top w:val="nil"/>
              <w:left w:val="nil"/>
              <w:bottom w:val="nil"/>
              <w:right w:val="nil"/>
            </w:tcBorders>
            <w:shd w:val="clear" w:color="000000" w:fill="D8D8D8"/>
            <w:noWrap/>
            <w:vAlign w:val="bottom"/>
            <w:hideMark/>
          </w:tcPr>
          <w:p w:rsidR="007B67EA" w:rsidRPr="00C41782" w:rsidRDefault="007B67EA" w:rsidP="00DC56C0">
            <w:pPr>
              <w:jc w:val="right"/>
              <w:rPr>
                <w:rFonts w:ascii="Calibri" w:hAnsi="Calibri"/>
                <w:b/>
                <w:bCs/>
                <w:color w:val="000000"/>
                <w:sz w:val="16"/>
                <w:szCs w:val="16"/>
              </w:rPr>
            </w:pPr>
            <w:r w:rsidRPr="00C41782">
              <w:rPr>
                <w:rFonts w:ascii="Calibri" w:hAnsi="Calibri"/>
                <w:b/>
                <w:bCs/>
                <w:color w:val="000000"/>
                <w:sz w:val="16"/>
                <w:szCs w:val="16"/>
              </w:rPr>
              <w:t xml:space="preserve">            207,998 </w:t>
            </w:r>
          </w:p>
        </w:tc>
      </w:tr>
      <w:tr w:rsidR="007B67EA" w:rsidRPr="00C41782" w:rsidTr="00DC56C0">
        <w:trPr>
          <w:trHeight w:val="315"/>
        </w:trPr>
        <w:tc>
          <w:tcPr>
            <w:tcW w:w="0" w:type="auto"/>
            <w:tcBorders>
              <w:top w:val="nil"/>
              <w:left w:val="nil"/>
              <w:bottom w:val="nil"/>
              <w:right w:val="nil"/>
            </w:tcBorders>
            <w:shd w:val="clear" w:color="auto" w:fill="auto"/>
            <w:vAlign w:val="bottom"/>
            <w:hideMark/>
          </w:tcPr>
          <w:p w:rsidR="007B67EA" w:rsidRPr="00C41782" w:rsidRDefault="007B67EA" w:rsidP="007B67EA">
            <w:pPr>
              <w:rPr>
                <w:rFonts w:ascii="Calibri" w:hAnsi="Calibri"/>
                <w:color w:val="000000"/>
                <w:sz w:val="16"/>
                <w:szCs w:val="16"/>
                <w:u w:val="single"/>
              </w:rPr>
            </w:pPr>
            <w:r w:rsidRPr="00C41782">
              <w:rPr>
                <w:rFonts w:ascii="Calibri" w:hAnsi="Calibri"/>
                <w:color w:val="000000"/>
                <w:sz w:val="16"/>
                <w:szCs w:val="16"/>
                <w:u w:val="single"/>
              </w:rPr>
              <w:t xml:space="preserve">Transfers to/from Earmarked Reserves </w:t>
            </w: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p>
        </w:tc>
        <w:tc>
          <w:tcPr>
            <w:tcW w:w="0" w:type="auto"/>
            <w:tcBorders>
              <w:top w:val="nil"/>
              <w:left w:val="nil"/>
              <w:bottom w:val="nil"/>
              <w:right w:val="nil"/>
            </w:tcBorders>
            <w:shd w:val="clear" w:color="000000" w:fill="F2F2F2"/>
            <w:noWrap/>
            <w:vAlign w:val="bottom"/>
            <w:hideMark/>
          </w:tcPr>
          <w:p w:rsidR="007B67EA" w:rsidRPr="00C41782" w:rsidRDefault="007B67EA" w:rsidP="00DC56C0">
            <w:pPr>
              <w:jc w:val="right"/>
              <w:rPr>
                <w:rFonts w:ascii="Calibri" w:hAnsi="Calibri"/>
                <w:b/>
                <w:bCs/>
                <w:color w:val="000000"/>
                <w:sz w:val="16"/>
                <w:szCs w:val="16"/>
              </w:rPr>
            </w:pPr>
            <w:r w:rsidRPr="00C41782">
              <w:rPr>
                <w:rFonts w:ascii="Calibri" w:hAnsi="Calibri"/>
                <w:b/>
                <w:bCs/>
                <w:color w:val="000000"/>
                <w:sz w:val="16"/>
                <w:szCs w:val="16"/>
              </w:rPr>
              <w:t xml:space="preserve">                         - </w:t>
            </w:r>
          </w:p>
        </w:tc>
      </w:tr>
      <w:tr w:rsidR="007B67EA" w:rsidRPr="00C41782" w:rsidTr="00DC56C0">
        <w:trPr>
          <w:trHeight w:val="315"/>
        </w:trPr>
        <w:tc>
          <w:tcPr>
            <w:tcW w:w="0" w:type="auto"/>
            <w:tcBorders>
              <w:top w:val="nil"/>
              <w:left w:val="nil"/>
              <w:bottom w:val="nil"/>
              <w:right w:val="nil"/>
            </w:tcBorders>
            <w:shd w:val="clear" w:color="auto" w:fill="auto"/>
            <w:vAlign w:val="bottom"/>
            <w:hideMark/>
          </w:tcPr>
          <w:p w:rsidR="007B67EA" w:rsidRPr="00C41782" w:rsidRDefault="007B67EA" w:rsidP="007B67EA">
            <w:pPr>
              <w:rPr>
                <w:rFonts w:ascii="Calibri" w:hAnsi="Calibri"/>
                <w:color w:val="000000"/>
                <w:sz w:val="16"/>
                <w:szCs w:val="16"/>
              </w:rPr>
            </w:pPr>
            <w:r w:rsidRPr="00C41782">
              <w:rPr>
                <w:rFonts w:ascii="Calibri" w:hAnsi="Calibri"/>
                <w:color w:val="000000"/>
                <w:sz w:val="16"/>
                <w:szCs w:val="16"/>
              </w:rPr>
              <w:t>Other Movements</w:t>
            </w: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r w:rsidRPr="00C41782">
              <w:rPr>
                <w:rFonts w:ascii="Calibri" w:hAnsi="Calibri"/>
                <w:color w:val="000000"/>
                <w:sz w:val="16"/>
                <w:szCs w:val="16"/>
              </w:rPr>
              <w:t xml:space="preserve">                  (6,681) </w:t>
            </w: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r w:rsidRPr="00C41782">
              <w:rPr>
                <w:rFonts w:ascii="Calibri" w:hAnsi="Calibri"/>
                <w:color w:val="000000"/>
                <w:sz w:val="16"/>
                <w:szCs w:val="16"/>
              </w:rPr>
              <w:t xml:space="preserve">                    2,673 </w:t>
            </w:r>
          </w:p>
        </w:tc>
        <w:tc>
          <w:tcPr>
            <w:tcW w:w="0" w:type="auto"/>
            <w:tcBorders>
              <w:top w:val="nil"/>
              <w:left w:val="nil"/>
              <w:bottom w:val="nil"/>
              <w:right w:val="nil"/>
            </w:tcBorders>
            <w:shd w:val="clear" w:color="auto" w:fill="auto"/>
            <w:noWrap/>
            <w:vAlign w:val="bottom"/>
            <w:hideMark/>
          </w:tcPr>
          <w:p w:rsidR="007B67EA" w:rsidRPr="00C41782" w:rsidRDefault="00DC56C0" w:rsidP="00DC56C0">
            <w:pPr>
              <w:jc w:val="right"/>
              <w:rPr>
                <w:rFonts w:ascii="Calibri" w:hAnsi="Calibri"/>
                <w:color w:val="000000"/>
                <w:sz w:val="16"/>
                <w:szCs w:val="16"/>
              </w:rPr>
            </w:pPr>
            <w:r>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7B67EA" w:rsidRPr="00C41782" w:rsidRDefault="00DC56C0" w:rsidP="00DC56C0">
            <w:pPr>
              <w:jc w:val="right"/>
              <w:rPr>
                <w:rFonts w:ascii="Calibri" w:hAnsi="Calibri"/>
                <w:color w:val="000000"/>
                <w:sz w:val="16"/>
                <w:szCs w:val="16"/>
              </w:rPr>
            </w:pPr>
            <w:r>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7B67EA" w:rsidRPr="00C41782" w:rsidRDefault="00DC56C0" w:rsidP="00DC56C0">
            <w:pPr>
              <w:jc w:val="right"/>
              <w:rPr>
                <w:rFonts w:ascii="Calibri" w:hAnsi="Calibri"/>
                <w:color w:val="000000"/>
                <w:sz w:val="16"/>
                <w:szCs w:val="16"/>
              </w:rPr>
            </w:pPr>
            <w:r>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r w:rsidRPr="00C41782">
              <w:rPr>
                <w:rFonts w:ascii="Calibri" w:hAnsi="Calibri"/>
                <w:color w:val="000000"/>
                <w:sz w:val="16"/>
                <w:szCs w:val="16"/>
              </w:rPr>
              <w:t xml:space="preserve">                          - </w:t>
            </w:r>
          </w:p>
        </w:tc>
        <w:tc>
          <w:tcPr>
            <w:tcW w:w="0" w:type="auto"/>
            <w:tcBorders>
              <w:top w:val="nil"/>
              <w:left w:val="nil"/>
              <w:bottom w:val="nil"/>
              <w:right w:val="nil"/>
            </w:tcBorders>
            <w:shd w:val="clear" w:color="000000" w:fill="F2F2F2"/>
            <w:noWrap/>
            <w:vAlign w:val="bottom"/>
            <w:hideMark/>
          </w:tcPr>
          <w:p w:rsidR="007B67EA" w:rsidRPr="00C41782" w:rsidRDefault="007B67EA" w:rsidP="00DC56C0">
            <w:pPr>
              <w:jc w:val="right"/>
              <w:rPr>
                <w:rFonts w:ascii="Calibri" w:hAnsi="Calibri"/>
                <w:b/>
                <w:bCs/>
                <w:color w:val="000000"/>
                <w:sz w:val="16"/>
                <w:szCs w:val="16"/>
              </w:rPr>
            </w:pPr>
            <w:r w:rsidRPr="00C41782">
              <w:rPr>
                <w:rFonts w:ascii="Calibri" w:hAnsi="Calibri"/>
                <w:b/>
                <w:bCs/>
                <w:color w:val="000000"/>
                <w:sz w:val="16"/>
                <w:szCs w:val="16"/>
              </w:rPr>
              <w:t xml:space="preserve">               </w:t>
            </w:r>
            <w:r w:rsidR="00FF6B82" w:rsidRPr="00C41782">
              <w:rPr>
                <w:rFonts w:ascii="Calibri" w:hAnsi="Calibri"/>
                <w:b/>
                <w:bCs/>
                <w:color w:val="000000"/>
                <w:sz w:val="16"/>
                <w:szCs w:val="16"/>
              </w:rPr>
              <w:t>(</w:t>
            </w:r>
            <w:r w:rsidRPr="00C41782">
              <w:rPr>
                <w:rFonts w:ascii="Calibri" w:hAnsi="Calibri"/>
                <w:b/>
                <w:bCs/>
                <w:color w:val="000000"/>
                <w:sz w:val="16"/>
                <w:szCs w:val="16"/>
              </w:rPr>
              <w:t>4,008</w:t>
            </w:r>
            <w:r w:rsidR="00FF6B82" w:rsidRPr="00C41782">
              <w:rPr>
                <w:rFonts w:ascii="Calibri" w:hAnsi="Calibri"/>
                <w:b/>
                <w:bCs/>
                <w:color w:val="000000"/>
                <w:sz w:val="16"/>
                <w:szCs w:val="16"/>
              </w:rPr>
              <w:t>)</w:t>
            </w:r>
            <w:r w:rsidRPr="00C41782">
              <w:rPr>
                <w:rFonts w:ascii="Calibri" w:hAnsi="Calibri"/>
                <w:b/>
                <w:bCs/>
                <w:color w:val="000000"/>
                <w:sz w:val="16"/>
                <w:szCs w:val="16"/>
              </w:rPr>
              <w:t xml:space="preserve"> </w:t>
            </w:r>
          </w:p>
        </w:tc>
      </w:tr>
      <w:tr w:rsidR="007B67EA" w:rsidRPr="00C41782" w:rsidTr="00DC56C0">
        <w:trPr>
          <w:trHeight w:val="315"/>
        </w:trPr>
        <w:tc>
          <w:tcPr>
            <w:tcW w:w="0" w:type="auto"/>
            <w:tcBorders>
              <w:top w:val="nil"/>
              <w:left w:val="nil"/>
              <w:bottom w:val="nil"/>
              <w:right w:val="nil"/>
            </w:tcBorders>
            <w:shd w:val="clear" w:color="000000" w:fill="D8D8D8"/>
            <w:vAlign w:val="bottom"/>
            <w:hideMark/>
          </w:tcPr>
          <w:p w:rsidR="007B67EA" w:rsidRPr="00C41782" w:rsidRDefault="007B67EA" w:rsidP="007B67EA">
            <w:pPr>
              <w:rPr>
                <w:rFonts w:ascii="Calibri" w:hAnsi="Calibri"/>
                <w:color w:val="000000"/>
                <w:sz w:val="16"/>
                <w:szCs w:val="16"/>
              </w:rPr>
            </w:pPr>
            <w:r w:rsidRPr="00C41782">
              <w:rPr>
                <w:rFonts w:ascii="Calibri" w:hAnsi="Calibri"/>
                <w:color w:val="000000"/>
                <w:sz w:val="16"/>
                <w:szCs w:val="16"/>
              </w:rPr>
              <w:t>Increase/</w:t>
            </w:r>
            <w:r w:rsidR="00BC64F7">
              <w:rPr>
                <w:rFonts w:ascii="Calibri" w:hAnsi="Calibri"/>
                <w:color w:val="000000"/>
                <w:sz w:val="16"/>
                <w:szCs w:val="16"/>
              </w:rPr>
              <w:t>(</w:t>
            </w:r>
            <w:r w:rsidRPr="00C41782">
              <w:rPr>
                <w:rFonts w:ascii="Calibri" w:hAnsi="Calibri"/>
                <w:color w:val="000000"/>
                <w:sz w:val="16"/>
                <w:szCs w:val="16"/>
              </w:rPr>
              <w:t>Decrease</w:t>
            </w:r>
            <w:r w:rsidR="00BC64F7">
              <w:rPr>
                <w:rFonts w:ascii="Calibri" w:hAnsi="Calibri"/>
                <w:color w:val="000000"/>
                <w:sz w:val="16"/>
                <w:szCs w:val="16"/>
              </w:rPr>
              <w:t>)</w:t>
            </w:r>
            <w:r w:rsidRPr="00C41782">
              <w:rPr>
                <w:rFonts w:ascii="Calibri" w:hAnsi="Calibri"/>
                <w:color w:val="000000"/>
                <w:sz w:val="16"/>
                <w:szCs w:val="16"/>
              </w:rPr>
              <w:t xml:space="preserve"> in Year</w:t>
            </w:r>
          </w:p>
        </w:tc>
        <w:tc>
          <w:tcPr>
            <w:tcW w:w="0" w:type="auto"/>
            <w:tcBorders>
              <w:top w:val="nil"/>
              <w:left w:val="nil"/>
              <w:bottom w:val="nil"/>
              <w:right w:val="nil"/>
            </w:tcBorders>
            <w:shd w:val="clear" w:color="000000" w:fill="D8D8D8"/>
            <w:noWrap/>
            <w:vAlign w:val="bottom"/>
            <w:hideMark/>
          </w:tcPr>
          <w:p w:rsidR="007B67EA" w:rsidRPr="00C41782" w:rsidRDefault="007B67EA" w:rsidP="00DC56C0">
            <w:pPr>
              <w:jc w:val="right"/>
              <w:rPr>
                <w:rFonts w:ascii="Calibri" w:hAnsi="Calibri"/>
                <w:b/>
                <w:bCs/>
                <w:color w:val="000000"/>
                <w:sz w:val="16"/>
                <w:szCs w:val="16"/>
              </w:rPr>
            </w:pPr>
            <w:r w:rsidRPr="00C41782">
              <w:rPr>
                <w:rFonts w:ascii="Calibri" w:hAnsi="Calibri"/>
                <w:b/>
                <w:bCs/>
                <w:color w:val="000000"/>
                <w:sz w:val="16"/>
                <w:szCs w:val="16"/>
              </w:rPr>
              <w:t xml:space="preserve">                    50,882 </w:t>
            </w:r>
          </w:p>
        </w:tc>
        <w:tc>
          <w:tcPr>
            <w:tcW w:w="0" w:type="auto"/>
            <w:tcBorders>
              <w:top w:val="nil"/>
              <w:left w:val="nil"/>
              <w:bottom w:val="nil"/>
              <w:right w:val="nil"/>
            </w:tcBorders>
            <w:shd w:val="clear" w:color="000000" w:fill="D8D8D8"/>
            <w:noWrap/>
            <w:vAlign w:val="bottom"/>
            <w:hideMark/>
          </w:tcPr>
          <w:p w:rsidR="007B67EA" w:rsidRPr="00C41782" w:rsidRDefault="007B67EA" w:rsidP="00DC56C0">
            <w:pPr>
              <w:jc w:val="right"/>
              <w:rPr>
                <w:rFonts w:ascii="Calibri" w:hAnsi="Calibri"/>
                <w:b/>
                <w:bCs/>
                <w:color w:val="000000"/>
                <w:sz w:val="16"/>
                <w:szCs w:val="16"/>
              </w:rPr>
            </w:pPr>
            <w:r w:rsidRPr="00C41782">
              <w:rPr>
                <w:rFonts w:ascii="Calibri" w:hAnsi="Calibri"/>
                <w:b/>
                <w:bCs/>
                <w:color w:val="000000"/>
                <w:sz w:val="16"/>
                <w:szCs w:val="16"/>
              </w:rPr>
              <w:t xml:space="preserve">                  (6,681) </w:t>
            </w:r>
          </w:p>
        </w:tc>
        <w:tc>
          <w:tcPr>
            <w:tcW w:w="0" w:type="auto"/>
            <w:tcBorders>
              <w:top w:val="nil"/>
              <w:left w:val="nil"/>
              <w:bottom w:val="nil"/>
              <w:right w:val="nil"/>
            </w:tcBorders>
            <w:shd w:val="clear" w:color="000000" w:fill="D8D8D8"/>
            <w:noWrap/>
            <w:vAlign w:val="bottom"/>
            <w:hideMark/>
          </w:tcPr>
          <w:p w:rsidR="007B67EA" w:rsidRPr="00C41782" w:rsidRDefault="007B67EA" w:rsidP="00DC56C0">
            <w:pPr>
              <w:jc w:val="right"/>
              <w:rPr>
                <w:rFonts w:ascii="Calibri" w:hAnsi="Calibri"/>
                <w:b/>
                <w:bCs/>
                <w:color w:val="000000"/>
                <w:sz w:val="16"/>
                <w:szCs w:val="16"/>
              </w:rPr>
            </w:pPr>
            <w:r w:rsidRPr="00C41782">
              <w:rPr>
                <w:rFonts w:ascii="Calibri" w:hAnsi="Calibri"/>
                <w:b/>
                <w:bCs/>
                <w:color w:val="000000"/>
                <w:sz w:val="16"/>
                <w:szCs w:val="16"/>
              </w:rPr>
              <w:t xml:space="preserve">                   (3,630) </w:t>
            </w:r>
          </w:p>
        </w:tc>
        <w:tc>
          <w:tcPr>
            <w:tcW w:w="0" w:type="auto"/>
            <w:tcBorders>
              <w:top w:val="nil"/>
              <w:left w:val="nil"/>
              <w:bottom w:val="nil"/>
              <w:right w:val="nil"/>
            </w:tcBorders>
            <w:shd w:val="clear" w:color="000000" w:fill="D8D8D8"/>
            <w:noWrap/>
            <w:vAlign w:val="bottom"/>
            <w:hideMark/>
          </w:tcPr>
          <w:p w:rsidR="007B67EA" w:rsidRPr="00C41782" w:rsidRDefault="007B67EA" w:rsidP="00DC56C0">
            <w:pPr>
              <w:jc w:val="right"/>
              <w:rPr>
                <w:rFonts w:ascii="Calibri" w:hAnsi="Calibri"/>
                <w:b/>
                <w:bCs/>
                <w:color w:val="000000"/>
                <w:sz w:val="16"/>
                <w:szCs w:val="16"/>
              </w:rPr>
            </w:pPr>
            <w:r w:rsidRPr="00C41782">
              <w:rPr>
                <w:rFonts w:ascii="Calibri" w:hAnsi="Calibri"/>
                <w:b/>
                <w:bCs/>
                <w:color w:val="000000"/>
                <w:sz w:val="16"/>
                <w:szCs w:val="16"/>
              </w:rPr>
              <w:t xml:space="preserve">                 (2,056) </w:t>
            </w:r>
          </w:p>
        </w:tc>
        <w:tc>
          <w:tcPr>
            <w:tcW w:w="0" w:type="auto"/>
            <w:tcBorders>
              <w:top w:val="nil"/>
              <w:left w:val="nil"/>
              <w:bottom w:val="nil"/>
              <w:right w:val="nil"/>
            </w:tcBorders>
            <w:shd w:val="clear" w:color="000000" w:fill="D8D8D8"/>
            <w:noWrap/>
            <w:vAlign w:val="bottom"/>
            <w:hideMark/>
          </w:tcPr>
          <w:p w:rsidR="007B67EA" w:rsidRPr="00C41782" w:rsidRDefault="007B67EA" w:rsidP="00DC56C0">
            <w:pPr>
              <w:jc w:val="right"/>
              <w:rPr>
                <w:rFonts w:ascii="Calibri" w:hAnsi="Calibri"/>
                <w:b/>
                <w:bCs/>
                <w:color w:val="000000"/>
                <w:sz w:val="16"/>
                <w:szCs w:val="16"/>
              </w:rPr>
            </w:pPr>
            <w:r w:rsidRPr="00C41782">
              <w:rPr>
                <w:rFonts w:ascii="Calibri" w:hAnsi="Calibri"/>
                <w:b/>
                <w:bCs/>
                <w:color w:val="000000"/>
                <w:sz w:val="16"/>
                <w:szCs w:val="16"/>
              </w:rPr>
              <w:t xml:space="preserve">         174,283 </w:t>
            </w:r>
          </w:p>
        </w:tc>
        <w:tc>
          <w:tcPr>
            <w:tcW w:w="0" w:type="auto"/>
            <w:tcBorders>
              <w:top w:val="nil"/>
              <w:left w:val="nil"/>
              <w:bottom w:val="nil"/>
              <w:right w:val="nil"/>
            </w:tcBorders>
            <w:shd w:val="clear" w:color="000000" w:fill="D8D8D8"/>
            <w:noWrap/>
            <w:vAlign w:val="bottom"/>
            <w:hideMark/>
          </w:tcPr>
          <w:p w:rsidR="007B67EA" w:rsidRPr="00C41782" w:rsidRDefault="007B67EA" w:rsidP="00DC56C0">
            <w:pPr>
              <w:jc w:val="right"/>
              <w:rPr>
                <w:rFonts w:ascii="Calibri" w:hAnsi="Calibri"/>
                <w:b/>
                <w:bCs/>
                <w:color w:val="000000"/>
                <w:sz w:val="16"/>
                <w:szCs w:val="16"/>
              </w:rPr>
            </w:pPr>
            <w:r w:rsidRPr="00C41782">
              <w:rPr>
                <w:rFonts w:ascii="Calibri" w:hAnsi="Calibri"/>
                <w:b/>
                <w:bCs/>
                <w:color w:val="000000"/>
                <w:sz w:val="16"/>
                <w:szCs w:val="16"/>
              </w:rPr>
              <w:t xml:space="preserve">                     (351) </w:t>
            </w:r>
          </w:p>
        </w:tc>
        <w:tc>
          <w:tcPr>
            <w:tcW w:w="0" w:type="auto"/>
            <w:tcBorders>
              <w:top w:val="nil"/>
              <w:left w:val="nil"/>
              <w:bottom w:val="nil"/>
              <w:right w:val="nil"/>
            </w:tcBorders>
            <w:shd w:val="clear" w:color="000000" w:fill="D8D8D8"/>
            <w:noWrap/>
            <w:vAlign w:val="bottom"/>
            <w:hideMark/>
          </w:tcPr>
          <w:p w:rsidR="007B67EA" w:rsidRPr="00C41782" w:rsidRDefault="007B67EA" w:rsidP="00DC56C0">
            <w:pPr>
              <w:jc w:val="right"/>
              <w:rPr>
                <w:rFonts w:ascii="Calibri" w:hAnsi="Calibri"/>
                <w:b/>
                <w:bCs/>
                <w:color w:val="000000"/>
                <w:sz w:val="16"/>
                <w:szCs w:val="16"/>
              </w:rPr>
            </w:pPr>
            <w:r w:rsidRPr="00C41782">
              <w:rPr>
                <w:rFonts w:ascii="Calibri" w:hAnsi="Calibri"/>
                <w:b/>
                <w:bCs/>
                <w:color w:val="000000"/>
                <w:sz w:val="16"/>
                <w:szCs w:val="16"/>
              </w:rPr>
              <w:t xml:space="preserve">              (8,458) </w:t>
            </w:r>
          </w:p>
        </w:tc>
        <w:tc>
          <w:tcPr>
            <w:tcW w:w="0" w:type="auto"/>
            <w:tcBorders>
              <w:top w:val="nil"/>
              <w:left w:val="nil"/>
              <w:bottom w:val="nil"/>
              <w:right w:val="nil"/>
            </w:tcBorders>
            <w:shd w:val="clear" w:color="000000" w:fill="D8D8D8"/>
            <w:noWrap/>
            <w:vAlign w:val="bottom"/>
            <w:hideMark/>
          </w:tcPr>
          <w:p w:rsidR="007B67EA" w:rsidRPr="00C41782" w:rsidRDefault="007B67EA" w:rsidP="00DC56C0">
            <w:pPr>
              <w:jc w:val="right"/>
              <w:rPr>
                <w:rFonts w:ascii="Calibri" w:hAnsi="Calibri"/>
                <w:b/>
                <w:bCs/>
                <w:color w:val="000000"/>
                <w:sz w:val="16"/>
                <w:szCs w:val="16"/>
              </w:rPr>
            </w:pPr>
            <w:r w:rsidRPr="00C41782">
              <w:rPr>
                <w:rFonts w:ascii="Calibri" w:hAnsi="Calibri"/>
                <w:b/>
                <w:bCs/>
                <w:color w:val="000000"/>
                <w:sz w:val="16"/>
                <w:szCs w:val="16"/>
              </w:rPr>
              <w:t xml:space="preserve">            203,990 </w:t>
            </w:r>
          </w:p>
        </w:tc>
      </w:tr>
      <w:tr w:rsidR="007B67EA" w:rsidRPr="00C41782" w:rsidTr="00DC56C0">
        <w:trPr>
          <w:trHeight w:val="237"/>
        </w:trPr>
        <w:tc>
          <w:tcPr>
            <w:tcW w:w="0" w:type="auto"/>
            <w:tcBorders>
              <w:top w:val="nil"/>
              <w:left w:val="nil"/>
              <w:bottom w:val="nil"/>
              <w:right w:val="nil"/>
            </w:tcBorders>
            <w:shd w:val="clear" w:color="auto" w:fill="auto"/>
            <w:vAlign w:val="bottom"/>
            <w:hideMark/>
          </w:tcPr>
          <w:p w:rsidR="007B67EA" w:rsidRPr="00C41782" w:rsidRDefault="007B67EA" w:rsidP="007B67EA">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7B67EA" w:rsidRPr="00C41782" w:rsidRDefault="007B67EA" w:rsidP="00DC56C0">
            <w:pPr>
              <w:jc w:val="right"/>
              <w:rPr>
                <w:rFonts w:ascii="Calibri" w:hAnsi="Calibri"/>
                <w:color w:val="000000"/>
                <w:sz w:val="16"/>
                <w:szCs w:val="16"/>
              </w:rPr>
            </w:pPr>
          </w:p>
        </w:tc>
        <w:tc>
          <w:tcPr>
            <w:tcW w:w="0" w:type="auto"/>
            <w:tcBorders>
              <w:top w:val="nil"/>
              <w:left w:val="nil"/>
              <w:bottom w:val="nil"/>
              <w:right w:val="nil"/>
            </w:tcBorders>
            <w:shd w:val="clear" w:color="000000" w:fill="F2F2F2"/>
            <w:noWrap/>
            <w:vAlign w:val="bottom"/>
            <w:hideMark/>
          </w:tcPr>
          <w:p w:rsidR="007B67EA" w:rsidRPr="00C41782" w:rsidRDefault="007B67EA" w:rsidP="00DC56C0">
            <w:pPr>
              <w:jc w:val="right"/>
              <w:rPr>
                <w:rFonts w:ascii="Calibri" w:hAnsi="Calibri"/>
                <w:color w:val="000000"/>
                <w:sz w:val="16"/>
                <w:szCs w:val="16"/>
              </w:rPr>
            </w:pPr>
            <w:r w:rsidRPr="00C41782">
              <w:rPr>
                <w:rFonts w:ascii="Calibri" w:hAnsi="Calibri"/>
                <w:color w:val="000000"/>
                <w:sz w:val="16"/>
                <w:szCs w:val="16"/>
              </w:rPr>
              <w:t> </w:t>
            </w:r>
          </w:p>
        </w:tc>
      </w:tr>
      <w:tr w:rsidR="007B67EA" w:rsidRPr="00C41782" w:rsidTr="00DC56C0">
        <w:trPr>
          <w:trHeight w:val="424"/>
        </w:trPr>
        <w:tc>
          <w:tcPr>
            <w:tcW w:w="0" w:type="auto"/>
            <w:tcBorders>
              <w:top w:val="nil"/>
              <w:left w:val="nil"/>
              <w:bottom w:val="nil"/>
              <w:right w:val="nil"/>
            </w:tcBorders>
            <w:shd w:val="clear" w:color="000000" w:fill="D8D8D8"/>
            <w:vAlign w:val="bottom"/>
            <w:hideMark/>
          </w:tcPr>
          <w:p w:rsidR="007B67EA" w:rsidRPr="00C41782" w:rsidRDefault="007B67EA" w:rsidP="007B67EA">
            <w:pPr>
              <w:rPr>
                <w:rFonts w:ascii="Calibri" w:hAnsi="Calibri"/>
                <w:color w:val="000000"/>
                <w:sz w:val="16"/>
                <w:szCs w:val="16"/>
              </w:rPr>
            </w:pPr>
            <w:r w:rsidRPr="00C41782">
              <w:rPr>
                <w:rFonts w:ascii="Calibri" w:hAnsi="Calibri"/>
                <w:color w:val="000000"/>
                <w:sz w:val="16"/>
                <w:szCs w:val="16"/>
              </w:rPr>
              <w:t>Balance at 31st March 2012 Carried Forward</w:t>
            </w:r>
          </w:p>
        </w:tc>
        <w:tc>
          <w:tcPr>
            <w:tcW w:w="0" w:type="auto"/>
            <w:tcBorders>
              <w:top w:val="nil"/>
              <w:left w:val="nil"/>
              <w:bottom w:val="nil"/>
              <w:right w:val="nil"/>
            </w:tcBorders>
            <w:shd w:val="clear" w:color="000000" w:fill="D8D8D8"/>
            <w:noWrap/>
            <w:vAlign w:val="bottom"/>
            <w:hideMark/>
          </w:tcPr>
          <w:p w:rsidR="007B67EA" w:rsidRPr="00C41782" w:rsidRDefault="007B67EA" w:rsidP="00DC56C0">
            <w:pPr>
              <w:jc w:val="right"/>
              <w:rPr>
                <w:rFonts w:ascii="Calibri" w:hAnsi="Calibri"/>
                <w:b/>
                <w:bCs/>
                <w:color w:val="000000"/>
                <w:sz w:val="16"/>
                <w:szCs w:val="16"/>
              </w:rPr>
            </w:pPr>
            <w:r w:rsidRPr="00C41782">
              <w:rPr>
                <w:rFonts w:ascii="Calibri" w:hAnsi="Calibri"/>
                <w:b/>
                <w:bCs/>
                <w:color w:val="000000"/>
                <w:sz w:val="16"/>
                <w:szCs w:val="16"/>
              </w:rPr>
              <w:t xml:space="preserve">                </w:t>
            </w:r>
            <w:r w:rsidR="00FF6B82" w:rsidRPr="00C41782">
              <w:rPr>
                <w:rFonts w:ascii="Calibri" w:hAnsi="Calibri"/>
                <w:b/>
                <w:bCs/>
                <w:color w:val="000000"/>
                <w:sz w:val="16"/>
                <w:szCs w:val="16"/>
              </w:rPr>
              <w:t>(</w:t>
            </w:r>
            <w:r w:rsidRPr="00C41782">
              <w:rPr>
                <w:rFonts w:ascii="Calibri" w:hAnsi="Calibri"/>
                <w:b/>
                <w:bCs/>
                <w:color w:val="000000"/>
                <w:sz w:val="16"/>
                <w:szCs w:val="16"/>
              </w:rPr>
              <w:t>718,667</w:t>
            </w:r>
            <w:r w:rsidR="00FF6B82" w:rsidRPr="00C41782">
              <w:rPr>
                <w:rFonts w:ascii="Calibri" w:hAnsi="Calibri"/>
                <w:b/>
                <w:bCs/>
                <w:color w:val="000000"/>
                <w:sz w:val="16"/>
                <w:szCs w:val="16"/>
              </w:rPr>
              <w:t>)</w:t>
            </w:r>
            <w:r w:rsidRPr="00C41782">
              <w:rPr>
                <w:rFonts w:ascii="Calibri" w:hAnsi="Calibri"/>
                <w:b/>
                <w:bCs/>
                <w:color w:val="000000"/>
                <w:sz w:val="16"/>
                <w:szCs w:val="16"/>
              </w:rPr>
              <w:t xml:space="preserve"> </w:t>
            </w:r>
          </w:p>
        </w:tc>
        <w:tc>
          <w:tcPr>
            <w:tcW w:w="0" w:type="auto"/>
            <w:tcBorders>
              <w:top w:val="nil"/>
              <w:left w:val="nil"/>
              <w:bottom w:val="nil"/>
              <w:right w:val="nil"/>
            </w:tcBorders>
            <w:shd w:val="clear" w:color="000000" w:fill="D8D8D8"/>
            <w:noWrap/>
            <w:vAlign w:val="bottom"/>
            <w:hideMark/>
          </w:tcPr>
          <w:p w:rsidR="007B67EA" w:rsidRPr="00C41782" w:rsidRDefault="007B67EA" w:rsidP="00DC56C0">
            <w:pPr>
              <w:jc w:val="right"/>
              <w:rPr>
                <w:rFonts w:ascii="Calibri" w:hAnsi="Calibri"/>
                <w:b/>
                <w:bCs/>
                <w:color w:val="000000"/>
                <w:sz w:val="16"/>
                <w:szCs w:val="16"/>
              </w:rPr>
            </w:pPr>
            <w:r w:rsidRPr="00C41782">
              <w:rPr>
                <w:rFonts w:ascii="Calibri" w:hAnsi="Calibri"/>
                <w:b/>
                <w:bCs/>
                <w:color w:val="000000"/>
                <w:sz w:val="16"/>
                <w:szCs w:val="16"/>
              </w:rPr>
              <w:t xml:space="preserve">                       479 </w:t>
            </w:r>
          </w:p>
        </w:tc>
        <w:tc>
          <w:tcPr>
            <w:tcW w:w="0" w:type="auto"/>
            <w:tcBorders>
              <w:top w:val="nil"/>
              <w:left w:val="nil"/>
              <w:bottom w:val="nil"/>
              <w:right w:val="nil"/>
            </w:tcBorders>
            <w:shd w:val="clear" w:color="000000" w:fill="D8D8D8"/>
            <w:noWrap/>
            <w:vAlign w:val="bottom"/>
            <w:hideMark/>
          </w:tcPr>
          <w:p w:rsidR="007B67EA" w:rsidRPr="00C41782" w:rsidRDefault="007B67EA" w:rsidP="00DC56C0">
            <w:pPr>
              <w:jc w:val="right"/>
              <w:rPr>
                <w:rFonts w:ascii="Calibri" w:hAnsi="Calibri"/>
                <w:b/>
                <w:bCs/>
                <w:color w:val="000000"/>
                <w:sz w:val="16"/>
                <w:szCs w:val="16"/>
              </w:rPr>
            </w:pPr>
            <w:r w:rsidRPr="00C41782">
              <w:rPr>
                <w:rFonts w:ascii="Calibri" w:hAnsi="Calibri"/>
                <w:b/>
                <w:bCs/>
                <w:color w:val="000000"/>
                <w:sz w:val="16"/>
                <w:szCs w:val="16"/>
              </w:rPr>
              <w:t xml:space="preserve">              </w:t>
            </w:r>
            <w:r w:rsidR="00FF6B82" w:rsidRPr="00C41782">
              <w:rPr>
                <w:rFonts w:ascii="Calibri" w:hAnsi="Calibri"/>
                <w:b/>
                <w:bCs/>
                <w:color w:val="000000"/>
                <w:sz w:val="16"/>
                <w:szCs w:val="16"/>
              </w:rPr>
              <w:t>(</w:t>
            </w:r>
            <w:r w:rsidRPr="00C41782">
              <w:rPr>
                <w:rFonts w:ascii="Calibri" w:hAnsi="Calibri"/>
                <w:b/>
                <w:bCs/>
                <w:color w:val="000000"/>
                <w:sz w:val="16"/>
                <w:szCs w:val="16"/>
              </w:rPr>
              <w:t>865,595</w:t>
            </w:r>
            <w:r w:rsidR="00FF6B82" w:rsidRPr="00C41782">
              <w:rPr>
                <w:rFonts w:ascii="Calibri" w:hAnsi="Calibri"/>
                <w:b/>
                <w:bCs/>
                <w:color w:val="000000"/>
                <w:sz w:val="16"/>
                <w:szCs w:val="16"/>
              </w:rPr>
              <w:t>)</w:t>
            </w:r>
            <w:r w:rsidRPr="00C41782">
              <w:rPr>
                <w:rFonts w:ascii="Calibri" w:hAnsi="Calibri"/>
                <w:b/>
                <w:bCs/>
                <w:color w:val="000000"/>
                <w:sz w:val="16"/>
                <w:szCs w:val="16"/>
              </w:rPr>
              <w:t xml:space="preserve"> </w:t>
            </w:r>
          </w:p>
        </w:tc>
        <w:tc>
          <w:tcPr>
            <w:tcW w:w="0" w:type="auto"/>
            <w:tcBorders>
              <w:top w:val="nil"/>
              <w:left w:val="nil"/>
              <w:bottom w:val="nil"/>
              <w:right w:val="nil"/>
            </w:tcBorders>
            <w:shd w:val="clear" w:color="000000" w:fill="D8D8D8"/>
            <w:noWrap/>
            <w:vAlign w:val="bottom"/>
            <w:hideMark/>
          </w:tcPr>
          <w:p w:rsidR="007B67EA" w:rsidRPr="00C41782" w:rsidRDefault="007B67EA" w:rsidP="00DC56C0">
            <w:pPr>
              <w:jc w:val="right"/>
              <w:rPr>
                <w:rFonts w:ascii="Calibri" w:hAnsi="Calibri"/>
                <w:b/>
                <w:bCs/>
                <w:color w:val="000000"/>
                <w:sz w:val="16"/>
                <w:szCs w:val="16"/>
              </w:rPr>
            </w:pPr>
            <w:r w:rsidRPr="00C41782">
              <w:rPr>
                <w:rFonts w:ascii="Calibri" w:hAnsi="Calibri"/>
                <w:b/>
                <w:bCs/>
                <w:color w:val="000000"/>
                <w:sz w:val="16"/>
                <w:szCs w:val="16"/>
              </w:rPr>
              <w:t xml:space="preserve">                 23,566 </w:t>
            </w:r>
          </w:p>
        </w:tc>
        <w:tc>
          <w:tcPr>
            <w:tcW w:w="0" w:type="auto"/>
            <w:tcBorders>
              <w:top w:val="nil"/>
              <w:left w:val="nil"/>
              <w:bottom w:val="nil"/>
              <w:right w:val="nil"/>
            </w:tcBorders>
            <w:shd w:val="clear" w:color="000000" w:fill="D8D8D8"/>
            <w:noWrap/>
            <w:vAlign w:val="bottom"/>
            <w:hideMark/>
          </w:tcPr>
          <w:p w:rsidR="007B67EA" w:rsidRPr="00C41782" w:rsidRDefault="007B67EA" w:rsidP="00DC56C0">
            <w:pPr>
              <w:jc w:val="right"/>
              <w:rPr>
                <w:rFonts w:ascii="Calibri" w:hAnsi="Calibri"/>
                <w:b/>
                <w:bCs/>
                <w:color w:val="000000"/>
                <w:sz w:val="16"/>
                <w:szCs w:val="16"/>
              </w:rPr>
            </w:pPr>
            <w:r w:rsidRPr="00C41782">
              <w:rPr>
                <w:rFonts w:ascii="Calibri" w:hAnsi="Calibri"/>
                <w:b/>
                <w:bCs/>
                <w:color w:val="000000"/>
                <w:sz w:val="16"/>
                <w:szCs w:val="16"/>
              </w:rPr>
              <w:t xml:space="preserve">         939,496 </w:t>
            </w:r>
          </w:p>
        </w:tc>
        <w:tc>
          <w:tcPr>
            <w:tcW w:w="0" w:type="auto"/>
            <w:tcBorders>
              <w:top w:val="nil"/>
              <w:left w:val="nil"/>
              <w:bottom w:val="nil"/>
              <w:right w:val="nil"/>
            </w:tcBorders>
            <w:shd w:val="clear" w:color="000000" w:fill="D8D8D8"/>
            <w:noWrap/>
            <w:vAlign w:val="bottom"/>
            <w:hideMark/>
          </w:tcPr>
          <w:p w:rsidR="007B67EA" w:rsidRPr="00C41782" w:rsidRDefault="007B67EA" w:rsidP="00DC56C0">
            <w:pPr>
              <w:jc w:val="right"/>
              <w:rPr>
                <w:rFonts w:ascii="Calibri" w:hAnsi="Calibri"/>
                <w:b/>
                <w:bCs/>
                <w:color w:val="000000"/>
                <w:sz w:val="16"/>
                <w:szCs w:val="16"/>
              </w:rPr>
            </w:pPr>
            <w:r w:rsidRPr="00C41782">
              <w:rPr>
                <w:rFonts w:ascii="Calibri" w:hAnsi="Calibri"/>
                <w:b/>
                <w:bCs/>
                <w:color w:val="000000"/>
                <w:sz w:val="16"/>
                <w:szCs w:val="16"/>
              </w:rPr>
              <w:t xml:space="preserve">                 </w:t>
            </w:r>
            <w:r w:rsidR="00FF6B82" w:rsidRPr="00C41782">
              <w:rPr>
                <w:rFonts w:ascii="Calibri" w:hAnsi="Calibri"/>
                <w:b/>
                <w:bCs/>
                <w:color w:val="000000"/>
                <w:sz w:val="16"/>
                <w:szCs w:val="16"/>
              </w:rPr>
              <w:t>(</w:t>
            </w:r>
            <w:r w:rsidRPr="00C41782">
              <w:rPr>
                <w:rFonts w:ascii="Calibri" w:hAnsi="Calibri"/>
                <w:b/>
                <w:bCs/>
                <w:color w:val="000000"/>
                <w:sz w:val="16"/>
                <w:szCs w:val="16"/>
              </w:rPr>
              <w:t>1,520</w:t>
            </w:r>
            <w:r w:rsidR="00FF6B82" w:rsidRPr="00C41782">
              <w:rPr>
                <w:rFonts w:ascii="Calibri" w:hAnsi="Calibri"/>
                <w:b/>
                <w:bCs/>
                <w:color w:val="000000"/>
                <w:sz w:val="16"/>
                <w:szCs w:val="16"/>
              </w:rPr>
              <w:t>)</w:t>
            </w:r>
            <w:r w:rsidRPr="00C41782">
              <w:rPr>
                <w:rFonts w:ascii="Calibri" w:hAnsi="Calibri"/>
                <w:b/>
                <w:bCs/>
                <w:color w:val="000000"/>
                <w:sz w:val="16"/>
                <w:szCs w:val="16"/>
              </w:rPr>
              <w:t xml:space="preserve"> </w:t>
            </w:r>
          </w:p>
        </w:tc>
        <w:tc>
          <w:tcPr>
            <w:tcW w:w="0" w:type="auto"/>
            <w:tcBorders>
              <w:top w:val="nil"/>
              <w:left w:val="nil"/>
              <w:bottom w:val="nil"/>
              <w:right w:val="nil"/>
            </w:tcBorders>
            <w:shd w:val="clear" w:color="000000" w:fill="D8D8D8"/>
            <w:noWrap/>
            <w:vAlign w:val="bottom"/>
            <w:hideMark/>
          </w:tcPr>
          <w:p w:rsidR="007B67EA" w:rsidRPr="00C41782" w:rsidRDefault="007B67EA" w:rsidP="00DC56C0">
            <w:pPr>
              <w:jc w:val="right"/>
              <w:rPr>
                <w:rFonts w:ascii="Calibri" w:hAnsi="Calibri"/>
                <w:b/>
                <w:bCs/>
                <w:color w:val="000000"/>
                <w:sz w:val="16"/>
                <w:szCs w:val="16"/>
              </w:rPr>
            </w:pPr>
            <w:r w:rsidRPr="00C41782">
              <w:rPr>
                <w:rFonts w:ascii="Calibri" w:hAnsi="Calibri"/>
                <w:b/>
                <w:bCs/>
                <w:color w:val="000000"/>
                <w:sz w:val="16"/>
                <w:szCs w:val="16"/>
              </w:rPr>
              <w:t xml:space="preserve">               29,432 </w:t>
            </w:r>
          </w:p>
        </w:tc>
        <w:tc>
          <w:tcPr>
            <w:tcW w:w="0" w:type="auto"/>
            <w:tcBorders>
              <w:top w:val="nil"/>
              <w:left w:val="nil"/>
              <w:bottom w:val="nil"/>
              <w:right w:val="nil"/>
            </w:tcBorders>
            <w:shd w:val="clear" w:color="000000" w:fill="D8D8D8"/>
            <w:noWrap/>
            <w:vAlign w:val="bottom"/>
            <w:hideMark/>
          </w:tcPr>
          <w:p w:rsidR="007B67EA" w:rsidRPr="00C41782" w:rsidRDefault="007B67EA" w:rsidP="00DC56C0">
            <w:pPr>
              <w:jc w:val="right"/>
              <w:rPr>
                <w:rFonts w:ascii="Calibri" w:hAnsi="Calibri"/>
                <w:b/>
                <w:bCs/>
                <w:color w:val="000000"/>
                <w:sz w:val="16"/>
                <w:szCs w:val="16"/>
              </w:rPr>
            </w:pPr>
            <w:r w:rsidRPr="00C41782">
              <w:rPr>
                <w:rFonts w:ascii="Calibri" w:hAnsi="Calibri"/>
                <w:b/>
                <w:bCs/>
                <w:color w:val="000000"/>
                <w:sz w:val="16"/>
                <w:szCs w:val="16"/>
              </w:rPr>
              <w:t xml:space="preserve">          </w:t>
            </w:r>
            <w:r w:rsidR="00FF6B82" w:rsidRPr="00C41782">
              <w:rPr>
                <w:rFonts w:ascii="Calibri" w:hAnsi="Calibri"/>
                <w:b/>
                <w:bCs/>
                <w:color w:val="000000"/>
                <w:sz w:val="16"/>
                <w:szCs w:val="16"/>
              </w:rPr>
              <w:t>(</w:t>
            </w:r>
            <w:r w:rsidRPr="00C41782">
              <w:rPr>
                <w:rFonts w:ascii="Calibri" w:hAnsi="Calibri"/>
                <w:b/>
                <w:bCs/>
                <w:color w:val="000000"/>
                <w:sz w:val="16"/>
                <w:szCs w:val="16"/>
              </w:rPr>
              <w:t>592,810</w:t>
            </w:r>
            <w:r w:rsidR="00FF6B82" w:rsidRPr="00C41782">
              <w:rPr>
                <w:rFonts w:ascii="Calibri" w:hAnsi="Calibri"/>
                <w:b/>
                <w:bCs/>
                <w:color w:val="000000"/>
                <w:sz w:val="16"/>
                <w:szCs w:val="16"/>
              </w:rPr>
              <w:t>)</w:t>
            </w:r>
            <w:r w:rsidRPr="00C41782">
              <w:rPr>
                <w:rFonts w:ascii="Calibri" w:hAnsi="Calibri"/>
                <w:b/>
                <w:bCs/>
                <w:color w:val="000000"/>
                <w:sz w:val="16"/>
                <w:szCs w:val="16"/>
              </w:rPr>
              <w:t xml:space="preserve"> </w:t>
            </w:r>
          </w:p>
        </w:tc>
      </w:tr>
    </w:tbl>
    <w:p w:rsidR="00450F4F" w:rsidRPr="00C41782" w:rsidRDefault="00450F4F" w:rsidP="00450F4F">
      <w:pPr>
        <w:spacing w:after="240"/>
        <w:ind w:left="720"/>
        <w:rPr>
          <w:b/>
          <w:sz w:val="22"/>
          <w:szCs w:val="22"/>
        </w:rPr>
      </w:pPr>
    </w:p>
    <w:p w:rsidR="007B67EA" w:rsidRDefault="007B67EA" w:rsidP="00450F4F">
      <w:pPr>
        <w:spacing w:after="240"/>
        <w:ind w:left="720"/>
        <w:rPr>
          <w:b/>
          <w:sz w:val="22"/>
          <w:szCs w:val="22"/>
        </w:rPr>
      </w:pPr>
    </w:p>
    <w:p w:rsidR="003018D5" w:rsidRPr="00C41782" w:rsidRDefault="003018D5" w:rsidP="00450F4F">
      <w:pPr>
        <w:spacing w:after="240"/>
        <w:ind w:left="720"/>
        <w:rPr>
          <w:b/>
          <w:sz w:val="22"/>
          <w:szCs w:val="22"/>
        </w:rPr>
      </w:pPr>
    </w:p>
    <w:p w:rsidR="007B67EA" w:rsidRPr="00C41782" w:rsidRDefault="007B67EA" w:rsidP="00450F4F">
      <w:pPr>
        <w:spacing w:after="240"/>
        <w:ind w:left="720"/>
        <w:rPr>
          <w:b/>
          <w:sz w:val="22"/>
          <w:szCs w:val="22"/>
        </w:rPr>
      </w:pPr>
    </w:p>
    <w:p w:rsidR="00450F4F" w:rsidRPr="00C41782" w:rsidRDefault="00913FE3" w:rsidP="00450F4F">
      <w:pPr>
        <w:spacing w:after="240"/>
        <w:ind w:left="720"/>
        <w:rPr>
          <w:b/>
          <w:sz w:val="22"/>
          <w:szCs w:val="22"/>
          <w:u w:val="single"/>
        </w:rPr>
      </w:pPr>
      <w:r w:rsidRPr="00C41782">
        <w:rPr>
          <w:b/>
          <w:sz w:val="22"/>
          <w:szCs w:val="22"/>
          <w:u w:val="single"/>
        </w:rPr>
        <w:lastRenderedPageBreak/>
        <w:t>2010/11</w:t>
      </w:r>
    </w:p>
    <w:p w:rsidR="00C41782" w:rsidRPr="00C41782" w:rsidRDefault="00C41782" w:rsidP="00C41782">
      <w:pPr>
        <w:spacing w:after="240"/>
        <w:ind w:left="720"/>
        <w:rPr>
          <w:bCs/>
          <w:sz w:val="22"/>
          <w:szCs w:val="22"/>
        </w:rPr>
      </w:pPr>
      <w:r w:rsidRPr="00C41782">
        <w:rPr>
          <w:bCs/>
          <w:sz w:val="22"/>
          <w:szCs w:val="22"/>
        </w:rPr>
        <w:t xml:space="preserve">Revaluation Reserve </w:t>
      </w:r>
      <w:r w:rsidR="005D53EB">
        <w:rPr>
          <w:bCs/>
          <w:sz w:val="22"/>
          <w:szCs w:val="22"/>
        </w:rPr>
        <w:t>restated</w:t>
      </w:r>
      <w:r w:rsidRPr="00C41782">
        <w:rPr>
          <w:bCs/>
          <w:sz w:val="22"/>
          <w:szCs w:val="22"/>
        </w:rPr>
        <w:t xml:space="preserve"> for Heritage Assets</w:t>
      </w:r>
    </w:p>
    <w:p w:rsidR="00C41782" w:rsidRPr="00C41782" w:rsidRDefault="00C41782" w:rsidP="00450F4F">
      <w:pPr>
        <w:spacing w:after="240"/>
        <w:ind w:left="720"/>
        <w:rPr>
          <w:b/>
          <w:sz w:val="22"/>
          <w:szCs w:val="22"/>
          <w:u w:val="single"/>
        </w:rPr>
      </w:pPr>
    </w:p>
    <w:tbl>
      <w:tblPr>
        <w:tblW w:w="14700" w:type="dxa"/>
        <w:tblInd w:w="91" w:type="dxa"/>
        <w:tblLook w:val="04A0"/>
      </w:tblPr>
      <w:tblGrid>
        <w:gridCol w:w="4440"/>
        <w:gridCol w:w="1311"/>
        <w:gridCol w:w="1325"/>
        <w:gridCol w:w="1290"/>
        <w:gridCol w:w="1325"/>
        <w:gridCol w:w="1407"/>
        <w:gridCol w:w="1290"/>
        <w:gridCol w:w="1432"/>
        <w:gridCol w:w="1244"/>
      </w:tblGrid>
      <w:tr w:rsidR="00C41782" w:rsidRPr="00C41782" w:rsidTr="00C41782">
        <w:trPr>
          <w:trHeight w:val="1200"/>
        </w:trPr>
        <w:tc>
          <w:tcPr>
            <w:tcW w:w="4440" w:type="dxa"/>
            <w:tcBorders>
              <w:top w:val="nil"/>
              <w:left w:val="nil"/>
              <w:bottom w:val="nil"/>
              <w:right w:val="nil"/>
            </w:tcBorders>
            <w:shd w:val="clear" w:color="auto" w:fill="auto"/>
            <w:noWrap/>
            <w:vAlign w:val="bottom"/>
            <w:hideMark/>
          </w:tcPr>
          <w:p w:rsidR="00C41782" w:rsidRPr="00C41782" w:rsidRDefault="00C41782" w:rsidP="00C41782">
            <w:pPr>
              <w:rPr>
                <w:rFonts w:ascii="Calibri" w:hAnsi="Calibri" w:cs="Times New Roman"/>
                <w:color w:val="000000"/>
                <w:sz w:val="22"/>
                <w:szCs w:val="22"/>
              </w:rPr>
            </w:pPr>
          </w:p>
        </w:tc>
        <w:tc>
          <w:tcPr>
            <w:tcW w:w="1228" w:type="dxa"/>
            <w:tcBorders>
              <w:top w:val="nil"/>
              <w:left w:val="nil"/>
              <w:bottom w:val="single" w:sz="4" w:space="0" w:color="auto"/>
              <w:right w:val="nil"/>
            </w:tcBorders>
            <w:shd w:val="clear" w:color="auto" w:fill="auto"/>
            <w:vAlign w:val="bottom"/>
            <w:hideMark/>
          </w:tcPr>
          <w:p w:rsidR="00C41782" w:rsidRPr="00C41782" w:rsidRDefault="00C41782" w:rsidP="00C41782">
            <w:pPr>
              <w:jc w:val="center"/>
              <w:rPr>
                <w:rFonts w:ascii="Calibri" w:hAnsi="Calibri" w:cs="Times New Roman"/>
                <w:b/>
                <w:bCs/>
                <w:color w:val="000000"/>
                <w:sz w:val="22"/>
                <w:szCs w:val="22"/>
              </w:rPr>
            </w:pPr>
            <w:r w:rsidRPr="00C41782">
              <w:rPr>
                <w:rFonts w:ascii="Calibri" w:hAnsi="Calibri" w:cs="Times New Roman"/>
                <w:b/>
                <w:bCs/>
                <w:color w:val="000000"/>
                <w:sz w:val="22"/>
                <w:szCs w:val="22"/>
              </w:rPr>
              <w:t>Revaluation Reserve</w:t>
            </w:r>
          </w:p>
        </w:tc>
        <w:tc>
          <w:tcPr>
            <w:tcW w:w="1223" w:type="dxa"/>
            <w:tcBorders>
              <w:top w:val="nil"/>
              <w:left w:val="nil"/>
              <w:bottom w:val="single" w:sz="4" w:space="0" w:color="auto"/>
              <w:right w:val="nil"/>
            </w:tcBorders>
            <w:shd w:val="clear" w:color="auto" w:fill="auto"/>
            <w:vAlign w:val="bottom"/>
            <w:hideMark/>
          </w:tcPr>
          <w:p w:rsidR="00C41782" w:rsidRPr="00C41782" w:rsidRDefault="00C41782" w:rsidP="00C41782">
            <w:pPr>
              <w:jc w:val="center"/>
              <w:rPr>
                <w:rFonts w:ascii="Calibri" w:hAnsi="Calibri" w:cs="Times New Roman"/>
                <w:b/>
                <w:bCs/>
                <w:color w:val="000000"/>
                <w:sz w:val="22"/>
                <w:szCs w:val="22"/>
              </w:rPr>
            </w:pPr>
            <w:r w:rsidRPr="00C41782">
              <w:rPr>
                <w:rFonts w:ascii="Calibri" w:hAnsi="Calibri" w:cs="Times New Roman"/>
                <w:b/>
                <w:bCs/>
                <w:color w:val="000000"/>
                <w:sz w:val="22"/>
                <w:szCs w:val="22"/>
              </w:rPr>
              <w:t>Available for Sale Financial Instruments</w:t>
            </w:r>
          </w:p>
        </w:tc>
        <w:tc>
          <w:tcPr>
            <w:tcW w:w="1237" w:type="dxa"/>
            <w:tcBorders>
              <w:top w:val="nil"/>
              <w:left w:val="nil"/>
              <w:bottom w:val="single" w:sz="4" w:space="0" w:color="auto"/>
              <w:right w:val="nil"/>
            </w:tcBorders>
            <w:shd w:val="clear" w:color="auto" w:fill="auto"/>
            <w:vAlign w:val="bottom"/>
            <w:hideMark/>
          </w:tcPr>
          <w:p w:rsidR="00C41782" w:rsidRPr="00C41782" w:rsidRDefault="00C41782" w:rsidP="00C41782">
            <w:pPr>
              <w:jc w:val="center"/>
              <w:rPr>
                <w:rFonts w:ascii="Calibri" w:hAnsi="Calibri" w:cs="Times New Roman"/>
                <w:b/>
                <w:bCs/>
                <w:color w:val="000000"/>
                <w:sz w:val="22"/>
                <w:szCs w:val="22"/>
              </w:rPr>
            </w:pPr>
            <w:r w:rsidRPr="00C41782">
              <w:rPr>
                <w:rFonts w:ascii="Calibri" w:hAnsi="Calibri" w:cs="Times New Roman"/>
                <w:b/>
                <w:bCs/>
                <w:color w:val="000000"/>
                <w:sz w:val="22"/>
                <w:szCs w:val="22"/>
              </w:rPr>
              <w:t>Capital Adjustment Account</w:t>
            </w:r>
          </w:p>
        </w:tc>
        <w:tc>
          <w:tcPr>
            <w:tcW w:w="1252" w:type="dxa"/>
            <w:tcBorders>
              <w:top w:val="nil"/>
              <w:left w:val="nil"/>
              <w:bottom w:val="single" w:sz="4" w:space="0" w:color="auto"/>
              <w:right w:val="nil"/>
            </w:tcBorders>
            <w:shd w:val="clear" w:color="auto" w:fill="auto"/>
            <w:vAlign w:val="bottom"/>
            <w:hideMark/>
          </w:tcPr>
          <w:p w:rsidR="00C41782" w:rsidRPr="00C41782" w:rsidRDefault="00C41782" w:rsidP="00C41782">
            <w:pPr>
              <w:jc w:val="center"/>
              <w:rPr>
                <w:rFonts w:ascii="Calibri" w:hAnsi="Calibri" w:cs="Times New Roman"/>
                <w:b/>
                <w:bCs/>
                <w:color w:val="000000"/>
                <w:sz w:val="22"/>
                <w:szCs w:val="22"/>
              </w:rPr>
            </w:pPr>
            <w:r w:rsidRPr="00C41782">
              <w:rPr>
                <w:rFonts w:ascii="Calibri" w:hAnsi="Calibri" w:cs="Times New Roman"/>
                <w:b/>
                <w:bCs/>
                <w:color w:val="000000"/>
                <w:sz w:val="22"/>
                <w:szCs w:val="22"/>
              </w:rPr>
              <w:t>Financial Instruments Adjustment Account</w:t>
            </w:r>
          </w:p>
        </w:tc>
        <w:tc>
          <w:tcPr>
            <w:tcW w:w="1407" w:type="dxa"/>
            <w:tcBorders>
              <w:top w:val="nil"/>
              <w:left w:val="nil"/>
              <w:bottom w:val="single" w:sz="4" w:space="0" w:color="auto"/>
              <w:right w:val="nil"/>
            </w:tcBorders>
            <w:shd w:val="clear" w:color="auto" w:fill="auto"/>
            <w:vAlign w:val="bottom"/>
            <w:hideMark/>
          </w:tcPr>
          <w:p w:rsidR="00C41782" w:rsidRPr="00C41782" w:rsidRDefault="00C41782" w:rsidP="00C41782">
            <w:pPr>
              <w:jc w:val="center"/>
              <w:rPr>
                <w:rFonts w:ascii="Calibri" w:hAnsi="Calibri" w:cs="Times New Roman"/>
                <w:b/>
                <w:bCs/>
                <w:color w:val="000000"/>
                <w:sz w:val="22"/>
                <w:szCs w:val="22"/>
              </w:rPr>
            </w:pPr>
            <w:r w:rsidRPr="00C41782">
              <w:rPr>
                <w:rFonts w:ascii="Calibri" w:hAnsi="Calibri" w:cs="Times New Roman"/>
                <w:b/>
                <w:bCs/>
                <w:color w:val="000000"/>
                <w:sz w:val="22"/>
                <w:szCs w:val="22"/>
              </w:rPr>
              <w:t>Pensions Reserves</w:t>
            </w:r>
          </w:p>
        </w:tc>
        <w:tc>
          <w:tcPr>
            <w:tcW w:w="1237" w:type="dxa"/>
            <w:tcBorders>
              <w:top w:val="nil"/>
              <w:left w:val="nil"/>
              <w:bottom w:val="single" w:sz="4" w:space="0" w:color="auto"/>
              <w:right w:val="nil"/>
            </w:tcBorders>
            <w:shd w:val="clear" w:color="auto" w:fill="auto"/>
            <w:vAlign w:val="bottom"/>
            <w:hideMark/>
          </w:tcPr>
          <w:p w:rsidR="00C41782" w:rsidRPr="00C41782" w:rsidRDefault="00C41782" w:rsidP="00C41782">
            <w:pPr>
              <w:jc w:val="center"/>
              <w:rPr>
                <w:rFonts w:ascii="Calibri" w:hAnsi="Calibri" w:cs="Times New Roman"/>
                <w:b/>
                <w:bCs/>
                <w:color w:val="000000"/>
                <w:sz w:val="22"/>
                <w:szCs w:val="22"/>
              </w:rPr>
            </w:pPr>
            <w:r w:rsidRPr="00C41782">
              <w:rPr>
                <w:rFonts w:ascii="Calibri" w:hAnsi="Calibri" w:cs="Times New Roman"/>
                <w:b/>
                <w:bCs/>
                <w:color w:val="000000"/>
                <w:sz w:val="22"/>
                <w:szCs w:val="22"/>
              </w:rPr>
              <w:t>Collection Fund Adjustment Account</w:t>
            </w:r>
          </w:p>
        </w:tc>
        <w:tc>
          <w:tcPr>
            <w:tcW w:w="1432" w:type="dxa"/>
            <w:tcBorders>
              <w:top w:val="nil"/>
              <w:left w:val="nil"/>
              <w:bottom w:val="single" w:sz="4" w:space="0" w:color="auto"/>
              <w:right w:val="nil"/>
            </w:tcBorders>
            <w:shd w:val="clear" w:color="auto" w:fill="auto"/>
            <w:vAlign w:val="bottom"/>
            <w:hideMark/>
          </w:tcPr>
          <w:p w:rsidR="00C41782" w:rsidRPr="00C41782" w:rsidRDefault="00C41782" w:rsidP="00C41782">
            <w:pPr>
              <w:jc w:val="center"/>
              <w:rPr>
                <w:rFonts w:ascii="Calibri" w:hAnsi="Calibri" w:cs="Times New Roman"/>
                <w:b/>
                <w:bCs/>
                <w:color w:val="000000"/>
                <w:sz w:val="22"/>
                <w:szCs w:val="22"/>
              </w:rPr>
            </w:pPr>
            <w:r w:rsidRPr="00C41782">
              <w:rPr>
                <w:rFonts w:ascii="Calibri" w:hAnsi="Calibri" w:cs="Times New Roman"/>
                <w:b/>
                <w:bCs/>
                <w:color w:val="000000"/>
                <w:sz w:val="22"/>
                <w:szCs w:val="22"/>
              </w:rPr>
              <w:t>Accumulated Absences Account</w:t>
            </w:r>
          </w:p>
        </w:tc>
        <w:tc>
          <w:tcPr>
            <w:tcW w:w="1244" w:type="dxa"/>
            <w:tcBorders>
              <w:top w:val="nil"/>
              <w:left w:val="nil"/>
              <w:bottom w:val="single" w:sz="4" w:space="0" w:color="auto"/>
              <w:right w:val="nil"/>
            </w:tcBorders>
            <w:shd w:val="clear" w:color="auto" w:fill="auto"/>
            <w:vAlign w:val="bottom"/>
            <w:hideMark/>
          </w:tcPr>
          <w:p w:rsidR="00C41782" w:rsidRPr="00C41782" w:rsidRDefault="00C41782" w:rsidP="00C41782">
            <w:pPr>
              <w:jc w:val="center"/>
              <w:rPr>
                <w:rFonts w:ascii="Calibri" w:hAnsi="Calibri" w:cs="Times New Roman"/>
                <w:b/>
                <w:bCs/>
                <w:color w:val="000000"/>
                <w:sz w:val="22"/>
                <w:szCs w:val="22"/>
              </w:rPr>
            </w:pPr>
            <w:r w:rsidRPr="00C41782">
              <w:rPr>
                <w:rFonts w:ascii="Calibri" w:hAnsi="Calibri" w:cs="Times New Roman"/>
                <w:b/>
                <w:bCs/>
                <w:color w:val="000000"/>
                <w:sz w:val="22"/>
                <w:szCs w:val="22"/>
              </w:rPr>
              <w:t>Total unusable Reserves</w:t>
            </w:r>
          </w:p>
        </w:tc>
      </w:tr>
      <w:tr w:rsidR="00C41782" w:rsidRPr="00C41782" w:rsidTr="00DC56C0">
        <w:trPr>
          <w:trHeight w:val="300"/>
        </w:trPr>
        <w:tc>
          <w:tcPr>
            <w:tcW w:w="4440" w:type="dxa"/>
            <w:tcBorders>
              <w:top w:val="nil"/>
              <w:left w:val="nil"/>
              <w:bottom w:val="nil"/>
              <w:right w:val="nil"/>
            </w:tcBorders>
            <w:shd w:val="clear" w:color="auto" w:fill="auto"/>
            <w:vAlign w:val="bottom"/>
            <w:hideMark/>
          </w:tcPr>
          <w:p w:rsidR="00C41782" w:rsidRPr="00C41782" w:rsidRDefault="00C41782" w:rsidP="00C41782">
            <w:pPr>
              <w:rPr>
                <w:rFonts w:ascii="Calibri" w:hAnsi="Calibri" w:cs="Times New Roman"/>
                <w:b/>
                <w:bCs/>
                <w:color w:val="000000"/>
                <w:sz w:val="22"/>
                <w:szCs w:val="22"/>
              </w:rPr>
            </w:pPr>
            <w:r w:rsidRPr="00C41782">
              <w:rPr>
                <w:rFonts w:ascii="Calibri" w:hAnsi="Calibri" w:cs="Times New Roman"/>
                <w:b/>
                <w:bCs/>
                <w:color w:val="000000"/>
                <w:sz w:val="22"/>
                <w:szCs w:val="22"/>
              </w:rPr>
              <w:t>Balance at 1 April 2010</w:t>
            </w:r>
          </w:p>
        </w:tc>
        <w:tc>
          <w:tcPr>
            <w:tcW w:w="1228" w:type="dxa"/>
            <w:tcBorders>
              <w:top w:val="nil"/>
              <w:left w:val="nil"/>
              <w:bottom w:val="nil"/>
              <w:right w:val="nil"/>
            </w:tcBorders>
            <w:shd w:val="clear" w:color="000000" w:fill="FFFFFF"/>
            <w:noWrap/>
            <w:vAlign w:val="bottom"/>
            <w:hideMark/>
          </w:tcPr>
          <w:p w:rsidR="00C41782" w:rsidRPr="00C41782" w:rsidRDefault="00C41782" w:rsidP="00DC56C0">
            <w:pPr>
              <w:jc w:val="right"/>
              <w:rPr>
                <w:rFonts w:ascii="Calibri" w:hAnsi="Calibri" w:cs="Times New Roman"/>
                <w:b/>
                <w:bCs/>
                <w:color w:val="000000"/>
                <w:sz w:val="22"/>
                <w:szCs w:val="22"/>
              </w:rPr>
            </w:pPr>
            <w:r w:rsidRPr="00C41782">
              <w:rPr>
                <w:rFonts w:ascii="Calibri" w:hAnsi="Calibri" w:cs="Times New Roman"/>
                <w:b/>
                <w:bCs/>
                <w:color w:val="000000"/>
                <w:sz w:val="22"/>
                <w:szCs w:val="22"/>
              </w:rPr>
              <w:t xml:space="preserve">         669,184 </w:t>
            </w:r>
          </w:p>
        </w:tc>
        <w:tc>
          <w:tcPr>
            <w:tcW w:w="1223"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b/>
                <w:bCs/>
                <w:color w:val="000000"/>
                <w:sz w:val="22"/>
                <w:szCs w:val="22"/>
              </w:rPr>
            </w:pPr>
            <w:r w:rsidRPr="00C41782">
              <w:rPr>
                <w:rFonts w:ascii="Calibri" w:hAnsi="Calibri" w:cs="Times New Roman"/>
                <w:b/>
                <w:bCs/>
                <w:color w:val="000000"/>
                <w:sz w:val="22"/>
                <w:szCs w:val="22"/>
              </w:rPr>
              <w:t xml:space="preserve">                     -   </w:t>
            </w:r>
          </w:p>
        </w:tc>
        <w:tc>
          <w:tcPr>
            <w:tcW w:w="123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b/>
                <w:bCs/>
                <w:color w:val="000000"/>
                <w:sz w:val="22"/>
                <w:szCs w:val="22"/>
              </w:rPr>
            </w:pPr>
            <w:r w:rsidRPr="00C41782">
              <w:rPr>
                <w:rFonts w:ascii="Calibri" w:hAnsi="Calibri" w:cs="Times New Roman"/>
                <w:b/>
                <w:bCs/>
                <w:color w:val="000000"/>
                <w:sz w:val="22"/>
                <w:szCs w:val="22"/>
              </w:rPr>
              <w:t xml:space="preserve">         863,391 </w:t>
            </w:r>
          </w:p>
        </w:tc>
        <w:tc>
          <w:tcPr>
            <w:tcW w:w="1252"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b/>
                <w:bCs/>
                <w:color w:val="000000"/>
                <w:sz w:val="22"/>
                <w:szCs w:val="22"/>
              </w:rPr>
            </w:pPr>
            <w:r w:rsidRPr="00C41782">
              <w:rPr>
                <w:rFonts w:ascii="Calibri" w:hAnsi="Calibri" w:cs="Times New Roman"/>
                <w:b/>
                <w:bCs/>
                <w:color w:val="000000"/>
                <w:sz w:val="22"/>
                <w:szCs w:val="22"/>
              </w:rPr>
              <w:t xml:space="preserve">                    83 </w:t>
            </w:r>
          </w:p>
        </w:tc>
        <w:tc>
          <w:tcPr>
            <w:tcW w:w="140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b/>
                <w:bCs/>
                <w:color w:val="000000"/>
                <w:sz w:val="22"/>
                <w:szCs w:val="22"/>
              </w:rPr>
            </w:pPr>
            <w:r w:rsidRPr="00C41782">
              <w:rPr>
                <w:rFonts w:ascii="Calibri" w:hAnsi="Calibri" w:cs="Times New Roman"/>
                <w:b/>
                <w:bCs/>
                <w:color w:val="000000"/>
                <w:sz w:val="22"/>
                <w:szCs w:val="22"/>
              </w:rPr>
              <w:t xml:space="preserve">       </w:t>
            </w:r>
            <w:r w:rsidR="00E24BED">
              <w:rPr>
                <w:rFonts w:ascii="Calibri" w:hAnsi="Calibri" w:cs="Times New Roman"/>
                <w:b/>
                <w:bCs/>
                <w:color w:val="000000"/>
                <w:sz w:val="22"/>
                <w:szCs w:val="22"/>
              </w:rPr>
              <w:t>(</w:t>
            </w:r>
            <w:r w:rsidRPr="00C41782">
              <w:rPr>
                <w:rFonts w:ascii="Calibri" w:hAnsi="Calibri" w:cs="Times New Roman"/>
                <w:b/>
                <w:bCs/>
                <w:color w:val="000000"/>
                <w:sz w:val="22"/>
                <w:szCs w:val="22"/>
              </w:rPr>
              <w:t>1,059,958</w:t>
            </w:r>
            <w:r w:rsidR="00E24BED">
              <w:rPr>
                <w:rFonts w:ascii="Calibri" w:hAnsi="Calibri" w:cs="Times New Roman"/>
                <w:b/>
                <w:bCs/>
                <w:color w:val="000000"/>
                <w:sz w:val="22"/>
                <w:szCs w:val="22"/>
              </w:rPr>
              <w:t>)</w:t>
            </w:r>
            <w:r w:rsidRPr="00C41782">
              <w:rPr>
                <w:rFonts w:ascii="Calibri" w:hAnsi="Calibri" w:cs="Times New Roman"/>
                <w:b/>
                <w:bCs/>
                <w:color w:val="000000"/>
                <w:sz w:val="22"/>
                <w:szCs w:val="22"/>
              </w:rPr>
              <w:t xml:space="preserve"> </w:t>
            </w:r>
          </w:p>
        </w:tc>
        <w:tc>
          <w:tcPr>
            <w:tcW w:w="123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b/>
                <w:bCs/>
                <w:color w:val="000000"/>
                <w:sz w:val="22"/>
                <w:szCs w:val="22"/>
              </w:rPr>
            </w:pPr>
            <w:r w:rsidRPr="00C41782">
              <w:rPr>
                <w:rFonts w:ascii="Calibri" w:hAnsi="Calibri" w:cs="Times New Roman"/>
                <w:b/>
                <w:bCs/>
                <w:color w:val="000000"/>
                <w:sz w:val="22"/>
                <w:szCs w:val="22"/>
              </w:rPr>
              <w:t xml:space="preserve">            </w:t>
            </w:r>
            <w:r w:rsidR="00E24BED">
              <w:rPr>
                <w:rFonts w:ascii="Calibri" w:hAnsi="Calibri" w:cs="Times New Roman"/>
                <w:b/>
                <w:bCs/>
                <w:color w:val="000000"/>
                <w:sz w:val="22"/>
                <w:szCs w:val="22"/>
              </w:rPr>
              <w:t>(</w:t>
            </w:r>
            <w:r w:rsidRPr="00C41782">
              <w:rPr>
                <w:rFonts w:ascii="Calibri" w:hAnsi="Calibri" w:cs="Times New Roman"/>
                <w:b/>
                <w:bCs/>
                <w:color w:val="000000"/>
                <w:sz w:val="22"/>
                <w:szCs w:val="22"/>
              </w:rPr>
              <w:t>1,255</w:t>
            </w:r>
            <w:r w:rsidR="00E24BED">
              <w:rPr>
                <w:rFonts w:ascii="Calibri" w:hAnsi="Calibri" w:cs="Times New Roman"/>
                <w:b/>
                <w:bCs/>
                <w:color w:val="000000"/>
                <w:sz w:val="22"/>
                <w:szCs w:val="22"/>
              </w:rPr>
              <w:t>)</w:t>
            </w:r>
            <w:r w:rsidRPr="00C41782">
              <w:rPr>
                <w:rFonts w:ascii="Calibri" w:hAnsi="Calibri" w:cs="Times New Roman"/>
                <w:b/>
                <w:bCs/>
                <w:color w:val="000000"/>
                <w:sz w:val="22"/>
                <w:szCs w:val="22"/>
              </w:rPr>
              <w:t xml:space="preserve"> </w:t>
            </w:r>
          </w:p>
        </w:tc>
        <w:tc>
          <w:tcPr>
            <w:tcW w:w="1432"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b/>
                <w:bCs/>
                <w:color w:val="000000"/>
                <w:sz w:val="22"/>
                <w:szCs w:val="22"/>
              </w:rPr>
            </w:pPr>
            <w:r w:rsidRPr="00C41782">
              <w:rPr>
                <w:rFonts w:ascii="Calibri" w:hAnsi="Calibri" w:cs="Times New Roman"/>
                <w:b/>
                <w:bCs/>
                <w:color w:val="000000"/>
                <w:sz w:val="22"/>
                <w:szCs w:val="22"/>
              </w:rPr>
              <w:t xml:space="preserve">             </w:t>
            </w:r>
            <w:r w:rsidR="00E24BED">
              <w:rPr>
                <w:rFonts w:ascii="Calibri" w:hAnsi="Calibri" w:cs="Times New Roman"/>
                <w:b/>
                <w:bCs/>
                <w:color w:val="000000"/>
                <w:sz w:val="22"/>
                <w:szCs w:val="22"/>
              </w:rPr>
              <w:t>(</w:t>
            </w:r>
            <w:r w:rsidRPr="00C41782">
              <w:rPr>
                <w:rFonts w:ascii="Calibri" w:hAnsi="Calibri" w:cs="Times New Roman"/>
                <w:b/>
                <w:bCs/>
                <w:color w:val="000000"/>
                <w:sz w:val="22"/>
                <w:szCs w:val="22"/>
              </w:rPr>
              <w:t>46,992</w:t>
            </w:r>
            <w:r w:rsidR="00E24BED">
              <w:rPr>
                <w:rFonts w:ascii="Calibri" w:hAnsi="Calibri" w:cs="Times New Roman"/>
                <w:b/>
                <w:bCs/>
                <w:color w:val="000000"/>
                <w:sz w:val="22"/>
                <w:szCs w:val="22"/>
              </w:rPr>
              <w:t>)</w:t>
            </w:r>
            <w:r w:rsidRPr="00C41782">
              <w:rPr>
                <w:rFonts w:ascii="Calibri" w:hAnsi="Calibri" w:cs="Times New Roman"/>
                <w:b/>
                <w:bCs/>
                <w:color w:val="000000"/>
                <w:sz w:val="22"/>
                <w:szCs w:val="22"/>
              </w:rPr>
              <w:t xml:space="preserve"> </w:t>
            </w:r>
          </w:p>
        </w:tc>
        <w:tc>
          <w:tcPr>
            <w:tcW w:w="1244" w:type="dxa"/>
            <w:tcBorders>
              <w:top w:val="nil"/>
              <w:left w:val="nil"/>
              <w:bottom w:val="nil"/>
              <w:right w:val="nil"/>
            </w:tcBorders>
            <w:shd w:val="clear" w:color="auto" w:fill="auto"/>
            <w:noWrap/>
            <w:vAlign w:val="bottom"/>
            <w:hideMark/>
          </w:tcPr>
          <w:p w:rsidR="00C41782" w:rsidRPr="00C41782" w:rsidRDefault="00C41782" w:rsidP="00E24BED">
            <w:pPr>
              <w:jc w:val="right"/>
              <w:rPr>
                <w:rFonts w:ascii="Calibri" w:hAnsi="Calibri" w:cs="Times New Roman"/>
                <w:b/>
                <w:bCs/>
                <w:color w:val="000000"/>
                <w:sz w:val="22"/>
                <w:szCs w:val="22"/>
              </w:rPr>
            </w:pPr>
            <w:r w:rsidRPr="00C41782">
              <w:rPr>
                <w:rFonts w:ascii="Calibri" w:hAnsi="Calibri" w:cs="Times New Roman"/>
                <w:b/>
                <w:bCs/>
                <w:color w:val="000000"/>
                <w:sz w:val="22"/>
                <w:szCs w:val="22"/>
              </w:rPr>
              <w:t xml:space="preserve">         424,453 </w:t>
            </w:r>
          </w:p>
        </w:tc>
      </w:tr>
      <w:tr w:rsidR="00C41782" w:rsidRPr="00C41782" w:rsidTr="00DC56C0">
        <w:trPr>
          <w:trHeight w:val="300"/>
        </w:trPr>
        <w:tc>
          <w:tcPr>
            <w:tcW w:w="4440" w:type="dxa"/>
            <w:tcBorders>
              <w:top w:val="nil"/>
              <w:left w:val="nil"/>
              <w:bottom w:val="nil"/>
              <w:right w:val="nil"/>
            </w:tcBorders>
            <w:shd w:val="clear" w:color="auto" w:fill="auto"/>
            <w:noWrap/>
            <w:vAlign w:val="bottom"/>
            <w:hideMark/>
          </w:tcPr>
          <w:p w:rsidR="00C41782" w:rsidRPr="00C41782" w:rsidRDefault="00C41782" w:rsidP="00C41782">
            <w:pPr>
              <w:rPr>
                <w:rFonts w:ascii="Calibri" w:hAnsi="Calibri" w:cs="Times New Roman"/>
                <w:color w:val="000000"/>
                <w:sz w:val="22"/>
                <w:szCs w:val="22"/>
              </w:rPr>
            </w:pPr>
          </w:p>
        </w:tc>
        <w:tc>
          <w:tcPr>
            <w:tcW w:w="1228"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23"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3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52"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40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3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432"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44"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r w:rsidRPr="00C41782">
              <w:rPr>
                <w:rFonts w:ascii="Calibri" w:hAnsi="Calibri" w:cs="Times New Roman"/>
                <w:color w:val="000000"/>
                <w:sz w:val="22"/>
                <w:szCs w:val="22"/>
              </w:rPr>
              <w:t xml:space="preserve">                     -   </w:t>
            </w:r>
          </w:p>
        </w:tc>
      </w:tr>
      <w:tr w:rsidR="00C41782" w:rsidRPr="00C41782" w:rsidTr="00DC56C0">
        <w:trPr>
          <w:trHeight w:val="300"/>
        </w:trPr>
        <w:tc>
          <w:tcPr>
            <w:tcW w:w="4440" w:type="dxa"/>
            <w:tcBorders>
              <w:top w:val="nil"/>
              <w:left w:val="nil"/>
              <w:bottom w:val="nil"/>
              <w:right w:val="nil"/>
            </w:tcBorders>
            <w:shd w:val="clear" w:color="auto" w:fill="auto"/>
            <w:vAlign w:val="bottom"/>
            <w:hideMark/>
          </w:tcPr>
          <w:p w:rsidR="00C41782" w:rsidRPr="00C41782" w:rsidRDefault="00C41782" w:rsidP="00C41782">
            <w:pPr>
              <w:rPr>
                <w:rFonts w:ascii="Calibri" w:hAnsi="Calibri" w:cs="Times New Roman"/>
                <w:color w:val="000000"/>
                <w:sz w:val="22"/>
                <w:szCs w:val="22"/>
                <w:u w:val="single"/>
              </w:rPr>
            </w:pPr>
            <w:r w:rsidRPr="00C41782">
              <w:rPr>
                <w:rFonts w:ascii="Calibri" w:hAnsi="Calibri" w:cs="Times New Roman"/>
                <w:color w:val="000000"/>
                <w:sz w:val="22"/>
                <w:szCs w:val="22"/>
                <w:u w:val="single"/>
              </w:rPr>
              <w:t>Movement in Reserves During 2010/11</w:t>
            </w:r>
          </w:p>
        </w:tc>
        <w:tc>
          <w:tcPr>
            <w:tcW w:w="1228"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23"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3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52"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40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3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432"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44"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r w:rsidRPr="00C41782">
              <w:rPr>
                <w:rFonts w:ascii="Calibri" w:hAnsi="Calibri" w:cs="Times New Roman"/>
                <w:color w:val="000000"/>
                <w:sz w:val="22"/>
                <w:szCs w:val="22"/>
              </w:rPr>
              <w:t xml:space="preserve">                     -   </w:t>
            </w:r>
          </w:p>
        </w:tc>
      </w:tr>
      <w:tr w:rsidR="00C41782" w:rsidRPr="00C41782" w:rsidTr="00DC56C0">
        <w:trPr>
          <w:trHeight w:val="170"/>
        </w:trPr>
        <w:tc>
          <w:tcPr>
            <w:tcW w:w="4440" w:type="dxa"/>
            <w:tcBorders>
              <w:top w:val="nil"/>
              <w:left w:val="nil"/>
              <w:bottom w:val="nil"/>
              <w:right w:val="nil"/>
            </w:tcBorders>
            <w:shd w:val="clear" w:color="auto" w:fill="auto"/>
            <w:noWrap/>
            <w:vAlign w:val="bottom"/>
            <w:hideMark/>
          </w:tcPr>
          <w:p w:rsidR="00C41782" w:rsidRDefault="00C41782" w:rsidP="00C41782">
            <w:pPr>
              <w:rPr>
                <w:rFonts w:ascii="Calibri" w:hAnsi="Calibri" w:cs="Times New Roman"/>
                <w:color w:val="000000"/>
                <w:sz w:val="22"/>
                <w:szCs w:val="22"/>
              </w:rPr>
            </w:pPr>
          </w:p>
          <w:p w:rsidR="00C41782" w:rsidRPr="00C41782" w:rsidRDefault="00C41782" w:rsidP="00C41782">
            <w:pPr>
              <w:rPr>
                <w:rFonts w:ascii="Calibri" w:hAnsi="Calibri" w:cs="Times New Roman"/>
                <w:color w:val="000000"/>
                <w:sz w:val="22"/>
                <w:szCs w:val="22"/>
              </w:rPr>
            </w:pPr>
          </w:p>
        </w:tc>
        <w:tc>
          <w:tcPr>
            <w:tcW w:w="1228"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23"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3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52"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40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3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432"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44"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r w:rsidRPr="00C41782">
              <w:rPr>
                <w:rFonts w:ascii="Calibri" w:hAnsi="Calibri" w:cs="Times New Roman"/>
                <w:color w:val="000000"/>
                <w:sz w:val="22"/>
                <w:szCs w:val="22"/>
              </w:rPr>
              <w:t xml:space="preserve">                     -   </w:t>
            </w:r>
          </w:p>
        </w:tc>
      </w:tr>
      <w:tr w:rsidR="00C41782" w:rsidRPr="00C41782" w:rsidTr="00DC56C0">
        <w:trPr>
          <w:trHeight w:val="227"/>
        </w:trPr>
        <w:tc>
          <w:tcPr>
            <w:tcW w:w="4440" w:type="dxa"/>
            <w:tcBorders>
              <w:top w:val="nil"/>
              <w:left w:val="nil"/>
              <w:bottom w:val="nil"/>
              <w:right w:val="nil"/>
            </w:tcBorders>
            <w:shd w:val="clear" w:color="auto" w:fill="auto"/>
            <w:vAlign w:val="bottom"/>
            <w:hideMark/>
          </w:tcPr>
          <w:p w:rsidR="00C41782" w:rsidRPr="00C41782" w:rsidRDefault="00C41782" w:rsidP="00C41782">
            <w:pPr>
              <w:rPr>
                <w:rFonts w:ascii="Calibri" w:hAnsi="Calibri" w:cs="Times New Roman"/>
                <w:sz w:val="22"/>
                <w:szCs w:val="22"/>
              </w:rPr>
            </w:pPr>
            <w:r w:rsidRPr="00C41782">
              <w:rPr>
                <w:rFonts w:ascii="Calibri" w:hAnsi="Calibri" w:cs="Times New Roman"/>
                <w:sz w:val="22"/>
                <w:szCs w:val="22"/>
              </w:rPr>
              <w:t xml:space="preserve">Surplus or </w:t>
            </w:r>
            <w:r w:rsidR="00DD56EA">
              <w:rPr>
                <w:rFonts w:ascii="Calibri" w:hAnsi="Calibri" w:cs="Times New Roman"/>
                <w:sz w:val="22"/>
                <w:szCs w:val="22"/>
              </w:rPr>
              <w:t>(</w:t>
            </w:r>
            <w:r w:rsidRPr="00C41782">
              <w:rPr>
                <w:rFonts w:ascii="Calibri" w:hAnsi="Calibri" w:cs="Times New Roman"/>
                <w:sz w:val="22"/>
                <w:szCs w:val="22"/>
              </w:rPr>
              <w:t>deficit</w:t>
            </w:r>
            <w:r w:rsidR="00DD56EA">
              <w:rPr>
                <w:rFonts w:ascii="Calibri" w:hAnsi="Calibri" w:cs="Times New Roman"/>
                <w:sz w:val="22"/>
                <w:szCs w:val="22"/>
              </w:rPr>
              <w:t>)</w:t>
            </w:r>
            <w:r w:rsidRPr="00C41782">
              <w:rPr>
                <w:rFonts w:ascii="Calibri" w:hAnsi="Calibri" w:cs="Times New Roman"/>
                <w:sz w:val="22"/>
                <w:szCs w:val="22"/>
              </w:rPr>
              <w:t xml:space="preserve"> on provision of services </w:t>
            </w:r>
          </w:p>
        </w:tc>
        <w:tc>
          <w:tcPr>
            <w:tcW w:w="1228" w:type="dxa"/>
            <w:tcBorders>
              <w:top w:val="nil"/>
              <w:left w:val="nil"/>
              <w:bottom w:val="nil"/>
              <w:right w:val="nil"/>
            </w:tcBorders>
            <w:shd w:val="clear" w:color="auto" w:fill="auto"/>
            <w:noWrap/>
            <w:vAlign w:val="bottom"/>
            <w:hideMark/>
          </w:tcPr>
          <w:p w:rsidR="00C41782" w:rsidRDefault="00C41782" w:rsidP="00DC56C0">
            <w:pPr>
              <w:jc w:val="right"/>
              <w:rPr>
                <w:rFonts w:ascii="Calibri" w:hAnsi="Calibri" w:cs="Times New Roman"/>
                <w:color w:val="000000"/>
                <w:sz w:val="22"/>
                <w:szCs w:val="22"/>
              </w:rPr>
            </w:pPr>
          </w:p>
          <w:p w:rsidR="00C41782" w:rsidRPr="00C41782" w:rsidRDefault="00DC56C0" w:rsidP="00DC56C0">
            <w:pPr>
              <w:jc w:val="right"/>
              <w:rPr>
                <w:rFonts w:ascii="Calibri" w:hAnsi="Calibri" w:cs="Times New Roman"/>
                <w:color w:val="000000"/>
                <w:sz w:val="22"/>
                <w:szCs w:val="22"/>
              </w:rPr>
            </w:pPr>
            <w:r>
              <w:rPr>
                <w:rFonts w:ascii="Calibri" w:hAnsi="Calibri" w:cs="Times New Roman"/>
                <w:color w:val="000000"/>
                <w:sz w:val="22"/>
                <w:szCs w:val="22"/>
              </w:rPr>
              <w:t>-</w:t>
            </w:r>
          </w:p>
        </w:tc>
        <w:tc>
          <w:tcPr>
            <w:tcW w:w="1223" w:type="dxa"/>
            <w:tcBorders>
              <w:top w:val="nil"/>
              <w:left w:val="nil"/>
              <w:bottom w:val="nil"/>
              <w:right w:val="nil"/>
            </w:tcBorders>
            <w:shd w:val="clear" w:color="auto" w:fill="auto"/>
            <w:noWrap/>
            <w:vAlign w:val="bottom"/>
            <w:hideMark/>
          </w:tcPr>
          <w:p w:rsidR="00C41782" w:rsidRPr="00C41782" w:rsidRDefault="00DC56C0" w:rsidP="00DC56C0">
            <w:pPr>
              <w:jc w:val="right"/>
              <w:rPr>
                <w:rFonts w:ascii="Calibri" w:hAnsi="Calibri" w:cs="Times New Roman"/>
                <w:color w:val="000000"/>
                <w:sz w:val="22"/>
                <w:szCs w:val="22"/>
              </w:rPr>
            </w:pPr>
            <w:r>
              <w:rPr>
                <w:rFonts w:ascii="Calibri" w:hAnsi="Calibri" w:cs="Times New Roman"/>
                <w:color w:val="000000"/>
                <w:sz w:val="22"/>
                <w:szCs w:val="22"/>
              </w:rPr>
              <w:t>-</w:t>
            </w:r>
          </w:p>
        </w:tc>
        <w:tc>
          <w:tcPr>
            <w:tcW w:w="1237" w:type="dxa"/>
            <w:tcBorders>
              <w:top w:val="nil"/>
              <w:left w:val="nil"/>
              <w:bottom w:val="nil"/>
              <w:right w:val="nil"/>
            </w:tcBorders>
            <w:shd w:val="clear" w:color="auto" w:fill="auto"/>
            <w:noWrap/>
            <w:vAlign w:val="bottom"/>
            <w:hideMark/>
          </w:tcPr>
          <w:p w:rsidR="00C41782" w:rsidRPr="00C41782" w:rsidRDefault="00DC56C0" w:rsidP="00DC56C0">
            <w:pPr>
              <w:jc w:val="right"/>
              <w:rPr>
                <w:rFonts w:ascii="Calibri" w:hAnsi="Calibri" w:cs="Times New Roman"/>
                <w:color w:val="000000"/>
                <w:sz w:val="22"/>
                <w:szCs w:val="22"/>
              </w:rPr>
            </w:pPr>
            <w:r>
              <w:rPr>
                <w:rFonts w:ascii="Calibri" w:hAnsi="Calibri" w:cs="Times New Roman"/>
                <w:color w:val="000000"/>
                <w:sz w:val="22"/>
                <w:szCs w:val="22"/>
              </w:rPr>
              <w:t>-</w:t>
            </w:r>
          </w:p>
        </w:tc>
        <w:tc>
          <w:tcPr>
            <w:tcW w:w="1252" w:type="dxa"/>
            <w:tcBorders>
              <w:top w:val="nil"/>
              <w:left w:val="nil"/>
              <w:bottom w:val="nil"/>
              <w:right w:val="nil"/>
            </w:tcBorders>
            <w:shd w:val="clear" w:color="auto" w:fill="auto"/>
            <w:noWrap/>
            <w:vAlign w:val="bottom"/>
            <w:hideMark/>
          </w:tcPr>
          <w:p w:rsidR="00C41782" w:rsidRPr="00C41782" w:rsidRDefault="00DC56C0" w:rsidP="00DC56C0">
            <w:pPr>
              <w:jc w:val="right"/>
              <w:rPr>
                <w:rFonts w:ascii="Calibri" w:hAnsi="Calibri" w:cs="Times New Roman"/>
                <w:color w:val="000000"/>
                <w:sz w:val="22"/>
                <w:szCs w:val="22"/>
              </w:rPr>
            </w:pPr>
            <w:r>
              <w:rPr>
                <w:rFonts w:ascii="Calibri" w:hAnsi="Calibri" w:cs="Times New Roman"/>
                <w:color w:val="000000"/>
                <w:sz w:val="22"/>
                <w:szCs w:val="22"/>
              </w:rPr>
              <w:t>-</w:t>
            </w:r>
          </w:p>
        </w:tc>
        <w:tc>
          <w:tcPr>
            <w:tcW w:w="1407" w:type="dxa"/>
            <w:tcBorders>
              <w:top w:val="nil"/>
              <w:left w:val="nil"/>
              <w:bottom w:val="nil"/>
              <w:right w:val="nil"/>
            </w:tcBorders>
            <w:shd w:val="clear" w:color="auto" w:fill="auto"/>
            <w:noWrap/>
            <w:vAlign w:val="bottom"/>
            <w:hideMark/>
          </w:tcPr>
          <w:p w:rsidR="00C41782" w:rsidRPr="00C41782" w:rsidRDefault="00DC56C0" w:rsidP="00DC56C0">
            <w:pPr>
              <w:jc w:val="right"/>
              <w:rPr>
                <w:rFonts w:ascii="Calibri" w:hAnsi="Calibri" w:cs="Times New Roman"/>
                <w:color w:val="000000"/>
                <w:sz w:val="22"/>
                <w:szCs w:val="22"/>
              </w:rPr>
            </w:pPr>
            <w:r>
              <w:rPr>
                <w:rFonts w:ascii="Calibri" w:hAnsi="Calibri" w:cs="Times New Roman"/>
                <w:color w:val="000000"/>
                <w:sz w:val="22"/>
                <w:szCs w:val="22"/>
              </w:rPr>
              <w:t>-</w:t>
            </w:r>
          </w:p>
        </w:tc>
        <w:tc>
          <w:tcPr>
            <w:tcW w:w="1237" w:type="dxa"/>
            <w:tcBorders>
              <w:top w:val="nil"/>
              <w:left w:val="nil"/>
              <w:bottom w:val="nil"/>
              <w:right w:val="nil"/>
            </w:tcBorders>
            <w:shd w:val="clear" w:color="auto" w:fill="auto"/>
            <w:noWrap/>
            <w:vAlign w:val="bottom"/>
            <w:hideMark/>
          </w:tcPr>
          <w:p w:rsidR="00C41782" w:rsidRPr="00C41782" w:rsidRDefault="00DC56C0" w:rsidP="00DC56C0">
            <w:pPr>
              <w:jc w:val="right"/>
              <w:rPr>
                <w:rFonts w:ascii="Calibri" w:hAnsi="Calibri" w:cs="Times New Roman"/>
                <w:color w:val="000000"/>
                <w:sz w:val="22"/>
                <w:szCs w:val="22"/>
              </w:rPr>
            </w:pPr>
            <w:r>
              <w:rPr>
                <w:rFonts w:ascii="Calibri" w:hAnsi="Calibri" w:cs="Times New Roman"/>
                <w:color w:val="000000"/>
                <w:sz w:val="22"/>
                <w:szCs w:val="22"/>
              </w:rPr>
              <w:t>-</w:t>
            </w:r>
          </w:p>
        </w:tc>
        <w:tc>
          <w:tcPr>
            <w:tcW w:w="1432" w:type="dxa"/>
            <w:tcBorders>
              <w:top w:val="nil"/>
              <w:left w:val="nil"/>
              <w:bottom w:val="nil"/>
              <w:right w:val="nil"/>
            </w:tcBorders>
            <w:shd w:val="clear" w:color="auto" w:fill="auto"/>
            <w:noWrap/>
            <w:vAlign w:val="bottom"/>
            <w:hideMark/>
          </w:tcPr>
          <w:p w:rsidR="00C41782" w:rsidRPr="00C41782" w:rsidRDefault="00DC56C0" w:rsidP="00DC56C0">
            <w:pPr>
              <w:jc w:val="right"/>
              <w:rPr>
                <w:rFonts w:ascii="Calibri" w:hAnsi="Calibri" w:cs="Times New Roman"/>
                <w:color w:val="000000"/>
                <w:sz w:val="22"/>
                <w:szCs w:val="22"/>
              </w:rPr>
            </w:pPr>
            <w:r>
              <w:rPr>
                <w:rFonts w:ascii="Calibri" w:hAnsi="Calibri" w:cs="Times New Roman"/>
                <w:color w:val="000000"/>
                <w:sz w:val="22"/>
                <w:szCs w:val="22"/>
              </w:rPr>
              <w:t>-</w:t>
            </w:r>
          </w:p>
        </w:tc>
        <w:tc>
          <w:tcPr>
            <w:tcW w:w="1244"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r w:rsidRPr="00C41782">
              <w:rPr>
                <w:rFonts w:ascii="Calibri" w:hAnsi="Calibri" w:cs="Times New Roman"/>
                <w:color w:val="000000"/>
                <w:sz w:val="22"/>
                <w:szCs w:val="22"/>
              </w:rPr>
              <w:t xml:space="preserve">                     -   </w:t>
            </w:r>
          </w:p>
        </w:tc>
      </w:tr>
      <w:tr w:rsidR="00C41782" w:rsidRPr="00C41782" w:rsidTr="00DC56C0">
        <w:trPr>
          <w:trHeight w:val="765"/>
        </w:trPr>
        <w:tc>
          <w:tcPr>
            <w:tcW w:w="4440" w:type="dxa"/>
            <w:tcBorders>
              <w:top w:val="nil"/>
              <w:left w:val="nil"/>
              <w:bottom w:val="nil"/>
              <w:right w:val="nil"/>
            </w:tcBorders>
            <w:shd w:val="clear" w:color="auto" w:fill="auto"/>
            <w:vAlign w:val="bottom"/>
            <w:hideMark/>
          </w:tcPr>
          <w:p w:rsidR="00C41782" w:rsidRPr="00C41782" w:rsidRDefault="00C41782" w:rsidP="00C41782">
            <w:pPr>
              <w:rPr>
                <w:rFonts w:ascii="Calibri" w:hAnsi="Calibri" w:cs="Times New Roman"/>
                <w:sz w:val="22"/>
                <w:szCs w:val="22"/>
              </w:rPr>
            </w:pPr>
            <w:r w:rsidRPr="00C41782">
              <w:rPr>
                <w:rFonts w:ascii="Calibri" w:hAnsi="Calibri" w:cs="Times New Roman"/>
                <w:sz w:val="22"/>
                <w:szCs w:val="22"/>
              </w:rPr>
              <w:t>Other Comprehensive Expenditure and Income</w:t>
            </w:r>
          </w:p>
        </w:tc>
        <w:tc>
          <w:tcPr>
            <w:tcW w:w="1228"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r w:rsidRPr="00C41782">
              <w:rPr>
                <w:rFonts w:ascii="Calibri" w:hAnsi="Calibri" w:cs="Times New Roman"/>
                <w:color w:val="000000"/>
                <w:sz w:val="22"/>
                <w:szCs w:val="22"/>
              </w:rPr>
              <w:t xml:space="preserve">         119,058 </w:t>
            </w:r>
          </w:p>
        </w:tc>
        <w:tc>
          <w:tcPr>
            <w:tcW w:w="1223" w:type="dxa"/>
            <w:tcBorders>
              <w:top w:val="nil"/>
              <w:left w:val="nil"/>
              <w:bottom w:val="nil"/>
              <w:right w:val="nil"/>
            </w:tcBorders>
            <w:shd w:val="clear" w:color="auto" w:fill="auto"/>
            <w:noWrap/>
            <w:vAlign w:val="bottom"/>
            <w:hideMark/>
          </w:tcPr>
          <w:p w:rsidR="00C41782" w:rsidRPr="00C41782" w:rsidRDefault="00DC56C0" w:rsidP="00DC56C0">
            <w:pPr>
              <w:jc w:val="right"/>
              <w:rPr>
                <w:rFonts w:ascii="Calibri" w:hAnsi="Calibri" w:cs="Times New Roman"/>
                <w:color w:val="000000"/>
                <w:sz w:val="22"/>
                <w:szCs w:val="22"/>
              </w:rPr>
            </w:pPr>
            <w:r>
              <w:rPr>
                <w:rFonts w:ascii="Calibri" w:hAnsi="Calibri" w:cs="Times New Roman"/>
                <w:color w:val="000000"/>
                <w:sz w:val="22"/>
                <w:szCs w:val="22"/>
              </w:rPr>
              <w:t>-</w:t>
            </w:r>
          </w:p>
        </w:tc>
        <w:tc>
          <w:tcPr>
            <w:tcW w:w="1237" w:type="dxa"/>
            <w:tcBorders>
              <w:top w:val="nil"/>
              <w:left w:val="nil"/>
              <w:bottom w:val="nil"/>
              <w:right w:val="nil"/>
            </w:tcBorders>
            <w:shd w:val="clear" w:color="auto" w:fill="auto"/>
            <w:noWrap/>
            <w:vAlign w:val="bottom"/>
            <w:hideMark/>
          </w:tcPr>
          <w:p w:rsidR="00C41782" w:rsidRPr="00C41782" w:rsidRDefault="00DC56C0" w:rsidP="00DC56C0">
            <w:pPr>
              <w:jc w:val="right"/>
              <w:rPr>
                <w:rFonts w:ascii="Calibri" w:hAnsi="Calibri" w:cs="Times New Roman"/>
                <w:color w:val="000000"/>
                <w:sz w:val="22"/>
                <w:szCs w:val="22"/>
              </w:rPr>
            </w:pPr>
            <w:r>
              <w:rPr>
                <w:rFonts w:ascii="Calibri" w:hAnsi="Calibri" w:cs="Times New Roman"/>
                <w:color w:val="000000"/>
                <w:sz w:val="22"/>
                <w:szCs w:val="22"/>
              </w:rPr>
              <w:t>-</w:t>
            </w:r>
          </w:p>
        </w:tc>
        <w:tc>
          <w:tcPr>
            <w:tcW w:w="1252" w:type="dxa"/>
            <w:tcBorders>
              <w:top w:val="nil"/>
              <w:left w:val="nil"/>
              <w:bottom w:val="nil"/>
              <w:right w:val="nil"/>
            </w:tcBorders>
            <w:shd w:val="clear" w:color="auto" w:fill="auto"/>
            <w:noWrap/>
            <w:vAlign w:val="bottom"/>
            <w:hideMark/>
          </w:tcPr>
          <w:p w:rsidR="00C41782" w:rsidRPr="00C41782" w:rsidRDefault="00DC56C0" w:rsidP="00DC56C0">
            <w:pPr>
              <w:jc w:val="right"/>
              <w:rPr>
                <w:rFonts w:ascii="Calibri" w:hAnsi="Calibri" w:cs="Times New Roman"/>
                <w:color w:val="000000"/>
                <w:sz w:val="22"/>
                <w:szCs w:val="22"/>
              </w:rPr>
            </w:pPr>
            <w:r>
              <w:rPr>
                <w:rFonts w:ascii="Calibri" w:hAnsi="Calibri" w:cs="Times New Roman"/>
                <w:color w:val="000000"/>
                <w:sz w:val="22"/>
                <w:szCs w:val="22"/>
              </w:rPr>
              <w:t>-</w:t>
            </w:r>
          </w:p>
        </w:tc>
        <w:tc>
          <w:tcPr>
            <w:tcW w:w="140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r w:rsidRPr="00C41782">
              <w:rPr>
                <w:rFonts w:ascii="Calibri" w:hAnsi="Calibri" w:cs="Times New Roman"/>
                <w:color w:val="000000"/>
                <w:sz w:val="22"/>
                <w:szCs w:val="22"/>
              </w:rPr>
              <w:t xml:space="preserve">             178,590 </w:t>
            </w:r>
          </w:p>
        </w:tc>
        <w:tc>
          <w:tcPr>
            <w:tcW w:w="1237" w:type="dxa"/>
            <w:tcBorders>
              <w:top w:val="nil"/>
              <w:left w:val="nil"/>
              <w:bottom w:val="nil"/>
              <w:right w:val="nil"/>
            </w:tcBorders>
            <w:shd w:val="clear" w:color="auto" w:fill="auto"/>
            <w:noWrap/>
            <w:vAlign w:val="bottom"/>
            <w:hideMark/>
          </w:tcPr>
          <w:p w:rsidR="00C41782" w:rsidRPr="00C41782" w:rsidRDefault="00DC56C0" w:rsidP="00DC56C0">
            <w:pPr>
              <w:jc w:val="right"/>
              <w:rPr>
                <w:rFonts w:ascii="Calibri" w:hAnsi="Calibri" w:cs="Times New Roman"/>
                <w:color w:val="000000"/>
                <w:sz w:val="22"/>
                <w:szCs w:val="22"/>
              </w:rPr>
            </w:pPr>
            <w:r>
              <w:rPr>
                <w:rFonts w:ascii="Calibri" w:hAnsi="Calibri" w:cs="Times New Roman"/>
                <w:color w:val="000000"/>
                <w:sz w:val="22"/>
                <w:szCs w:val="22"/>
              </w:rPr>
              <w:t>-</w:t>
            </w:r>
          </w:p>
        </w:tc>
        <w:tc>
          <w:tcPr>
            <w:tcW w:w="1432" w:type="dxa"/>
            <w:tcBorders>
              <w:top w:val="nil"/>
              <w:left w:val="nil"/>
              <w:bottom w:val="nil"/>
              <w:right w:val="nil"/>
            </w:tcBorders>
            <w:shd w:val="clear" w:color="auto" w:fill="auto"/>
            <w:noWrap/>
            <w:vAlign w:val="bottom"/>
            <w:hideMark/>
          </w:tcPr>
          <w:p w:rsidR="00C41782" w:rsidRPr="00C41782" w:rsidRDefault="00DC56C0" w:rsidP="00DC56C0">
            <w:pPr>
              <w:jc w:val="right"/>
              <w:rPr>
                <w:rFonts w:ascii="Calibri" w:hAnsi="Calibri" w:cs="Times New Roman"/>
                <w:color w:val="000000"/>
                <w:sz w:val="22"/>
                <w:szCs w:val="22"/>
              </w:rPr>
            </w:pPr>
            <w:r>
              <w:rPr>
                <w:rFonts w:ascii="Calibri" w:hAnsi="Calibri" w:cs="Times New Roman"/>
                <w:color w:val="000000"/>
                <w:sz w:val="22"/>
                <w:szCs w:val="22"/>
              </w:rPr>
              <w:t>-</w:t>
            </w:r>
          </w:p>
        </w:tc>
        <w:tc>
          <w:tcPr>
            <w:tcW w:w="1244"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r w:rsidRPr="00C41782">
              <w:rPr>
                <w:rFonts w:ascii="Calibri" w:hAnsi="Calibri" w:cs="Times New Roman"/>
                <w:color w:val="000000"/>
                <w:sz w:val="22"/>
                <w:szCs w:val="22"/>
              </w:rPr>
              <w:t xml:space="preserve">         297,648 </w:t>
            </w:r>
          </w:p>
        </w:tc>
      </w:tr>
      <w:tr w:rsidR="00C41782" w:rsidRPr="00C41782" w:rsidTr="00DC56C0">
        <w:trPr>
          <w:trHeight w:val="300"/>
        </w:trPr>
        <w:tc>
          <w:tcPr>
            <w:tcW w:w="4440" w:type="dxa"/>
            <w:tcBorders>
              <w:top w:val="nil"/>
              <w:left w:val="nil"/>
              <w:bottom w:val="nil"/>
              <w:right w:val="nil"/>
            </w:tcBorders>
            <w:shd w:val="clear" w:color="auto" w:fill="auto"/>
            <w:vAlign w:val="bottom"/>
            <w:hideMark/>
          </w:tcPr>
          <w:p w:rsidR="00C41782" w:rsidRPr="00C41782" w:rsidRDefault="00C41782" w:rsidP="00C41782">
            <w:pPr>
              <w:rPr>
                <w:rFonts w:ascii="Calibri" w:hAnsi="Calibri" w:cs="Times New Roman"/>
                <w:b/>
                <w:bCs/>
                <w:sz w:val="22"/>
                <w:szCs w:val="22"/>
              </w:rPr>
            </w:pPr>
            <w:r w:rsidRPr="00C41782">
              <w:rPr>
                <w:rFonts w:ascii="Calibri" w:hAnsi="Calibri" w:cs="Times New Roman"/>
                <w:b/>
                <w:bCs/>
                <w:sz w:val="22"/>
                <w:szCs w:val="22"/>
              </w:rPr>
              <w:t>Total Comprehensive Expenditure and Income</w:t>
            </w:r>
          </w:p>
        </w:tc>
        <w:tc>
          <w:tcPr>
            <w:tcW w:w="1228"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r w:rsidRPr="00C41782">
              <w:rPr>
                <w:rFonts w:ascii="Calibri" w:hAnsi="Calibri" w:cs="Times New Roman"/>
                <w:color w:val="000000"/>
                <w:sz w:val="22"/>
                <w:szCs w:val="22"/>
              </w:rPr>
              <w:t xml:space="preserve">         119,058 </w:t>
            </w:r>
          </w:p>
        </w:tc>
        <w:tc>
          <w:tcPr>
            <w:tcW w:w="1223"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r w:rsidRPr="00C41782">
              <w:rPr>
                <w:rFonts w:ascii="Calibri" w:hAnsi="Calibri" w:cs="Times New Roman"/>
                <w:color w:val="000000"/>
                <w:sz w:val="22"/>
                <w:szCs w:val="22"/>
              </w:rPr>
              <w:t xml:space="preserve">                     -   </w:t>
            </w:r>
          </w:p>
        </w:tc>
        <w:tc>
          <w:tcPr>
            <w:tcW w:w="123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r w:rsidRPr="00C41782">
              <w:rPr>
                <w:rFonts w:ascii="Calibri" w:hAnsi="Calibri" w:cs="Times New Roman"/>
                <w:color w:val="000000"/>
                <w:sz w:val="22"/>
                <w:szCs w:val="22"/>
              </w:rPr>
              <w:t xml:space="preserve">                     -   </w:t>
            </w:r>
          </w:p>
        </w:tc>
        <w:tc>
          <w:tcPr>
            <w:tcW w:w="1252"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r w:rsidRPr="00C41782">
              <w:rPr>
                <w:rFonts w:ascii="Calibri" w:hAnsi="Calibri" w:cs="Times New Roman"/>
                <w:color w:val="000000"/>
                <w:sz w:val="22"/>
                <w:szCs w:val="22"/>
              </w:rPr>
              <w:t xml:space="preserve">                     -   </w:t>
            </w:r>
          </w:p>
        </w:tc>
        <w:tc>
          <w:tcPr>
            <w:tcW w:w="140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r w:rsidRPr="00C41782">
              <w:rPr>
                <w:rFonts w:ascii="Calibri" w:hAnsi="Calibri" w:cs="Times New Roman"/>
                <w:color w:val="000000"/>
                <w:sz w:val="22"/>
                <w:szCs w:val="22"/>
              </w:rPr>
              <w:t xml:space="preserve">             178,590 </w:t>
            </w:r>
          </w:p>
        </w:tc>
        <w:tc>
          <w:tcPr>
            <w:tcW w:w="123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r w:rsidRPr="00C41782">
              <w:rPr>
                <w:rFonts w:ascii="Calibri" w:hAnsi="Calibri" w:cs="Times New Roman"/>
                <w:color w:val="000000"/>
                <w:sz w:val="22"/>
                <w:szCs w:val="22"/>
              </w:rPr>
              <w:t xml:space="preserve">                     -   </w:t>
            </w:r>
          </w:p>
        </w:tc>
        <w:tc>
          <w:tcPr>
            <w:tcW w:w="1432"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r w:rsidRPr="00C41782">
              <w:rPr>
                <w:rFonts w:ascii="Calibri" w:hAnsi="Calibri" w:cs="Times New Roman"/>
                <w:color w:val="000000"/>
                <w:sz w:val="22"/>
                <w:szCs w:val="22"/>
              </w:rPr>
              <w:t xml:space="preserve">                         -   </w:t>
            </w:r>
          </w:p>
        </w:tc>
        <w:tc>
          <w:tcPr>
            <w:tcW w:w="1244"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r w:rsidRPr="00C41782">
              <w:rPr>
                <w:rFonts w:ascii="Calibri" w:hAnsi="Calibri" w:cs="Times New Roman"/>
                <w:color w:val="000000"/>
                <w:sz w:val="22"/>
                <w:szCs w:val="22"/>
              </w:rPr>
              <w:t xml:space="preserve">         297,648 </w:t>
            </w:r>
          </w:p>
        </w:tc>
      </w:tr>
      <w:tr w:rsidR="00C41782" w:rsidRPr="00C41782" w:rsidTr="00DC56C0">
        <w:trPr>
          <w:trHeight w:val="300"/>
        </w:trPr>
        <w:tc>
          <w:tcPr>
            <w:tcW w:w="4440" w:type="dxa"/>
            <w:tcBorders>
              <w:top w:val="nil"/>
              <w:left w:val="nil"/>
              <w:bottom w:val="nil"/>
              <w:right w:val="nil"/>
            </w:tcBorders>
            <w:shd w:val="clear" w:color="auto" w:fill="auto"/>
            <w:noWrap/>
            <w:vAlign w:val="bottom"/>
            <w:hideMark/>
          </w:tcPr>
          <w:p w:rsidR="00C41782" w:rsidRPr="00C41782" w:rsidRDefault="00C41782" w:rsidP="00C41782">
            <w:pPr>
              <w:rPr>
                <w:rFonts w:ascii="Calibri" w:hAnsi="Calibri" w:cs="Times New Roman"/>
                <w:color w:val="000000"/>
                <w:sz w:val="22"/>
                <w:szCs w:val="22"/>
              </w:rPr>
            </w:pPr>
          </w:p>
        </w:tc>
        <w:tc>
          <w:tcPr>
            <w:tcW w:w="1228"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23"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3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52"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40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3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432"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44"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r w:rsidRPr="00C41782">
              <w:rPr>
                <w:rFonts w:ascii="Calibri" w:hAnsi="Calibri" w:cs="Times New Roman"/>
                <w:color w:val="000000"/>
                <w:sz w:val="22"/>
                <w:szCs w:val="22"/>
              </w:rPr>
              <w:t xml:space="preserve">                     -   </w:t>
            </w:r>
          </w:p>
        </w:tc>
      </w:tr>
      <w:tr w:rsidR="00C41782" w:rsidRPr="00C41782" w:rsidTr="00DC56C0">
        <w:trPr>
          <w:trHeight w:val="600"/>
        </w:trPr>
        <w:tc>
          <w:tcPr>
            <w:tcW w:w="4440" w:type="dxa"/>
            <w:tcBorders>
              <w:top w:val="nil"/>
              <w:left w:val="nil"/>
              <w:bottom w:val="nil"/>
              <w:right w:val="nil"/>
            </w:tcBorders>
            <w:shd w:val="clear" w:color="auto" w:fill="auto"/>
            <w:vAlign w:val="bottom"/>
            <w:hideMark/>
          </w:tcPr>
          <w:p w:rsidR="00C41782" w:rsidRPr="00C41782" w:rsidRDefault="00C41782" w:rsidP="00C41782">
            <w:pPr>
              <w:rPr>
                <w:rFonts w:ascii="Calibri" w:hAnsi="Calibri" w:cs="Times New Roman"/>
                <w:color w:val="000000"/>
                <w:sz w:val="22"/>
                <w:szCs w:val="22"/>
              </w:rPr>
            </w:pPr>
            <w:r w:rsidRPr="00C41782">
              <w:rPr>
                <w:rFonts w:ascii="Calibri" w:hAnsi="Calibri" w:cs="Times New Roman"/>
                <w:color w:val="000000"/>
                <w:sz w:val="22"/>
                <w:szCs w:val="22"/>
              </w:rPr>
              <w:t>Adjustments Between Accounting Basis &amp; Funding Basis Under Regulations</w:t>
            </w:r>
          </w:p>
        </w:tc>
        <w:tc>
          <w:tcPr>
            <w:tcW w:w="1228"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r w:rsidRPr="00C41782">
              <w:rPr>
                <w:rFonts w:ascii="Calibri" w:hAnsi="Calibri" w:cs="Times New Roman"/>
                <w:color w:val="000000"/>
                <w:sz w:val="22"/>
                <w:szCs w:val="22"/>
              </w:rPr>
              <w:t xml:space="preserve">          </w:t>
            </w:r>
            <w:r w:rsidR="00E24BED">
              <w:rPr>
                <w:rFonts w:ascii="Calibri" w:hAnsi="Calibri" w:cs="Times New Roman"/>
                <w:color w:val="000000"/>
                <w:sz w:val="22"/>
                <w:szCs w:val="22"/>
              </w:rPr>
              <w:t>(</w:t>
            </w:r>
            <w:r w:rsidRPr="00C41782">
              <w:rPr>
                <w:rFonts w:ascii="Calibri" w:hAnsi="Calibri" w:cs="Times New Roman"/>
                <w:color w:val="000000"/>
                <w:sz w:val="22"/>
                <w:szCs w:val="22"/>
              </w:rPr>
              <w:t>18,692</w:t>
            </w:r>
            <w:r w:rsidR="00E24BED">
              <w:rPr>
                <w:rFonts w:ascii="Calibri" w:hAnsi="Calibri" w:cs="Times New Roman"/>
                <w:color w:val="000000"/>
                <w:sz w:val="22"/>
                <w:szCs w:val="22"/>
              </w:rPr>
              <w:t>)</w:t>
            </w:r>
            <w:r w:rsidRPr="00C41782">
              <w:rPr>
                <w:rFonts w:ascii="Calibri" w:hAnsi="Calibri" w:cs="Times New Roman"/>
                <w:color w:val="000000"/>
                <w:sz w:val="22"/>
                <w:szCs w:val="22"/>
              </w:rPr>
              <w:t xml:space="preserve"> </w:t>
            </w:r>
          </w:p>
        </w:tc>
        <w:tc>
          <w:tcPr>
            <w:tcW w:w="1223"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r w:rsidRPr="00C41782">
              <w:rPr>
                <w:rFonts w:ascii="Calibri" w:hAnsi="Calibri" w:cs="Times New Roman"/>
                <w:color w:val="000000"/>
                <w:sz w:val="22"/>
                <w:szCs w:val="22"/>
              </w:rPr>
              <w:t xml:space="preserve">                     -   </w:t>
            </w:r>
          </w:p>
        </w:tc>
        <w:tc>
          <w:tcPr>
            <w:tcW w:w="123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r w:rsidRPr="00C41782">
              <w:rPr>
                <w:rFonts w:ascii="Calibri" w:hAnsi="Calibri" w:cs="Times New Roman"/>
                <w:color w:val="000000"/>
                <w:sz w:val="22"/>
                <w:szCs w:val="22"/>
              </w:rPr>
              <w:t xml:space="preserve">              1,880 </w:t>
            </w:r>
          </w:p>
        </w:tc>
        <w:tc>
          <w:tcPr>
            <w:tcW w:w="1252"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r w:rsidRPr="00C41782">
              <w:rPr>
                <w:rFonts w:ascii="Calibri" w:hAnsi="Calibri" w:cs="Times New Roman"/>
                <w:color w:val="000000"/>
                <w:sz w:val="22"/>
                <w:szCs w:val="22"/>
              </w:rPr>
              <w:t xml:space="preserve">          </w:t>
            </w:r>
            <w:r w:rsidR="00E24BED">
              <w:rPr>
                <w:rFonts w:ascii="Calibri" w:hAnsi="Calibri" w:cs="Times New Roman"/>
                <w:color w:val="000000"/>
                <w:sz w:val="22"/>
                <w:szCs w:val="22"/>
              </w:rPr>
              <w:t>(</w:t>
            </w:r>
            <w:r w:rsidRPr="00C41782">
              <w:rPr>
                <w:rFonts w:ascii="Calibri" w:hAnsi="Calibri" w:cs="Times New Roman"/>
                <w:color w:val="000000"/>
                <w:sz w:val="22"/>
                <w:szCs w:val="22"/>
              </w:rPr>
              <w:t>27,101</w:t>
            </w:r>
            <w:r w:rsidR="00E24BED">
              <w:rPr>
                <w:rFonts w:ascii="Calibri" w:hAnsi="Calibri" w:cs="Times New Roman"/>
                <w:color w:val="000000"/>
                <w:sz w:val="22"/>
                <w:szCs w:val="22"/>
              </w:rPr>
              <w:t>)</w:t>
            </w:r>
            <w:r w:rsidRPr="00C41782">
              <w:rPr>
                <w:rFonts w:ascii="Calibri" w:hAnsi="Calibri" w:cs="Times New Roman"/>
                <w:color w:val="000000"/>
                <w:sz w:val="22"/>
                <w:szCs w:val="22"/>
              </w:rPr>
              <w:t xml:space="preserve"> </w:t>
            </w:r>
          </w:p>
        </w:tc>
        <w:tc>
          <w:tcPr>
            <w:tcW w:w="140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r w:rsidRPr="00C41782">
              <w:rPr>
                <w:rFonts w:ascii="Calibri" w:hAnsi="Calibri" w:cs="Times New Roman"/>
                <w:color w:val="000000"/>
                <w:sz w:val="22"/>
                <w:szCs w:val="22"/>
              </w:rPr>
              <w:t xml:space="preserve">             116,156 </w:t>
            </w:r>
          </w:p>
        </w:tc>
        <w:tc>
          <w:tcPr>
            <w:tcW w:w="123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r w:rsidRPr="00C41782">
              <w:rPr>
                <w:rFonts w:ascii="Calibri" w:hAnsi="Calibri" w:cs="Times New Roman"/>
                <w:color w:val="000000"/>
                <w:sz w:val="22"/>
                <w:szCs w:val="22"/>
              </w:rPr>
              <w:t xml:space="preserve">              2,425 </w:t>
            </w:r>
          </w:p>
        </w:tc>
        <w:tc>
          <w:tcPr>
            <w:tcW w:w="1432"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r w:rsidRPr="00C41782">
              <w:rPr>
                <w:rFonts w:ascii="Calibri" w:hAnsi="Calibri" w:cs="Times New Roman"/>
                <w:color w:val="000000"/>
                <w:sz w:val="22"/>
                <w:szCs w:val="22"/>
              </w:rPr>
              <w:t xml:space="preserve">                  9,101 </w:t>
            </w:r>
          </w:p>
        </w:tc>
        <w:tc>
          <w:tcPr>
            <w:tcW w:w="1244"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r w:rsidRPr="00C41782">
              <w:rPr>
                <w:rFonts w:ascii="Calibri" w:hAnsi="Calibri" w:cs="Times New Roman"/>
                <w:color w:val="000000"/>
                <w:sz w:val="22"/>
                <w:szCs w:val="22"/>
              </w:rPr>
              <w:t xml:space="preserve">            83,769 </w:t>
            </w:r>
          </w:p>
        </w:tc>
      </w:tr>
      <w:tr w:rsidR="00C41782" w:rsidRPr="00C41782" w:rsidTr="00DC56C0">
        <w:trPr>
          <w:trHeight w:val="300"/>
        </w:trPr>
        <w:tc>
          <w:tcPr>
            <w:tcW w:w="4440" w:type="dxa"/>
            <w:tcBorders>
              <w:top w:val="nil"/>
              <w:left w:val="nil"/>
              <w:bottom w:val="nil"/>
              <w:right w:val="nil"/>
            </w:tcBorders>
            <w:shd w:val="clear" w:color="auto" w:fill="auto"/>
            <w:vAlign w:val="bottom"/>
            <w:hideMark/>
          </w:tcPr>
          <w:p w:rsidR="00C41782" w:rsidRPr="00C41782" w:rsidRDefault="00C41782" w:rsidP="00C41782">
            <w:pPr>
              <w:rPr>
                <w:rFonts w:ascii="Calibri" w:hAnsi="Calibri" w:cs="Times New Roman"/>
                <w:color w:val="000000"/>
                <w:sz w:val="22"/>
                <w:szCs w:val="22"/>
              </w:rPr>
            </w:pPr>
          </w:p>
        </w:tc>
        <w:tc>
          <w:tcPr>
            <w:tcW w:w="1228"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23"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3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52"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40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3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432"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44"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r w:rsidRPr="00C41782">
              <w:rPr>
                <w:rFonts w:ascii="Calibri" w:hAnsi="Calibri" w:cs="Times New Roman"/>
                <w:color w:val="000000"/>
                <w:sz w:val="22"/>
                <w:szCs w:val="22"/>
              </w:rPr>
              <w:t xml:space="preserve">                     -   </w:t>
            </w:r>
          </w:p>
        </w:tc>
      </w:tr>
      <w:tr w:rsidR="00C41782" w:rsidRPr="00C41782" w:rsidTr="00DC56C0">
        <w:trPr>
          <w:trHeight w:val="600"/>
        </w:trPr>
        <w:tc>
          <w:tcPr>
            <w:tcW w:w="4440" w:type="dxa"/>
            <w:tcBorders>
              <w:top w:val="nil"/>
              <w:left w:val="nil"/>
              <w:bottom w:val="nil"/>
              <w:right w:val="nil"/>
            </w:tcBorders>
            <w:shd w:val="clear" w:color="auto" w:fill="auto"/>
            <w:vAlign w:val="bottom"/>
            <w:hideMark/>
          </w:tcPr>
          <w:p w:rsidR="00C41782" w:rsidRPr="00C41782" w:rsidRDefault="00C41782" w:rsidP="00C41782">
            <w:pPr>
              <w:rPr>
                <w:rFonts w:ascii="Calibri" w:hAnsi="Calibri" w:cs="Times New Roman"/>
                <w:b/>
                <w:bCs/>
                <w:color w:val="000000"/>
                <w:sz w:val="22"/>
                <w:szCs w:val="22"/>
              </w:rPr>
            </w:pPr>
            <w:r w:rsidRPr="00C41782">
              <w:rPr>
                <w:rFonts w:ascii="Calibri" w:hAnsi="Calibri" w:cs="Times New Roman"/>
                <w:b/>
                <w:bCs/>
                <w:color w:val="000000"/>
                <w:sz w:val="22"/>
                <w:szCs w:val="22"/>
              </w:rPr>
              <w:t>Net Increase/</w:t>
            </w:r>
            <w:r w:rsidR="00DD56EA">
              <w:rPr>
                <w:rFonts w:ascii="Calibri" w:hAnsi="Calibri" w:cs="Times New Roman"/>
                <w:b/>
                <w:bCs/>
                <w:color w:val="000000"/>
                <w:sz w:val="22"/>
                <w:szCs w:val="22"/>
              </w:rPr>
              <w:t>(</w:t>
            </w:r>
            <w:r w:rsidRPr="00C41782">
              <w:rPr>
                <w:rFonts w:ascii="Calibri" w:hAnsi="Calibri" w:cs="Times New Roman"/>
                <w:b/>
                <w:bCs/>
                <w:color w:val="000000"/>
                <w:sz w:val="22"/>
                <w:szCs w:val="22"/>
              </w:rPr>
              <w:t>Decrease</w:t>
            </w:r>
            <w:r w:rsidR="00DD56EA">
              <w:rPr>
                <w:rFonts w:ascii="Calibri" w:hAnsi="Calibri" w:cs="Times New Roman"/>
                <w:b/>
                <w:bCs/>
                <w:color w:val="000000"/>
                <w:sz w:val="22"/>
                <w:szCs w:val="22"/>
              </w:rPr>
              <w:t>)</w:t>
            </w:r>
            <w:r w:rsidRPr="00C41782">
              <w:rPr>
                <w:rFonts w:ascii="Calibri" w:hAnsi="Calibri" w:cs="Times New Roman"/>
                <w:b/>
                <w:bCs/>
                <w:color w:val="000000"/>
                <w:sz w:val="22"/>
                <w:szCs w:val="22"/>
              </w:rPr>
              <w:t xml:space="preserve"> before Transfers to Earmarked Reserves</w:t>
            </w:r>
          </w:p>
        </w:tc>
        <w:tc>
          <w:tcPr>
            <w:tcW w:w="1228"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b/>
                <w:bCs/>
                <w:color w:val="000000"/>
                <w:sz w:val="22"/>
                <w:szCs w:val="22"/>
              </w:rPr>
            </w:pPr>
            <w:r w:rsidRPr="00C41782">
              <w:rPr>
                <w:rFonts w:ascii="Calibri" w:hAnsi="Calibri" w:cs="Times New Roman"/>
                <w:b/>
                <w:bCs/>
                <w:color w:val="000000"/>
                <w:sz w:val="22"/>
                <w:szCs w:val="22"/>
              </w:rPr>
              <w:t xml:space="preserve">         100,366 </w:t>
            </w:r>
          </w:p>
        </w:tc>
        <w:tc>
          <w:tcPr>
            <w:tcW w:w="1223"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b/>
                <w:bCs/>
                <w:color w:val="000000"/>
                <w:sz w:val="22"/>
                <w:szCs w:val="22"/>
              </w:rPr>
            </w:pPr>
            <w:r w:rsidRPr="00C41782">
              <w:rPr>
                <w:rFonts w:ascii="Calibri" w:hAnsi="Calibri" w:cs="Times New Roman"/>
                <w:b/>
                <w:bCs/>
                <w:color w:val="000000"/>
                <w:sz w:val="22"/>
                <w:szCs w:val="22"/>
              </w:rPr>
              <w:t xml:space="preserve">                     -   </w:t>
            </w:r>
          </w:p>
        </w:tc>
        <w:tc>
          <w:tcPr>
            <w:tcW w:w="123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b/>
                <w:bCs/>
                <w:color w:val="000000"/>
                <w:sz w:val="22"/>
                <w:szCs w:val="22"/>
              </w:rPr>
            </w:pPr>
            <w:r w:rsidRPr="00C41782">
              <w:rPr>
                <w:rFonts w:ascii="Calibri" w:hAnsi="Calibri" w:cs="Times New Roman"/>
                <w:b/>
                <w:bCs/>
                <w:color w:val="000000"/>
                <w:sz w:val="22"/>
                <w:szCs w:val="22"/>
              </w:rPr>
              <w:t xml:space="preserve">              1,880 </w:t>
            </w:r>
          </w:p>
        </w:tc>
        <w:tc>
          <w:tcPr>
            <w:tcW w:w="1252"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b/>
                <w:bCs/>
                <w:color w:val="000000"/>
                <w:sz w:val="22"/>
                <w:szCs w:val="22"/>
              </w:rPr>
            </w:pPr>
            <w:r w:rsidRPr="00C41782">
              <w:rPr>
                <w:rFonts w:ascii="Calibri" w:hAnsi="Calibri" w:cs="Times New Roman"/>
                <w:b/>
                <w:bCs/>
                <w:color w:val="000000"/>
                <w:sz w:val="22"/>
                <w:szCs w:val="22"/>
              </w:rPr>
              <w:t xml:space="preserve">          </w:t>
            </w:r>
            <w:r w:rsidR="00E24BED">
              <w:rPr>
                <w:rFonts w:ascii="Calibri" w:hAnsi="Calibri" w:cs="Times New Roman"/>
                <w:b/>
                <w:bCs/>
                <w:color w:val="000000"/>
                <w:sz w:val="22"/>
                <w:szCs w:val="22"/>
              </w:rPr>
              <w:t>(</w:t>
            </w:r>
            <w:r w:rsidRPr="00C41782">
              <w:rPr>
                <w:rFonts w:ascii="Calibri" w:hAnsi="Calibri" w:cs="Times New Roman"/>
                <w:b/>
                <w:bCs/>
                <w:color w:val="000000"/>
                <w:sz w:val="22"/>
                <w:szCs w:val="22"/>
              </w:rPr>
              <w:t>27,101</w:t>
            </w:r>
            <w:r w:rsidR="00E24BED">
              <w:rPr>
                <w:rFonts w:ascii="Calibri" w:hAnsi="Calibri" w:cs="Times New Roman"/>
                <w:b/>
                <w:bCs/>
                <w:color w:val="000000"/>
                <w:sz w:val="22"/>
                <w:szCs w:val="22"/>
              </w:rPr>
              <w:t>)</w:t>
            </w:r>
            <w:r w:rsidRPr="00C41782">
              <w:rPr>
                <w:rFonts w:ascii="Calibri" w:hAnsi="Calibri" w:cs="Times New Roman"/>
                <w:b/>
                <w:bCs/>
                <w:color w:val="000000"/>
                <w:sz w:val="22"/>
                <w:szCs w:val="22"/>
              </w:rPr>
              <w:t xml:space="preserve"> </w:t>
            </w:r>
          </w:p>
        </w:tc>
        <w:tc>
          <w:tcPr>
            <w:tcW w:w="140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b/>
                <w:bCs/>
                <w:color w:val="000000"/>
                <w:sz w:val="22"/>
                <w:szCs w:val="22"/>
              </w:rPr>
            </w:pPr>
            <w:r w:rsidRPr="00C41782">
              <w:rPr>
                <w:rFonts w:ascii="Calibri" w:hAnsi="Calibri" w:cs="Times New Roman"/>
                <w:b/>
                <w:bCs/>
                <w:color w:val="000000"/>
                <w:sz w:val="22"/>
                <w:szCs w:val="22"/>
              </w:rPr>
              <w:t xml:space="preserve">             294,746 </w:t>
            </w:r>
          </w:p>
        </w:tc>
        <w:tc>
          <w:tcPr>
            <w:tcW w:w="123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b/>
                <w:bCs/>
                <w:color w:val="000000"/>
                <w:sz w:val="22"/>
                <w:szCs w:val="22"/>
              </w:rPr>
            </w:pPr>
            <w:r w:rsidRPr="00C41782">
              <w:rPr>
                <w:rFonts w:ascii="Calibri" w:hAnsi="Calibri" w:cs="Times New Roman"/>
                <w:b/>
                <w:bCs/>
                <w:color w:val="000000"/>
                <w:sz w:val="22"/>
                <w:szCs w:val="22"/>
              </w:rPr>
              <w:t xml:space="preserve">              2,425 </w:t>
            </w:r>
          </w:p>
        </w:tc>
        <w:tc>
          <w:tcPr>
            <w:tcW w:w="1432"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b/>
                <w:bCs/>
                <w:color w:val="000000"/>
                <w:sz w:val="22"/>
                <w:szCs w:val="22"/>
              </w:rPr>
            </w:pPr>
            <w:r w:rsidRPr="00C41782">
              <w:rPr>
                <w:rFonts w:ascii="Calibri" w:hAnsi="Calibri" w:cs="Times New Roman"/>
                <w:b/>
                <w:bCs/>
                <w:color w:val="000000"/>
                <w:sz w:val="22"/>
                <w:szCs w:val="22"/>
              </w:rPr>
              <w:t xml:space="preserve">                  9,101 </w:t>
            </w:r>
          </w:p>
        </w:tc>
        <w:tc>
          <w:tcPr>
            <w:tcW w:w="1244"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b/>
                <w:bCs/>
                <w:color w:val="000000"/>
                <w:sz w:val="22"/>
                <w:szCs w:val="22"/>
              </w:rPr>
            </w:pPr>
            <w:r w:rsidRPr="00C41782">
              <w:rPr>
                <w:rFonts w:ascii="Calibri" w:hAnsi="Calibri" w:cs="Times New Roman"/>
                <w:b/>
                <w:bCs/>
                <w:color w:val="000000"/>
                <w:sz w:val="22"/>
                <w:szCs w:val="22"/>
              </w:rPr>
              <w:t xml:space="preserve">         381,416 </w:t>
            </w:r>
          </w:p>
        </w:tc>
      </w:tr>
      <w:tr w:rsidR="00C41782" w:rsidRPr="00C41782" w:rsidTr="00DC56C0">
        <w:trPr>
          <w:trHeight w:val="300"/>
        </w:trPr>
        <w:tc>
          <w:tcPr>
            <w:tcW w:w="4440" w:type="dxa"/>
            <w:tcBorders>
              <w:top w:val="nil"/>
              <w:left w:val="nil"/>
              <w:bottom w:val="nil"/>
              <w:right w:val="nil"/>
            </w:tcBorders>
            <w:shd w:val="clear" w:color="auto" w:fill="auto"/>
            <w:noWrap/>
            <w:vAlign w:val="bottom"/>
            <w:hideMark/>
          </w:tcPr>
          <w:p w:rsidR="00C41782" w:rsidRPr="00C41782" w:rsidRDefault="00C41782" w:rsidP="00C41782">
            <w:pPr>
              <w:rPr>
                <w:rFonts w:ascii="Calibri" w:hAnsi="Calibri" w:cs="Times New Roman"/>
                <w:color w:val="000000"/>
                <w:sz w:val="22"/>
                <w:szCs w:val="22"/>
              </w:rPr>
            </w:pPr>
          </w:p>
        </w:tc>
        <w:tc>
          <w:tcPr>
            <w:tcW w:w="1228"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23"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3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52"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40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3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432"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44"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r w:rsidRPr="00C41782">
              <w:rPr>
                <w:rFonts w:ascii="Calibri" w:hAnsi="Calibri" w:cs="Times New Roman"/>
                <w:color w:val="000000"/>
                <w:sz w:val="22"/>
                <w:szCs w:val="22"/>
              </w:rPr>
              <w:t xml:space="preserve">                     -   </w:t>
            </w:r>
          </w:p>
        </w:tc>
      </w:tr>
      <w:tr w:rsidR="00C41782" w:rsidRPr="00C41782" w:rsidTr="00DC56C0">
        <w:trPr>
          <w:trHeight w:val="300"/>
        </w:trPr>
        <w:tc>
          <w:tcPr>
            <w:tcW w:w="4440" w:type="dxa"/>
            <w:tcBorders>
              <w:top w:val="nil"/>
              <w:left w:val="nil"/>
              <w:bottom w:val="nil"/>
              <w:right w:val="nil"/>
            </w:tcBorders>
            <w:shd w:val="clear" w:color="auto" w:fill="auto"/>
            <w:vAlign w:val="bottom"/>
            <w:hideMark/>
          </w:tcPr>
          <w:p w:rsidR="00C41782" w:rsidRPr="00C41782" w:rsidRDefault="00C41782" w:rsidP="00C41782">
            <w:pPr>
              <w:rPr>
                <w:rFonts w:ascii="Calibri" w:hAnsi="Calibri" w:cs="Times New Roman"/>
                <w:color w:val="000000"/>
                <w:sz w:val="22"/>
                <w:szCs w:val="22"/>
              </w:rPr>
            </w:pPr>
            <w:r w:rsidRPr="00C41782">
              <w:rPr>
                <w:rFonts w:ascii="Calibri" w:hAnsi="Calibri" w:cs="Times New Roman"/>
                <w:color w:val="000000"/>
                <w:sz w:val="22"/>
                <w:szCs w:val="22"/>
              </w:rPr>
              <w:t xml:space="preserve">Transfers to/from Earmarked Reserves </w:t>
            </w:r>
          </w:p>
        </w:tc>
        <w:tc>
          <w:tcPr>
            <w:tcW w:w="1228"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23" w:type="dxa"/>
            <w:tcBorders>
              <w:top w:val="nil"/>
              <w:left w:val="nil"/>
              <w:bottom w:val="nil"/>
              <w:right w:val="nil"/>
            </w:tcBorders>
            <w:shd w:val="clear" w:color="auto" w:fill="auto"/>
            <w:noWrap/>
            <w:vAlign w:val="bottom"/>
            <w:hideMark/>
          </w:tcPr>
          <w:p w:rsidR="00C41782" w:rsidRPr="00C41782" w:rsidRDefault="00DC56C0" w:rsidP="00DC56C0">
            <w:pPr>
              <w:jc w:val="right"/>
              <w:rPr>
                <w:rFonts w:ascii="Calibri" w:hAnsi="Calibri" w:cs="Times New Roman"/>
                <w:color w:val="000000"/>
                <w:sz w:val="22"/>
                <w:szCs w:val="22"/>
              </w:rPr>
            </w:pPr>
            <w:r>
              <w:rPr>
                <w:rFonts w:ascii="Calibri" w:hAnsi="Calibri" w:cs="Times New Roman"/>
                <w:color w:val="000000"/>
                <w:sz w:val="22"/>
                <w:szCs w:val="22"/>
              </w:rPr>
              <w:t>-</w:t>
            </w:r>
          </w:p>
        </w:tc>
        <w:tc>
          <w:tcPr>
            <w:tcW w:w="1237" w:type="dxa"/>
            <w:tcBorders>
              <w:top w:val="nil"/>
              <w:left w:val="nil"/>
              <w:bottom w:val="nil"/>
              <w:right w:val="nil"/>
            </w:tcBorders>
            <w:shd w:val="clear" w:color="auto" w:fill="auto"/>
            <w:noWrap/>
            <w:vAlign w:val="bottom"/>
            <w:hideMark/>
          </w:tcPr>
          <w:p w:rsidR="00C41782" w:rsidRPr="00C41782" w:rsidRDefault="00DC56C0" w:rsidP="00DC56C0">
            <w:pPr>
              <w:jc w:val="right"/>
              <w:rPr>
                <w:rFonts w:ascii="Calibri" w:hAnsi="Calibri" w:cs="Times New Roman"/>
                <w:color w:val="000000"/>
                <w:sz w:val="22"/>
                <w:szCs w:val="22"/>
              </w:rPr>
            </w:pPr>
            <w:r>
              <w:rPr>
                <w:rFonts w:ascii="Calibri" w:hAnsi="Calibri" w:cs="Times New Roman"/>
                <w:color w:val="000000"/>
                <w:sz w:val="22"/>
                <w:szCs w:val="22"/>
              </w:rPr>
              <w:t>-</w:t>
            </w:r>
          </w:p>
        </w:tc>
        <w:tc>
          <w:tcPr>
            <w:tcW w:w="1252" w:type="dxa"/>
            <w:tcBorders>
              <w:top w:val="nil"/>
              <w:left w:val="nil"/>
              <w:bottom w:val="nil"/>
              <w:right w:val="nil"/>
            </w:tcBorders>
            <w:shd w:val="clear" w:color="auto" w:fill="auto"/>
            <w:noWrap/>
            <w:vAlign w:val="bottom"/>
            <w:hideMark/>
          </w:tcPr>
          <w:p w:rsidR="00C41782" w:rsidRPr="00C41782" w:rsidRDefault="00DC56C0" w:rsidP="00DC56C0">
            <w:pPr>
              <w:jc w:val="right"/>
              <w:rPr>
                <w:rFonts w:ascii="Calibri" w:hAnsi="Calibri" w:cs="Times New Roman"/>
                <w:color w:val="000000"/>
                <w:sz w:val="22"/>
                <w:szCs w:val="22"/>
              </w:rPr>
            </w:pPr>
            <w:r>
              <w:rPr>
                <w:rFonts w:ascii="Calibri" w:hAnsi="Calibri" w:cs="Times New Roman"/>
                <w:color w:val="000000"/>
                <w:sz w:val="22"/>
                <w:szCs w:val="22"/>
              </w:rPr>
              <w:t>-</w:t>
            </w:r>
          </w:p>
        </w:tc>
        <w:tc>
          <w:tcPr>
            <w:tcW w:w="1407" w:type="dxa"/>
            <w:tcBorders>
              <w:top w:val="nil"/>
              <w:left w:val="nil"/>
              <w:bottom w:val="nil"/>
              <w:right w:val="nil"/>
            </w:tcBorders>
            <w:shd w:val="clear" w:color="auto" w:fill="auto"/>
            <w:noWrap/>
            <w:vAlign w:val="bottom"/>
            <w:hideMark/>
          </w:tcPr>
          <w:p w:rsidR="00C41782" w:rsidRPr="00C41782" w:rsidRDefault="00DC56C0" w:rsidP="00DC56C0">
            <w:pPr>
              <w:jc w:val="right"/>
              <w:rPr>
                <w:rFonts w:ascii="Calibri" w:hAnsi="Calibri" w:cs="Times New Roman"/>
                <w:color w:val="000000"/>
                <w:sz w:val="22"/>
                <w:szCs w:val="22"/>
              </w:rPr>
            </w:pPr>
            <w:r>
              <w:rPr>
                <w:rFonts w:ascii="Calibri" w:hAnsi="Calibri" w:cs="Times New Roman"/>
                <w:color w:val="000000"/>
                <w:sz w:val="22"/>
                <w:szCs w:val="22"/>
              </w:rPr>
              <w:t>-</w:t>
            </w:r>
          </w:p>
        </w:tc>
        <w:tc>
          <w:tcPr>
            <w:tcW w:w="1237" w:type="dxa"/>
            <w:tcBorders>
              <w:top w:val="nil"/>
              <w:left w:val="nil"/>
              <w:bottom w:val="nil"/>
              <w:right w:val="nil"/>
            </w:tcBorders>
            <w:shd w:val="clear" w:color="auto" w:fill="auto"/>
            <w:noWrap/>
            <w:vAlign w:val="bottom"/>
            <w:hideMark/>
          </w:tcPr>
          <w:p w:rsidR="00C41782" w:rsidRPr="00C41782" w:rsidRDefault="00DC56C0" w:rsidP="00DC56C0">
            <w:pPr>
              <w:jc w:val="right"/>
              <w:rPr>
                <w:rFonts w:ascii="Calibri" w:hAnsi="Calibri" w:cs="Times New Roman"/>
                <w:color w:val="000000"/>
                <w:sz w:val="22"/>
                <w:szCs w:val="22"/>
              </w:rPr>
            </w:pPr>
            <w:r>
              <w:rPr>
                <w:rFonts w:ascii="Calibri" w:hAnsi="Calibri" w:cs="Times New Roman"/>
                <w:color w:val="000000"/>
                <w:sz w:val="22"/>
                <w:szCs w:val="22"/>
              </w:rPr>
              <w:t>-</w:t>
            </w:r>
          </w:p>
        </w:tc>
        <w:tc>
          <w:tcPr>
            <w:tcW w:w="1432" w:type="dxa"/>
            <w:tcBorders>
              <w:top w:val="nil"/>
              <w:left w:val="nil"/>
              <w:bottom w:val="nil"/>
              <w:right w:val="nil"/>
            </w:tcBorders>
            <w:shd w:val="clear" w:color="auto" w:fill="auto"/>
            <w:noWrap/>
            <w:vAlign w:val="bottom"/>
            <w:hideMark/>
          </w:tcPr>
          <w:p w:rsidR="00C41782" w:rsidRPr="00C41782" w:rsidRDefault="00DC56C0" w:rsidP="00DC56C0">
            <w:pPr>
              <w:jc w:val="right"/>
              <w:rPr>
                <w:rFonts w:ascii="Calibri" w:hAnsi="Calibri" w:cs="Times New Roman"/>
                <w:color w:val="000000"/>
                <w:sz w:val="22"/>
                <w:szCs w:val="22"/>
              </w:rPr>
            </w:pPr>
            <w:r>
              <w:rPr>
                <w:rFonts w:ascii="Calibri" w:hAnsi="Calibri" w:cs="Times New Roman"/>
                <w:color w:val="000000"/>
                <w:sz w:val="22"/>
                <w:szCs w:val="22"/>
              </w:rPr>
              <w:t>-</w:t>
            </w:r>
          </w:p>
        </w:tc>
        <w:tc>
          <w:tcPr>
            <w:tcW w:w="1244"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r w:rsidRPr="00C41782">
              <w:rPr>
                <w:rFonts w:ascii="Calibri" w:hAnsi="Calibri" w:cs="Times New Roman"/>
                <w:color w:val="000000"/>
                <w:sz w:val="22"/>
                <w:szCs w:val="22"/>
              </w:rPr>
              <w:t xml:space="preserve">                     -   </w:t>
            </w:r>
          </w:p>
        </w:tc>
      </w:tr>
      <w:tr w:rsidR="00C41782" w:rsidRPr="00C41782" w:rsidTr="00DC56C0">
        <w:trPr>
          <w:trHeight w:val="300"/>
        </w:trPr>
        <w:tc>
          <w:tcPr>
            <w:tcW w:w="4440" w:type="dxa"/>
            <w:tcBorders>
              <w:top w:val="nil"/>
              <w:left w:val="nil"/>
              <w:bottom w:val="nil"/>
              <w:right w:val="nil"/>
            </w:tcBorders>
            <w:shd w:val="clear" w:color="auto" w:fill="auto"/>
            <w:vAlign w:val="bottom"/>
            <w:hideMark/>
          </w:tcPr>
          <w:p w:rsidR="00C41782" w:rsidRPr="00C41782" w:rsidRDefault="00C41782" w:rsidP="00C41782">
            <w:pPr>
              <w:rPr>
                <w:rFonts w:ascii="Calibri" w:hAnsi="Calibri" w:cs="Times New Roman"/>
                <w:color w:val="000000"/>
                <w:sz w:val="22"/>
                <w:szCs w:val="22"/>
              </w:rPr>
            </w:pPr>
          </w:p>
        </w:tc>
        <w:tc>
          <w:tcPr>
            <w:tcW w:w="1228"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23"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3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52"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40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3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432"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44"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r w:rsidRPr="00C41782">
              <w:rPr>
                <w:rFonts w:ascii="Calibri" w:hAnsi="Calibri" w:cs="Times New Roman"/>
                <w:color w:val="000000"/>
                <w:sz w:val="22"/>
                <w:szCs w:val="22"/>
              </w:rPr>
              <w:t xml:space="preserve">                     -   </w:t>
            </w:r>
          </w:p>
        </w:tc>
      </w:tr>
      <w:tr w:rsidR="00C41782" w:rsidRPr="00C41782" w:rsidTr="00DC56C0">
        <w:trPr>
          <w:trHeight w:val="300"/>
        </w:trPr>
        <w:tc>
          <w:tcPr>
            <w:tcW w:w="4440" w:type="dxa"/>
            <w:tcBorders>
              <w:top w:val="nil"/>
              <w:left w:val="nil"/>
              <w:bottom w:val="nil"/>
              <w:right w:val="nil"/>
            </w:tcBorders>
            <w:shd w:val="clear" w:color="auto" w:fill="auto"/>
            <w:vAlign w:val="bottom"/>
            <w:hideMark/>
          </w:tcPr>
          <w:p w:rsidR="00C41782" w:rsidRPr="00C41782" w:rsidRDefault="00C41782" w:rsidP="00C41782">
            <w:pPr>
              <w:rPr>
                <w:rFonts w:ascii="Calibri" w:hAnsi="Calibri" w:cs="Times New Roman"/>
                <w:sz w:val="22"/>
                <w:szCs w:val="22"/>
              </w:rPr>
            </w:pPr>
            <w:r w:rsidRPr="00C41782">
              <w:rPr>
                <w:rFonts w:ascii="Calibri" w:hAnsi="Calibri" w:cs="Times New Roman"/>
                <w:sz w:val="22"/>
                <w:szCs w:val="22"/>
              </w:rPr>
              <w:t>Other Movements</w:t>
            </w:r>
          </w:p>
        </w:tc>
        <w:tc>
          <w:tcPr>
            <w:tcW w:w="1228"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23"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r w:rsidRPr="00C41782">
              <w:rPr>
                <w:rFonts w:ascii="Calibri" w:hAnsi="Calibri" w:cs="Times New Roman"/>
                <w:color w:val="000000"/>
                <w:sz w:val="22"/>
                <w:szCs w:val="22"/>
              </w:rPr>
              <w:t xml:space="preserve">            </w:t>
            </w:r>
            <w:r w:rsidR="00E24BED">
              <w:rPr>
                <w:rFonts w:ascii="Calibri" w:hAnsi="Calibri" w:cs="Times New Roman"/>
                <w:color w:val="000000"/>
                <w:sz w:val="22"/>
                <w:szCs w:val="22"/>
              </w:rPr>
              <w:t>(</w:t>
            </w:r>
            <w:r w:rsidRPr="00C41782">
              <w:rPr>
                <w:rFonts w:ascii="Calibri" w:hAnsi="Calibri" w:cs="Times New Roman"/>
                <w:color w:val="000000"/>
                <w:sz w:val="22"/>
                <w:szCs w:val="22"/>
              </w:rPr>
              <w:t>7,160</w:t>
            </w:r>
            <w:r w:rsidR="00E24BED">
              <w:rPr>
                <w:rFonts w:ascii="Calibri" w:hAnsi="Calibri" w:cs="Times New Roman"/>
                <w:color w:val="000000"/>
                <w:sz w:val="22"/>
                <w:szCs w:val="22"/>
              </w:rPr>
              <w:t>)</w:t>
            </w:r>
            <w:r w:rsidRPr="00C41782">
              <w:rPr>
                <w:rFonts w:ascii="Calibri" w:hAnsi="Calibri" w:cs="Times New Roman"/>
                <w:color w:val="000000"/>
                <w:sz w:val="22"/>
                <w:szCs w:val="22"/>
              </w:rPr>
              <w:t xml:space="preserve"> </w:t>
            </w:r>
          </w:p>
        </w:tc>
        <w:tc>
          <w:tcPr>
            <w:tcW w:w="123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r w:rsidRPr="00C41782">
              <w:rPr>
                <w:rFonts w:ascii="Calibri" w:hAnsi="Calibri" w:cs="Times New Roman"/>
                <w:color w:val="000000"/>
                <w:sz w:val="22"/>
                <w:szCs w:val="22"/>
              </w:rPr>
              <w:t xml:space="preserve">            </w:t>
            </w:r>
            <w:r w:rsidR="00E24BED">
              <w:rPr>
                <w:rFonts w:ascii="Calibri" w:hAnsi="Calibri" w:cs="Times New Roman"/>
                <w:color w:val="000000"/>
                <w:sz w:val="22"/>
                <w:szCs w:val="22"/>
              </w:rPr>
              <w:t>(</w:t>
            </w:r>
            <w:r w:rsidRPr="00C41782">
              <w:rPr>
                <w:rFonts w:ascii="Calibri" w:hAnsi="Calibri" w:cs="Times New Roman"/>
                <w:color w:val="000000"/>
                <w:sz w:val="22"/>
                <w:szCs w:val="22"/>
              </w:rPr>
              <w:t>3,306</w:t>
            </w:r>
            <w:r w:rsidR="00E24BED">
              <w:rPr>
                <w:rFonts w:ascii="Calibri" w:hAnsi="Calibri" w:cs="Times New Roman"/>
                <w:color w:val="000000"/>
                <w:sz w:val="22"/>
                <w:szCs w:val="22"/>
              </w:rPr>
              <w:t>)</w:t>
            </w:r>
            <w:r w:rsidRPr="00C41782">
              <w:rPr>
                <w:rFonts w:ascii="Calibri" w:hAnsi="Calibri" w:cs="Times New Roman"/>
                <w:color w:val="000000"/>
                <w:sz w:val="22"/>
                <w:szCs w:val="22"/>
              </w:rPr>
              <w:t xml:space="preserve"> </w:t>
            </w:r>
          </w:p>
        </w:tc>
        <w:tc>
          <w:tcPr>
            <w:tcW w:w="1252"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r w:rsidRPr="00C41782">
              <w:rPr>
                <w:rFonts w:ascii="Calibri" w:hAnsi="Calibri" w:cs="Times New Roman"/>
                <w:color w:val="000000"/>
                <w:sz w:val="22"/>
                <w:szCs w:val="22"/>
              </w:rPr>
              <w:t xml:space="preserve">              1,396 </w:t>
            </w:r>
          </w:p>
        </w:tc>
        <w:tc>
          <w:tcPr>
            <w:tcW w:w="1407" w:type="dxa"/>
            <w:tcBorders>
              <w:top w:val="nil"/>
              <w:left w:val="nil"/>
              <w:bottom w:val="nil"/>
              <w:right w:val="nil"/>
            </w:tcBorders>
            <w:shd w:val="clear" w:color="auto" w:fill="auto"/>
            <w:noWrap/>
            <w:vAlign w:val="bottom"/>
            <w:hideMark/>
          </w:tcPr>
          <w:p w:rsidR="00C41782" w:rsidRPr="00C41782" w:rsidRDefault="00DC56C0" w:rsidP="00DC56C0">
            <w:pPr>
              <w:jc w:val="right"/>
              <w:rPr>
                <w:rFonts w:ascii="Calibri" w:hAnsi="Calibri" w:cs="Times New Roman"/>
                <w:color w:val="000000"/>
                <w:sz w:val="22"/>
                <w:szCs w:val="22"/>
              </w:rPr>
            </w:pPr>
            <w:r>
              <w:rPr>
                <w:rFonts w:ascii="Calibri" w:hAnsi="Calibri" w:cs="Times New Roman"/>
                <w:color w:val="000000"/>
                <w:sz w:val="22"/>
                <w:szCs w:val="22"/>
              </w:rPr>
              <w:t>-</w:t>
            </w:r>
          </w:p>
        </w:tc>
        <w:tc>
          <w:tcPr>
            <w:tcW w:w="1237" w:type="dxa"/>
            <w:tcBorders>
              <w:top w:val="nil"/>
              <w:left w:val="nil"/>
              <w:bottom w:val="nil"/>
              <w:right w:val="nil"/>
            </w:tcBorders>
            <w:shd w:val="clear" w:color="auto" w:fill="auto"/>
            <w:noWrap/>
            <w:vAlign w:val="bottom"/>
            <w:hideMark/>
          </w:tcPr>
          <w:p w:rsidR="00C41782" w:rsidRPr="00C41782" w:rsidRDefault="00DC56C0" w:rsidP="00DC56C0">
            <w:pPr>
              <w:jc w:val="right"/>
              <w:rPr>
                <w:rFonts w:ascii="Calibri" w:hAnsi="Calibri" w:cs="Times New Roman"/>
                <w:color w:val="000000"/>
                <w:sz w:val="22"/>
                <w:szCs w:val="22"/>
              </w:rPr>
            </w:pPr>
            <w:r>
              <w:rPr>
                <w:rFonts w:ascii="Calibri" w:hAnsi="Calibri" w:cs="Times New Roman"/>
                <w:color w:val="000000"/>
                <w:sz w:val="22"/>
                <w:szCs w:val="22"/>
              </w:rPr>
              <w:t>-</w:t>
            </w:r>
          </w:p>
        </w:tc>
        <w:tc>
          <w:tcPr>
            <w:tcW w:w="1432"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r w:rsidRPr="00C41782">
              <w:rPr>
                <w:rFonts w:ascii="Calibri" w:hAnsi="Calibri" w:cs="Times New Roman"/>
                <w:color w:val="000000"/>
                <w:sz w:val="22"/>
                <w:szCs w:val="22"/>
              </w:rPr>
              <w:t xml:space="preserve">                         -   </w:t>
            </w:r>
          </w:p>
        </w:tc>
        <w:tc>
          <w:tcPr>
            <w:tcW w:w="1244"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r w:rsidRPr="00C41782">
              <w:rPr>
                <w:rFonts w:ascii="Calibri" w:hAnsi="Calibri" w:cs="Times New Roman"/>
                <w:color w:val="000000"/>
                <w:sz w:val="22"/>
                <w:szCs w:val="22"/>
              </w:rPr>
              <w:t xml:space="preserve">            </w:t>
            </w:r>
            <w:r w:rsidR="00E24BED">
              <w:rPr>
                <w:rFonts w:ascii="Calibri" w:hAnsi="Calibri" w:cs="Times New Roman"/>
                <w:color w:val="000000"/>
                <w:sz w:val="22"/>
                <w:szCs w:val="22"/>
              </w:rPr>
              <w:t>(</w:t>
            </w:r>
            <w:r w:rsidRPr="00C41782">
              <w:rPr>
                <w:rFonts w:ascii="Calibri" w:hAnsi="Calibri" w:cs="Times New Roman"/>
                <w:color w:val="000000"/>
                <w:sz w:val="22"/>
                <w:szCs w:val="22"/>
              </w:rPr>
              <w:t>9,070</w:t>
            </w:r>
            <w:r w:rsidR="00E24BED">
              <w:rPr>
                <w:rFonts w:ascii="Calibri" w:hAnsi="Calibri" w:cs="Times New Roman"/>
                <w:color w:val="000000"/>
                <w:sz w:val="22"/>
                <w:szCs w:val="22"/>
              </w:rPr>
              <w:t>)</w:t>
            </w:r>
            <w:r w:rsidRPr="00C41782">
              <w:rPr>
                <w:rFonts w:ascii="Calibri" w:hAnsi="Calibri" w:cs="Times New Roman"/>
                <w:color w:val="000000"/>
                <w:sz w:val="22"/>
                <w:szCs w:val="22"/>
              </w:rPr>
              <w:t xml:space="preserve"> </w:t>
            </w:r>
          </w:p>
        </w:tc>
      </w:tr>
      <w:tr w:rsidR="00C41782" w:rsidRPr="00C41782" w:rsidTr="00DC56C0">
        <w:trPr>
          <w:trHeight w:val="300"/>
        </w:trPr>
        <w:tc>
          <w:tcPr>
            <w:tcW w:w="4440" w:type="dxa"/>
            <w:tcBorders>
              <w:top w:val="nil"/>
              <w:left w:val="nil"/>
              <w:bottom w:val="nil"/>
              <w:right w:val="nil"/>
            </w:tcBorders>
            <w:shd w:val="clear" w:color="auto" w:fill="auto"/>
            <w:noWrap/>
            <w:vAlign w:val="bottom"/>
            <w:hideMark/>
          </w:tcPr>
          <w:p w:rsidR="00C41782" w:rsidRPr="00C41782" w:rsidRDefault="00C41782" w:rsidP="00C41782">
            <w:pPr>
              <w:rPr>
                <w:rFonts w:ascii="Calibri" w:hAnsi="Calibri" w:cs="Times New Roman"/>
                <w:color w:val="000000"/>
                <w:sz w:val="22"/>
                <w:szCs w:val="22"/>
              </w:rPr>
            </w:pPr>
          </w:p>
        </w:tc>
        <w:tc>
          <w:tcPr>
            <w:tcW w:w="1228"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23"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3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52"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40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3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432"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44"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r w:rsidRPr="00C41782">
              <w:rPr>
                <w:rFonts w:ascii="Calibri" w:hAnsi="Calibri" w:cs="Times New Roman"/>
                <w:color w:val="000000"/>
                <w:sz w:val="22"/>
                <w:szCs w:val="22"/>
              </w:rPr>
              <w:t xml:space="preserve">                     -   </w:t>
            </w:r>
          </w:p>
        </w:tc>
      </w:tr>
      <w:tr w:rsidR="00C41782" w:rsidRPr="00C41782" w:rsidTr="00DC56C0">
        <w:trPr>
          <w:trHeight w:val="300"/>
        </w:trPr>
        <w:tc>
          <w:tcPr>
            <w:tcW w:w="4440" w:type="dxa"/>
            <w:tcBorders>
              <w:top w:val="nil"/>
              <w:left w:val="nil"/>
              <w:bottom w:val="nil"/>
              <w:right w:val="nil"/>
            </w:tcBorders>
            <w:shd w:val="clear" w:color="auto" w:fill="auto"/>
            <w:vAlign w:val="bottom"/>
            <w:hideMark/>
          </w:tcPr>
          <w:p w:rsidR="00C41782" w:rsidRPr="00C41782" w:rsidRDefault="00C41782" w:rsidP="00C41782">
            <w:pPr>
              <w:rPr>
                <w:rFonts w:ascii="Calibri" w:hAnsi="Calibri" w:cs="Times New Roman"/>
                <w:b/>
                <w:bCs/>
                <w:color w:val="000000"/>
                <w:sz w:val="22"/>
                <w:szCs w:val="22"/>
              </w:rPr>
            </w:pPr>
            <w:r w:rsidRPr="00C41782">
              <w:rPr>
                <w:rFonts w:ascii="Calibri" w:hAnsi="Calibri" w:cs="Times New Roman"/>
                <w:b/>
                <w:bCs/>
                <w:color w:val="000000"/>
                <w:sz w:val="22"/>
                <w:szCs w:val="22"/>
              </w:rPr>
              <w:t>Increase/</w:t>
            </w:r>
            <w:r w:rsidR="00DD56EA">
              <w:rPr>
                <w:rFonts w:ascii="Calibri" w:hAnsi="Calibri" w:cs="Times New Roman"/>
                <w:b/>
                <w:bCs/>
                <w:color w:val="000000"/>
                <w:sz w:val="22"/>
                <w:szCs w:val="22"/>
              </w:rPr>
              <w:t>(</w:t>
            </w:r>
            <w:r w:rsidRPr="00C41782">
              <w:rPr>
                <w:rFonts w:ascii="Calibri" w:hAnsi="Calibri" w:cs="Times New Roman"/>
                <w:b/>
                <w:bCs/>
                <w:color w:val="000000"/>
                <w:sz w:val="22"/>
                <w:szCs w:val="22"/>
              </w:rPr>
              <w:t>Decrease</w:t>
            </w:r>
            <w:r w:rsidR="00DD56EA">
              <w:rPr>
                <w:rFonts w:ascii="Calibri" w:hAnsi="Calibri" w:cs="Times New Roman"/>
                <w:b/>
                <w:bCs/>
                <w:color w:val="000000"/>
                <w:sz w:val="22"/>
                <w:szCs w:val="22"/>
              </w:rPr>
              <w:t>)</w:t>
            </w:r>
            <w:r w:rsidRPr="00C41782">
              <w:rPr>
                <w:rFonts w:ascii="Calibri" w:hAnsi="Calibri" w:cs="Times New Roman"/>
                <w:b/>
                <w:bCs/>
                <w:color w:val="000000"/>
                <w:sz w:val="22"/>
                <w:szCs w:val="22"/>
              </w:rPr>
              <w:t xml:space="preserve"> in Year</w:t>
            </w:r>
          </w:p>
        </w:tc>
        <w:tc>
          <w:tcPr>
            <w:tcW w:w="1228"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b/>
                <w:bCs/>
                <w:color w:val="000000"/>
                <w:sz w:val="22"/>
                <w:szCs w:val="22"/>
              </w:rPr>
            </w:pPr>
            <w:r w:rsidRPr="00C41782">
              <w:rPr>
                <w:rFonts w:ascii="Calibri" w:hAnsi="Calibri" w:cs="Times New Roman"/>
                <w:b/>
                <w:bCs/>
                <w:color w:val="000000"/>
                <w:sz w:val="22"/>
                <w:szCs w:val="22"/>
              </w:rPr>
              <w:t xml:space="preserve">         100,366 </w:t>
            </w:r>
          </w:p>
        </w:tc>
        <w:tc>
          <w:tcPr>
            <w:tcW w:w="1223"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b/>
                <w:bCs/>
                <w:color w:val="000000"/>
                <w:sz w:val="22"/>
                <w:szCs w:val="22"/>
              </w:rPr>
            </w:pPr>
            <w:r w:rsidRPr="00C41782">
              <w:rPr>
                <w:rFonts w:ascii="Calibri" w:hAnsi="Calibri" w:cs="Times New Roman"/>
                <w:b/>
                <w:bCs/>
                <w:color w:val="000000"/>
                <w:sz w:val="22"/>
                <w:szCs w:val="22"/>
              </w:rPr>
              <w:t xml:space="preserve">            </w:t>
            </w:r>
            <w:r w:rsidR="00E24BED">
              <w:rPr>
                <w:rFonts w:ascii="Calibri" w:hAnsi="Calibri" w:cs="Times New Roman"/>
                <w:b/>
                <w:bCs/>
                <w:color w:val="000000"/>
                <w:sz w:val="22"/>
                <w:szCs w:val="22"/>
              </w:rPr>
              <w:t>(</w:t>
            </w:r>
            <w:r w:rsidRPr="00C41782">
              <w:rPr>
                <w:rFonts w:ascii="Calibri" w:hAnsi="Calibri" w:cs="Times New Roman"/>
                <w:b/>
                <w:bCs/>
                <w:color w:val="000000"/>
                <w:sz w:val="22"/>
                <w:szCs w:val="22"/>
              </w:rPr>
              <w:t>7,160</w:t>
            </w:r>
            <w:r w:rsidR="00E24BED">
              <w:rPr>
                <w:rFonts w:ascii="Calibri" w:hAnsi="Calibri" w:cs="Times New Roman"/>
                <w:b/>
                <w:bCs/>
                <w:color w:val="000000"/>
                <w:sz w:val="22"/>
                <w:szCs w:val="22"/>
              </w:rPr>
              <w:t>)</w:t>
            </w:r>
            <w:r w:rsidRPr="00C41782">
              <w:rPr>
                <w:rFonts w:ascii="Calibri" w:hAnsi="Calibri" w:cs="Times New Roman"/>
                <w:b/>
                <w:bCs/>
                <w:color w:val="000000"/>
                <w:sz w:val="22"/>
                <w:szCs w:val="22"/>
              </w:rPr>
              <w:t xml:space="preserve"> </w:t>
            </w:r>
          </w:p>
        </w:tc>
        <w:tc>
          <w:tcPr>
            <w:tcW w:w="123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b/>
                <w:bCs/>
                <w:color w:val="000000"/>
                <w:sz w:val="22"/>
                <w:szCs w:val="22"/>
              </w:rPr>
            </w:pPr>
            <w:r w:rsidRPr="00C41782">
              <w:rPr>
                <w:rFonts w:ascii="Calibri" w:hAnsi="Calibri" w:cs="Times New Roman"/>
                <w:b/>
                <w:bCs/>
                <w:color w:val="000000"/>
                <w:sz w:val="22"/>
                <w:szCs w:val="22"/>
              </w:rPr>
              <w:t xml:space="preserve">            </w:t>
            </w:r>
            <w:r w:rsidR="00E24BED">
              <w:rPr>
                <w:rFonts w:ascii="Calibri" w:hAnsi="Calibri" w:cs="Times New Roman"/>
                <w:b/>
                <w:bCs/>
                <w:color w:val="000000"/>
                <w:sz w:val="22"/>
                <w:szCs w:val="22"/>
              </w:rPr>
              <w:t>(</w:t>
            </w:r>
            <w:r w:rsidRPr="00C41782">
              <w:rPr>
                <w:rFonts w:ascii="Calibri" w:hAnsi="Calibri" w:cs="Times New Roman"/>
                <w:b/>
                <w:bCs/>
                <w:color w:val="000000"/>
                <w:sz w:val="22"/>
                <w:szCs w:val="22"/>
              </w:rPr>
              <w:t>1,426</w:t>
            </w:r>
            <w:r w:rsidR="00E24BED">
              <w:rPr>
                <w:rFonts w:ascii="Calibri" w:hAnsi="Calibri" w:cs="Times New Roman"/>
                <w:b/>
                <w:bCs/>
                <w:color w:val="000000"/>
                <w:sz w:val="22"/>
                <w:szCs w:val="22"/>
              </w:rPr>
              <w:t>)</w:t>
            </w:r>
            <w:r w:rsidRPr="00C41782">
              <w:rPr>
                <w:rFonts w:ascii="Calibri" w:hAnsi="Calibri" w:cs="Times New Roman"/>
                <w:b/>
                <w:bCs/>
                <w:color w:val="000000"/>
                <w:sz w:val="22"/>
                <w:szCs w:val="22"/>
              </w:rPr>
              <w:t xml:space="preserve"> </w:t>
            </w:r>
          </w:p>
        </w:tc>
        <w:tc>
          <w:tcPr>
            <w:tcW w:w="1252"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b/>
                <w:bCs/>
                <w:color w:val="000000"/>
                <w:sz w:val="22"/>
                <w:szCs w:val="22"/>
              </w:rPr>
            </w:pPr>
            <w:r w:rsidRPr="00C41782">
              <w:rPr>
                <w:rFonts w:ascii="Calibri" w:hAnsi="Calibri" w:cs="Times New Roman"/>
                <w:b/>
                <w:bCs/>
                <w:color w:val="000000"/>
                <w:sz w:val="22"/>
                <w:szCs w:val="22"/>
              </w:rPr>
              <w:t xml:space="preserve">          </w:t>
            </w:r>
            <w:r w:rsidR="00E24BED">
              <w:rPr>
                <w:rFonts w:ascii="Calibri" w:hAnsi="Calibri" w:cs="Times New Roman"/>
                <w:b/>
                <w:bCs/>
                <w:color w:val="000000"/>
                <w:sz w:val="22"/>
                <w:szCs w:val="22"/>
              </w:rPr>
              <w:t>(</w:t>
            </w:r>
            <w:r w:rsidRPr="00C41782">
              <w:rPr>
                <w:rFonts w:ascii="Calibri" w:hAnsi="Calibri" w:cs="Times New Roman"/>
                <w:b/>
                <w:bCs/>
                <w:color w:val="000000"/>
                <w:sz w:val="22"/>
                <w:szCs w:val="22"/>
              </w:rPr>
              <w:t>25,705</w:t>
            </w:r>
            <w:r w:rsidR="00E24BED">
              <w:rPr>
                <w:rFonts w:ascii="Calibri" w:hAnsi="Calibri" w:cs="Times New Roman"/>
                <w:b/>
                <w:bCs/>
                <w:color w:val="000000"/>
                <w:sz w:val="22"/>
                <w:szCs w:val="22"/>
              </w:rPr>
              <w:t>)</w:t>
            </w:r>
            <w:r w:rsidRPr="00C41782">
              <w:rPr>
                <w:rFonts w:ascii="Calibri" w:hAnsi="Calibri" w:cs="Times New Roman"/>
                <w:b/>
                <w:bCs/>
                <w:color w:val="000000"/>
                <w:sz w:val="22"/>
                <w:szCs w:val="22"/>
              </w:rPr>
              <w:t xml:space="preserve"> </w:t>
            </w:r>
          </w:p>
        </w:tc>
        <w:tc>
          <w:tcPr>
            <w:tcW w:w="140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b/>
                <w:bCs/>
                <w:color w:val="000000"/>
                <w:sz w:val="22"/>
                <w:szCs w:val="22"/>
              </w:rPr>
            </w:pPr>
            <w:r w:rsidRPr="00C41782">
              <w:rPr>
                <w:rFonts w:ascii="Calibri" w:hAnsi="Calibri" w:cs="Times New Roman"/>
                <w:b/>
                <w:bCs/>
                <w:color w:val="000000"/>
                <w:sz w:val="22"/>
                <w:szCs w:val="22"/>
              </w:rPr>
              <w:t xml:space="preserve">             294,746 </w:t>
            </w:r>
          </w:p>
        </w:tc>
        <w:tc>
          <w:tcPr>
            <w:tcW w:w="123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b/>
                <w:bCs/>
                <w:color w:val="000000"/>
                <w:sz w:val="22"/>
                <w:szCs w:val="22"/>
              </w:rPr>
            </w:pPr>
            <w:r w:rsidRPr="00C41782">
              <w:rPr>
                <w:rFonts w:ascii="Calibri" w:hAnsi="Calibri" w:cs="Times New Roman"/>
                <w:b/>
                <w:bCs/>
                <w:color w:val="000000"/>
                <w:sz w:val="22"/>
                <w:szCs w:val="22"/>
              </w:rPr>
              <w:t xml:space="preserve">              2,425 </w:t>
            </w:r>
          </w:p>
        </w:tc>
        <w:tc>
          <w:tcPr>
            <w:tcW w:w="1432"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b/>
                <w:bCs/>
                <w:color w:val="000000"/>
                <w:sz w:val="22"/>
                <w:szCs w:val="22"/>
              </w:rPr>
            </w:pPr>
            <w:r w:rsidRPr="00C41782">
              <w:rPr>
                <w:rFonts w:ascii="Calibri" w:hAnsi="Calibri" w:cs="Times New Roman"/>
                <w:b/>
                <w:bCs/>
                <w:color w:val="000000"/>
                <w:sz w:val="22"/>
                <w:szCs w:val="22"/>
              </w:rPr>
              <w:t xml:space="preserve">                  9,101 </w:t>
            </w:r>
          </w:p>
        </w:tc>
        <w:tc>
          <w:tcPr>
            <w:tcW w:w="1244"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b/>
                <w:bCs/>
                <w:color w:val="000000"/>
                <w:sz w:val="22"/>
                <w:szCs w:val="22"/>
              </w:rPr>
            </w:pPr>
            <w:r w:rsidRPr="00C41782">
              <w:rPr>
                <w:rFonts w:ascii="Calibri" w:hAnsi="Calibri" w:cs="Times New Roman"/>
                <w:b/>
                <w:bCs/>
                <w:color w:val="000000"/>
                <w:sz w:val="22"/>
                <w:szCs w:val="22"/>
              </w:rPr>
              <w:t xml:space="preserve">         372,346 </w:t>
            </w:r>
          </w:p>
        </w:tc>
      </w:tr>
      <w:tr w:rsidR="00C41782" w:rsidRPr="00C41782" w:rsidTr="00DC56C0">
        <w:trPr>
          <w:trHeight w:val="300"/>
        </w:trPr>
        <w:tc>
          <w:tcPr>
            <w:tcW w:w="4440" w:type="dxa"/>
            <w:tcBorders>
              <w:top w:val="nil"/>
              <w:left w:val="nil"/>
              <w:bottom w:val="nil"/>
              <w:right w:val="nil"/>
            </w:tcBorders>
            <w:shd w:val="clear" w:color="auto" w:fill="auto"/>
            <w:vAlign w:val="bottom"/>
            <w:hideMark/>
          </w:tcPr>
          <w:p w:rsidR="00C41782" w:rsidRPr="00C41782" w:rsidRDefault="00C41782" w:rsidP="00C41782">
            <w:pPr>
              <w:rPr>
                <w:rFonts w:ascii="Calibri" w:hAnsi="Calibri" w:cs="Times New Roman"/>
                <w:b/>
                <w:bCs/>
                <w:color w:val="000000"/>
                <w:sz w:val="22"/>
                <w:szCs w:val="22"/>
              </w:rPr>
            </w:pPr>
          </w:p>
        </w:tc>
        <w:tc>
          <w:tcPr>
            <w:tcW w:w="1228"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23"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3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52"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40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3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432"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c>
          <w:tcPr>
            <w:tcW w:w="1244"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color w:val="000000"/>
                <w:sz w:val="22"/>
                <w:szCs w:val="22"/>
              </w:rPr>
            </w:pPr>
          </w:p>
        </w:tc>
      </w:tr>
      <w:tr w:rsidR="00C41782" w:rsidRPr="00C41782" w:rsidTr="00DC56C0">
        <w:trPr>
          <w:trHeight w:val="300"/>
        </w:trPr>
        <w:tc>
          <w:tcPr>
            <w:tcW w:w="4440" w:type="dxa"/>
            <w:tcBorders>
              <w:top w:val="nil"/>
              <w:left w:val="nil"/>
              <w:bottom w:val="nil"/>
              <w:right w:val="nil"/>
            </w:tcBorders>
            <w:shd w:val="clear" w:color="auto" w:fill="auto"/>
            <w:vAlign w:val="bottom"/>
            <w:hideMark/>
          </w:tcPr>
          <w:p w:rsidR="00C41782" w:rsidRPr="00C41782" w:rsidRDefault="00C41782" w:rsidP="00C41782">
            <w:pPr>
              <w:rPr>
                <w:rFonts w:ascii="Calibri" w:hAnsi="Calibri" w:cs="Times New Roman"/>
                <w:b/>
                <w:bCs/>
                <w:color w:val="000000"/>
                <w:sz w:val="22"/>
                <w:szCs w:val="22"/>
              </w:rPr>
            </w:pPr>
            <w:r w:rsidRPr="00C41782">
              <w:rPr>
                <w:rFonts w:ascii="Calibri" w:hAnsi="Calibri" w:cs="Times New Roman"/>
                <w:b/>
                <w:bCs/>
                <w:color w:val="000000"/>
                <w:sz w:val="22"/>
                <w:szCs w:val="22"/>
              </w:rPr>
              <w:t>Balance at 31 March 2011 Carried Forward</w:t>
            </w:r>
          </w:p>
        </w:tc>
        <w:tc>
          <w:tcPr>
            <w:tcW w:w="1228" w:type="dxa"/>
            <w:tcBorders>
              <w:top w:val="nil"/>
              <w:left w:val="nil"/>
              <w:bottom w:val="nil"/>
              <w:right w:val="nil"/>
            </w:tcBorders>
            <w:shd w:val="clear" w:color="000000" w:fill="FFFFFF"/>
            <w:noWrap/>
            <w:vAlign w:val="bottom"/>
            <w:hideMark/>
          </w:tcPr>
          <w:p w:rsidR="00C41782" w:rsidRPr="00C41782" w:rsidRDefault="00C41782" w:rsidP="00DC56C0">
            <w:pPr>
              <w:jc w:val="right"/>
              <w:rPr>
                <w:rFonts w:ascii="Calibri" w:hAnsi="Calibri" w:cs="Times New Roman"/>
                <w:b/>
                <w:bCs/>
                <w:color w:val="000000"/>
                <w:sz w:val="22"/>
                <w:szCs w:val="22"/>
              </w:rPr>
            </w:pPr>
            <w:r w:rsidRPr="00C41782">
              <w:rPr>
                <w:rFonts w:ascii="Calibri" w:hAnsi="Calibri" w:cs="Times New Roman"/>
                <w:b/>
                <w:bCs/>
                <w:color w:val="000000"/>
                <w:sz w:val="22"/>
                <w:szCs w:val="22"/>
              </w:rPr>
              <w:t xml:space="preserve">         769,550 </w:t>
            </w:r>
          </w:p>
        </w:tc>
        <w:tc>
          <w:tcPr>
            <w:tcW w:w="1223"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b/>
                <w:bCs/>
                <w:color w:val="000000"/>
                <w:sz w:val="22"/>
                <w:szCs w:val="22"/>
              </w:rPr>
            </w:pPr>
            <w:r w:rsidRPr="00C41782">
              <w:rPr>
                <w:rFonts w:ascii="Calibri" w:hAnsi="Calibri" w:cs="Times New Roman"/>
                <w:b/>
                <w:bCs/>
                <w:color w:val="000000"/>
                <w:sz w:val="22"/>
                <w:szCs w:val="22"/>
              </w:rPr>
              <w:t xml:space="preserve">-            </w:t>
            </w:r>
            <w:r w:rsidR="00E24BED">
              <w:rPr>
                <w:rFonts w:ascii="Calibri" w:hAnsi="Calibri" w:cs="Times New Roman"/>
                <w:b/>
                <w:bCs/>
                <w:color w:val="000000"/>
                <w:sz w:val="22"/>
                <w:szCs w:val="22"/>
              </w:rPr>
              <w:t>(</w:t>
            </w:r>
            <w:r w:rsidRPr="00C41782">
              <w:rPr>
                <w:rFonts w:ascii="Calibri" w:hAnsi="Calibri" w:cs="Times New Roman"/>
                <w:b/>
                <w:bCs/>
                <w:color w:val="000000"/>
                <w:sz w:val="22"/>
                <w:szCs w:val="22"/>
              </w:rPr>
              <w:t>7,160</w:t>
            </w:r>
            <w:r w:rsidR="00E24BED">
              <w:rPr>
                <w:rFonts w:ascii="Calibri" w:hAnsi="Calibri" w:cs="Times New Roman"/>
                <w:b/>
                <w:bCs/>
                <w:color w:val="000000"/>
                <w:sz w:val="22"/>
                <w:szCs w:val="22"/>
              </w:rPr>
              <w:t>)</w:t>
            </w:r>
            <w:r w:rsidRPr="00C41782">
              <w:rPr>
                <w:rFonts w:ascii="Calibri" w:hAnsi="Calibri" w:cs="Times New Roman"/>
                <w:b/>
                <w:bCs/>
                <w:color w:val="000000"/>
                <w:sz w:val="22"/>
                <w:szCs w:val="22"/>
              </w:rPr>
              <w:t xml:space="preserve"> </w:t>
            </w:r>
          </w:p>
        </w:tc>
        <w:tc>
          <w:tcPr>
            <w:tcW w:w="123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b/>
                <w:bCs/>
                <w:color w:val="000000"/>
                <w:sz w:val="22"/>
                <w:szCs w:val="22"/>
              </w:rPr>
            </w:pPr>
            <w:r w:rsidRPr="00C41782">
              <w:rPr>
                <w:rFonts w:ascii="Calibri" w:hAnsi="Calibri" w:cs="Times New Roman"/>
                <w:b/>
                <w:bCs/>
                <w:color w:val="000000"/>
                <w:sz w:val="22"/>
                <w:szCs w:val="22"/>
              </w:rPr>
              <w:t xml:space="preserve">         861,965 </w:t>
            </w:r>
          </w:p>
        </w:tc>
        <w:tc>
          <w:tcPr>
            <w:tcW w:w="1252"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b/>
                <w:bCs/>
                <w:color w:val="000000"/>
                <w:sz w:val="22"/>
                <w:szCs w:val="22"/>
              </w:rPr>
            </w:pPr>
            <w:r w:rsidRPr="00C41782">
              <w:rPr>
                <w:rFonts w:ascii="Calibri" w:hAnsi="Calibri" w:cs="Times New Roman"/>
                <w:b/>
                <w:bCs/>
                <w:color w:val="000000"/>
                <w:sz w:val="22"/>
                <w:szCs w:val="22"/>
              </w:rPr>
              <w:t xml:space="preserve">          </w:t>
            </w:r>
            <w:r w:rsidR="00E24BED">
              <w:rPr>
                <w:rFonts w:ascii="Calibri" w:hAnsi="Calibri" w:cs="Times New Roman"/>
                <w:b/>
                <w:bCs/>
                <w:color w:val="000000"/>
                <w:sz w:val="22"/>
                <w:szCs w:val="22"/>
              </w:rPr>
              <w:t>(</w:t>
            </w:r>
            <w:r w:rsidRPr="00C41782">
              <w:rPr>
                <w:rFonts w:ascii="Calibri" w:hAnsi="Calibri" w:cs="Times New Roman"/>
                <w:b/>
                <w:bCs/>
                <w:color w:val="000000"/>
                <w:sz w:val="22"/>
                <w:szCs w:val="22"/>
              </w:rPr>
              <w:t>25,622</w:t>
            </w:r>
            <w:r w:rsidR="00E24BED">
              <w:rPr>
                <w:rFonts w:ascii="Calibri" w:hAnsi="Calibri" w:cs="Times New Roman"/>
                <w:b/>
                <w:bCs/>
                <w:color w:val="000000"/>
                <w:sz w:val="22"/>
                <w:szCs w:val="22"/>
              </w:rPr>
              <w:t>)</w:t>
            </w:r>
            <w:r w:rsidRPr="00C41782">
              <w:rPr>
                <w:rFonts w:ascii="Calibri" w:hAnsi="Calibri" w:cs="Times New Roman"/>
                <w:b/>
                <w:bCs/>
                <w:color w:val="000000"/>
                <w:sz w:val="22"/>
                <w:szCs w:val="22"/>
              </w:rPr>
              <w:t xml:space="preserve"> </w:t>
            </w:r>
          </w:p>
        </w:tc>
        <w:tc>
          <w:tcPr>
            <w:tcW w:w="140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b/>
                <w:bCs/>
                <w:color w:val="000000"/>
                <w:sz w:val="22"/>
                <w:szCs w:val="22"/>
              </w:rPr>
            </w:pPr>
            <w:r w:rsidRPr="00C41782">
              <w:rPr>
                <w:rFonts w:ascii="Calibri" w:hAnsi="Calibri" w:cs="Times New Roman"/>
                <w:b/>
                <w:bCs/>
                <w:color w:val="000000"/>
                <w:sz w:val="22"/>
                <w:szCs w:val="22"/>
              </w:rPr>
              <w:t xml:space="preserve">           </w:t>
            </w:r>
            <w:r w:rsidR="00E24BED">
              <w:rPr>
                <w:rFonts w:ascii="Calibri" w:hAnsi="Calibri" w:cs="Times New Roman"/>
                <w:b/>
                <w:bCs/>
                <w:color w:val="000000"/>
                <w:sz w:val="22"/>
                <w:szCs w:val="22"/>
              </w:rPr>
              <w:t>(</w:t>
            </w:r>
            <w:r w:rsidRPr="00C41782">
              <w:rPr>
                <w:rFonts w:ascii="Calibri" w:hAnsi="Calibri" w:cs="Times New Roman"/>
                <w:b/>
                <w:bCs/>
                <w:color w:val="000000"/>
                <w:sz w:val="22"/>
                <w:szCs w:val="22"/>
              </w:rPr>
              <w:t>765,212</w:t>
            </w:r>
            <w:r w:rsidR="00E24BED">
              <w:rPr>
                <w:rFonts w:ascii="Calibri" w:hAnsi="Calibri" w:cs="Times New Roman"/>
                <w:b/>
                <w:bCs/>
                <w:color w:val="000000"/>
                <w:sz w:val="22"/>
                <w:szCs w:val="22"/>
              </w:rPr>
              <w:t>)</w:t>
            </w:r>
            <w:r w:rsidRPr="00C41782">
              <w:rPr>
                <w:rFonts w:ascii="Calibri" w:hAnsi="Calibri" w:cs="Times New Roman"/>
                <w:b/>
                <w:bCs/>
                <w:color w:val="000000"/>
                <w:sz w:val="22"/>
                <w:szCs w:val="22"/>
              </w:rPr>
              <w:t xml:space="preserve"> </w:t>
            </w:r>
          </w:p>
        </w:tc>
        <w:tc>
          <w:tcPr>
            <w:tcW w:w="1237"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b/>
                <w:bCs/>
                <w:color w:val="000000"/>
                <w:sz w:val="22"/>
                <w:szCs w:val="22"/>
              </w:rPr>
            </w:pPr>
            <w:r w:rsidRPr="00C41782">
              <w:rPr>
                <w:rFonts w:ascii="Calibri" w:hAnsi="Calibri" w:cs="Times New Roman"/>
                <w:b/>
                <w:bCs/>
                <w:color w:val="000000"/>
                <w:sz w:val="22"/>
                <w:szCs w:val="22"/>
              </w:rPr>
              <w:t xml:space="preserve">              1,170 </w:t>
            </w:r>
          </w:p>
        </w:tc>
        <w:tc>
          <w:tcPr>
            <w:tcW w:w="1432"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b/>
                <w:bCs/>
                <w:color w:val="000000"/>
                <w:sz w:val="22"/>
                <w:szCs w:val="22"/>
              </w:rPr>
            </w:pPr>
            <w:r w:rsidRPr="00C41782">
              <w:rPr>
                <w:rFonts w:ascii="Calibri" w:hAnsi="Calibri" w:cs="Times New Roman"/>
                <w:b/>
                <w:bCs/>
                <w:color w:val="000000"/>
                <w:sz w:val="22"/>
                <w:szCs w:val="22"/>
              </w:rPr>
              <w:t xml:space="preserve">              </w:t>
            </w:r>
            <w:r w:rsidR="00E24BED">
              <w:rPr>
                <w:rFonts w:ascii="Calibri" w:hAnsi="Calibri" w:cs="Times New Roman"/>
                <w:b/>
                <w:bCs/>
                <w:color w:val="000000"/>
                <w:sz w:val="22"/>
                <w:szCs w:val="22"/>
              </w:rPr>
              <w:t>(</w:t>
            </w:r>
            <w:r w:rsidRPr="00C41782">
              <w:rPr>
                <w:rFonts w:ascii="Calibri" w:hAnsi="Calibri" w:cs="Times New Roman"/>
                <w:b/>
                <w:bCs/>
                <w:color w:val="000000"/>
                <w:sz w:val="22"/>
                <w:szCs w:val="22"/>
              </w:rPr>
              <w:t>37,890</w:t>
            </w:r>
            <w:r w:rsidR="00E24BED">
              <w:rPr>
                <w:rFonts w:ascii="Calibri" w:hAnsi="Calibri" w:cs="Times New Roman"/>
                <w:b/>
                <w:bCs/>
                <w:color w:val="000000"/>
                <w:sz w:val="22"/>
                <w:szCs w:val="22"/>
              </w:rPr>
              <w:t>)</w:t>
            </w:r>
            <w:r w:rsidRPr="00C41782">
              <w:rPr>
                <w:rFonts w:ascii="Calibri" w:hAnsi="Calibri" w:cs="Times New Roman"/>
                <w:b/>
                <w:bCs/>
                <w:color w:val="000000"/>
                <w:sz w:val="22"/>
                <w:szCs w:val="22"/>
              </w:rPr>
              <w:t xml:space="preserve"> </w:t>
            </w:r>
          </w:p>
        </w:tc>
        <w:tc>
          <w:tcPr>
            <w:tcW w:w="1244" w:type="dxa"/>
            <w:tcBorders>
              <w:top w:val="nil"/>
              <w:left w:val="nil"/>
              <w:bottom w:val="nil"/>
              <w:right w:val="nil"/>
            </w:tcBorders>
            <w:shd w:val="clear" w:color="auto" w:fill="auto"/>
            <w:noWrap/>
            <w:vAlign w:val="bottom"/>
            <w:hideMark/>
          </w:tcPr>
          <w:p w:rsidR="00C41782" w:rsidRPr="00C41782" w:rsidRDefault="00C41782" w:rsidP="00DC56C0">
            <w:pPr>
              <w:jc w:val="right"/>
              <w:rPr>
                <w:rFonts w:ascii="Calibri" w:hAnsi="Calibri" w:cs="Times New Roman"/>
                <w:b/>
                <w:bCs/>
                <w:color w:val="000000"/>
                <w:sz w:val="22"/>
                <w:szCs w:val="22"/>
              </w:rPr>
            </w:pPr>
            <w:r w:rsidRPr="00C41782">
              <w:rPr>
                <w:rFonts w:ascii="Calibri" w:hAnsi="Calibri" w:cs="Times New Roman"/>
                <w:b/>
                <w:bCs/>
                <w:color w:val="000000"/>
                <w:sz w:val="22"/>
                <w:szCs w:val="22"/>
              </w:rPr>
              <w:t xml:space="preserve">         796,800 </w:t>
            </w:r>
          </w:p>
        </w:tc>
      </w:tr>
    </w:tbl>
    <w:p w:rsidR="00450F4F" w:rsidRPr="007B67EA" w:rsidRDefault="00450F4F" w:rsidP="00450F4F">
      <w:pPr>
        <w:spacing w:after="240"/>
        <w:ind w:left="720"/>
        <w:rPr>
          <w:b/>
        </w:rPr>
      </w:pPr>
    </w:p>
    <w:p w:rsidR="00C3664D" w:rsidRPr="00EC1907" w:rsidRDefault="004F4C38" w:rsidP="00BD07E4">
      <w:pPr>
        <w:numPr>
          <w:ilvl w:val="0"/>
          <w:numId w:val="21"/>
        </w:numPr>
        <w:spacing w:after="240"/>
        <w:rPr>
          <w:b/>
        </w:rPr>
      </w:pPr>
      <w:r w:rsidRPr="00286C0E">
        <w:rPr>
          <w:b/>
          <w:highlight w:val="yellow"/>
        </w:rPr>
        <w:br w:type="page"/>
      </w:r>
      <w:r w:rsidR="00C3664D" w:rsidRPr="00EC1907">
        <w:rPr>
          <w:b/>
        </w:rPr>
        <w:lastRenderedPageBreak/>
        <w:t>Adjustments between Funding Basis and Regulation</w:t>
      </w:r>
    </w:p>
    <w:p w:rsidR="00C3664D" w:rsidRPr="00EC1907" w:rsidRDefault="00C3664D" w:rsidP="00C3664D">
      <w:pPr>
        <w:spacing w:after="240"/>
        <w:jc w:val="both"/>
      </w:pPr>
      <w:r w:rsidRPr="00EC1907">
        <w:t>This note details the adjustments that are made to the total comprehensive income and expenditure recognised by the authority in the year in accordance with proper accounting practice to the resources that are specified by statutory provisions as being available to the authority to meet future capital and revenue expenditure.</w:t>
      </w:r>
    </w:p>
    <w:p w:rsidR="00C3664D" w:rsidRPr="00EC1907" w:rsidRDefault="00913FE3" w:rsidP="00C3664D">
      <w:pPr>
        <w:spacing w:after="240"/>
        <w:jc w:val="both"/>
        <w:rPr>
          <w:b/>
          <w:u w:val="single"/>
        </w:rPr>
      </w:pPr>
      <w:r w:rsidRPr="00EC1907">
        <w:rPr>
          <w:b/>
          <w:u w:val="single"/>
        </w:rPr>
        <w:t>2011</w:t>
      </w:r>
      <w:r w:rsidR="00C3664D" w:rsidRPr="00EC1907">
        <w:rPr>
          <w:b/>
          <w:u w:val="single"/>
        </w:rPr>
        <w:t>/1</w:t>
      </w:r>
      <w:r w:rsidRPr="00EC1907">
        <w:rPr>
          <w:b/>
          <w:u w:val="single"/>
        </w:rPr>
        <w:t>2</w:t>
      </w:r>
      <w:r w:rsidR="00C3664D" w:rsidRPr="00EC1907">
        <w:rPr>
          <w:b/>
          <w:u w:val="single"/>
        </w:rPr>
        <w:t xml:space="preserve"> Adjustments</w:t>
      </w:r>
    </w:p>
    <w:tbl>
      <w:tblPr>
        <w:tblW w:w="15540" w:type="dxa"/>
        <w:tblInd w:w="108" w:type="dxa"/>
        <w:tblLook w:val="04A0"/>
      </w:tblPr>
      <w:tblGrid>
        <w:gridCol w:w="6208"/>
        <w:gridCol w:w="1160"/>
        <w:gridCol w:w="1520"/>
        <w:gridCol w:w="1480"/>
        <w:gridCol w:w="1360"/>
        <w:gridCol w:w="1420"/>
        <w:gridCol w:w="1380"/>
        <w:gridCol w:w="1012"/>
      </w:tblGrid>
      <w:tr w:rsidR="0043660E" w:rsidRPr="0043660E" w:rsidTr="00580DC5">
        <w:trPr>
          <w:trHeight w:val="315"/>
        </w:trPr>
        <w:tc>
          <w:tcPr>
            <w:tcW w:w="6208" w:type="dxa"/>
            <w:tcBorders>
              <w:top w:val="nil"/>
              <w:left w:val="nil"/>
              <w:bottom w:val="nil"/>
              <w:right w:val="nil"/>
            </w:tcBorders>
            <w:shd w:val="clear" w:color="auto" w:fill="auto"/>
            <w:vAlign w:val="bottom"/>
            <w:hideMark/>
          </w:tcPr>
          <w:p w:rsidR="0043660E" w:rsidRPr="0043660E" w:rsidRDefault="0043660E" w:rsidP="0043660E"/>
        </w:tc>
        <w:tc>
          <w:tcPr>
            <w:tcW w:w="41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60E" w:rsidRPr="0043660E" w:rsidRDefault="0043660E" w:rsidP="0043660E">
            <w:pPr>
              <w:jc w:val="center"/>
              <w:rPr>
                <w:b/>
                <w:bCs/>
              </w:rPr>
            </w:pPr>
            <w:r w:rsidRPr="0043660E">
              <w:rPr>
                <w:b/>
                <w:bCs/>
              </w:rPr>
              <w:t>Useable Reserves £000</w:t>
            </w:r>
          </w:p>
        </w:tc>
        <w:tc>
          <w:tcPr>
            <w:tcW w:w="517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3660E" w:rsidRPr="0043660E" w:rsidRDefault="0043660E" w:rsidP="0043660E">
            <w:pPr>
              <w:jc w:val="center"/>
              <w:rPr>
                <w:b/>
                <w:bCs/>
              </w:rPr>
            </w:pPr>
            <w:r w:rsidRPr="0043660E">
              <w:rPr>
                <w:b/>
                <w:bCs/>
              </w:rPr>
              <w:t>Unusable Reserves £000</w:t>
            </w:r>
          </w:p>
        </w:tc>
      </w:tr>
      <w:tr w:rsidR="0043660E" w:rsidRPr="0043660E" w:rsidTr="00580DC5">
        <w:trPr>
          <w:trHeight w:val="1200"/>
        </w:trPr>
        <w:tc>
          <w:tcPr>
            <w:tcW w:w="6208" w:type="dxa"/>
            <w:tcBorders>
              <w:top w:val="nil"/>
              <w:left w:val="nil"/>
              <w:bottom w:val="nil"/>
              <w:right w:val="nil"/>
            </w:tcBorders>
            <w:shd w:val="clear" w:color="auto" w:fill="auto"/>
            <w:vAlign w:val="bottom"/>
            <w:hideMark/>
          </w:tcPr>
          <w:p w:rsidR="0043660E" w:rsidRPr="0043660E" w:rsidRDefault="0043660E" w:rsidP="0043660E">
            <w:pPr>
              <w:rPr>
                <w:rFonts w:ascii="Calibri" w:hAnsi="Calibri"/>
                <w:sz w:val="22"/>
                <w:szCs w:val="22"/>
              </w:rPr>
            </w:pPr>
          </w:p>
        </w:tc>
        <w:tc>
          <w:tcPr>
            <w:tcW w:w="1160" w:type="dxa"/>
            <w:tcBorders>
              <w:top w:val="nil"/>
              <w:left w:val="single" w:sz="4" w:space="0" w:color="auto"/>
              <w:bottom w:val="nil"/>
              <w:right w:val="single" w:sz="4" w:space="0" w:color="auto"/>
            </w:tcBorders>
            <w:shd w:val="clear" w:color="auto" w:fill="auto"/>
            <w:vAlign w:val="center"/>
            <w:hideMark/>
          </w:tcPr>
          <w:p w:rsidR="0043660E" w:rsidRPr="0043660E" w:rsidRDefault="0043660E" w:rsidP="0043660E">
            <w:pPr>
              <w:jc w:val="center"/>
              <w:rPr>
                <w:rFonts w:ascii="Calibri" w:hAnsi="Calibri"/>
                <w:sz w:val="22"/>
                <w:szCs w:val="22"/>
              </w:rPr>
            </w:pPr>
            <w:r w:rsidRPr="0043660E">
              <w:rPr>
                <w:rFonts w:ascii="Calibri" w:hAnsi="Calibri"/>
                <w:sz w:val="22"/>
                <w:szCs w:val="22"/>
              </w:rPr>
              <w:t>General Fund</w:t>
            </w:r>
          </w:p>
        </w:tc>
        <w:tc>
          <w:tcPr>
            <w:tcW w:w="1520" w:type="dxa"/>
            <w:tcBorders>
              <w:top w:val="nil"/>
              <w:left w:val="nil"/>
              <w:bottom w:val="nil"/>
              <w:right w:val="single" w:sz="4" w:space="0" w:color="auto"/>
            </w:tcBorders>
            <w:shd w:val="clear" w:color="auto" w:fill="auto"/>
            <w:vAlign w:val="center"/>
            <w:hideMark/>
          </w:tcPr>
          <w:p w:rsidR="0043660E" w:rsidRPr="0043660E" w:rsidRDefault="0043660E" w:rsidP="0043660E">
            <w:pPr>
              <w:jc w:val="center"/>
              <w:rPr>
                <w:rFonts w:ascii="Calibri" w:hAnsi="Calibri"/>
                <w:sz w:val="22"/>
                <w:szCs w:val="22"/>
              </w:rPr>
            </w:pPr>
            <w:r w:rsidRPr="0043660E">
              <w:rPr>
                <w:rFonts w:ascii="Calibri" w:hAnsi="Calibri"/>
                <w:sz w:val="22"/>
                <w:szCs w:val="22"/>
              </w:rPr>
              <w:t>Useable Capital Receipts</w:t>
            </w:r>
          </w:p>
        </w:tc>
        <w:tc>
          <w:tcPr>
            <w:tcW w:w="1480" w:type="dxa"/>
            <w:tcBorders>
              <w:top w:val="nil"/>
              <w:left w:val="nil"/>
              <w:bottom w:val="nil"/>
              <w:right w:val="single" w:sz="4" w:space="0" w:color="auto"/>
            </w:tcBorders>
            <w:shd w:val="clear" w:color="auto" w:fill="auto"/>
            <w:vAlign w:val="center"/>
            <w:hideMark/>
          </w:tcPr>
          <w:p w:rsidR="0043660E" w:rsidRPr="0043660E" w:rsidRDefault="0043660E" w:rsidP="0043660E">
            <w:pPr>
              <w:jc w:val="center"/>
              <w:rPr>
                <w:rFonts w:ascii="Calibri" w:hAnsi="Calibri"/>
                <w:sz w:val="22"/>
                <w:szCs w:val="22"/>
              </w:rPr>
            </w:pPr>
            <w:r w:rsidRPr="0043660E">
              <w:rPr>
                <w:rFonts w:ascii="Calibri" w:hAnsi="Calibri"/>
                <w:sz w:val="22"/>
                <w:szCs w:val="22"/>
              </w:rPr>
              <w:t>Capital Grants Unapplied</w:t>
            </w:r>
          </w:p>
        </w:tc>
        <w:tc>
          <w:tcPr>
            <w:tcW w:w="1360" w:type="dxa"/>
            <w:tcBorders>
              <w:top w:val="nil"/>
              <w:left w:val="nil"/>
              <w:bottom w:val="single" w:sz="4" w:space="0" w:color="auto"/>
              <w:right w:val="single" w:sz="4" w:space="0" w:color="auto"/>
            </w:tcBorders>
            <w:shd w:val="clear" w:color="auto" w:fill="auto"/>
            <w:vAlign w:val="center"/>
            <w:hideMark/>
          </w:tcPr>
          <w:p w:rsidR="0043660E" w:rsidRPr="0043660E" w:rsidRDefault="0043660E" w:rsidP="0043660E">
            <w:pPr>
              <w:jc w:val="center"/>
              <w:rPr>
                <w:rFonts w:ascii="Calibri" w:hAnsi="Calibri"/>
                <w:sz w:val="22"/>
                <w:szCs w:val="22"/>
              </w:rPr>
            </w:pPr>
            <w:r w:rsidRPr="0043660E">
              <w:rPr>
                <w:rFonts w:ascii="Calibri" w:hAnsi="Calibri"/>
                <w:sz w:val="22"/>
                <w:szCs w:val="22"/>
              </w:rPr>
              <w:t>Capital Adjustment Account</w:t>
            </w:r>
          </w:p>
        </w:tc>
        <w:tc>
          <w:tcPr>
            <w:tcW w:w="1420" w:type="dxa"/>
            <w:tcBorders>
              <w:top w:val="nil"/>
              <w:left w:val="nil"/>
              <w:bottom w:val="single" w:sz="4" w:space="0" w:color="auto"/>
              <w:right w:val="single" w:sz="4" w:space="0" w:color="auto"/>
            </w:tcBorders>
            <w:shd w:val="clear" w:color="auto" w:fill="auto"/>
            <w:vAlign w:val="center"/>
            <w:hideMark/>
          </w:tcPr>
          <w:p w:rsidR="0043660E" w:rsidRPr="0043660E" w:rsidRDefault="0043660E" w:rsidP="0043660E">
            <w:pPr>
              <w:jc w:val="center"/>
              <w:rPr>
                <w:rFonts w:ascii="Calibri" w:hAnsi="Calibri"/>
                <w:sz w:val="22"/>
                <w:szCs w:val="22"/>
              </w:rPr>
            </w:pPr>
            <w:r w:rsidRPr="0043660E">
              <w:rPr>
                <w:rFonts w:ascii="Calibri" w:hAnsi="Calibri"/>
                <w:sz w:val="22"/>
                <w:szCs w:val="22"/>
              </w:rPr>
              <w:t>Financial Instruments Adjustment Account</w:t>
            </w:r>
          </w:p>
        </w:tc>
        <w:tc>
          <w:tcPr>
            <w:tcW w:w="1380" w:type="dxa"/>
            <w:tcBorders>
              <w:top w:val="nil"/>
              <w:left w:val="nil"/>
              <w:bottom w:val="single" w:sz="4" w:space="0" w:color="auto"/>
              <w:right w:val="nil"/>
            </w:tcBorders>
            <w:shd w:val="clear" w:color="auto" w:fill="auto"/>
            <w:vAlign w:val="center"/>
            <w:hideMark/>
          </w:tcPr>
          <w:p w:rsidR="0043660E" w:rsidRPr="0043660E" w:rsidRDefault="0043660E" w:rsidP="0043660E">
            <w:pPr>
              <w:jc w:val="center"/>
              <w:rPr>
                <w:rFonts w:ascii="Calibri" w:hAnsi="Calibri"/>
                <w:sz w:val="22"/>
                <w:szCs w:val="22"/>
              </w:rPr>
            </w:pPr>
            <w:r w:rsidRPr="0043660E">
              <w:rPr>
                <w:rFonts w:ascii="Calibri" w:hAnsi="Calibri"/>
                <w:sz w:val="22"/>
                <w:szCs w:val="22"/>
              </w:rPr>
              <w:t>Pensions Reserves</w:t>
            </w:r>
          </w:p>
        </w:tc>
        <w:tc>
          <w:tcPr>
            <w:tcW w:w="1012" w:type="dxa"/>
            <w:tcBorders>
              <w:top w:val="nil"/>
              <w:left w:val="single" w:sz="4" w:space="0" w:color="auto"/>
              <w:bottom w:val="nil"/>
              <w:right w:val="single" w:sz="4" w:space="0" w:color="auto"/>
            </w:tcBorders>
            <w:shd w:val="clear" w:color="auto" w:fill="auto"/>
            <w:vAlign w:val="center"/>
            <w:hideMark/>
          </w:tcPr>
          <w:p w:rsidR="0043660E" w:rsidRPr="0043660E" w:rsidRDefault="0043660E" w:rsidP="0043660E">
            <w:pPr>
              <w:jc w:val="center"/>
              <w:rPr>
                <w:rFonts w:ascii="Calibri" w:hAnsi="Calibri"/>
                <w:sz w:val="22"/>
                <w:szCs w:val="22"/>
              </w:rPr>
            </w:pPr>
            <w:r w:rsidRPr="0043660E">
              <w:rPr>
                <w:rFonts w:ascii="Calibri" w:hAnsi="Calibri"/>
                <w:sz w:val="22"/>
                <w:szCs w:val="22"/>
              </w:rPr>
              <w:t>Other Reserves</w:t>
            </w:r>
          </w:p>
        </w:tc>
      </w:tr>
      <w:tr w:rsidR="0043660E" w:rsidRPr="0043660E" w:rsidTr="00580DC5">
        <w:trPr>
          <w:trHeight w:val="525"/>
        </w:trPr>
        <w:tc>
          <w:tcPr>
            <w:tcW w:w="6208" w:type="dxa"/>
            <w:tcBorders>
              <w:top w:val="nil"/>
              <w:left w:val="nil"/>
              <w:bottom w:val="nil"/>
              <w:right w:val="nil"/>
            </w:tcBorders>
            <w:shd w:val="clear" w:color="000000" w:fill="C0C0C0"/>
            <w:vAlign w:val="bottom"/>
            <w:hideMark/>
          </w:tcPr>
          <w:p w:rsidR="0043660E" w:rsidRPr="0043660E" w:rsidRDefault="0043660E" w:rsidP="0043660E">
            <w:pPr>
              <w:rPr>
                <w:rFonts w:ascii="Calibri" w:hAnsi="Calibri"/>
                <w:i/>
                <w:iCs/>
                <w:sz w:val="20"/>
                <w:szCs w:val="20"/>
              </w:rPr>
            </w:pPr>
            <w:r w:rsidRPr="0043660E">
              <w:rPr>
                <w:rFonts w:ascii="Calibri" w:hAnsi="Calibri"/>
                <w:i/>
                <w:iCs/>
                <w:sz w:val="20"/>
                <w:szCs w:val="20"/>
              </w:rPr>
              <w:t>Adjustments between accounting basis &amp; funding basis under regulations-Analysis</w:t>
            </w:r>
          </w:p>
        </w:tc>
        <w:tc>
          <w:tcPr>
            <w:tcW w:w="1160" w:type="dxa"/>
            <w:tcBorders>
              <w:top w:val="nil"/>
              <w:left w:val="single" w:sz="4" w:space="0" w:color="auto"/>
              <w:bottom w:val="nil"/>
              <w:right w:val="single" w:sz="4" w:space="0" w:color="auto"/>
            </w:tcBorders>
            <w:shd w:val="clear" w:color="auto" w:fill="auto"/>
            <w:noWrap/>
            <w:vAlign w:val="bottom"/>
            <w:hideMark/>
          </w:tcPr>
          <w:p w:rsidR="0043660E" w:rsidRPr="0043660E" w:rsidRDefault="0043660E" w:rsidP="0043660E">
            <w:pPr>
              <w:rPr>
                <w:rFonts w:ascii="Calibri" w:hAnsi="Calibri"/>
              </w:rPr>
            </w:pPr>
            <w:r w:rsidRPr="0043660E">
              <w:rPr>
                <w:rFonts w:ascii="Calibri" w:hAnsi="Calibri"/>
              </w:rPr>
              <w:t> </w:t>
            </w:r>
          </w:p>
        </w:tc>
        <w:tc>
          <w:tcPr>
            <w:tcW w:w="1520" w:type="dxa"/>
            <w:tcBorders>
              <w:top w:val="nil"/>
              <w:left w:val="nil"/>
              <w:bottom w:val="nil"/>
              <w:right w:val="single" w:sz="4" w:space="0" w:color="auto"/>
            </w:tcBorders>
            <w:shd w:val="clear" w:color="auto" w:fill="auto"/>
            <w:noWrap/>
            <w:vAlign w:val="bottom"/>
            <w:hideMark/>
          </w:tcPr>
          <w:p w:rsidR="0043660E" w:rsidRPr="0043660E" w:rsidRDefault="0043660E" w:rsidP="0043660E">
            <w:pPr>
              <w:rPr>
                <w:rFonts w:ascii="Calibri" w:hAnsi="Calibri"/>
              </w:rPr>
            </w:pPr>
            <w:r w:rsidRPr="0043660E">
              <w:rPr>
                <w:rFonts w:ascii="Calibri" w:hAnsi="Calibri"/>
              </w:rPr>
              <w:t> </w:t>
            </w:r>
          </w:p>
        </w:tc>
        <w:tc>
          <w:tcPr>
            <w:tcW w:w="1480" w:type="dxa"/>
            <w:tcBorders>
              <w:top w:val="nil"/>
              <w:left w:val="nil"/>
              <w:bottom w:val="nil"/>
              <w:right w:val="single" w:sz="4" w:space="0" w:color="auto"/>
            </w:tcBorders>
            <w:shd w:val="clear" w:color="auto" w:fill="auto"/>
            <w:noWrap/>
            <w:vAlign w:val="bottom"/>
            <w:hideMark/>
          </w:tcPr>
          <w:p w:rsidR="0043660E" w:rsidRPr="0043660E" w:rsidRDefault="0043660E" w:rsidP="0043660E">
            <w:pPr>
              <w:rPr>
                <w:rFonts w:ascii="Calibri" w:hAnsi="Calibri"/>
              </w:rPr>
            </w:pPr>
            <w:r w:rsidRPr="0043660E">
              <w:rPr>
                <w:rFonts w:ascii="Calibri" w:hAnsi="Calibri"/>
              </w:rPr>
              <w:t> </w:t>
            </w:r>
          </w:p>
        </w:tc>
        <w:tc>
          <w:tcPr>
            <w:tcW w:w="1360" w:type="dxa"/>
            <w:tcBorders>
              <w:top w:val="nil"/>
              <w:left w:val="nil"/>
              <w:bottom w:val="nil"/>
              <w:right w:val="single" w:sz="4" w:space="0" w:color="auto"/>
            </w:tcBorders>
            <w:shd w:val="clear" w:color="auto" w:fill="auto"/>
            <w:noWrap/>
            <w:vAlign w:val="bottom"/>
            <w:hideMark/>
          </w:tcPr>
          <w:p w:rsidR="0043660E" w:rsidRPr="0043660E" w:rsidRDefault="0043660E" w:rsidP="0043660E">
            <w:pPr>
              <w:rPr>
                <w:rFonts w:ascii="Calibri" w:hAnsi="Calibri"/>
              </w:rPr>
            </w:pPr>
            <w:r w:rsidRPr="0043660E">
              <w:rPr>
                <w:rFonts w:ascii="Calibri" w:hAnsi="Calibri"/>
              </w:rPr>
              <w:t> </w:t>
            </w:r>
          </w:p>
        </w:tc>
        <w:tc>
          <w:tcPr>
            <w:tcW w:w="1420" w:type="dxa"/>
            <w:tcBorders>
              <w:top w:val="nil"/>
              <w:left w:val="nil"/>
              <w:bottom w:val="nil"/>
              <w:right w:val="single" w:sz="4" w:space="0" w:color="auto"/>
            </w:tcBorders>
            <w:shd w:val="clear" w:color="auto" w:fill="auto"/>
            <w:noWrap/>
            <w:vAlign w:val="bottom"/>
            <w:hideMark/>
          </w:tcPr>
          <w:p w:rsidR="0043660E" w:rsidRPr="0043660E" w:rsidRDefault="0043660E" w:rsidP="0043660E">
            <w:pPr>
              <w:rPr>
                <w:rFonts w:ascii="Calibri" w:hAnsi="Calibri"/>
              </w:rPr>
            </w:pPr>
            <w:r w:rsidRPr="0043660E">
              <w:rPr>
                <w:rFonts w:ascii="Calibri" w:hAnsi="Calibri"/>
              </w:rPr>
              <w:t> </w:t>
            </w:r>
          </w:p>
        </w:tc>
        <w:tc>
          <w:tcPr>
            <w:tcW w:w="1380" w:type="dxa"/>
            <w:tcBorders>
              <w:top w:val="nil"/>
              <w:left w:val="nil"/>
              <w:bottom w:val="nil"/>
              <w:right w:val="nil"/>
            </w:tcBorders>
            <w:shd w:val="clear" w:color="auto" w:fill="auto"/>
            <w:noWrap/>
            <w:vAlign w:val="bottom"/>
            <w:hideMark/>
          </w:tcPr>
          <w:p w:rsidR="0043660E" w:rsidRPr="0043660E" w:rsidRDefault="0043660E" w:rsidP="0043660E">
            <w:pPr>
              <w:rPr>
                <w:rFonts w:ascii="Calibri" w:hAnsi="Calibri"/>
              </w:rPr>
            </w:pPr>
            <w:r w:rsidRPr="0043660E">
              <w:rPr>
                <w:rFonts w:ascii="Calibri" w:hAnsi="Calibri"/>
              </w:rPr>
              <w:t> </w:t>
            </w:r>
          </w:p>
        </w:tc>
        <w:tc>
          <w:tcPr>
            <w:tcW w:w="1012" w:type="dxa"/>
            <w:tcBorders>
              <w:top w:val="nil"/>
              <w:left w:val="single" w:sz="4" w:space="0" w:color="auto"/>
              <w:bottom w:val="nil"/>
              <w:right w:val="single" w:sz="4" w:space="0" w:color="auto"/>
            </w:tcBorders>
            <w:shd w:val="clear" w:color="auto" w:fill="auto"/>
            <w:noWrap/>
            <w:vAlign w:val="bottom"/>
            <w:hideMark/>
          </w:tcPr>
          <w:p w:rsidR="0043660E" w:rsidRPr="0043660E" w:rsidRDefault="0043660E" w:rsidP="0043660E">
            <w:r w:rsidRPr="0043660E">
              <w:t> </w:t>
            </w:r>
          </w:p>
        </w:tc>
      </w:tr>
      <w:tr w:rsidR="0043660E" w:rsidRPr="0043660E" w:rsidTr="00580DC5">
        <w:trPr>
          <w:trHeight w:val="315"/>
        </w:trPr>
        <w:tc>
          <w:tcPr>
            <w:tcW w:w="6208" w:type="dxa"/>
            <w:tcBorders>
              <w:top w:val="nil"/>
              <w:left w:val="nil"/>
              <w:bottom w:val="nil"/>
              <w:right w:val="nil"/>
            </w:tcBorders>
            <w:shd w:val="clear" w:color="000000" w:fill="CCFFCC"/>
            <w:vAlign w:val="bottom"/>
            <w:hideMark/>
          </w:tcPr>
          <w:p w:rsidR="0043660E" w:rsidRPr="0043660E" w:rsidRDefault="0043660E" w:rsidP="0043660E">
            <w:pPr>
              <w:rPr>
                <w:rFonts w:ascii="Calibri" w:hAnsi="Calibri"/>
                <w:b/>
                <w:bCs/>
                <w:sz w:val="20"/>
                <w:szCs w:val="20"/>
              </w:rPr>
            </w:pPr>
            <w:r w:rsidRPr="0043660E">
              <w:rPr>
                <w:rFonts w:ascii="Calibri" w:hAnsi="Calibri"/>
                <w:b/>
                <w:bCs/>
                <w:sz w:val="20"/>
                <w:szCs w:val="20"/>
              </w:rPr>
              <w:t>Adjustments involving the Capital Adjustment Account</w:t>
            </w:r>
          </w:p>
        </w:tc>
        <w:tc>
          <w:tcPr>
            <w:tcW w:w="1160" w:type="dxa"/>
            <w:tcBorders>
              <w:top w:val="nil"/>
              <w:left w:val="single" w:sz="4" w:space="0" w:color="auto"/>
              <w:bottom w:val="nil"/>
              <w:right w:val="single" w:sz="4" w:space="0" w:color="auto"/>
            </w:tcBorders>
            <w:shd w:val="clear" w:color="auto" w:fill="auto"/>
            <w:noWrap/>
            <w:vAlign w:val="bottom"/>
            <w:hideMark/>
          </w:tcPr>
          <w:p w:rsidR="0043660E" w:rsidRPr="0043660E" w:rsidRDefault="0043660E" w:rsidP="0043660E">
            <w:pPr>
              <w:rPr>
                <w:rFonts w:ascii="Calibri" w:hAnsi="Calibri"/>
              </w:rPr>
            </w:pPr>
            <w:r w:rsidRPr="0043660E">
              <w:rPr>
                <w:rFonts w:ascii="Calibri" w:hAnsi="Calibri"/>
              </w:rPr>
              <w:t> </w:t>
            </w:r>
          </w:p>
        </w:tc>
        <w:tc>
          <w:tcPr>
            <w:tcW w:w="1520" w:type="dxa"/>
            <w:tcBorders>
              <w:top w:val="nil"/>
              <w:left w:val="nil"/>
              <w:bottom w:val="nil"/>
              <w:right w:val="single" w:sz="4" w:space="0" w:color="auto"/>
            </w:tcBorders>
            <w:shd w:val="clear" w:color="auto" w:fill="auto"/>
            <w:noWrap/>
            <w:vAlign w:val="bottom"/>
            <w:hideMark/>
          </w:tcPr>
          <w:p w:rsidR="0043660E" w:rsidRPr="0043660E" w:rsidRDefault="0043660E" w:rsidP="0043660E">
            <w:pPr>
              <w:rPr>
                <w:rFonts w:ascii="Calibri" w:hAnsi="Calibri"/>
              </w:rPr>
            </w:pPr>
            <w:r w:rsidRPr="0043660E">
              <w:rPr>
                <w:rFonts w:ascii="Calibri" w:hAnsi="Calibri"/>
              </w:rPr>
              <w:t> </w:t>
            </w:r>
          </w:p>
        </w:tc>
        <w:tc>
          <w:tcPr>
            <w:tcW w:w="1480" w:type="dxa"/>
            <w:tcBorders>
              <w:top w:val="nil"/>
              <w:left w:val="nil"/>
              <w:bottom w:val="nil"/>
              <w:right w:val="single" w:sz="4" w:space="0" w:color="auto"/>
            </w:tcBorders>
            <w:shd w:val="clear" w:color="auto" w:fill="auto"/>
            <w:noWrap/>
            <w:vAlign w:val="bottom"/>
            <w:hideMark/>
          </w:tcPr>
          <w:p w:rsidR="0043660E" w:rsidRPr="0043660E" w:rsidRDefault="0043660E" w:rsidP="0043660E">
            <w:pPr>
              <w:rPr>
                <w:rFonts w:ascii="Calibri" w:hAnsi="Calibri"/>
              </w:rPr>
            </w:pPr>
            <w:r w:rsidRPr="0043660E">
              <w:rPr>
                <w:rFonts w:ascii="Calibri" w:hAnsi="Calibri"/>
              </w:rPr>
              <w:t> </w:t>
            </w:r>
          </w:p>
        </w:tc>
        <w:tc>
          <w:tcPr>
            <w:tcW w:w="1360" w:type="dxa"/>
            <w:tcBorders>
              <w:top w:val="nil"/>
              <w:left w:val="nil"/>
              <w:bottom w:val="nil"/>
              <w:right w:val="single" w:sz="4" w:space="0" w:color="auto"/>
            </w:tcBorders>
            <w:shd w:val="clear" w:color="auto" w:fill="auto"/>
            <w:noWrap/>
            <w:vAlign w:val="bottom"/>
            <w:hideMark/>
          </w:tcPr>
          <w:p w:rsidR="0043660E" w:rsidRPr="0043660E" w:rsidRDefault="0043660E" w:rsidP="0043660E">
            <w:pPr>
              <w:rPr>
                <w:rFonts w:ascii="Calibri" w:hAnsi="Calibri"/>
              </w:rPr>
            </w:pPr>
            <w:r w:rsidRPr="0043660E">
              <w:rPr>
                <w:rFonts w:ascii="Calibri" w:hAnsi="Calibri"/>
              </w:rPr>
              <w:t> </w:t>
            </w:r>
          </w:p>
        </w:tc>
        <w:tc>
          <w:tcPr>
            <w:tcW w:w="1420" w:type="dxa"/>
            <w:tcBorders>
              <w:top w:val="nil"/>
              <w:left w:val="nil"/>
              <w:bottom w:val="nil"/>
              <w:right w:val="single" w:sz="4" w:space="0" w:color="auto"/>
            </w:tcBorders>
            <w:shd w:val="clear" w:color="auto" w:fill="auto"/>
            <w:noWrap/>
            <w:vAlign w:val="bottom"/>
            <w:hideMark/>
          </w:tcPr>
          <w:p w:rsidR="0043660E" w:rsidRPr="0043660E" w:rsidRDefault="0043660E" w:rsidP="0043660E">
            <w:pPr>
              <w:rPr>
                <w:rFonts w:ascii="Calibri" w:hAnsi="Calibri"/>
              </w:rPr>
            </w:pPr>
            <w:r w:rsidRPr="0043660E">
              <w:rPr>
                <w:rFonts w:ascii="Calibri" w:hAnsi="Calibri"/>
              </w:rPr>
              <w:t> </w:t>
            </w:r>
          </w:p>
        </w:tc>
        <w:tc>
          <w:tcPr>
            <w:tcW w:w="1380" w:type="dxa"/>
            <w:tcBorders>
              <w:top w:val="nil"/>
              <w:left w:val="nil"/>
              <w:bottom w:val="nil"/>
              <w:right w:val="nil"/>
            </w:tcBorders>
            <w:shd w:val="clear" w:color="auto" w:fill="auto"/>
            <w:noWrap/>
            <w:vAlign w:val="bottom"/>
            <w:hideMark/>
          </w:tcPr>
          <w:p w:rsidR="0043660E" w:rsidRPr="0043660E" w:rsidRDefault="0043660E" w:rsidP="0043660E">
            <w:pPr>
              <w:rPr>
                <w:rFonts w:ascii="Calibri" w:hAnsi="Calibri"/>
              </w:rPr>
            </w:pPr>
            <w:r w:rsidRPr="0043660E">
              <w:rPr>
                <w:rFonts w:ascii="Calibri" w:hAnsi="Calibri"/>
              </w:rPr>
              <w:t> </w:t>
            </w:r>
          </w:p>
        </w:tc>
        <w:tc>
          <w:tcPr>
            <w:tcW w:w="1012" w:type="dxa"/>
            <w:tcBorders>
              <w:top w:val="nil"/>
              <w:left w:val="single" w:sz="4" w:space="0" w:color="auto"/>
              <w:bottom w:val="nil"/>
              <w:right w:val="single" w:sz="4" w:space="0" w:color="auto"/>
            </w:tcBorders>
            <w:shd w:val="clear" w:color="auto" w:fill="auto"/>
            <w:noWrap/>
            <w:vAlign w:val="bottom"/>
            <w:hideMark/>
          </w:tcPr>
          <w:p w:rsidR="0043660E" w:rsidRPr="0043660E" w:rsidRDefault="0043660E" w:rsidP="0043660E">
            <w:r w:rsidRPr="0043660E">
              <w:t> </w:t>
            </w:r>
          </w:p>
        </w:tc>
      </w:tr>
      <w:tr w:rsidR="0043660E" w:rsidRPr="0043660E" w:rsidTr="00580DC5">
        <w:trPr>
          <w:trHeight w:val="510"/>
        </w:trPr>
        <w:tc>
          <w:tcPr>
            <w:tcW w:w="6208" w:type="dxa"/>
            <w:tcBorders>
              <w:top w:val="nil"/>
              <w:left w:val="nil"/>
              <w:bottom w:val="nil"/>
              <w:right w:val="nil"/>
            </w:tcBorders>
            <w:shd w:val="clear" w:color="000000" w:fill="CCFFCC"/>
            <w:hideMark/>
          </w:tcPr>
          <w:p w:rsidR="0043660E" w:rsidRPr="0043660E" w:rsidRDefault="0043660E" w:rsidP="0043660E">
            <w:pPr>
              <w:rPr>
                <w:rFonts w:ascii="Calibri" w:hAnsi="Calibri"/>
                <w:b/>
                <w:bCs/>
                <w:i/>
                <w:iCs/>
                <w:sz w:val="20"/>
                <w:szCs w:val="20"/>
              </w:rPr>
            </w:pPr>
            <w:r w:rsidRPr="0043660E">
              <w:rPr>
                <w:rFonts w:ascii="Calibri" w:hAnsi="Calibri"/>
                <w:b/>
                <w:bCs/>
                <w:i/>
                <w:iCs/>
                <w:sz w:val="20"/>
                <w:szCs w:val="20"/>
              </w:rPr>
              <w:t>Reversal of items debited or credited to the Comprehensive Income and Expenditure Statement:</w:t>
            </w:r>
          </w:p>
        </w:tc>
        <w:tc>
          <w:tcPr>
            <w:tcW w:w="1160" w:type="dxa"/>
            <w:tcBorders>
              <w:top w:val="nil"/>
              <w:left w:val="single" w:sz="4" w:space="0" w:color="auto"/>
              <w:bottom w:val="nil"/>
              <w:right w:val="single" w:sz="4" w:space="0" w:color="auto"/>
            </w:tcBorders>
            <w:shd w:val="clear" w:color="auto" w:fill="auto"/>
            <w:noWrap/>
            <w:vAlign w:val="bottom"/>
            <w:hideMark/>
          </w:tcPr>
          <w:p w:rsidR="0043660E" w:rsidRPr="0043660E" w:rsidRDefault="0043660E" w:rsidP="0043660E">
            <w:pPr>
              <w:rPr>
                <w:rFonts w:ascii="Calibri" w:hAnsi="Calibri"/>
              </w:rPr>
            </w:pPr>
            <w:r w:rsidRPr="0043660E">
              <w:rPr>
                <w:rFonts w:ascii="Calibri" w:hAnsi="Calibri"/>
              </w:rPr>
              <w:t> </w:t>
            </w:r>
          </w:p>
        </w:tc>
        <w:tc>
          <w:tcPr>
            <w:tcW w:w="1520" w:type="dxa"/>
            <w:tcBorders>
              <w:top w:val="nil"/>
              <w:left w:val="nil"/>
              <w:bottom w:val="nil"/>
              <w:right w:val="single" w:sz="4" w:space="0" w:color="auto"/>
            </w:tcBorders>
            <w:shd w:val="clear" w:color="auto" w:fill="auto"/>
            <w:noWrap/>
            <w:vAlign w:val="bottom"/>
            <w:hideMark/>
          </w:tcPr>
          <w:p w:rsidR="0043660E" w:rsidRPr="0043660E" w:rsidRDefault="0043660E" w:rsidP="0043660E">
            <w:pPr>
              <w:rPr>
                <w:rFonts w:ascii="Calibri" w:hAnsi="Calibri"/>
              </w:rPr>
            </w:pPr>
            <w:r w:rsidRPr="0043660E">
              <w:rPr>
                <w:rFonts w:ascii="Calibri" w:hAnsi="Calibri"/>
              </w:rPr>
              <w:t> </w:t>
            </w:r>
          </w:p>
        </w:tc>
        <w:tc>
          <w:tcPr>
            <w:tcW w:w="1480" w:type="dxa"/>
            <w:tcBorders>
              <w:top w:val="nil"/>
              <w:left w:val="nil"/>
              <w:bottom w:val="nil"/>
              <w:right w:val="single" w:sz="4" w:space="0" w:color="auto"/>
            </w:tcBorders>
            <w:shd w:val="clear" w:color="auto" w:fill="auto"/>
            <w:noWrap/>
            <w:vAlign w:val="bottom"/>
            <w:hideMark/>
          </w:tcPr>
          <w:p w:rsidR="0043660E" w:rsidRPr="0043660E" w:rsidRDefault="0043660E" w:rsidP="0043660E">
            <w:pPr>
              <w:rPr>
                <w:rFonts w:ascii="Calibri" w:hAnsi="Calibri"/>
              </w:rPr>
            </w:pPr>
            <w:r w:rsidRPr="0043660E">
              <w:rPr>
                <w:rFonts w:ascii="Calibri" w:hAnsi="Calibri"/>
              </w:rPr>
              <w:t> </w:t>
            </w:r>
          </w:p>
        </w:tc>
        <w:tc>
          <w:tcPr>
            <w:tcW w:w="1360" w:type="dxa"/>
            <w:tcBorders>
              <w:top w:val="nil"/>
              <w:left w:val="nil"/>
              <w:bottom w:val="nil"/>
              <w:right w:val="single" w:sz="4" w:space="0" w:color="auto"/>
            </w:tcBorders>
            <w:shd w:val="clear" w:color="auto" w:fill="auto"/>
            <w:noWrap/>
            <w:vAlign w:val="bottom"/>
            <w:hideMark/>
          </w:tcPr>
          <w:p w:rsidR="0043660E" w:rsidRPr="0043660E" w:rsidRDefault="0043660E" w:rsidP="0043660E">
            <w:pPr>
              <w:rPr>
                <w:rFonts w:ascii="Calibri" w:hAnsi="Calibri"/>
              </w:rPr>
            </w:pPr>
            <w:r w:rsidRPr="0043660E">
              <w:rPr>
                <w:rFonts w:ascii="Calibri" w:hAnsi="Calibri"/>
              </w:rPr>
              <w:t> </w:t>
            </w:r>
          </w:p>
        </w:tc>
        <w:tc>
          <w:tcPr>
            <w:tcW w:w="1420" w:type="dxa"/>
            <w:tcBorders>
              <w:top w:val="nil"/>
              <w:left w:val="nil"/>
              <w:bottom w:val="nil"/>
              <w:right w:val="single" w:sz="4" w:space="0" w:color="auto"/>
            </w:tcBorders>
            <w:shd w:val="clear" w:color="auto" w:fill="auto"/>
            <w:noWrap/>
            <w:vAlign w:val="bottom"/>
            <w:hideMark/>
          </w:tcPr>
          <w:p w:rsidR="0043660E" w:rsidRPr="0043660E" w:rsidRDefault="0043660E" w:rsidP="0043660E">
            <w:pPr>
              <w:rPr>
                <w:rFonts w:ascii="Calibri" w:hAnsi="Calibri"/>
              </w:rPr>
            </w:pPr>
            <w:r w:rsidRPr="0043660E">
              <w:rPr>
                <w:rFonts w:ascii="Calibri" w:hAnsi="Calibri"/>
              </w:rPr>
              <w:t> </w:t>
            </w:r>
          </w:p>
        </w:tc>
        <w:tc>
          <w:tcPr>
            <w:tcW w:w="1380" w:type="dxa"/>
            <w:tcBorders>
              <w:top w:val="nil"/>
              <w:left w:val="nil"/>
              <w:bottom w:val="nil"/>
              <w:right w:val="nil"/>
            </w:tcBorders>
            <w:shd w:val="clear" w:color="auto" w:fill="auto"/>
            <w:noWrap/>
            <w:vAlign w:val="bottom"/>
            <w:hideMark/>
          </w:tcPr>
          <w:p w:rsidR="0043660E" w:rsidRPr="0043660E" w:rsidRDefault="0043660E" w:rsidP="0043660E">
            <w:pPr>
              <w:rPr>
                <w:rFonts w:ascii="Calibri" w:hAnsi="Calibri"/>
              </w:rPr>
            </w:pPr>
            <w:r w:rsidRPr="0043660E">
              <w:rPr>
                <w:rFonts w:ascii="Calibri" w:hAnsi="Calibri"/>
              </w:rPr>
              <w:t> </w:t>
            </w:r>
          </w:p>
        </w:tc>
        <w:tc>
          <w:tcPr>
            <w:tcW w:w="1012" w:type="dxa"/>
            <w:tcBorders>
              <w:top w:val="nil"/>
              <w:left w:val="single" w:sz="4" w:space="0" w:color="auto"/>
              <w:bottom w:val="nil"/>
              <w:right w:val="single" w:sz="4" w:space="0" w:color="auto"/>
            </w:tcBorders>
            <w:shd w:val="clear" w:color="auto" w:fill="auto"/>
            <w:noWrap/>
            <w:vAlign w:val="bottom"/>
            <w:hideMark/>
          </w:tcPr>
          <w:p w:rsidR="0043660E" w:rsidRPr="0043660E" w:rsidRDefault="0043660E" w:rsidP="0043660E">
            <w:r w:rsidRPr="0043660E">
              <w:t> </w:t>
            </w:r>
          </w:p>
        </w:tc>
      </w:tr>
      <w:tr w:rsidR="0043660E" w:rsidRPr="0043660E" w:rsidTr="00580DC5">
        <w:trPr>
          <w:trHeight w:val="315"/>
        </w:trPr>
        <w:tc>
          <w:tcPr>
            <w:tcW w:w="6208" w:type="dxa"/>
            <w:tcBorders>
              <w:top w:val="nil"/>
              <w:left w:val="nil"/>
              <w:bottom w:val="nil"/>
              <w:right w:val="nil"/>
            </w:tcBorders>
            <w:shd w:val="clear" w:color="auto" w:fill="auto"/>
            <w:hideMark/>
          </w:tcPr>
          <w:p w:rsidR="0043660E" w:rsidRPr="0043660E" w:rsidRDefault="0043660E" w:rsidP="0043660E">
            <w:pPr>
              <w:rPr>
                <w:rFonts w:ascii="Calibri" w:hAnsi="Calibri"/>
                <w:sz w:val="20"/>
                <w:szCs w:val="20"/>
              </w:rPr>
            </w:pPr>
            <w:r w:rsidRPr="0043660E">
              <w:rPr>
                <w:rFonts w:ascii="Calibri" w:hAnsi="Calibri"/>
                <w:sz w:val="20"/>
                <w:szCs w:val="20"/>
              </w:rPr>
              <w:t>Charges for depreciation of non current assets</w:t>
            </w:r>
          </w:p>
        </w:tc>
        <w:tc>
          <w:tcPr>
            <w:tcW w:w="1160" w:type="dxa"/>
            <w:tcBorders>
              <w:top w:val="nil"/>
              <w:left w:val="single" w:sz="4" w:space="0" w:color="auto"/>
              <w:bottom w:val="nil"/>
              <w:right w:val="single" w:sz="4" w:space="0" w:color="auto"/>
            </w:tcBorders>
            <w:shd w:val="clear" w:color="auto" w:fill="auto"/>
            <w:noWrap/>
            <w:vAlign w:val="bottom"/>
            <w:hideMark/>
          </w:tcPr>
          <w:p w:rsidR="0043660E" w:rsidRPr="0043660E" w:rsidRDefault="0043660E" w:rsidP="00DC56C0">
            <w:pPr>
              <w:jc w:val="right"/>
              <w:rPr>
                <w:rFonts w:ascii="Calibri" w:hAnsi="Calibri"/>
              </w:rPr>
            </w:pPr>
            <w:r w:rsidRPr="0043660E">
              <w:rPr>
                <w:rFonts w:ascii="Calibri" w:hAnsi="Calibri"/>
              </w:rPr>
              <w:t>(43,455)</w:t>
            </w:r>
          </w:p>
        </w:tc>
        <w:tc>
          <w:tcPr>
            <w:tcW w:w="1520" w:type="dxa"/>
            <w:tcBorders>
              <w:top w:val="nil"/>
              <w:left w:val="nil"/>
              <w:bottom w:val="nil"/>
              <w:right w:val="single" w:sz="4" w:space="0" w:color="auto"/>
            </w:tcBorders>
            <w:shd w:val="clear" w:color="auto" w:fill="auto"/>
            <w:noWrap/>
            <w:vAlign w:val="bottom"/>
            <w:hideMark/>
          </w:tcPr>
          <w:p w:rsidR="0043660E" w:rsidRPr="0043660E" w:rsidRDefault="00DC56C0" w:rsidP="00DC56C0">
            <w:pPr>
              <w:jc w:val="right"/>
              <w:rPr>
                <w:rFonts w:ascii="Calibri" w:hAnsi="Calibri"/>
              </w:rPr>
            </w:pPr>
            <w:r>
              <w:rPr>
                <w:rFonts w:ascii="Calibri" w:hAnsi="Calibri"/>
              </w:rPr>
              <w:t>-</w:t>
            </w:r>
            <w:r w:rsidR="0043660E" w:rsidRPr="0043660E">
              <w:rPr>
                <w:rFonts w:ascii="Calibri" w:hAnsi="Calibri"/>
              </w:rPr>
              <w:t> </w:t>
            </w:r>
          </w:p>
        </w:tc>
        <w:tc>
          <w:tcPr>
            <w:tcW w:w="1480" w:type="dxa"/>
            <w:tcBorders>
              <w:top w:val="nil"/>
              <w:left w:val="nil"/>
              <w:bottom w:val="nil"/>
              <w:right w:val="single" w:sz="4" w:space="0" w:color="auto"/>
            </w:tcBorders>
            <w:shd w:val="clear" w:color="auto" w:fill="auto"/>
            <w:noWrap/>
            <w:vAlign w:val="bottom"/>
            <w:hideMark/>
          </w:tcPr>
          <w:p w:rsidR="0043660E" w:rsidRPr="0043660E" w:rsidRDefault="00DC56C0" w:rsidP="00DC56C0">
            <w:pPr>
              <w:jc w:val="right"/>
              <w:rPr>
                <w:rFonts w:ascii="Calibri" w:hAnsi="Calibri"/>
              </w:rPr>
            </w:pPr>
            <w:r>
              <w:rPr>
                <w:rFonts w:ascii="Calibri" w:hAnsi="Calibri"/>
              </w:rPr>
              <w:t>-</w:t>
            </w:r>
          </w:p>
        </w:tc>
        <w:tc>
          <w:tcPr>
            <w:tcW w:w="1360" w:type="dxa"/>
            <w:tcBorders>
              <w:top w:val="nil"/>
              <w:left w:val="nil"/>
              <w:bottom w:val="nil"/>
              <w:right w:val="single" w:sz="4" w:space="0" w:color="auto"/>
            </w:tcBorders>
            <w:shd w:val="clear" w:color="auto" w:fill="auto"/>
            <w:noWrap/>
            <w:vAlign w:val="bottom"/>
            <w:hideMark/>
          </w:tcPr>
          <w:p w:rsidR="0043660E" w:rsidRPr="0043660E" w:rsidRDefault="0043660E" w:rsidP="00DC56C0">
            <w:pPr>
              <w:jc w:val="right"/>
              <w:rPr>
                <w:rFonts w:ascii="Calibri" w:hAnsi="Calibri"/>
              </w:rPr>
            </w:pPr>
            <w:r w:rsidRPr="0043660E">
              <w:rPr>
                <w:rFonts w:ascii="Calibri" w:hAnsi="Calibri"/>
              </w:rPr>
              <w:t>43,455</w:t>
            </w:r>
          </w:p>
        </w:tc>
        <w:tc>
          <w:tcPr>
            <w:tcW w:w="1420" w:type="dxa"/>
            <w:tcBorders>
              <w:top w:val="nil"/>
              <w:left w:val="nil"/>
              <w:bottom w:val="nil"/>
              <w:right w:val="single" w:sz="4" w:space="0" w:color="auto"/>
            </w:tcBorders>
            <w:shd w:val="clear" w:color="auto" w:fill="auto"/>
            <w:noWrap/>
            <w:vAlign w:val="bottom"/>
            <w:hideMark/>
          </w:tcPr>
          <w:p w:rsidR="0043660E" w:rsidRPr="0043660E" w:rsidRDefault="00DC56C0" w:rsidP="00DC56C0">
            <w:pPr>
              <w:jc w:val="right"/>
              <w:rPr>
                <w:rFonts w:ascii="Calibri" w:hAnsi="Calibri"/>
              </w:rPr>
            </w:pPr>
            <w:r>
              <w:rPr>
                <w:rFonts w:ascii="Calibri" w:hAnsi="Calibri"/>
              </w:rPr>
              <w:t>-</w:t>
            </w:r>
          </w:p>
        </w:tc>
        <w:tc>
          <w:tcPr>
            <w:tcW w:w="1380" w:type="dxa"/>
            <w:tcBorders>
              <w:top w:val="nil"/>
              <w:left w:val="nil"/>
              <w:bottom w:val="nil"/>
              <w:right w:val="nil"/>
            </w:tcBorders>
            <w:shd w:val="clear" w:color="auto" w:fill="auto"/>
            <w:noWrap/>
            <w:vAlign w:val="bottom"/>
            <w:hideMark/>
          </w:tcPr>
          <w:p w:rsidR="0043660E" w:rsidRPr="0043660E" w:rsidRDefault="00DC56C0" w:rsidP="00DC56C0">
            <w:pPr>
              <w:jc w:val="right"/>
              <w:rPr>
                <w:rFonts w:ascii="Calibri" w:hAnsi="Calibri"/>
              </w:rPr>
            </w:pPr>
            <w:r>
              <w:rPr>
                <w:rFonts w:ascii="Calibri" w:hAnsi="Calibri"/>
              </w:rPr>
              <w:t>-</w:t>
            </w:r>
          </w:p>
        </w:tc>
        <w:tc>
          <w:tcPr>
            <w:tcW w:w="1012" w:type="dxa"/>
            <w:tcBorders>
              <w:top w:val="nil"/>
              <w:left w:val="single" w:sz="4" w:space="0" w:color="auto"/>
              <w:bottom w:val="nil"/>
              <w:right w:val="single" w:sz="4" w:space="0" w:color="auto"/>
            </w:tcBorders>
            <w:shd w:val="clear" w:color="auto" w:fill="auto"/>
            <w:noWrap/>
            <w:vAlign w:val="bottom"/>
            <w:hideMark/>
          </w:tcPr>
          <w:p w:rsidR="0043660E" w:rsidRPr="0043660E" w:rsidRDefault="00DC56C0" w:rsidP="00DC56C0">
            <w:pPr>
              <w:jc w:val="right"/>
            </w:pPr>
            <w:r>
              <w:t>-</w:t>
            </w:r>
          </w:p>
        </w:tc>
      </w:tr>
      <w:tr w:rsidR="0043660E" w:rsidRPr="0043660E" w:rsidTr="00580DC5">
        <w:trPr>
          <w:trHeight w:val="315"/>
        </w:trPr>
        <w:tc>
          <w:tcPr>
            <w:tcW w:w="6208" w:type="dxa"/>
            <w:tcBorders>
              <w:top w:val="nil"/>
              <w:left w:val="nil"/>
              <w:bottom w:val="nil"/>
              <w:right w:val="nil"/>
            </w:tcBorders>
            <w:shd w:val="clear" w:color="auto" w:fill="auto"/>
            <w:hideMark/>
          </w:tcPr>
          <w:p w:rsidR="0043660E" w:rsidRPr="0043660E" w:rsidRDefault="0043660E" w:rsidP="0043660E">
            <w:pPr>
              <w:rPr>
                <w:rFonts w:ascii="Calibri" w:hAnsi="Calibri"/>
                <w:sz w:val="20"/>
                <w:szCs w:val="20"/>
              </w:rPr>
            </w:pPr>
            <w:r w:rsidRPr="0043660E">
              <w:rPr>
                <w:rFonts w:ascii="Calibri" w:hAnsi="Calibri"/>
                <w:sz w:val="20"/>
                <w:szCs w:val="20"/>
              </w:rPr>
              <w:t>Charges for Impairment of Non Current Assets</w:t>
            </w:r>
          </w:p>
        </w:tc>
        <w:tc>
          <w:tcPr>
            <w:tcW w:w="1160" w:type="dxa"/>
            <w:tcBorders>
              <w:top w:val="nil"/>
              <w:left w:val="single" w:sz="4" w:space="0" w:color="auto"/>
              <w:bottom w:val="nil"/>
              <w:right w:val="single" w:sz="4" w:space="0" w:color="auto"/>
            </w:tcBorders>
            <w:shd w:val="clear" w:color="auto" w:fill="auto"/>
            <w:noWrap/>
            <w:vAlign w:val="bottom"/>
            <w:hideMark/>
          </w:tcPr>
          <w:p w:rsidR="0043660E" w:rsidRPr="0043660E" w:rsidRDefault="00DC56C0" w:rsidP="00DC56C0">
            <w:pPr>
              <w:jc w:val="right"/>
              <w:rPr>
                <w:rFonts w:ascii="Calibri" w:hAnsi="Calibri"/>
              </w:rPr>
            </w:pPr>
            <w:r>
              <w:rPr>
                <w:rFonts w:ascii="Calibri" w:hAnsi="Calibri"/>
              </w:rPr>
              <w:t>-</w:t>
            </w:r>
            <w:r w:rsidR="0043660E" w:rsidRPr="0043660E">
              <w:rPr>
                <w:rFonts w:ascii="Calibri" w:hAnsi="Calibri"/>
              </w:rPr>
              <w:t> </w:t>
            </w:r>
          </w:p>
        </w:tc>
        <w:tc>
          <w:tcPr>
            <w:tcW w:w="1520" w:type="dxa"/>
            <w:tcBorders>
              <w:top w:val="nil"/>
              <w:left w:val="nil"/>
              <w:bottom w:val="nil"/>
              <w:right w:val="single" w:sz="4" w:space="0" w:color="auto"/>
            </w:tcBorders>
            <w:shd w:val="clear" w:color="auto" w:fill="auto"/>
            <w:noWrap/>
            <w:vAlign w:val="bottom"/>
            <w:hideMark/>
          </w:tcPr>
          <w:p w:rsidR="0043660E" w:rsidRPr="0043660E" w:rsidRDefault="00DC56C0" w:rsidP="00DC56C0">
            <w:pPr>
              <w:jc w:val="right"/>
              <w:rPr>
                <w:rFonts w:ascii="Calibri" w:hAnsi="Calibri"/>
              </w:rPr>
            </w:pPr>
            <w:r>
              <w:rPr>
                <w:rFonts w:ascii="Calibri" w:hAnsi="Calibri"/>
              </w:rPr>
              <w:t>-</w:t>
            </w:r>
          </w:p>
        </w:tc>
        <w:tc>
          <w:tcPr>
            <w:tcW w:w="1480" w:type="dxa"/>
            <w:tcBorders>
              <w:top w:val="nil"/>
              <w:left w:val="nil"/>
              <w:bottom w:val="nil"/>
              <w:right w:val="single" w:sz="4" w:space="0" w:color="auto"/>
            </w:tcBorders>
            <w:shd w:val="clear" w:color="auto" w:fill="auto"/>
            <w:noWrap/>
            <w:vAlign w:val="bottom"/>
            <w:hideMark/>
          </w:tcPr>
          <w:p w:rsidR="0043660E" w:rsidRPr="0043660E" w:rsidRDefault="00DC56C0" w:rsidP="00DC56C0">
            <w:pPr>
              <w:jc w:val="right"/>
              <w:rPr>
                <w:rFonts w:ascii="Calibri" w:hAnsi="Calibri"/>
              </w:rPr>
            </w:pPr>
            <w:r>
              <w:rPr>
                <w:rFonts w:ascii="Calibri" w:hAnsi="Calibri"/>
              </w:rPr>
              <w:t>-</w:t>
            </w:r>
          </w:p>
        </w:tc>
        <w:tc>
          <w:tcPr>
            <w:tcW w:w="1360" w:type="dxa"/>
            <w:tcBorders>
              <w:top w:val="nil"/>
              <w:left w:val="nil"/>
              <w:bottom w:val="nil"/>
              <w:right w:val="single" w:sz="4" w:space="0" w:color="auto"/>
            </w:tcBorders>
            <w:shd w:val="clear" w:color="auto" w:fill="auto"/>
            <w:noWrap/>
            <w:vAlign w:val="bottom"/>
            <w:hideMark/>
          </w:tcPr>
          <w:p w:rsidR="0043660E" w:rsidRPr="0043660E" w:rsidRDefault="00DC56C0" w:rsidP="00DC56C0">
            <w:pPr>
              <w:jc w:val="right"/>
              <w:rPr>
                <w:rFonts w:ascii="Calibri" w:hAnsi="Calibri"/>
              </w:rPr>
            </w:pPr>
            <w:r>
              <w:rPr>
                <w:rFonts w:ascii="Calibri" w:hAnsi="Calibri"/>
              </w:rPr>
              <w:t>-</w:t>
            </w:r>
          </w:p>
        </w:tc>
        <w:tc>
          <w:tcPr>
            <w:tcW w:w="1420" w:type="dxa"/>
            <w:tcBorders>
              <w:top w:val="nil"/>
              <w:left w:val="nil"/>
              <w:bottom w:val="nil"/>
              <w:right w:val="single" w:sz="4" w:space="0" w:color="auto"/>
            </w:tcBorders>
            <w:shd w:val="clear" w:color="auto" w:fill="auto"/>
            <w:noWrap/>
            <w:vAlign w:val="bottom"/>
            <w:hideMark/>
          </w:tcPr>
          <w:p w:rsidR="0043660E" w:rsidRPr="0043660E" w:rsidRDefault="00DC56C0" w:rsidP="00DC56C0">
            <w:pPr>
              <w:jc w:val="right"/>
              <w:rPr>
                <w:rFonts w:ascii="Calibri" w:hAnsi="Calibri"/>
              </w:rPr>
            </w:pPr>
            <w:r>
              <w:rPr>
                <w:rFonts w:ascii="Calibri" w:hAnsi="Calibri"/>
              </w:rPr>
              <w:t>-</w:t>
            </w:r>
          </w:p>
        </w:tc>
        <w:tc>
          <w:tcPr>
            <w:tcW w:w="1380" w:type="dxa"/>
            <w:tcBorders>
              <w:top w:val="nil"/>
              <w:left w:val="nil"/>
              <w:bottom w:val="nil"/>
              <w:right w:val="nil"/>
            </w:tcBorders>
            <w:shd w:val="clear" w:color="auto" w:fill="auto"/>
            <w:noWrap/>
            <w:vAlign w:val="bottom"/>
            <w:hideMark/>
          </w:tcPr>
          <w:p w:rsidR="0043660E" w:rsidRPr="0043660E" w:rsidRDefault="00DC56C0" w:rsidP="00DC56C0">
            <w:pPr>
              <w:jc w:val="right"/>
              <w:rPr>
                <w:rFonts w:ascii="Calibri" w:hAnsi="Calibri"/>
              </w:rPr>
            </w:pPr>
            <w:r>
              <w:rPr>
                <w:rFonts w:ascii="Calibri" w:hAnsi="Calibri"/>
              </w:rPr>
              <w:t>-</w:t>
            </w:r>
          </w:p>
        </w:tc>
        <w:tc>
          <w:tcPr>
            <w:tcW w:w="1012" w:type="dxa"/>
            <w:tcBorders>
              <w:top w:val="nil"/>
              <w:left w:val="single" w:sz="4" w:space="0" w:color="auto"/>
              <w:bottom w:val="nil"/>
              <w:right w:val="single" w:sz="4" w:space="0" w:color="auto"/>
            </w:tcBorders>
            <w:shd w:val="clear" w:color="auto" w:fill="auto"/>
            <w:noWrap/>
            <w:vAlign w:val="bottom"/>
            <w:hideMark/>
          </w:tcPr>
          <w:p w:rsidR="0043660E" w:rsidRPr="0043660E" w:rsidRDefault="00DC56C0" w:rsidP="00DC56C0">
            <w:pPr>
              <w:jc w:val="right"/>
            </w:pPr>
            <w:r>
              <w:t>-</w:t>
            </w:r>
          </w:p>
        </w:tc>
      </w:tr>
      <w:tr w:rsidR="0043660E" w:rsidRPr="0043660E" w:rsidTr="00580DC5">
        <w:trPr>
          <w:trHeight w:val="315"/>
        </w:trPr>
        <w:tc>
          <w:tcPr>
            <w:tcW w:w="6208" w:type="dxa"/>
            <w:tcBorders>
              <w:top w:val="nil"/>
              <w:left w:val="nil"/>
              <w:bottom w:val="nil"/>
              <w:right w:val="nil"/>
            </w:tcBorders>
            <w:shd w:val="clear" w:color="auto" w:fill="auto"/>
            <w:hideMark/>
          </w:tcPr>
          <w:p w:rsidR="0043660E" w:rsidRPr="0043660E" w:rsidRDefault="0043660E" w:rsidP="0043660E">
            <w:pPr>
              <w:rPr>
                <w:rFonts w:ascii="Calibri" w:hAnsi="Calibri"/>
                <w:sz w:val="20"/>
                <w:szCs w:val="20"/>
              </w:rPr>
            </w:pPr>
            <w:r w:rsidRPr="0043660E">
              <w:rPr>
                <w:rFonts w:ascii="Calibri" w:hAnsi="Calibri"/>
                <w:sz w:val="20"/>
                <w:szCs w:val="20"/>
              </w:rPr>
              <w:t>Revaluation losses on Property Plant and Equipment (</w:t>
            </w:r>
            <w:r w:rsidRPr="0043660E">
              <w:rPr>
                <w:rFonts w:ascii="Calibri" w:hAnsi="Calibri"/>
                <w:i/>
                <w:iCs/>
                <w:sz w:val="20"/>
                <w:szCs w:val="20"/>
              </w:rPr>
              <w:t>charged to SDPS</w:t>
            </w:r>
            <w:r w:rsidRPr="0043660E">
              <w:rPr>
                <w:rFonts w:ascii="Calibri" w:hAnsi="Calibri"/>
                <w:sz w:val="20"/>
                <w:szCs w:val="20"/>
              </w:rPr>
              <w:t>)</w:t>
            </w:r>
          </w:p>
        </w:tc>
        <w:tc>
          <w:tcPr>
            <w:tcW w:w="1160" w:type="dxa"/>
            <w:tcBorders>
              <w:top w:val="nil"/>
              <w:left w:val="single" w:sz="4" w:space="0" w:color="auto"/>
              <w:bottom w:val="nil"/>
              <w:right w:val="single" w:sz="4" w:space="0" w:color="auto"/>
            </w:tcBorders>
            <w:shd w:val="clear" w:color="auto" w:fill="auto"/>
            <w:noWrap/>
            <w:vAlign w:val="bottom"/>
            <w:hideMark/>
          </w:tcPr>
          <w:p w:rsidR="0043660E" w:rsidRPr="0043660E" w:rsidRDefault="0043660E" w:rsidP="00DC56C0">
            <w:pPr>
              <w:jc w:val="right"/>
              <w:rPr>
                <w:rFonts w:ascii="Calibri" w:hAnsi="Calibri"/>
              </w:rPr>
            </w:pPr>
            <w:r w:rsidRPr="0043660E">
              <w:rPr>
                <w:rFonts w:ascii="Calibri" w:hAnsi="Calibri"/>
              </w:rPr>
              <w:t>(16,484)</w:t>
            </w:r>
          </w:p>
        </w:tc>
        <w:tc>
          <w:tcPr>
            <w:tcW w:w="1520" w:type="dxa"/>
            <w:tcBorders>
              <w:top w:val="nil"/>
              <w:left w:val="nil"/>
              <w:bottom w:val="nil"/>
              <w:right w:val="single" w:sz="4" w:space="0" w:color="auto"/>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r w:rsidR="0043660E" w:rsidRPr="0043660E">
              <w:rPr>
                <w:rFonts w:ascii="Calibri" w:hAnsi="Calibri"/>
              </w:rPr>
              <w:t> </w:t>
            </w:r>
          </w:p>
        </w:tc>
        <w:tc>
          <w:tcPr>
            <w:tcW w:w="1480" w:type="dxa"/>
            <w:tcBorders>
              <w:top w:val="nil"/>
              <w:left w:val="nil"/>
              <w:bottom w:val="nil"/>
              <w:right w:val="single" w:sz="4" w:space="0" w:color="auto"/>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360" w:type="dxa"/>
            <w:tcBorders>
              <w:top w:val="nil"/>
              <w:left w:val="nil"/>
              <w:bottom w:val="nil"/>
              <w:right w:val="single" w:sz="4" w:space="0" w:color="auto"/>
            </w:tcBorders>
            <w:shd w:val="clear" w:color="auto" w:fill="auto"/>
            <w:noWrap/>
            <w:vAlign w:val="bottom"/>
            <w:hideMark/>
          </w:tcPr>
          <w:p w:rsidR="0043660E" w:rsidRPr="0043660E" w:rsidRDefault="0043660E" w:rsidP="00DC56C0">
            <w:pPr>
              <w:jc w:val="right"/>
              <w:rPr>
                <w:rFonts w:ascii="Calibri" w:hAnsi="Calibri"/>
              </w:rPr>
            </w:pPr>
            <w:r w:rsidRPr="0043660E">
              <w:rPr>
                <w:rFonts w:ascii="Calibri" w:hAnsi="Calibri"/>
              </w:rPr>
              <w:t>16,484</w:t>
            </w:r>
          </w:p>
        </w:tc>
        <w:tc>
          <w:tcPr>
            <w:tcW w:w="1420" w:type="dxa"/>
            <w:tcBorders>
              <w:top w:val="nil"/>
              <w:left w:val="nil"/>
              <w:bottom w:val="nil"/>
              <w:right w:val="single" w:sz="4" w:space="0" w:color="auto"/>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380" w:type="dxa"/>
            <w:tcBorders>
              <w:top w:val="nil"/>
              <w:left w:val="nil"/>
              <w:bottom w:val="nil"/>
              <w:right w:val="nil"/>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012" w:type="dxa"/>
            <w:tcBorders>
              <w:top w:val="nil"/>
              <w:left w:val="single" w:sz="4" w:space="0" w:color="auto"/>
              <w:bottom w:val="nil"/>
              <w:right w:val="single" w:sz="4" w:space="0" w:color="auto"/>
            </w:tcBorders>
            <w:shd w:val="clear" w:color="auto" w:fill="auto"/>
            <w:noWrap/>
            <w:vAlign w:val="bottom"/>
            <w:hideMark/>
          </w:tcPr>
          <w:p w:rsidR="0043660E" w:rsidRPr="0043660E" w:rsidRDefault="00580DC5" w:rsidP="00DC56C0">
            <w:pPr>
              <w:jc w:val="right"/>
            </w:pPr>
            <w:r>
              <w:t>-</w:t>
            </w:r>
          </w:p>
        </w:tc>
      </w:tr>
      <w:tr w:rsidR="0043660E" w:rsidRPr="0043660E" w:rsidTr="00580DC5">
        <w:trPr>
          <w:trHeight w:val="315"/>
        </w:trPr>
        <w:tc>
          <w:tcPr>
            <w:tcW w:w="6208" w:type="dxa"/>
            <w:tcBorders>
              <w:top w:val="nil"/>
              <w:left w:val="nil"/>
              <w:bottom w:val="nil"/>
              <w:right w:val="nil"/>
            </w:tcBorders>
            <w:shd w:val="clear" w:color="auto" w:fill="auto"/>
            <w:hideMark/>
          </w:tcPr>
          <w:p w:rsidR="0043660E" w:rsidRPr="0043660E" w:rsidRDefault="0043660E" w:rsidP="0043660E">
            <w:pPr>
              <w:rPr>
                <w:rFonts w:ascii="Calibri" w:hAnsi="Calibri"/>
                <w:sz w:val="20"/>
                <w:szCs w:val="20"/>
              </w:rPr>
            </w:pPr>
            <w:r w:rsidRPr="0043660E">
              <w:rPr>
                <w:rFonts w:ascii="Calibri" w:hAnsi="Calibri"/>
                <w:sz w:val="20"/>
                <w:szCs w:val="20"/>
              </w:rPr>
              <w:t>Movements in the market value of Investment Properties</w:t>
            </w:r>
          </w:p>
        </w:tc>
        <w:tc>
          <w:tcPr>
            <w:tcW w:w="1160" w:type="dxa"/>
            <w:tcBorders>
              <w:top w:val="nil"/>
              <w:left w:val="single" w:sz="4" w:space="0" w:color="auto"/>
              <w:bottom w:val="nil"/>
              <w:right w:val="single" w:sz="4" w:space="0" w:color="auto"/>
            </w:tcBorders>
            <w:shd w:val="clear" w:color="auto" w:fill="auto"/>
            <w:noWrap/>
            <w:vAlign w:val="bottom"/>
            <w:hideMark/>
          </w:tcPr>
          <w:p w:rsidR="0043660E" w:rsidRPr="0043660E" w:rsidRDefault="0043660E" w:rsidP="00DC56C0">
            <w:pPr>
              <w:jc w:val="right"/>
              <w:rPr>
                <w:rFonts w:ascii="Calibri" w:hAnsi="Calibri"/>
              </w:rPr>
            </w:pPr>
            <w:r w:rsidRPr="0043660E">
              <w:rPr>
                <w:rFonts w:ascii="Calibri" w:hAnsi="Calibri"/>
              </w:rPr>
              <w:t>37</w:t>
            </w:r>
          </w:p>
        </w:tc>
        <w:tc>
          <w:tcPr>
            <w:tcW w:w="1520" w:type="dxa"/>
            <w:tcBorders>
              <w:top w:val="nil"/>
              <w:left w:val="nil"/>
              <w:bottom w:val="nil"/>
              <w:right w:val="single" w:sz="4" w:space="0" w:color="auto"/>
            </w:tcBorders>
            <w:shd w:val="clear" w:color="auto" w:fill="auto"/>
            <w:noWrap/>
            <w:vAlign w:val="bottom"/>
            <w:hideMark/>
          </w:tcPr>
          <w:p w:rsidR="0043660E" w:rsidRPr="0043660E" w:rsidRDefault="0043660E" w:rsidP="00DC56C0">
            <w:pPr>
              <w:jc w:val="right"/>
              <w:rPr>
                <w:rFonts w:ascii="Calibri" w:hAnsi="Calibri"/>
              </w:rPr>
            </w:pPr>
            <w:r w:rsidRPr="0043660E">
              <w:rPr>
                <w:rFonts w:ascii="Calibri" w:hAnsi="Calibri"/>
              </w:rPr>
              <w:t> </w:t>
            </w:r>
          </w:p>
        </w:tc>
        <w:tc>
          <w:tcPr>
            <w:tcW w:w="1480" w:type="dxa"/>
            <w:tcBorders>
              <w:top w:val="nil"/>
              <w:left w:val="nil"/>
              <w:bottom w:val="nil"/>
              <w:right w:val="single" w:sz="4" w:space="0" w:color="auto"/>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360" w:type="dxa"/>
            <w:tcBorders>
              <w:top w:val="nil"/>
              <w:left w:val="nil"/>
              <w:bottom w:val="nil"/>
              <w:right w:val="single" w:sz="4" w:space="0" w:color="auto"/>
            </w:tcBorders>
            <w:shd w:val="clear" w:color="auto" w:fill="auto"/>
            <w:noWrap/>
            <w:vAlign w:val="bottom"/>
            <w:hideMark/>
          </w:tcPr>
          <w:p w:rsidR="0043660E" w:rsidRPr="0043660E" w:rsidRDefault="0043660E" w:rsidP="00DC56C0">
            <w:pPr>
              <w:jc w:val="right"/>
              <w:rPr>
                <w:rFonts w:ascii="Calibri" w:hAnsi="Calibri"/>
              </w:rPr>
            </w:pPr>
            <w:r w:rsidRPr="0043660E">
              <w:rPr>
                <w:rFonts w:ascii="Calibri" w:hAnsi="Calibri"/>
              </w:rPr>
              <w:t>(37)</w:t>
            </w:r>
          </w:p>
        </w:tc>
        <w:tc>
          <w:tcPr>
            <w:tcW w:w="1420" w:type="dxa"/>
            <w:tcBorders>
              <w:top w:val="nil"/>
              <w:left w:val="nil"/>
              <w:bottom w:val="nil"/>
              <w:right w:val="single" w:sz="4" w:space="0" w:color="auto"/>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380" w:type="dxa"/>
            <w:tcBorders>
              <w:top w:val="nil"/>
              <w:left w:val="nil"/>
              <w:bottom w:val="nil"/>
              <w:right w:val="nil"/>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012" w:type="dxa"/>
            <w:tcBorders>
              <w:top w:val="nil"/>
              <w:left w:val="single" w:sz="4" w:space="0" w:color="auto"/>
              <w:bottom w:val="nil"/>
              <w:right w:val="single" w:sz="4" w:space="0" w:color="auto"/>
            </w:tcBorders>
            <w:shd w:val="clear" w:color="auto" w:fill="auto"/>
            <w:noWrap/>
            <w:vAlign w:val="bottom"/>
            <w:hideMark/>
          </w:tcPr>
          <w:p w:rsidR="0043660E" w:rsidRPr="0043660E" w:rsidRDefault="0043660E" w:rsidP="00DC56C0">
            <w:pPr>
              <w:jc w:val="right"/>
            </w:pPr>
            <w:r w:rsidRPr="0043660E">
              <w:t> </w:t>
            </w:r>
          </w:p>
        </w:tc>
      </w:tr>
      <w:tr w:rsidR="0043660E" w:rsidRPr="0043660E" w:rsidTr="00580DC5">
        <w:trPr>
          <w:trHeight w:val="315"/>
        </w:trPr>
        <w:tc>
          <w:tcPr>
            <w:tcW w:w="6208" w:type="dxa"/>
            <w:tcBorders>
              <w:top w:val="nil"/>
              <w:left w:val="nil"/>
              <w:bottom w:val="nil"/>
              <w:right w:val="nil"/>
            </w:tcBorders>
            <w:shd w:val="clear" w:color="auto" w:fill="auto"/>
            <w:hideMark/>
          </w:tcPr>
          <w:p w:rsidR="0043660E" w:rsidRPr="0043660E" w:rsidRDefault="0043660E" w:rsidP="0043660E">
            <w:pPr>
              <w:rPr>
                <w:rFonts w:ascii="Calibri" w:hAnsi="Calibri"/>
                <w:sz w:val="20"/>
                <w:szCs w:val="20"/>
              </w:rPr>
            </w:pPr>
            <w:r w:rsidRPr="0043660E">
              <w:rPr>
                <w:rFonts w:ascii="Calibri" w:hAnsi="Calibri"/>
                <w:sz w:val="20"/>
                <w:szCs w:val="20"/>
              </w:rPr>
              <w:t>Amortisation of intangible assets</w:t>
            </w:r>
          </w:p>
        </w:tc>
        <w:tc>
          <w:tcPr>
            <w:tcW w:w="1160" w:type="dxa"/>
            <w:tcBorders>
              <w:top w:val="nil"/>
              <w:left w:val="single" w:sz="4" w:space="0" w:color="auto"/>
              <w:bottom w:val="nil"/>
              <w:right w:val="single" w:sz="4" w:space="0" w:color="auto"/>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r w:rsidR="0043660E" w:rsidRPr="0043660E">
              <w:rPr>
                <w:rFonts w:ascii="Calibri" w:hAnsi="Calibri"/>
              </w:rPr>
              <w:t> </w:t>
            </w:r>
          </w:p>
        </w:tc>
        <w:tc>
          <w:tcPr>
            <w:tcW w:w="1520" w:type="dxa"/>
            <w:tcBorders>
              <w:top w:val="nil"/>
              <w:left w:val="nil"/>
              <w:bottom w:val="nil"/>
              <w:right w:val="single" w:sz="4" w:space="0" w:color="auto"/>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480" w:type="dxa"/>
            <w:tcBorders>
              <w:top w:val="nil"/>
              <w:left w:val="nil"/>
              <w:bottom w:val="nil"/>
              <w:right w:val="single" w:sz="4" w:space="0" w:color="auto"/>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360" w:type="dxa"/>
            <w:tcBorders>
              <w:top w:val="nil"/>
              <w:left w:val="nil"/>
              <w:bottom w:val="nil"/>
              <w:right w:val="single" w:sz="4" w:space="0" w:color="auto"/>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420" w:type="dxa"/>
            <w:tcBorders>
              <w:top w:val="nil"/>
              <w:left w:val="nil"/>
              <w:bottom w:val="nil"/>
              <w:right w:val="single" w:sz="4" w:space="0" w:color="auto"/>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380" w:type="dxa"/>
            <w:tcBorders>
              <w:top w:val="nil"/>
              <w:left w:val="nil"/>
              <w:bottom w:val="nil"/>
              <w:right w:val="nil"/>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012" w:type="dxa"/>
            <w:tcBorders>
              <w:top w:val="nil"/>
              <w:left w:val="single" w:sz="4" w:space="0" w:color="auto"/>
              <w:bottom w:val="nil"/>
              <w:right w:val="single" w:sz="4" w:space="0" w:color="auto"/>
            </w:tcBorders>
            <w:shd w:val="clear" w:color="auto" w:fill="auto"/>
            <w:noWrap/>
            <w:vAlign w:val="bottom"/>
            <w:hideMark/>
          </w:tcPr>
          <w:p w:rsidR="0043660E" w:rsidRPr="0043660E" w:rsidRDefault="00580DC5" w:rsidP="00DC56C0">
            <w:pPr>
              <w:jc w:val="right"/>
            </w:pPr>
            <w:r>
              <w:t>-</w:t>
            </w:r>
          </w:p>
        </w:tc>
      </w:tr>
      <w:tr w:rsidR="0043660E" w:rsidRPr="0043660E" w:rsidTr="00580DC5">
        <w:trPr>
          <w:trHeight w:val="315"/>
        </w:trPr>
        <w:tc>
          <w:tcPr>
            <w:tcW w:w="6208" w:type="dxa"/>
            <w:tcBorders>
              <w:top w:val="nil"/>
              <w:left w:val="nil"/>
              <w:bottom w:val="nil"/>
              <w:right w:val="nil"/>
            </w:tcBorders>
            <w:shd w:val="clear" w:color="auto" w:fill="auto"/>
            <w:hideMark/>
          </w:tcPr>
          <w:p w:rsidR="0043660E" w:rsidRPr="0043660E" w:rsidRDefault="0043660E" w:rsidP="0043660E">
            <w:pPr>
              <w:rPr>
                <w:rFonts w:ascii="Calibri" w:hAnsi="Calibri"/>
                <w:sz w:val="20"/>
                <w:szCs w:val="20"/>
              </w:rPr>
            </w:pPr>
            <w:r w:rsidRPr="0043660E">
              <w:rPr>
                <w:rFonts w:ascii="Calibri" w:hAnsi="Calibri"/>
                <w:sz w:val="20"/>
                <w:szCs w:val="20"/>
              </w:rPr>
              <w:t>Capital grants and contributions applied</w:t>
            </w:r>
          </w:p>
        </w:tc>
        <w:tc>
          <w:tcPr>
            <w:tcW w:w="1160" w:type="dxa"/>
            <w:tcBorders>
              <w:top w:val="nil"/>
              <w:left w:val="single" w:sz="4" w:space="0" w:color="auto"/>
              <w:bottom w:val="nil"/>
              <w:right w:val="single" w:sz="4" w:space="0" w:color="auto"/>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520" w:type="dxa"/>
            <w:tcBorders>
              <w:top w:val="nil"/>
              <w:left w:val="nil"/>
              <w:bottom w:val="nil"/>
              <w:right w:val="single" w:sz="4" w:space="0" w:color="auto"/>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480" w:type="dxa"/>
            <w:tcBorders>
              <w:top w:val="nil"/>
              <w:left w:val="nil"/>
              <w:bottom w:val="nil"/>
              <w:right w:val="single" w:sz="4" w:space="0" w:color="auto"/>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360" w:type="dxa"/>
            <w:tcBorders>
              <w:top w:val="nil"/>
              <w:left w:val="nil"/>
              <w:bottom w:val="nil"/>
              <w:right w:val="single" w:sz="4" w:space="0" w:color="auto"/>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420" w:type="dxa"/>
            <w:tcBorders>
              <w:top w:val="nil"/>
              <w:left w:val="nil"/>
              <w:bottom w:val="nil"/>
              <w:right w:val="single" w:sz="4" w:space="0" w:color="auto"/>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380" w:type="dxa"/>
            <w:tcBorders>
              <w:top w:val="nil"/>
              <w:left w:val="nil"/>
              <w:bottom w:val="nil"/>
              <w:right w:val="nil"/>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012" w:type="dxa"/>
            <w:tcBorders>
              <w:top w:val="nil"/>
              <w:left w:val="single" w:sz="4" w:space="0" w:color="auto"/>
              <w:bottom w:val="nil"/>
              <w:right w:val="single" w:sz="4" w:space="0" w:color="auto"/>
            </w:tcBorders>
            <w:shd w:val="clear" w:color="auto" w:fill="auto"/>
            <w:noWrap/>
            <w:vAlign w:val="bottom"/>
            <w:hideMark/>
          </w:tcPr>
          <w:p w:rsidR="0043660E" w:rsidRPr="0043660E" w:rsidRDefault="00580DC5" w:rsidP="00DC56C0">
            <w:pPr>
              <w:jc w:val="right"/>
            </w:pPr>
            <w:r>
              <w:t>-</w:t>
            </w:r>
          </w:p>
        </w:tc>
      </w:tr>
      <w:tr w:rsidR="0043660E" w:rsidRPr="0043660E" w:rsidTr="00580DC5">
        <w:trPr>
          <w:trHeight w:val="315"/>
        </w:trPr>
        <w:tc>
          <w:tcPr>
            <w:tcW w:w="6208" w:type="dxa"/>
            <w:tcBorders>
              <w:top w:val="nil"/>
              <w:left w:val="nil"/>
              <w:bottom w:val="nil"/>
              <w:right w:val="nil"/>
            </w:tcBorders>
            <w:shd w:val="clear" w:color="auto" w:fill="auto"/>
            <w:hideMark/>
          </w:tcPr>
          <w:p w:rsidR="0043660E" w:rsidRPr="0043660E" w:rsidRDefault="0043660E" w:rsidP="0043660E">
            <w:pPr>
              <w:rPr>
                <w:rFonts w:ascii="Calibri" w:hAnsi="Calibri"/>
                <w:sz w:val="20"/>
                <w:szCs w:val="20"/>
              </w:rPr>
            </w:pPr>
            <w:r w:rsidRPr="0043660E">
              <w:rPr>
                <w:rFonts w:ascii="Calibri" w:hAnsi="Calibri"/>
                <w:sz w:val="20"/>
                <w:szCs w:val="20"/>
              </w:rPr>
              <w:t>Revenue expenditure funded from capital under statute</w:t>
            </w:r>
          </w:p>
        </w:tc>
        <w:tc>
          <w:tcPr>
            <w:tcW w:w="1160" w:type="dxa"/>
            <w:tcBorders>
              <w:top w:val="nil"/>
              <w:left w:val="single" w:sz="4" w:space="0" w:color="auto"/>
              <w:bottom w:val="nil"/>
              <w:right w:val="single" w:sz="4" w:space="0" w:color="auto"/>
            </w:tcBorders>
            <w:shd w:val="clear" w:color="auto" w:fill="auto"/>
            <w:noWrap/>
            <w:vAlign w:val="bottom"/>
            <w:hideMark/>
          </w:tcPr>
          <w:p w:rsidR="0043660E" w:rsidRPr="0043660E" w:rsidRDefault="0043660E" w:rsidP="00DC56C0">
            <w:pPr>
              <w:jc w:val="right"/>
              <w:rPr>
                <w:rFonts w:ascii="Calibri" w:hAnsi="Calibri"/>
              </w:rPr>
            </w:pPr>
            <w:r w:rsidRPr="0043660E">
              <w:rPr>
                <w:rFonts w:ascii="Calibri" w:hAnsi="Calibri"/>
              </w:rPr>
              <w:t>(11,293)</w:t>
            </w:r>
          </w:p>
        </w:tc>
        <w:tc>
          <w:tcPr>
            <w:tcW w:w="1520" w:type="dxa"/>
            <w:tcBorders>
              <w:top w:val="nil"/>
              <w:left w:val="nil"/>
              <w:bottom w:val="nil"/>
              <w:right w:val="single" w:sz="4" w:space="0" w:color="auto"/>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r w:rsidR="0043660E" w:rsidRPr="0043660E">
              <w:rPr>
                <w:rFonts w:ascii="Calibri" w:hAnsi="Calibri"/>
              </w:rPr>
              <w:t> </w:t>
            </w:r>
          </w:p>
        </w:tc>
        <w:tc>
          <w:tcPr>
            <w:tcW w:w="1480" w:type="dxa"/>
            <w:tcBorders>
              <w:top w:val="nil"/>
              <w:left w:val="nil"/>
              <w:bottom w:val="nil"/>
              <w:right w:val="single" w:sz="4" w:space="0" w:color="auto"/>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360" w:type="dxa"/>
            <w:tcBorders>
              <w:top w:val="nil"/>
              <w:left w:val="nil"/>
              <w:bottom w:val="nil"/>
              <w:right w:val="single" w:sz="4" w:space="0" w:color="auto"/>
            </w:tcBorders>
            <w:shd w:val="clear" w:color="auto" w:fill="auto"/>
            <w:noWrap/>
            <w:vAlign w:val="bottom"/>
            <w:hideMark/>
          </w:tcPr>
          <w:p w:rsidR="0043660E" w:rsidRPr="0043660E" w:rsidRDefault="0043660E" w:rsidP="00DC56C0">
            <w:pPr>
              <w:jc w:val="right"/>
              <w:rPr>
                <w:rFonts w:ascii="Calibri" w:hAnsi="Calibri"/>
              </w:rPr>
            </w:pPr>
            <w:r w:rsidRPr="0043660E">
              <w:rPr>
                <w:rFonts w:ascii="Calibri" w:hAnsi="Calibri"/>
              </w:rPr>
              <w:t>11,293</w:t>
            </w:r>
          </w:p>
        </w:tc>
        <w:tc>
          <w:tcPr>
            <w:tcW w:w="1420" w:type="dxa"/>
            <w:tcBorders>
              <w:top w:val="nil"/>
              <w:left w:val="nil"/>
              <w:bottom w:val="nil"/>
              <w:right w:val="single" w:sz="4" w:space="0" w:color="auto"/>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380" w:type="dxa"/>
            <w:tcBorders>
              <w:top w:val="nil"/>
              <w:left w:val="nil"/>
              <w:bottom w:val="nil"/>
              <w:right w:val="nil"/>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012" w:type="dxa"/>
            <w:tcBorders>
              <w:top w:val="nil"/>
              <w:left w:val="single" w:sz="4" w:space="0" w:color="auto"/>
              <w:bottom w:val="nil"/>
              <w:right w:val="single" w:sz="4" w:space="0" w:color="auto"/>
            </w:tcBorders>
            <w:shd w:val="clear" w:color="auto" w:fill="auto"/>
            <w:noWrap/>
            <w:vAlign w:val="bottom"/>
            <w:hideMark/>
          </w:tcPr>
          <w:p w:rsidR="0043660E" w:rsidRPr="0043660E" w:rsidRDefault="00580DC5" w:rsidP="00DC56C0">
            <w:pPr>
              <w:jc w:val="right"/>
            </w:pPr>
            <w:r>
              <w:t>-</w:t>
            </w:r>
          </w:p>
        </w:tc>
      </w:tr>
      <w:tr w:rsidR="0043660E" w:rsidRPr="0043660E" w:rsidTr="00580DC5">
        <w:trPr>
          <w:trHeight w:val="510"/>
        </w:trPr>
        <w:tc>
          <w:tcPr>
            <w:tcW w:w="6208" w:type="dxa"/>
            <w:tcBorders>
              <w:top w:val="nil"/>
              <w:left w:val="nil"/>
              <w:bottom w:val="nil"/>
              <w:right w:val="nil"/>
            </w:tcBorders>
            <w:shd w:val="clear" w:color="auto" w:fill="auto"/>
            <w:hideMark/>
          </w:tcPr>
          <w:p w:rsidR="0043660E" w:rsidRPr="0043660E" w:rsidRDefault="0043660E" w:rsidP="0043660E">
            <w:pPr>
              <w:rPr>
                <w:rFonts w:ascii="Calibri" w:hAnsi="Calibri"/>
                <w:sz w:val="20"/>
                <w:szCs w:val="20"/>
              </w:rPr>
            </w:pPr>
            <w:r w:rsidRPr="0043660E">
              <w:rPr>
                <w:rFonts w:ascii="Calibri" w:hAnsi="Calibri"/>
                <w:sz w:val="20"/>
                <w:szCs w:val="20"/>
              </w:rPr>
              <w:t>Amounts of non current assets written off on disposal or sale as part of the gain/loss on disposal to the CIES</w:t>
            </w:r>
          </w:p>
        </w:tc>
        <w:tc>
          <w:tcPr>
            <w:tcW w:w="1160" w:type="dxa"/>
            <w:tcBorders>
              <w:top w:val="nil"/>
              <w:left w:val="single" w:sz="4" w:space="0" w:color="auto"/>
              <w:bottom w:val="nil"/>
              <w:right w:val="single" w:sz="4" w:space="0" w:color="auto"/>
            </w:tcBorders>
            <w:shd w:val="clear" w:color="auto" w:fill="auto"/>
            <w:noWrap/>
            <w:vAlign w:val="bottom"/>
            <w:hideMark/>
          </w:tcPr>
          <w:p w:rsidR="0043660E" w:rsidRPr="0043660E" w:rsidRDefault="0043660E" w:rsidP="00DC56C0">
            <w:pPr>
              <w:jc w:val="right"/>
              <w:rPr>
                <w:rFonts w:ascii="Calibri" w:hAnsi="Calibri"/>
              </w:rPr>
            </w:pPr>
            <w:r w:rsidRPr="0043660E">
              <w:rPr>
                <w:rFonts w:ascii="Calibri" w:hAnsi="Calibri"/>
              </w:rPr>
              <w:t>(106,074)</w:t>
            </w:r>
          </w:p>
        </w:tc>
        <w:tc>
          <w:tcPr>
            <w:tcW w:w="1520" w:type="dxa"/>
            <w:tcBorders>
              <w:top w:val="nil"/>
              <w:left w:val="nil"/>
              <w:bottom w:val="nil"/>
              <w:right w:val="single" w:sz="4" w:space="0" w:color="auto"/>
            </w:tcBorders>
            <w:shd w:val="clear" w:color="auto" w:fill="auto"/>
            <w:noWrap/>
            <w:vAlign w:val="bottom"/>
            <w:hideMark/>
          </w:tcPr>
          <w:p w:rsidR="0043660E" w:rsidRPr="0043660E" w:rsidRDefault="0043660E" w:rsidP="00DC56C0">
            <w:pPr>
              <w:jc w:val="right"/>
              <w:rPr>
                <w:rFonts w:ascii="Calibri" w:hAnsi="Calibri"/>
              </w:rPr>
            </w:pPr>
            <w:r w:rsidRPr="0043660E">
              <w:rPr>
                <w:rFonts w:ascii="Calibri" w:hAnsi="Calibri"/>
              </w:rPr>
              <w:t>(883)</w:t>
            </w:r>
          </w:p>
        </w:tc>
        <w:tc>
          <w:tcPr>
            <w:tcW w:w="1480" w:type="dxa"/>
            <w:tcBorders>
              <w:top w:val="nil"/>
              <w:left w:val="nil"/>
              <w:bottom w:val="nil"/>
              <w:right w:val="single" w:sz="4" w:space="0" w:color="auto"/>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r w:rsidR="0043660E" w:rsidRPr="0043660E">
              <w:rPr>
                <w:rFonts w:ascii="Calibri" w:hAnsi="Calibri"/>
              </w:rPr>
              <w:t> </w:t>
            </w:r>
          </w:p>
        </w:tc>
        <w:tc>
          <w:tcPr>
            <w:tcW w:w="1360" w:type="dxa"/>
            <w:tcBorders>
              <w:top w:val="nil"/>
              <w:left w:val="nil"/>
              <w:bottom w:val="nil"/>
              <w:right w:val="single" w:sz="4" w:space="0" w:color="auto"/>
            </w:tcBorders>
            <w:shd w:val="clear" w:color="auto" w:fill="auto"/>
            <w:noWrap/>
            <w:vAlign w:val="bottom"/>
            <w:hideMark/>
          </w:tcPr>
          <w:p w:rsidR="0043660E" w:rsidRPr="0043660E" w:rsidRDefault="0043660E" w:rsidP="00DC56C0">
            <w:pPr>
              <w:jc w:val="right"/>
              <w:rPr>
                <w:rFonts w:ascii="Calibri" w:hAnsi="Calibri"/>
              </w:rPr>
            </w:pPr>
            <w:r w:rsidRPr="0043660E">
              <w:rPr>
                <w:rFonts w:ascii="Calibri" w:hAnsi="Calibri"/>
              </w:rPr>
              <w:t>106,956</w:t>
            </w:r>
          </w:p>
        </w:tc>
        <w:tc>
          <w:tcPr>
            <w:tcW w:w="1420" w:type="dxa"/>
            <w:tcBorders>
              <w:top w:val="nil"/>
              <w:left w:val="nil"/>
              <w:bottom w:val="nil"/>
              <w:right w:val="single" w:sz="4" w:space="0" w:color="auto"/>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380" w:type="dxa"/>
            <w:tcBorders>
              <w:top w:val="nil"/>
              <w:left w:val="nil"/>
              <w:bottom w:val="nil"/>
              <w:right w:val="nil"/>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012" w:type="dxa"/>
            <w:tcBorders>
              <w:top w:val="nil"/>
              <w:left w:val="single" w:sz="4" w:space="0" w:color="auto"/>
              <w:bottom w:val="nil"/>
              <w:right w:val="single" w:sz="4" w:space="0" w:color="auto"/>
            </w:tcBorders>
            <w:shd w:val="clear" w:color="auto" w:fill="auto"/>
            <w:noWrap/>
            <w:vAlign w:val="bottom"/>
            <w:hideMark/>
          </w:tcPr>
          <w:p w:rsidR="0043660E" w:rsidRPr="0043660E" w:rsidRDefault="00580DC5" w:rsidP="00DC56C0">
            <w:pPr>
              <w:jc w:val="right"/>
            </w:pPr>
            <w:r>
              <w:t>-</w:t>
            </w:r>
          </w:p>
        </w:tc>
      </w:tr>
      <w:tr w:rsidR="0043660E" w:rsidRPr="0043660E" w:rsidTr="00580DC5">
        <w:trPr>
          <w:trHeight w:val="315"/>
        </w:trPr>
        <w:tc>
          <w:tcPr>
            <w:tcW w:w="6208" w:type="dxa"/>
            <w:tcBorders>
              <w:top w:val="nil"/>
              <w:left w:val="nil"/>
              <w:bottom w:val="nil"/>
              <w:right w:val="nil"/>
            </w:tcBorders>
            <w:shd w:val="clear" w:color="auto" w:fill="auto"/>
            <w:hideMark/>
          </w:tcPr>
          <w:p w:rsidR="0043660E" w:rsidRPr="0043660E" w:rsidRDefault="0043660E" w:rsidP="0043660E">
            <w:pPr>
              <w:rPr>
                <w:rFonts w:ascii="Calibri" w:hAnsi="Calibri"/>
                <w:sz w:val="20"/>
                <w:szCs w:val="20"/>
              </w:rPr>
            </w:pPr>
            <w:r w:rsidRPr="0043660E">
              <w:rPr>
                <w:rFonts w:ascii="Calibri" w:hAnsi="Calibri"/>
                <w:sz w:val="20"/>
                <w:szCs w:val="20"/>
              </w:rPr>
              <w:t>Revenue Contribution to Finance Capital Outlay</w:t>
            </w:r>
          </w:p>
        </w:tc>
        <w:tc>
          <w:tcPr>
            <w:tcW w:w="1160" w:type="dxa"/>
            <w:tcBorders>
              <w:top w:val="nil"/>
              <w:left w:val="single" w:sz="4" w:space="0" w:color="auto"/>
              <w:bottom w:val="nil"/>
              <w:right w:val="single" w:sz="4" w:space="0" w:color="auto"/>
            </w:tcBorders>
            <w:shd w:val="clear" w:color="auto" w:fill="auto"/>
            <w:noWrap/>
            <w:vAlign w:val="bottom"/>
            <w:hideMark/>
          </w:tcPr>
          <w:p w:rsidR="0043660E" w:rsidRPr="0043660E" w:rsidRDefault="0043660E" w:rsidP="00DC56C0">
            <w:pPr>
              <w:jc w:val="right"/>
              <w:rPr>
                <w:rFonts w:ascii="Calibri" w:hAnsi="Calibri"/>
              </w:rPr>
            </w:pPr>
            <w:r w:rsidRPr="0043660E">
              <w:rPr>
                <w:rFonts w:ascii="Calibri" w:hAnsi="Calibri"/>
              </w:rPr>
              <w:t>15,748</w:t>
            </w:r>
          </w:p>
        </w:tc>
        <w:tc>
          <w:tcPr>
            <w:tcW w:w="1520" w:type="dxa"/>
            <w:tcBorders>
              <w:top w:val="nil"/>
              <w:left w:val="nil"/>
              <w:bottom w:val="nil"/>
              <w:right w:val="single" w:sz="4" w:space="0" w:color="auto"/>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r w:rsidR="0043660E" w:rsidRPr="0043660E">
              <w:rPr>
                <w:rFonts w:ascii="Calibri" w:hAnsi="Calibri"/>
              </w:rPr>
              <w:t> </w:t>
            </w:r>
          </w:p>
        </w:tc>
        <w:tc>
          <w:tcPr>
            <w:tcW w:w="1480" w:type="dxa"/>
            <w:tcBorders>
              <w:top w:val="nil"/>
              <w:left w:val="nil"/>
              <w:bottom w:val="nil"/>
              <w:right w:val="single" w:sz="4" w:space="0" w:color="auto"/>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360" w:type="dxa"/>
            <w:tcBorders>
              <w:top w:val="nil"/>
              <w:left w:val="nil"/>
              <w:bottom w:val="nil"/>
              <w:right w:val="single" w:sz="4" w:space="0" w:color="auto"/>
            </w:tcBorders>
            <w:shd w:val="clear" w:color="auto" w:fill="auto"/>
            <w:noWrap/>
            <w:vAlign w:val="bottom"/>
            <w:hideMark/>
          </w:tcPr>
          <w:p w:rsidR="0043660E" w:rsidRPr="0043660E" w:rsidRDefault="0043660E" w:rsidP="00DC56C0">
            <w:pPr>
              <w:jc w:val="right"/>
              <w:rPr>
                <w:rFonts w:ascii="Calibri" w:hAnsi="Calibri"/>
              </w:rPr>
            </w:pPr>
            <w:r w:rsidRPr="0043660E">
              <w:rPr>
                <w:rFonts w:ascii="Calibri" w:hAnsi="Calibri"/>
              </w:rPr>
              <w:t>(15,748)</w:t>
            </w:r>
          </w:p>
        </w:tc>
        <w:tc>
          <w:tcPr>
            <w:tcW w:w="1420" w:type="dxa"/>
            <w:tcBorders>
              <w:top w:val="nil"/>
              <w:left w:val="nil"/>
              <w:bottom w:val="nil"/>
              <w:right w:val="single" w:sz="4" w:space="0" w:color="auto"/>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380" w:type="dxa"/>
            <w:tcBorders>
              <w:top w:val="nil"/>
              <w:left w:val="nil"/>
              <w:bottom w:val="nil"/>
              <w:right w:val="nil"/>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012" w:type="dxa"/>
            <w:tcBorders>
              <w:top w:val="nil"/>
              <w:left w:val="single" w:sz="4" w:space="0" w:color="auto"/>
              <w:bottom w:val="nil"/>
              <w:right w:val="single" w:sz="4" w:space="0" w:color="auto"/>
            </w:tcBorders>
            <w:shd w:val="clear" w:color="auto" w:fill="auto"/>
            <w:noWrap/>
            <w:vAlign w:val="bottom"/>
            <w:hideMark/>
          </w:tcPr>
          <w:p w:rsidR="0043660E" w:rsidRPr="0043660E" w:rsidRDefault="00580DC5" w:rsidP="00DC56C0">
            <w:pPr>
              <w:jc w:val="right"/>
            </w:pPr>
            <w:r>
              <w:t>-</w:t>
            </w:r>
          </w:p>
        </w:tc>
      </w:tr>
      <w:tr w:rsidR="0043660E" w:rsidRPr="0043660E" w:rsidTr="00580DC5">
        <w:trPr>
          <w:trHeight w:val="510"/>
        </w:trPr>
        <w:tc>
          <w:tcPr>
            <w:tcW w:w="6208" w:type="dxa"/>
            <w:tcBorders>
              <w:top w:val="nil"/>
              <w:left w:val="nil"/>
              <w:bottom w:val="nil"/>
              <w:right w:val="nil"/>
            </w:tcBorders>
            <w:shd w:val="clear" w:color="000000" w:fill="CCFFCC"/>
            <w:hideMark/>
          </w:tcPr>
          <w:p w:rsidR="0043660E" w:rsidRPr="0043660E" w:rsidRDefault="0043660E" w:rsidP="0043660E">
            <w:pPr>
              <w:rPr>
                <w:rFonts w:ascii="Calibri" w:hAnsi="Calibri"/>
                <w:b/>
                <w:bCs/>
                <w:i/>
                <w:iCs/>
                <w:sz w:val="20"/>
                <w:szCs w:val="20"/>
              </w:rPr>
            </w:pPr>
            <w:r w:rsidRPr="0043660E">
              <w:rPr>
                <w:rFonts w:ascii="Calibri" w:hAnsi="Calibri"/>
                <w:b/>
                <w:bCs/>
                <w:i/>
                <w:iCs/>
                <w:sz w:val="20"/>
                <w:szCs w:val="20"/>
              </w:rPr>
              <w:t>Inclusion of items not debited or credited to the Comprehensive Income and Expenditure Statement:</w:t>
            </w:r>
          </w:p>
        </w:tc>
        <w:tc>
          <w:tcPr>
            <w:tcW w:w="1160" w:type="dxa"/>
            <w:tcBorders>
              <w:top w:val="nil"/>
              <w:left w:val="single" w:sz="4" w:space="0" w:color="auto"/>
              <w:bottom w:val="nil"/>
              <w:right w:val="single" w:sz="4" w:space="0" w:color="auto"/>
            </w:tcBorders>
            <w:shd w:val="clear" w:color="auto" w:fill="auto"/>
            <w:noWrap/>
            <w:vAlign w:val="bottom"/>
            <w:hideMark/>
          </w:tcPr>
          <w:p w:rsidR="0043660E" w:rsidRPr="0043660E" w:rsidRDefault="0043660E" w:rsidP="00DC56C0">
            <w:pPr>
              <w:jc w:val="right"/>
              <w:rPr>
                <w:rFonts w:ascii="Calibri" w:hAnsi="Calibri"/>
              </w:rPr>
            </w:pPr>
            <w:r w:rsidRPr="0043660E">
              <w:rPr>
                <w:rFonts w:ascii="Calibri" w:hAnsi="Calibri"/>
              </w:rPr>
              <w:t> </w:t>
            </w:r>
          </w:p>
        </w:tc>
        <w:tc>
          <w:tcPr>
            <w:tcW w:w="1520" w:type="dxa"/>
            <w:tcBorders>
              <w:top w:val="nil"/>
              <w:left w:val="nil"/>
              <w:bottom w:val="nil"/>
              <w:right w:val="single" w:sz="4" w:space="0" w:color="auto"/>
            </w:tcBorders>
            <w:shd w:val="clear" w:color="auto" w:fill="auto"/>
            <w:noWrap/>
            <w:vAlign w:val="bottom"/>
            <w:hideMark/>
          </w:tcPr>
          <w:p w:rsidR="0043660E" w:rsidRPr="0043660E" w:rsidRDefault="0043660E" w:rsidP="00DC56C0">
            <w:pPr>
              <w:jc w:val="right"/>
              <w:rPr>
                <w:rFonts w:ascii="Calibri" w:hAnsi="Calibri"/>
              </w:rPr>
            </w:pPr>
            <w:r w:rsidRPr="0043660E">
              <w:rPr>
                <w:rFonts w:ascii="Calibri" w:hAnsi="Calibri"/>
              </w:rPr>
              <w:t> </w:t>
            </w:r>
          </w:p>
        </w:tc>
        <w:tc>
          <w:tcPr>
            <w:tcW w:w="1480" w:type="dxa"/>
            <w:tcBorders>
              <w:top w:val="nil"/>
              <w:left w:val="nil"/>
              <w:bottom w:val="nil"/>
              <w:right w:val="single" w:sz="4" w:space="0" w:color="auto"/>
            </w:tcBorders>
            <w:shd w:val="clear" w:color="auto" w:fill="auto"/>
            <w:noWrap/>
            <w:vAlign w:val="bottom"/>
            <w:hideMark/>
          </w:tcPr>
          <w:p w:rsidR="0043660E" w:rsidRPr="0043660E" w:rsidRDefault="0043660E" w:rsidP="00DC56C0">
            <w:pPr>
              <w:jc w:val="right"/>
              <w:rPr>
                <w:rFonts w:ascii="Calibri" w:hAnsi="Calibri"/>
              </w:rPr>
            </w:pPr>
            <w:r w:rsidRPr="0043660E">
              <w:rPr>
                <w:rFonts w:ascii="Calibri" w:hAnsi="Calibri"/>
              </w:rPr>
              <w:t> </w:t>
            </w:r>
          </w:p>
        </w:tc>
        <w:tc>
          <w:tcPr>
            <w:tcW w:w="1360" w:type="dxa"/>
            <w:tcBorders>
              <w:top w:val="nil"/>
              <w:left w:val="nil"/>
              <w:bottom w:val="nil"/>
              <w:right w:val="single" w:sz="4" w:space="0" w:color="auto"/>
            </w:tcBorders>
            <w:shd w:val="clear" w:color="auto" w:fill="auto"/>
            <w:noWrap/>
            <w:vAlign w:val="bottom"/>
            <w:hideMark/>
          </w:tcPr>
          <w:p w:rsidR="0043660E" w:rsidRPr="0043660E" w:rsidRDefault="0043660E" w:rsidP="00DC56C0">
            <w:pPr>
              <w:jc w:val="right"/>
              <w:rPr>
                <w:rFonts w:ascii="Calibri" w:hAnsi="Calibri"/>
              </w:rPr>
            </w:pPr>
            <w:r w:rsidRPr="0043660E">
              <w:rPr>
                <w:rFonts w:ascii="Calibri" w:hAnsi="Calibri"/>
              </w:rPr>
              <w:t> </w:t>
            </w:r>
          </w:p>
        </w:tc>
        <w:tc>
          <w:tcPr>
            <w:tcW w:w="1420" w:type="dxa"/>
            <w:tcBorders>
              <w:top w:val="nil"/>
              <w:left w:val="nil"/>
              <w:bottom w:val="nil"/>
              <w:right w:val="single" w:sz="4" w:space="0" w:color="auto"/>
            </w:tcBorders>
            <w:shd w:val="clear" w:color="auto" w:fill="auto"/>
            <w:noWrap/>
            <w:vAlign w:val="bottom"/>
            <w:hideMark/>
          </w:tcPr>
          <w:p w:rsidR="0043660E" w:rsidRPr="0043660E" w:rsidRDefault="0043660E" w:rsidP="00DC56C0">
            <w:pPr>
              <w:jc w:val="right"/>
              <w:rPr>
                <w:rFonts w:ascii="Calibri" w:hAnsi="Calibri"/>
              </w:rPr>
            </w:pPr>
            <w:r w:rsidRPr="0043660E">
              <w:rPr>
                <w:rFonts w:ascii="Calibri" w:hAnsi="Calibri"/>
              </w:rPr>
              <w:t> </w:t>
            </w:r>
          </w:p>
        </w:tc>
        <w:tc>
          <w:tcPr>
            <w:tcW w:w="1380" w:type="dxa"/>
            <w:tcBorders>
              <w:top w:val="nil"/>
              <w:left w:val="nil"/>
              <w:bottom w:val="nil"/>
              <w:right w:val="nil"/>
            </w:tcBorders>
            <w:shd w:val="clear" w:color="auto" w:fill="auto"/>
            <w:noWrap/>
            <w:vAlign w:val="bottom"/>
            <w:hideMark/>
          </w:tcPr>
          <w:p w:rsidR="0043660E" w:rsidRPr="0043660E" w:rsidRDefault="0043660E" w:rsidP="00DC56C0">
            <w:pPr>
              <w:jc w:val="right"/>
              <w:rPr>
                <w:rFonts w:ascii="Calibri" w:hAnsi="Calibri"/>
              </w:rPr>
            </w:pPr>
            <w:r w:rsidRPr="0043660E">
              <w:rPr>
                <w:rFonts w:ascii="Calibri" w:hAnsi="Calibri"/>
              </w:rPr>
              <w:t> </w:t>
            </w:r>
          </w:p>
        </w:tc>
        <w:tc>
          <w:tcPr>
            <w:tcW w:w="1012" w:type="dxa"/>
            <w:tcBorders>
              <w:top w:val="nil"/>
              <w:left w:val="single" w:sz="4" w:space="0" w:color="auto"/>
              <w:bottom w:val="nil"/>
              <w:right w:val="single" w:sz="4" w:space="0" w:color="auto"/>
            </w:tcBorders>
            <w:shd w:val="clear" w:color="auto" w:fill="auto"/>
            <w:noWrap/>
            <w:vAlign w:val="bottom"/>
            <w:hideMark/>
          </w:tcPr>
          <w:p w:rsidR="0043660E" w:rsidRPr="0043660E" w:rsidRDefault="0043660E" w:rsidP="00DC56C0">
            <w:pPr>
              <w:jc w:val="right"/>
            </w:pPr>
            <w:r w:rsidRPr="0043660E">
              <w:t> </w:t>
            </w:r>
          </w:p>
        </w:tc>
      </w:tr>
      <w:tr w:rsidR="0043660E" w:rsidRPr="0043660E" w:rsidTr="00580DC5">
        <w:trPr>
          <w:trHeight w:val="315"/>
        </w:trPr>
        <w:tc>
          <w:tcPr>
            <w:tcW w:w="6208" w:type="dxa"/>
            <w:tcBorders>
              <w:top w:val="nil"/>
              <w:left w:val="nil"/>
              <w:bottom w:val="nil"/>
              <w:right w:val="nil"/>
            </w:tcBorders>
            <w:shd w:val="clear" w:color="auto" w:fill="auto"/>
            <w:hideMark/>
          </w:tcPr>
          <w:p w:rsidR="0043660E" w:rsidRPr="0043660E" w:rsidRDefault="0043660E" w:rsidP="0043660E">
            <w:pPr>
              <w:rPr>
                <w:rFonts w:ascii="Calibri" w:hAnsi="Calibri"/>
                <w:sz w:val="20"/>
                <w:szCs w:val="20"/>
              </w:rPr>
            </w:pPr>
            <w:r w:rsidRPr="0043660E">
              <w:rPr>
                <w:rFonts w:ascii="Calibri" w:hAnsi="Calibri"/>
                <w:sz w:val="20"/>
                <w:szCs w:val="20"/>
              </w:rPr>
              <w:t>Statutory provision for the financing of capital investment (MRP)</w:t>
            </w:r>
          </w:p>
        </w:tc>
        <w:tc>
          <w:tcPr>
            <w:tcW w:w="1160" w:type="dxa"/>
            <w:tcBorders>
              <w:top w:val="nil"/>
              <w:left w:val="single" w:sz="4" w:space="0" w:color="auto"/>
              <w:bottom w:val="nil"/>
              <w:right w:val="single" w:sz="4" w:space="0" w:color="auto"/>
            </w:tcBorders>
            <w:shd w:val="clear" w:color="auto" w:fill="auto"/>
            <w:noWrap/>
            <w:vAlign w:val="bottom"/>
            <w:hideMark/>
          </w:tcPr>
          <w:p w:rsidR="0043660E" w:rsidRPr="0043660E" w:rsidRDefault="0043660E" w:rsidP="00DC56C0">
            <w:pPr>
              <w:jc w:val="right"/>
              <w:rPr>
                <w:rFonts w:ascii="Calibri" w:hAnsi="Calibri"/>
              </w:rPr>
            </w:pPr>
            <w:r w:rsidRPr="0043660E">
              <w:rPr>
                <w:rFonts w:ascii="Calibri" w:hAnsi="Calibri"/>
              </w:rPr>
              <w:t>26,193</w:t>
            </w:r>
          </w:p>
        </w:tc>
        <w:tc>
          <w:tcPr>
            <w:tcW w:w="1520" w:type="dxa"/>
            <w:tcBorders>
              <w:top w:val="nil"/>
              <w:left w:val="nil"/>
              <w:bottom w:val="nil"/>
              <w:right w:val="single" w:sz="4" w:space="0" w:color="auto"/>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r w:rsidR="0043660E" w:rsidRPr="0043660E">
              <w:rPr>
                <w:rFonts w:ascii="Calibri" w:hAnsi="Calibri"/>
              </w:rPr>
              <w:t> </w:t>
            </w:r>
          </w:p>
        </w:tc>
        <w:tc>
          <w:tcPr>
            <w:tcW w:w="1480" w:type="dxa"/>
            <w:tcBorders>
              <w:top w:val="nil"/>
              <w:left w:val="nil"/>
              <w:bottom w:val="nil"/>
              <w:right w:val="single" w:sz="4" w:space="0" w:color="auto"/>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360" w:type="dxa"/>
            <w:tcBorders>
              <w:top w:val="nil"/>
              <w:left w:val="nil"/>
              <w:bottom w:val="nil"/>
              <w:right w:val="single" w:sz="4" w:space="0" w:color="auto"/>
            </w:tcBorders>
            <w:shd w:val="clear" w:color="auto" w:fill="auto"/>
            <w:noWrap/>
            <w:vAlign w:val="bottom"/>
            <w:hideMark/>
          </w:tcPr>
          <w:p w:rsidR="0043660E" w:rsidRPr="0043660E" w:rsidRDefault="0043660E" w:rsidP="00DC56C0">
            <w:pPr>
              <w:jc w:val="right"/>
              <w:rPr>
                <w:rFonts w:ascii="Calibri" w:hAnsi="Calibri"/>
              </w:rPr>
            </w:pPr>
            <w:r w:rsidRPr="0043660E">
              <w:rPr>
                <w:rFonts w:ascii="Calibri" w:hAnsi="Calibri"/>
              </w:rPr>
              <w:t>(26,193)</w:t>
            </w:r>
          </w:p>
        </w:tc>
        <w:tc>
          <w:tcPr>
            <w:tcW w:w="1420" w:type="dxa"/>
            <w:tcBorders>
              <w:top w:val="nil"/>
              <w:left w:val="nil"/>
              <w:bottom w:val="nil"/>
              <w:right w:val="single" w:sz="4" w:space="0" w:color="auto"/>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380" w:type="dxa"/>
            <w:tcBorders>
              <w:top w:val="nil"/>
              <w:left w:val="nil"/>
              <w:bottom w:val="nil"/>
              <w:right w:val="nil"/>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012" w:type="dxa"/>
            <w:tcBorders>
              <w:top w:val="nil"/>
              <w:left w:val="single" w:sz="4" w:space="0" w:color="auto"/>
              <w:bottom w:val="nil"/>
              <w:right w:val="single" w:sz="4" w:space="0" w:color="auto"/>
            </w:tcBorders>
            <w:shd w:val="clear" w:color="auto" w:fill="auto"/>
            <w:noWrap/>
            <w:vAlign w:val="bottom"/>
            <w:hideMark/>
          </w:tcPr>
          <w:p w:rsidR="0043660E" w:rsidRPr="0043660E" w:rsidRDefault="00580DC5" w:rsidP="00DC56C0">
            <w:pPr>
              <w:jc w:val="right"/>
            </w:pPr>
            <w:r>
              <w:t>-</w:t>
            </w:r>
          </w:p>
        </w:tc>
      </w:tr>
      <w:tr w:rsidR="0043660E" w:rsidRPr="0043660E" w:rsidTr="00580DC5">
        <w:trPr>
          <w:trHeight w:val="315"/>
        </w:trPr>
        <w:tc>
          <w:tcPr>
            <w:tcW w:w="6208" w:type="dxa"/>
            <w:tcBorders>
              <w:top w:val="nil"/>
              <w:left w:val="nil"/>
              <w:bottom w:val="nil"/>
              <w:right w:val="nil"/>
            </w:tcBorders>
            <w:shd w:val="clear" w:color="auto" w:fill="auto"/>
            <w:hideMark/>
          </w:tcPr>
          <w:p w:rsidR="0043660E" w:rsidRPr="0043660E" w:rsidRDefault="0043660E" w:rsidP="0043660E">
            <w:pPr>
              <w:rPr>
                <w:rFonts w:ascii="Calibri" w:hAnsi="Calibri"/>
                <w:sz w:val="20"/>
                <w:szCs w:val="20"/>
              </w:rPr>
            </w:pPr>
            <w:r w:rsidRPr="0043660E">
              <w:rPr>
                <w:rFonts w:ascii="Calibri" w:hAnsi="Calibri"/>
                <w:sz w:val="20"/>
                <w:szCs w:val="20"/>
              </w:rPr>
              <w:t>Statutory provision for the financing of finance lease liabilities (MRP)</w:t>
            </w:r>
          </w:p>
        </w:tc>
        <w:tc>
          <w:tcPr>
            <w:tcW w:w="1160" w:type="dxa"/>
            <w:tcBorders>
              <w:top w:val="nil"/>
              <w:left w:val="single" w:sz="4" w:space="0" w:color="auto"/>
              <w:bottom w:val="nil"/>
              <w:right w:val="single" w:sz="4" w:space="0" w:color="auto"/>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r w:rsidR="0043660E" w:rsidRPr="0043660E">
              <w:rPr>
                <w:rFonts w:ascii="Calibri" w:hAnsi="Calibri"/>
              </w:rPr>
              <w:t> </w:t>
            </w:r>
          </w:p>
        </w:tc>
        <w:tc>
          <w:tcPr>
            <w:tcW w:w="1520" w:type="dxa"/>
            <w:tcBorders>
              <w:top w:val="nil"/>
              <w:left w:val="nil"/>
              <w:bottom w:val="nil"/>
              <w:right w:val="single" w:sz="4" w:space="0" w:color="auto"/>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480" w:type="dxa"/>
            <w:tcBorders>
              <w:top w:val="nil"/>
              <w:left w:val="nil"/>
              <w:bottom w:val="nil"/>
              <w:right w:val="single" w:sz="4" w:space="0" w:color="auto"/>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360" w:type="dxa"/>
            <w:tcBorders>
              <w:top w:val="nil"/>
              <w:left w:val="nil"/>
              <w:bottom w:val="nil"/>
              <w:right w:val="single" w:sz="4" w:space="0" w:color="auto"/>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420" w:type="dxa"/>
            <w:tcBorders>
              <w:top w:val="nil"/>
              <w:left w:val="nil"/>
              <w:bottom w:val="nil"/>
              <w:right w:val="single" w:sz="4" w:space="0" w:color="auto"/>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380" w:type="dxa"/>
            <w:tcBorders>
              <w:top w:val="nil"/>
              <w:left w:val="nil"/>
              <w:bottom w:val="nil"/>
              <w:right w:val="nil"/>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012" w:type="dxa"/>
            <w:tcBorders>
              <w:top w:val="nil"/>
              <w:left w:val="single" w:sz="4" w:space="0" w:color="auto"/>
              <w:bottom w:val="nil"/>
              <w:right w:val="single" w:sz="4" w:space="0" w:color="auto"/>
            </w:tcBorders>
            <w:shd w:val="clear" w:color="auto" w:fill="auto"/>
            <w:noWrap/>
            <w:vAlign w:val="bottom"/>
            <w:hideMark/>
          </w:tcPr>
          <w:p w:rsidR="0043660E" w:rsidRPr="0043660E" w:rsidRDefault="00580DC5" w:rsidP="00DC56C0">
            <w:pPr>
              <w:jc w:val="right"/>
            </w:pPr>
            <w:r>
              <w:t>-</w:t>
            </w:r>
          </w:p>
        </w:tc>
      </w:tr>
      <w:tr w:rsidR="0043660E" w:rsidRPr="0043660E" w:rsidTr="00580DC5">
        <w:trPr>
          <w:trHeight w:val="315"/>
        </w:trPr>
        <w:tc>
          <w:tcPr>
            <w:tcW w:w="6208" w:type="dxa"/>
            <w:tcBorders>
              <w:top w:val="nil"/>
              <w:left w:val="nil"/>
              <w:bottom w:val="nil"/>
              <w:right w:val="nil"/>
            </w:tcBorders>
            <w:shd w:val="clear" w:color="auto" w:fill="auto"/>
            <w:hideMark/>
          </w:tcPr>
          <w:p w:rsidR="0043660E" w:rsidRPr="0043660E" w:rsidRDefault="0043660E" w:rsidP="0043660E">
            <w:pPr>
              <w:rPr>
                <w:rFonts w:ascii="Calibri" w:hAnsi="Calibri"/>
                <w:sz w:val="20"/>
                <w:szCs w:val="20"/>
              </w:rPr>
            </w:pPr>
            <w:r w:rsidRPr="0043660E">
              <w:rPr>
                <w:rFonts w:ascii="Calibri" w:hAnsi="Calibri"/>
                <w:sz w:val="20"/>
                <w:szCs w:val="20"/>
              </w:rPr>
              <w:lastRenderedPageBreak/>
              <w:t>Statutory provision for the financing of capital investment (MRP PFI)</w:t>
            </w:r>
          </w:p>
        </w:tc>
        <w:tc>
          <w:tcPr>
            <w:tcW w:w="1160" w:type="dxa"/>
            <w:tcBorders>
              <w:top w:val="nil"/>
              <w:left w:val="single" w:sz="4" w:space="0" w:color="auto"/>
              <w:bottom w:val="nil"/>
              <w:right w:val="single" w:sz="4" w:space="0" w:color="auto"/>
            </w:tcBorders>
            <w:shd w:val="clear" w:color="auto" w:fill="auto"/>
            <w:noWrap/>
            <w:vAlign w:val="bottom"/>
            <w:hideMark/>
          </w:tcPr>
          <w:p w:rsidR="0043660E" w:rsidRPr="0043660E" w:rsidRDefault="0043660E" w:rsidP="00DC56C0">
            <w:pPr>
              <w:jc w:val="right"/>
              <w:rPr>
                <w:rFonts w:ascii="Calibri" w:hAnsi="Calibri"/>
              </w:rPr>
            </w:pPr>
            <w:r w:rsidRPr="0043660E">
              <w:rPr>
                <w:rFonts w:ascii="Calibri" w:hAnsi="Calibri"/>
              </w:rPr>
              <w:t>17,945</w:t>
            </w:r>
          </w:p>
        </w:tc>
        <w:tc>
          <w:tcPr>
            <w:tcW w:w="1520" w:type="dxa"/>
            <w:tcBorders>
              <w:top w:val="nil"/>
              <w:left w:val="nil"/>
              <w:bottom w:val="nil"/>
              <w:right w:val="single" w:sz="4" w:space="0" w:color="auto"/>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r w:rsidR="0043660E" w:rsidRPr="0043660E">
              <w:rPr>
                <w:rFonts w:ascii="Calibri" w:hAnsi="Calibri"/>
              </w:rPr>
              <w:t> </w:t>
            </w:r>
          </w:p>
        </w:tc>
        <w:tc>
          <w:tcPr>
            <w:tcW w:w="1480" w:type="dxa"/>
            <w:tcBorders>
              <w:top w:val="nil"/>
              <w:left w:val="nil"/>
              <w:bottom w:val="nil"/>
              <w:right w:val="single" w:sz="4" w:space="0" w:color="auto"/>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360" w:type="dxa"/>
            <w:tcBorders>
              <w:top w:val="nil"/>
              <w:left w:val="nil"/>
              <w:bottom w:val="nil"/>
              <w:right w:val="single" w:sz="4" w:space="0" w:color="auto"/>
            </w:tcBorders>
            <w:shd w:val="clear" w:color="auto" w:fill="auto"/>
            <w:noWrap/>
            <w:vAlign w:val="bottom"/>
            <w:hideMark/>
          </w:tcPr>
          <w:p w:rsidR="0043660E" w:rsidRPr="0043660E" w:rsidRDefault="0043660E" w:rsidP="00DC56C0">
            <w:pPr>
              <w:jc w:val="right"/>
              <w:rPr>
                <w:rFonts w:ascii="Calibri" w:hAnsi="Calibri"/>
              </w:rPr>
            </w:pPr>
            <w:r w:rsidRPr="0043660E">
              <w:rPr>
                <w:rFonts w:ascii="Calibri" w:hAnsi="Calibri"/>
              </w:rPr>
              <w:t>(17,945)</w:t>
            </w:r>
          </w:p>
        </w:tc>
        <w:tc>
          <w:tcPr>
            <w:tcW w:w="1420" w:type="dxa"/>
            <w:tcBorders>
              <w:top w:val="nil"/>
              <w:left w:val="nil"/>
              <w:bottom w:val="nil"/>
              <w:right w:val="single" w:sz="4" w:space="0" w:color="auto"/>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380" w:type="dxa"/>
            <w:tcBorders>
              <w:top w:val="nil"/>
              <w:left w:val="nil"/>
              <w:bottom w:val="nil"/>
              <w:right w:val="nil"/>
            </w:tcBorders>
            <w:shd w:val="clear" w:color="auto" w:fill="auto"/>
            <w:noWrap/>
            <w:vAlign w:val="bottom"/>
            <w:hideMark/>
          </w:tcPr>
          <w:p w:rsidR="0043660E" w:rsidRPr="0043660E" w:rsidRDefault="00580DC5" w:rsidP="00DC56C0">
            <w:pPr>
              <w:jc w:val="right"/>
              <w:rPr>
                <w:rFonts w:ascii="Calibri" w:hAnsi="Calibri"/>
              </w:rPr>
            </w:pPr>
            <w:r>
              <w:rPr>
                <w:rFonts w:ascii="Calibri" w:hAnsi="Calibri"/>
              </w:rPr>
              <w:t>-</w:t>
            </w:r>
          </w:p>
        </w:tc>
        <w:tc>
          <w:tcPr>
            <w:tcW w:w="1012" w:type="dxa"/>
            <w:tcBorders>
              <w:top w:val="nil"/>
              <w:left w:val="single" w:sz="4" w:space="0" w:color="auto"/>
              <w:bottom w:val="nil"/>
              <w:right w:val="single" w:sz="4" w:space="0" w:color="auto"/>
            </w:tcBorders>
            <w:shd w:val="clear" w:color="auto" w:fill="auto"/>
            <w:noWrap/>
            <w:vAlign w:val="bottom"/>
            <w:hideMark/>
          </w:tcPr>
          <w:p w:rsidR="0043660E" w:rsidRPr="0043660E" w:rsidRDefault="00580DC5" w:rsidP="00DC56C0">
            <w:pPr>
              <w:jc w:val="right"/>
            </w:pPr>
            <w:r>
              <w:t>-</w:t>
            </w:r>
          </w:p>
        </w:tc>
      </w:tr>
      <w:tr w:rsidR="00580DC5" w:rsidRPr="0043660E" w:rsidTr="00580DC5">
        <w:trPr>
          <w:trHeight w:val="510"/>
        </w:trPr>
        <w:tc>
          <w:tcPr>
            <w:tcW w:w="6208" w:type="dxa"/>
            <w:tcBorders>
              <w:top w:val="nil"/>
              <w:left w:val="nil"/>
              <w:bottom w:val="nil"/>
              <w:right w:val="nil"/>
            </w:tcBorders>
            <w:shd w:val="clear" w:color="auto" w:fill="auto"/>
            <w:hideMark/>
          </w:tcPr>
          <w:p w:rsidR="00580DC5" w:rsidRPr="0043660E" w:rsidRDefault="00580DC5" w:rsidP="0043660E">
            <w:pPr>
              <w:rPr>
                <w:rFonts w:ascii="Calibri" w:hAnsi="Calibri"/>
                <w:sz w:val="20"/>
                <w:szCs w:val="20"/>
              </w:rPr>
            </w:pPr>
            <w:r w:rsidRPr="0043660E">
              <w:rPr>
                <w:rFonts w:ascii="Calibri" w:hAnsi="Calibri"/>
                <w:sz w:val="20"/>
                <w:szCs w:val="20"/>
              </w:rPr>
              <w:t>Capital expenditure charged against the General Fund and HRA balances</w:t>
            </w:r>
          </w:p>
        </w:tc>
        <w:tc>
          <w:tcPr>
            <w:tcW w:w="1160"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r w:rsidRPr="0043660E">
              <w:rPr>
                <w:rFonts w:ascii="Calibri" w:hAnsi="Calibri"/>
              </w:rPr>
              <w:t> </w:t>
            </w:r>
          </w:p>
        </w:tc>
        <w:tc>
          <w:tcPr>
            <w:tcW w:w="1520" w:type="dxa"/>
            <w:tcBorders>
              <w:top w:val="nil"/>
              <w:left w:val="nil"/>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480" w:type="dxa"/>
            <w:tcBorders>
              <w:top w:val="nil"/>
              <w:left w:val="nil"/>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360" w:type="dxa"/>
            <w:tcBorders>
              <w:top w:val="nil"/>
              <w:left w:val="nil"/>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420" w:type="dxa"/>
            <w:tcBorders>
              <w:top w:val="nil"/>
              <w:left w:val="nil"/>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380" w:type="dxa"/>
            <w:tcBorders>
              <w:top w:val="nil"/>
              <w:left w:val="nil"/>
              <w:bottom w:val="nil"/>
              <w:right w:val="nil"/>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012"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001A63">
            <w:pPr>
              <w:jc w:val="right"/>
            </w:pPr>
            <w:r>
              <w:t>-</w:t>
            </w:r>
          </w:p>
        </w:tc>
      </w:tr>
      <w:tr w:rsidR="00580DC5" w:rsidRPr="0043660E" w:rsidTr="00580DC5">
        <w:trPr>
          <w:trHeight w:val="315"/>
        </w:trPr>
        <w:tc>
          <w:tcPr>
            <w:tcW w:w="6208" w:type="dxa"/>
            <w:tcBorders>
              <w:top w:val="nil"/>
              <w:left w:val="nil"/>
              <w:bottom w:val="nil"/>
              <w:right w:val="nil"/>
            </w:tcBorders>
            <w:shd w:val="clear" w:color="000000" w:fill="CCFFCC"/>
            <w:vAlign w:val="bottom"/>
            <w:hideMark/>
          </w:tcPr>
          <w:p w:rsidR="00580DC5" w:rsidRPr="0043660E" w:rsidRDefault="00580DC5" w:rsidP="0043660E">
            <w:pPr>
              <w:rPr>
                <w:rFonts w:ascii="Calibri" w:hAnsi="Calibri"/>
                <w:b/>
                <w:bCs/>
                <w:sz w:val="20"/>
                <w:szCs w:val="20"/>
              </w:rPr>
            </w:pPr>
            <w:r w:rsidRPr="0043660E">
              <w:rPr>
                <w:rFonts w:ascii="Calibri" w:hAnsi="Calibri"/>
                <w:b/>
                <w:bCs/>
                <w:sz w:val="20"/>
                <w:szCs w:val="20"/>
              </w:rPr>
              <w:t>Adjustments involving the Capital Grants Unapplied Account</w:t>
            </w:r>
          </w:p>
        </w:tc>
        <w:tc>
          <w:tcPr>
            <w:tcW w:w="1160"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5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48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36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4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380" w:type="dxa"/>
            <w:tcBorders>
              <w:top w:val="nil"/>
              <w:left w:val="nil"/>
              <w:bottom w:val="nil"/>
              <w:right w:val="nil"/>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012"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pPr>
            <w:r w:rsidRPr="0043660E">
              <w:t> </w:t>
            </w:r>
          </w:p>
        </w:tc>
      </w:tr>
      <w:tr w:rsidR="00580DC5" w:rsidRPr="0043660E" w:rsidTr="00580DC5">
        <w:trPr>
          <w:trHeight w:val="315"/>
        </w:trPr>
        <w:tc>
          <w:tcPr>
            <w:tcW w:w="6208" w:type="dxa"/>
            <w:tcBorders>
              <w:top w:val="nil"/>
              <w:left w:val="nil"/>
              <w:bottom w:val="nil"/>
              <w:right w:val="nil"/>
            </w:tcBorders>
            <w:shd w:val="clear" w:color="auto" w:fill="auto"/>
            <w:hideMark/>
          </w:tcPr>
          <w:p w:rsidR="00580DC5" w:rsidRPr="0043660E" w:rsidRDefault="00580DC5" w:rsidP="0043660E">
            <w:pPr>
              <w:rPr>
                <w:rFonts w:ascii="Calibri" w:hAnsi="Calibri"/>
                <w:sz w:val="20"/>
                <w:szCs w:val="20"/>
              </w:rPr>
            </w:pPr>
            <w:r w:rsidRPr="0043660E">
              <w:rPr>
                <w:rFonts w:ascii="Calibri" w:hAnsi="Calibri"/>
                <w:sz w:val="20"/>
                <w:szCs w:val="20"/>
              </w:rPr>
              <w:t>Capital grants and contributions unapplied credited to CIES</w:t>
            </w:r>
          </w:p>
        </w:tc>
        <w:tc>
          <w:tcPr>
            <w:tcW w:w="1160"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95,182</w:t>
            </w:r>
          </w:p>
        </w:tc>
        <w:tc>
          <w:tcPr>
            <w:tcW w:w="15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r w:rsidRPr="0043660E">
              <w:rPr>
                <w:rFonts w:ascii="Calibri" w:hAnsi="Calibri"/>
              </w:rPr>
              <w:t> </w:t>
            </w:r>
          </w:p>
        </w:tc>
        <w:tc>
          <w:tcPr>
            <w:tcW w:w="148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(95,182)</w:t>
            </w:r>
          </w:p>
        </w:tc>
        <w:tc>
          <w:tcPr>
            <w:tcW w:w="136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p>
        </w:tc>
        <w:tc>
          <w:tcPr>
            <w:tcW w:w="14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p>
        </w:tc>
        <w:tc>
          <w:tcPr>
            <w:tcW w:w="1380" w:type="dxa"/>
            <w:tcBorders>
              <w:top w:val="nil"/>
              <w:left w:val="nil"/>
              <w:bottom w:val="nil"/>
              <w:right w:val="nil"/>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p>
        </w:tc>
        <w:tc>
          <w:tcPr>
            <w:tcW w:w="1012"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pPr>
            <w:r>
              <w:t>-</w:t>
            </w:r>
          </w:p>
        </w:tc>
      </w:tr>
      <w:tr w:rsidR="00580DC5" w:rsidRPr="0043660E" w:rsidTr="00580DC5">
        <w:trPr>
          <w:trHeight w:val="510"/>
        </w:trPr>
        <w:tc>
          <w:tcPr>
            <w:tcW w:w="6208" w:type="dxa"/>
            <w:tcBorders>
              <w:top w:val="nil"/>
              <w:left w:val="nil"/>
              <w:bottom w:val="nil"/>
              <w:right w:val="nil"/>
            </w:tcBorders>
            <w:shd w:val="clear" w:color="auto" w:fill="auto"/>
            <w:hideMark/>
          </w:tcPr>
          <w:p w:rsidR="00580DC5" w:rsidRPr="0043660E" w:rsidRDefault="00580DC5" w:rsidP="0043660E">
            <w:pPr>
              <w:rPr>
                <w:rFonts w:ascii="Calibri" w:hAnsi="Calibri"/>
                <w:sz w:val="20"/>
                <w:szCs w:val="20"/>
              </w:rPr>
            </w:pPr>
            <w:r w:rsidRPr="0043660E">
              <w:rPr>
                <w:rFonts w:ascii="Calibri" w:hAnsi="Calibri"/>
                <w:sz w:val="20"/>
                <w:szCs w:val="20"/>
              </w:rPr>
              <w:t>Application of grants to capital financing transferred to the Capital Adjustment Account</w:t>
            </w:r>
          </w:p>
        </w:tc>
        <w:tc>
          <w:tcPr>
            <w:tcW w:w="1160"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31,383</w:t>
            </w:r>
          </w:p>
        </w:tc>
        <w:tc>
          <w:tcPr>
            <w:tcW w:w="15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r w:rsidRPr="0043660E">
              <w:rPr>
                <w:rFonts w:ascii="Calibri" w:hAnsi="Calibri"/>
              </w:rPr>
              <w:t> </w:t>
            </w:r>
          </w:p>
        </w:tc>
        <w:tc>
          <w:tcPr>
            <w:tcW w:w="148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30,464</w:t>
            </w:r>
          </w:p>
        </w:tc>
        <w:tc>
          <w:tcPr>
            <w:tcW w:w="136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(61,847)</w:t>
            </w:r>
          </w:p>
        </w:tc>
        <w:tc>
          <w:tcPr>
            <w:tcW w:w="14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p>
        </w:tc>
        <w:tc>
          <w:tcPr>
            <w:tcW w:w="1380" w:type="dxa"/>
            <w:tcBorders>
              <w:top w:val="nil"/>
              <w:left w:val="nil"/>
              <w:bottom w:val="nil"/>
              <w:right w:val="nil"/>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p>
        </w:tc>
        <w:tc>
          <w:tcPr>
            <w:tcW w:w="1012"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pPr>
            <w:r>
              <w:t>-</w:t>
            </w:r>
          </w:p>
        </w:tc>
      </w:tr>
      <w:tr w:rsidR="00580DC5" w:rsidRPr="0043660E" w:rsidTr="00580DC5">
        <w:trPr>
          <w:trHeight w:val="315"/>
        </w:trPr>
        <w:tc>
          <w:tcPr>
            <w:tcW w:w="6208" w:type="dxa"/>
            <w:tcBorders>
              <w:top w:val="nil"/>
              <w:left w:val="nil"/>
              <w:bottom w:val="nil"/>
              <w:right w:val="nil"/>
            </w:tcBorders>
            <w:shd w:val="clear" w:color="000000" w:fill="CCFFCC"/>
            <w:hideMark/>
          </w:tcPr>
          <w:p w:rsidR="00580DC5" w:rsidRPr="0043660E" w:rsidRDefault="00580DC5" w:rsidP="0043660E">
            <w:pPr>
              <w:rPr>
                <w:rFonts w:ascii="Calibri" w:hAnsi="Calibri"/>
                <w:b/>
                <w:bCs/>
                <w:sz w:val="20"/>
                <w:szCs w:val="20"/>
              </w:rPr>
            </w:pPr>
            <w:r w:rsidRPr="0043660E">
              <w:rPr>
                <w:rFonts w:ascii="Calibri" w:hAnsi="Calibri"/>
                <w:b/>
                <w:bCs/>
                <w:sz w:val="20"/>
                <w:szCs w:val="20"/>
              </w:rPr>
              <w:t>Adjustments involving the Capital Receipts Reserve:</w:t>
            </w:r>
          </w:p>
        </w:tc>
        <w:tc>
          <w:tcPr>
            <w:tcW w:w="1160"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5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48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36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4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380" w:type="dxa"/>
            <w:tcBorders>
              <w:top w:val="nil"/>
              <w:left w:val="nil"/>
              <w:bottom w:val="nil"/>
              <w:right w:val="nil"/>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012"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pPr>
            <w:r w:rsidRPr="0043660E">
              <w:t> </w:t>
            </w:r>
          </w:p>
        </w:tc>
      </w:tr>
      <w:tr w:rsidR="00580DC5" w:rsidRPr="0043660E" w:rsidTr="00580DC5">
        <w:trPr>
          <w:trHeight w:val="510"/>
        </w:trPr>
        <w:tc>
          <w:tcPr>
            <w:tcW w:w="6208" w:type="dxa"/>
            <w:tcBorders>
              <w:top w:val="nil"/>
              <w:left w:val="nil"/>
              <w:bottom w:val="nil"/>
              <w:right w:val="nil"/>
            </w:tcBorders>
            <w:shd w:val="clear" w:color="auto" w:fill="auto"/>
            <w:hideMark/>
          </w:tcPr>
          <w:p w:rsidR="00580DC5" w:rsidRPr="0043660E" w:rsidRDefault="00580DC5" w:rsidP="0043660E">
            <w:pPr>
              <w:rPr>
                <w:rFonts w:ascii="Calibri" w:hAnsi="Calibri"/>
                <w:sz w:val="20"/>
                <w:szCs w:val="20"/>
              </w:rPr>
            </w:pPr>
            <w:r w:rsidRPr="0043660E">
              <w:rPr>
                <w:rFonts w:ascii="Calibri" w:hAnsi="Calibri"/>
                <w:sz w:val="20"/>
                <w:szCs w:val="20"/>
              </w:rPr>
              <w:t>Transfer of sale proceeds credited as part of the gain/loss on disposal to the CIES</w:t>
            </w:r>
          </w:p>
        </w:tc>
        <w:tc>
          <w:tcPr>
            <w:tcW w:w="1160"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r w:rsidRPr="0043660E">
              <w:rPr>
                <w:rFonts w:ascii="Calibri" w:hAnsi="Calibri"/>
              </w:rPr>
              <w:t> </w:t>
            </w:r>
          </w:p>
        </w:tc>
        <w:tc>
          <w:tcPr>
            <w:tcW w:w="1520" w:type="dxa"/>
            <w:tcBorders>
              <w:top w:val="nil"/>
              <w:left w:val="nil"/>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480" w:type="dxa"/>
            <w:tcBorders>
              <w:top w:val="nil"/>
              <w:left w:val="nil"/>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360" w:type="dxa"/>
            <w:tcBorders>
              <w:top w:val="nil"/>
              <w:left w:val="nil"/>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420" w:type="dxa"/>
            <w:tcBorders>
              <w:top w:val="nil"/>
              <w:left w:val="nil"/>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380" w:type="dxa"/>
            <w:tcBorders>
              <w:top w:val="nil"/>
              <w:left w:val="nil"/>
              <w:bottom w:val="nil"/>
              <w:right w:val="nil"/>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012"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001A63">
            <w:pPr>
              <w:jc w:val="right"/>
            </w:pPr>
            <w:r>
              <w:t>-</w:t>
            </w:r>
          </w:p>
        </w:tc>
      </w:tr>
      <w:tr w:rsidR="00580DC5" w:rsidRPr="0043660E" w:rsidTr="00580DC5">
        <w:trPr>
          <w:trHeight w:val="315"/>
        </w:trPr>
        <w:tc>
          <w:tcPr>
            <w:tcW w:w="6208" w:type="dxa"/>
            <w:tcBorders>
              <w:top w:val="nil"/>
              <w:left w:val="nil"/>
              <w:bottom w:val="nil"/>
              <w:right w:val="nil"/>
            </w:tcBorders>
            <w:shd w:val="clear" w:color="auto" w:fill="auto"/>
            <w:hideMark/>
          </w:tcPr>
          <w:p w:rsidR="00580DC5" w:rsidRPr="0043660E" w:rsidRDefault="00580DC5" w:rsidP="0043660E">
            <w:pPr>
              <w:rPr>
                <w:rFonts w:ascii="Calibri" w:hAnsi="Calibri"/>
                <w:sz w:val="20"/>
                <w:szCs w:val="20"/>
              </w:rPr>
            </w:pPr>
            <w:r w:rsidRPr="0043660E">
              <w:rPr>
                <w:rFonts w:ascii="Calibri" w:hAnsi="Calibri"/>
                <w:sz w:val="20"/>
                <w:szCs w:val="20"/>
              </w:rPr>
              <w:t>Use of the Capital Receipts Reserve to finance new capital expenditure</w:t>
            </w:r>
          </w:p>
        </w:tc>
        <w:tc>
          <w:tcPr>
            <w:tcW w:w="1160"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5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2,105</w:t>
            </w:r>
          </w:p>
        </w:tc>
        <w:tc>
          <w:tcPr>
            <w:tcW w:w="148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r w:rsidRPr="0043660E">
              <w:rPr>
                <w:rFonts w:ascii="Calibri" w:hAnsi="Calibri"/>
              </w:rPr>
              <w:t> </w:t>
            </w:r>
          </w:p>
        </w:tc>
        <w:tc>
          <w:tcPr>
            <w:tcW w:w="136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(2,105)</w:t>
            </w:r>
          </w:p>
        </w:tc>
        <w:tc>
          <w:tcPr>
            <w:tcW w:w="14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p>
        </w:tc>
        <w:tc>
          <w:tcPr>
            <w:tcW w:w="1380" w:type="dxa"/>
            <w:tcBorders>
              <w:top w:val="nil"/>
              <w:left w:val="nil"/>
              <w:bottom w:val="nil"/>
              <w:right w:val="nil"/>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p>
        </w:tc>
        <w:tc>
          <w:tcPr>
            <w:tcW w:w="1012"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pPr>
            <w:r>
              <w:t>-</w:t>
            </w:r>
          </w:p>
        </w:tc>
      </w:tr>
      <w:tr w:rsidR="00580DC5" w:rsidRPr="0043660E" w:rsidTr="00580DC5">
        <w:trPr>
          <w:trHeight w:val="510"/>
        </w:trPr>
        <w:tc>
          <w:tcPr>
            <w:tcW w:w="6208" w:type="dxa"/>
            <w:tcBorders>
              <w:top w:val="nil"/>
              <w:left w:val="nil"/>
              <w:bottom w:val="nil"/>
              <w:right w:val="nil"/>
            </w:tcBorders>
            <w:shd w:val="clear" w:color="auto" w:fill="auto"/>
            <w:hideMark/>
          </w:tcPr>
          <w:p w:rsidR="00580DC5" w:rsidRPr="0043660E" w:rsidRDefault="00580DC5" w:rsidP="0043660E">
            <w:pPr>
              <w:rPr>
                <w:rFonts w:ascii="Calibri" w:hAnsi="Calibri"/>
                <w:sz w:val="20"/>
                <w:szCs w:val="20"/>
              </w:rPr>
            </w:pPr>
            <w:r w:rsidRPr="0043660E">
              <w:rPr>
                <w:rFonts w:ascii="Calibri" w:hAnsi="Calibri"/>
                <w:sz w:val="20"/>
                <w:szCs w:val="20"/>
              </w:rPr>
              <w:t>Contribution from the Capital Receipts Reserve towards administrative costs of non current asset disposals</w:t>
            </w:r>
          </w:p>
        </w:tc>
        <w:tc>
          <w:tcPr>
            <w:tcW w:w="1160"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r w:rsidRPr="0043660E">
              <w:rPr>
                <w:rFonts w:ascii="Calibri" w:hAnsi="Calibri"/>
              </w:rPr>
              <w:t> </w:t>
            </w:r>
          </w:p>
        </w:tc>
        <w:tc>
          <w:tcPr>
            <w:tcW w:w="1520" w:type="dxa"/>
            <w:tcBorders>
              <w:top w:val="nil"/>
              <w:left w:val="nil"/>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480" w:type="dxa"/>
            <w:tcBorders>
              <w:top w:val="nil"/>
              <w:left w:val="nil"/>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360" w:type="dxa"/>
            <w:tcBorders>
              <w:top w:val="nil"/>
              <w:left w:val="nil"/>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420" w:type="dxa"/>
            <w:tcBorders>
              <w:top w:val="nil"/>
              <w:left w:val="nil"/>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380" w:type="dxa"/>
            <w:tcBorders>
              <w:top w:val="nil"/>
              <w:left w:val="nil"/>
              <w:bottom w:val="nil"/>
              <w:right w:val="nil"/>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012"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001A63">
            <w:pPr>
              <w:jc w:val="right"/>
            </w:pPr>
            <w:r>
              <w:t>-</w:t>
            </w:r>
          </w:p>
        </w:tc>
      </w:tr>
      <w:tr w:rsidR="00580DC5" w:rsidRPr="0043660E" w:rsidTr="00580DC5">
        <w:trPr>
          <w:trHeight w:val="510"/>
        </w:trPr>
        <w:tc>
          <w:tcPr>
            <w:tcW w:w="6208" w:type="dxa"/>
            <w:tcBorders>
              <w:top w:val="nil"/>
              <w:left w:val="nil"/>
              <w:bottom w:val="nil"/>
              <w:right w:val="nil"/>
            </w:tcBorders>
            <w:shd w:val="clear" w:color="auto" w:fill="auto"/>
            <w:hideMark/>
          </w:tcPr>
          <w:p w:rsidR="00580DC5" w:rsidRPr="0043660E" w:rsidRDefault="00580DC5" w:rsidP="0043660E">
            <w:pPr>
              <w:rPr>
                <w:rFonts w:ascii="Calibri" w:hAnsi="Calibri"/>
                <w:sz w:val="20"/>
                <w:szCs w:val="20"/>
              </w:rPr>
            </w:pPr>
            <w:r w:rsidRPr="0043660E">
              <w:rPr>
                <w:rFonts w:ascii="Calibri" w:hAnsi="Calibri"/>
                <w:sz w:val="20"/>
                <w:szCs w:val="20"/>
              </w:rPr>
              <w:t>Contribution from the Capital Receipts Reserve to finance the payments to the Government capital receipts pool</w:t>
            </w:r>
          </w:p>
        </w:tc>
        <w:tc>
          <w:tcPr>
            <w:tcW w:w="1160"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r w:rsidRPr="0043660E">
              <w:rPr>
                <w:rFonts w:ascii="Calibri" w:hAnsi="Calibri"/>
              </w:rPr>
              <w:t> </w:t>
            </w:r>
          </w:p>
        </w:tc>
        <w:tc>
          <w:tcPr>
            <w:tcW w:w="1520" w:type="dxa"/>
            <w:tcBorders>
              <w:top w:val="nil"/>
              <w:left w:val="nil"/>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480" w:type="dxa"/>
            <w:tcBorders>
              <w:top w:val="nil"/>
              <w:left w:val="nil"/>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360" w:type="dxa"/>
            <w:tcBorders>
              <w:top w:val="nil"/>
              <w:left w:val="nil"/>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420" w:type="dxa"/>
            <w:tcBorders>
              <w:top w:val="nil"/>
              <w:left w:val="nil"/>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380" w:type="dxa"/>
            <w:tcBorders>
              <w:top w:val="nil"/>
              <w:left w:val="nil"/>
              <w:bottom w:val="nil"/>
              <w:right w:val="nil"/>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012"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001A63">
            <w:pPr>
              <w:jc w:val="right"/>
            </w:pPr>
            <w:r>
              <w:t>-</w:t>
            </w:r>
          </w:p>
        </w:tc>
      </w:tr>
      <w:tr w:rsidR="00580DC5" w:rsidRPr="0043660E" w:rsidTr="00580DC5">
        <w:trPr>
          <w:trHeight w:val="315"/>
        </w:trPr>
        <w:tc>
          <w:tcPr>
            <w:tcW w:w="6208" w:type="dxa"/>
            <w:tcBorders>
              <w:top w:val="nil"/>
              <w:left w:val="nil"/>
              <w:bottom w:val="nil"/>
              <w:right w:val="nil"/>
            </w:tcBorders>
            <w:shd w:val="clear" w:color="000000" w:fill="CCFFCC"/>
            <w:hideMark/>
          </w:tcPr>
          <w:p w:rsidR="00580DC5" w:rsidRPr="0043660E" w:rsidRDefault="00580DC5" w:rsidP="0043660E">
            <w:pPr>
              <w:rPr>
                <w:rFonts w:ascii="Calibri" w:hAnsi="Calibri"/>
                <w:b/>
                <w:bCs/>
                <w:sz w:val="20"/>
                <w:szCs w:val="20"/>
              </w:rPr>
            </w:pPr>
            <w:r w:rsidRPr="0043660E">
              <w:rPr>
                <w:rFonts w:ascii="Calibri" w:hAnsi="Calibri"/>
                <w:b/>
                <w:bCs/>
                <w:sz w:val="20"/>
                <w:szCs w:val="20"/>
              </w:rPr>
              <w:t>Adjustment involving the Major Repairs Reserve</w:t>
            </w:r>
          </w:p>
        </w:tc>
        <w:tc>
          <w:tcPr>
            <w:tcW w:w="1160"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5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48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36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4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380" w:type="dxa"/>
            <w:tcBorders>
              <w:top w:val="nil"/>
              <w:left w:val="nil"/>
              <w:bottom w:val="nil"/>
              <w:right w:val="nil"/>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012"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pPr>
            <w:r w:rsidRPr="0043660E">
              <w:t> </w:t>
            </w:r>
          </w:p>
        </w:tc>
      </w:tr>
      <w:tr w:rsidR="00580DC5" w:rsidRPr="0043660E" w:rsidTr="00580DC5">
        <w:trPr>
          <w:trHeight w:val="315"/>
        </w:trPr>
        <w:tc>
          <w:tcPr>
            <w:tcW w:w="6208" w:type="dxa"/>
            <w:tcBorders>
              <w:top w:val="nil"/>
              <w:left w:val="nil"/>
              <w:bottom w:val="nil"/>
              <w:right w:val="nil"/>
            </w:tcBorders>
            <w:shd w:val="clear" w:color="auto" w:fill="auto"/>
            <w:hideMark/>
          </w:tcPr>
          <w:p w:rsidR="00580DC5" w:rsidRPr="0043660E" w:rsidRDefault="00580DC5" w:rsidP="0043660E">
            <w:pPr>
              <w:rPr>
                <w:rFonts w:ascii="Calibri" w:hAnsi="Calibri"/>
                <w:sz w:val="20"/>
                <w:szCs w:val="20"/>
              </w:rPr>
            </w:pPr>
            <w:r w:rsidRPr="0043660E">
              <w:rPr>
                <w:rFonts w:ascii="Calibri" w:hAnsi="Calibri"/>
                <w:sz w:val="20"/>
                <w:szCs w:val="20"/>
              </w:rPr>
              <w:t>Reversal of Major Repairs Allowance credited to the HRA</w:t>
            </w:r>
          </w:p>
        </w:tc>
        <w:tc>
          <w:tcPr>
            <w:tcW w:w="1160"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r w:rsidRPr="0043660E">
              <w:rPr>
                <w:rFonts w:ascii="Calibri" w:hAnsi="Calibri"/>
              </w:rPr>
              <w:t> </w:t>
            </w:r>
          </w:p>
        </w:tc>
        <w:tc>
          <w:tcPr>
            <w:tcW w:w="1520" w:type="dxa"/>
            <w:tcBorders>
              <w:top w:val="nil"/>
              <w:left w:val="nil"/>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480" w:type="dxa"/>
            <w:tcBorders>
              <w:top w:val="nil"/>
              <w:left w:val="nil"/>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360" w:type="dxa"/>
            <w:tcBorders>
              <w:top w:val="nil"/>
              <w:left w:val="nil"/>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420" w:type="dxa"/>
            <w:tcBorders>
              <w:top w:val="nil"/>
              <w:left w:val="nil"/>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380" w:type="dxa"/>
            <w:tcBorders>
              <w:top w:val="nil"/>
              <w:left w:val="nil"/>
              <w:bottom w:val="nil"/>
              <w:right w:val="nil"/>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012"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001A63">
            <w:pPr>
              <w:jc w:val="right"/>
            </w:pPr>
            <w:r>
              <w:t>-</w:t>
            </w:r>
          </w:p>
        </w:tc>
      </w:tr>
      <w:tr w:rsidR="00580DC5" w:rsidRPr="0043660E" w:rsidTr="00580DC5">
        <w:trPr>
          <w:trHeight w:val="315"/>
        </w:trPr>
        <w:tc>
          <w:tcPr>
            <w:tcW w:w="6208" w:type="dxa"/>
            <w:tcBorders>
              <w:top w:val="nil"/>
              <w:left w:val="nil"/>
              <w:bottom w:val="nil"/>
              <w:right w:val="nil"/>
            </w:tcBorders>
            <w:shd w:val="clear" w:color="auto" w:fill="auto"/>
            <w:hideMark/>
          </w:tcPr>
          <w:p w:rsidR="00580DC5" w:rsidRPr="0043660E" w:rsidRDefault="00580DC5" w:rsidP="0043660E">
            <w:pPr>
              <w:rPr>
                <w:rFonts w:ascii="Calibri" w:hAnsi="Calibri"/>
                <w:sz w:val="20"/>
                <w:szCs w:val="20"/>
              </w:rPr>
            </w:pPr>
            <w:r w:rsidRPr="0043660E">
              <w:rPr>
                <w:rFonts w:ascii="Calibri" w:hAnsi="Calibri"/>
                <w:sz w:val="20"/>
                <w:szCs w:val="20"/>
              </w:rPr>
              <w:t>Use of the Major Repairs Reserve to finance new capital expenditure</w:t>
            </w:r>
          </w:p>
        </w:tc>
        <w:tc>
          <w:tcPr>
            <w:tcW w:w="1160"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r w:rsidRPr="0043660E">
              <w:rPr>
                <w:rFonts w:ascii="Calibri" w:hAnsi="Calibri"/>
              </w:rPr>
              <w:t> </w:t>
            </w:r>
          </w:p>
        </w:tc>
        <w:tc>
          <w:tcPr>
            <w:tcW w:w="1520" w:type="dxa"/>
            <w:tcBorders>
              <w:top w:val="nil"/>
              <w:left w:val="nil"/>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480" w:type="dxa"/>
            <w:tcBorders>
              <w:top w:val="nil"/>
              <w:left w:val="nil"/>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360" w:type="dxa"/>
            <w:tcBorders>
              <w:top w:val="nil"/>
              <w:left w:val="nil"/>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420" w:type="dxa"/>
            <w:tcBorders>
              <w:top w:val="nil"/>
              <w:left w:val="nil"/>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380" w:type="dxa"/>
            <w:tcBorders>
              <w:top w:val="nil"/>
              <w:left w:val="nil"/>
              <w:bottom w:val="nil"/>
              <w:right w:val="nil"/>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012"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001A63">
            <w:pPr>
              <w:jc w:val="right"/>
            </w:pPr>
            <w:r>
              <w:t>-</w:t>
            </w:r>
          </w:p>
        </w:tc>
      </w:tr>
      <w:tr w:rsidR="00580DC5" w:rsidRPr="0043660E" w:rsidTr="00580DC5">
        <w:trPr>
          <w:trHeight w:val="315"/>
        </w:trPr>
        <w:tc>
          <w:tcPr>
            <w:tcW w:w="6208" w:type="dxa"/>
            <w:tcBorders>
              <w:top w:val="nil"/>
              <w:left w:val="nil"/>
              <w:bottom w:val="nil"/>
              <w:right w:val="nil"/>
            </w:tcBorders>
            <w:shd w:val="clear" w:color="000000" w:fill="CCFFCC"/>
            <w:hideMark/>
          </w:tcPr>
          <w:p w:rsidR="00580DC5" w:rsidRPr="0043660E" w:rsidRDefault="00580DC5" w:rsidP="0043660E">
            <w:pPr>
              <w:rPr>
                <w:rFonts w:ascii="Calibri" w:hAnsi="Calibri"/>
                <w:b/>
                <w:bCs/>
                <w:sz w:val="20"/>
                <w:szCs w:val="20"/>
              </w:rPr>
            </w:pPr>
            <w:r w:rsidRPr="0043660E">
              <w:rPr>
                <w:rFonts w:ascii="Calibri" w:hAnsi="Calibri"/>
                <w:b/>
                <w:bCs/>
                <w:sz w:val="20"/>
                <w:szCs w:val="20"/>
              </w:rPr>
              <w:t>Adjustments involving the Financial Instruments Adjustment Account:</w:t>
            </w:r>
          </w:p>
        </w:tc>
        <w:tc>
          <w:tcPr>
            <w:tcW w:w="1160"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5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48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36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4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380" w:type="dxa"/>
            <w:tcBorders>
              <w:top w:val="nil"/>
              <w:left w:val="nil"/>
              <w:bottom w:val="nil"/>
              <w:right w:val="nil"/>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012"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pPr>
            <w:r w:rsidRPr="0043660E">
              <w:t> </w:t>
            </w:r>
          </w:p>
        </w:tc>
      </w:tr>
      <w:tr w:rsidR="00580DC5" w:rsidRPr="0043660E" w:rsidTr="00580DC5">
        <w:trPr>
          <w:trHeight w:val="765"/>
        </w:trPr>
        <w:tc>
          <w:tcPr>
            <w:tcW w:w="6208" w:type="dxa"/>
            <w:tcBorders>
              <w:top w:val="nil"/>
              <w:left w:val="nil"/>
              <w:bottom w:val="nil"/>
              <w:right w:val="nil"/>
            </w:tcBorders>
            <w:shd w:val="clear" w:color="auto" w:fill="auto"/>
            <w:hideMark/>
          </w:tcPr>
          <w:p w:rsidR="00580DC5" w:rsidRPr="0043660E" w:rsidRDefault="00580DC5" w:rsidP="0043660E">
            <w:pPr>
              <w:rPr>
                <w:rFonts w:ascii="Calibri" w:hAnsi="Calibri"/>
                <w:sz w:val="20"/>
                <w:szCs w:val="20"/>
              </w:rPr>
            </w:pPr>
            <w:r w:rsidRPr="0043660E">
              <w:rPr>
                <w:rFonts w:ascii="Calibri" w:hAnsi="Calibri"/>
                <w:sz w:val="20"/>
                <w:szCs w:val="20"/>
              </w:rPr>
              <w:t>Amount by which finance costs charged to the CIES are different from finance costs chargeable in the year in accordance with statutory requirements</w:t>
            </w:r>
          </w:p>
        </w:tc>
        <w:tc>
          <w:tcPr>
            <w:tcW w:w="1160"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2,056</w:t>
            </w:r>
          </w:p>
        </w:tc>
        <w:tc>
          <w:tcPr>
            <w:tcW w:w="15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r w:rsidRPr="0043660E">
              <w:rPr>
                <w:rFonts w:ascii="Calibri" w:hAnsi="Calibri"/>
              </w:rPr>
              <w:t> </w:t>
            </w:r>
          </w:p>
        </w:tc>
        <w:tc>
          <w:tcPr>
            <w:tcW w:w="148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p>
        </w:tc>
        <w:tc>
          <w:tcPr>
            <w:tcW w:w="136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p>
        </w:tc>
        <w:tc>
          <w:tcPr>
            <w:tcW w:w="14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(2,056)</w:t>
            </w:r>
          </w:p>
        </w:tc>
        <w:tc>
          <w:tcPr>
            <w:tcW w:w="1380" w:type="dxa"/>
            <w:tcBorders>
              <w:top w:val="nil"/>
              <w:left w:val="nil"/>
              <w:bottom w:val="nil"/>
              <w:right w:val="nil"/>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p>
        </w:tc>
        <w:tc>
          <w:tcPr>
            <w:tcW w:w="1012"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pPr>
            <w:r>
              <w:t>-</w:t>
            </w:r>
          </w:p>
        </w:tc>
      </w:tr>
      <w:tr w:rsidR="00580DC5" w:rsidRPr="0043660E" w:rsidTr="00580DC5">
        <w:trPr>
          <w:trHeight w:val="315"/>
        </w:trPr>
        <w:tc>
          <w:tcPr>
            <w:tcW w:w="6208" w:type="dxa"/>
            <w:tcBorders>
              <w:top w:val="nil"/>
              <w:left w:val="nil"/>
              <w:bottom w:val="nil"/>
              <w:right w:val="nil"/>
            </w:tcBorders>
            <w:shd w:val="clear" w:color="000000" w:fill="CCFFCC"/>
            <w:hideMark/>
          </w:tcPr>
          <w:p w:rsidR="00580DC5" w:rsidRPr="0043660E" w:rsidRDefault="00580DC5" w:rsidP="0043660E">
            <w:pPr>
              <w:rPr>
                <w:rFonts w:ascii="Calibri" w:hAnsi="Calibri"/>
                <w:b/>
                <w:bCs/>
                <w:sz w:val="20"/>
                <w:szCs w:val="20"/>
              </w:rPr>
            </w:pPr>
            <w:r w:rsidRPr="0043660E">
              <w:rPr>
                <w:rFonts w:ascii="Calibri" w:hAnsi="Calibri"/>
                <w:b/>
                <w:bCs/>
                <w:sz w:val="20"/>
                <w:szCs w:val="20"/>
              </w:rPr>
              <w:t>Adjustments involving the Pensions Reserve:</w:t>
            </w:r>
          </w:p>
        </w:tc>
        <w:tc>
          <w:tcPr>
            <w:tcW w:w="1160"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pPr>
            <w:r w:rsidRPr="0043660E">
              <w:t> </w:t>
            </w:r>
          </w:p>
        </w:tc>
        <w:tc>
          <w:tcPr>
            <w:tcW w:w="15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48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36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4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380" w:type="dxa"/>
            <w:tcBorders>
              <w:top w:val="nil"/>
              <w:left w:val="nil"/>
              <w:bottom w:val="nil"/>
              <w:right w:val="nil"/>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012"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pPr>
            <w:r w:rsidRPr="0043660E">
              <w:t> </w:t>
            </w:r>
          </w:p>
        </w:tc>
      </w:tr>
      <w:tr w:rsidR="00580DC5" w:rsidRPr="0043660E" w:rsidTr="00580DC5">
        <w:trPr>
          <w:trHeight w:val="510"/>
        </w:trPr>
        <w:tc>
          <w:tcPr>
            <w:tcW w:w="6208" w:type="dxa"/>
            <w:tcBorders>
              <w:top w:val="nil"/>
              <w:left w:val="nil"/>
              <w:bottom w:val="nil"/>
              <w:right w:val="nil"/>
            </w:tcBorders>
            <w:shd w:val="clear" w:color="auto" w:fill="auto"/>
            <w:hideMark/>
          </w:tcPr>
          <w:p w:rsidR="00580DC5" w:rsidRPr="0043660E" w:rsidRDefault="006D0EE8" w:rsidP="0043660E">
            <w:pPr>
              <w:rPr>
                <w:rFonts w:ascii="Calibri" w:hAnsi="Calibri"/>
                <w:sz w:val="20"/>
                <w:szCs w:val="20"/>
              </w:rPr>
            </w:pPr>
            <w:r w:rsidRPr="0043660E">
              <w:rPr>
                <w:rFonts w:ascii="Calibri" w:hAnsi="Calibri"/>
                <w:sz w:val="20"/>
                <w:szCs w:val="20"/>
              </w:rPr>
              <w:t xml:space="preserve">Employer’s pensions contributions and direct payments to pensioners payable in the year </w:t>
            </w:r>
          </w:p>
        </w:tc>
        <w:tc>
          <w:tcPr>
            <w:tcW w:w="1160"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81,002</w:t>
            </w:r>
          </w:p>
        </w:tc>
        <w:tc>
          <w:tcPr>
            <w:tcW w:w="15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r w:rsidRPr="0043660E">
              <w:rPr>
                <w:rFonts w:ascii="Calibri" w:hAnsi="Calibri"/>
              </w:rPr>
              <w:t> </w:t>
            </w:r>
          </w:p>
        </w:tc>
        <w:tc>
          <w:tcPr>
            <w:tcW w:w="148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p>
        </w:tc>
        <w:tc>
          <w:tcPr>
            <w:tcW w:w="136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p>
        </w:tc>
        <w:tc>
          <w:tcPr>
            <w:tcW w:w="14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p>
        </w:tc>
        <w:tc>
          <w:tcPr>
            <w:tcW w:w="1380" w:type="dxa"/>
            <w:tcBorders>
              <w:top w:val="nil"/>
              <w:left w:val="nil"/>
              <w:bottom w:val="nil"/>
              <w:right w:val="nil"/>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(81,002)</w:t>
            </w:r>
          </w:p>
        </w:tc>
        <w:tc>
          <w:tcPr>
            <w:tcW w:w="1012"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pPr>
            <w:r>
              <w:t>-</w:t>
            </w:r>
          </w:p>
        </w:tc>
      </w:tr>
      <w:tr w:rsidR="00580DC5" w:rsidRPr="0043660E" w:rsidTr="00580DC5">
        <w:trPr>
          <w:trHeight w:val="510"/>
        </w:trPr>
        <w:tc>
          <w:tcPr>
            <w:tcW w:w="6208" w:type="dxa"/>
            <w:tcBorders>
              <w:top w:val="nil"/>
              <w:left w:val="nil"/>
              <w:bottom w:val="nil"/>
              <w:right w:val="nil"/>
            </w:tcBorders>
            <w:shd w:val="clear" w:color="auto" w:fill="auto"/>
            <w:hideMark/>
          </w:tcPr>
          <w:p w:rsidR="00580DC5" w:rsidRPr="0043660E" w:rsidRDefault="006D0EE8" w:rsidP="0043660E">
            <w:pPr>
              <w:rPr>
                <w:rFonts w:ascii="Calibri" w:hAnsi="Calibri"/>
                <w:sz w:val="20"/>
                <w:szCs w:val="20"/>
              </w:rPr>
            </w:pPr>
            <w:r w:rsidRPr="0043660E">
              <w:rPr>
                <w:rFonts w:ascii="Calibri" w:hAnsi="Calibri"/>
                <w:sz w:val="20"/>
                <w:szCs w:val="20"/>
              </w:rPr>
              <w:t>Reversal of items relating to retirement benefits debited or credited to the Comprehensive Income and Expenditure Statement</w:t>
            </w:r>
          </w:p>
        </w:tc>
        <w:tc>
          <w:tcPr>
            <w:tcW w:w="1160"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(79,885)</w:t>
            </w:r>
          </w:p>
        </w:tc>
        <w:tc>
          <w:tcPr>
            <w:tcW w:w="15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r>
              <w:rPr>
                <w:rFonts w:ascii="Calibri" w:hAnsi="Calibri"/>
              </w:rPr>
              <w:t>-</w:t>
            </w:r>
          </w:p>
        </w:tc>
        <w:tc>
          <w:tcPr>
            <w:tcW w:w="148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p>
        </w:tc>
        <w:tc>
          <w:tcPr>
            <w:tcW w:w="136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p>
        </w:tc>
        <w:tc>
          <w:tcPr>
            <w:tcW w:w="14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p>
        </w:tc>
        <w:tc>
          <w:tcPr>
            <w:tcW w:w="1380" w:type="dxa"/>
            <w:tcBorders>
              <w:top w:val="nil"/>
              <w:left w:val="nil"/>
              <w:bottom w:val="nil"/>
              <w:right w:val="nil"/>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79,885</w:t>
            </w:r>
          </w:p>
        </w:tc>
        <w:tc>
          <w:tcPr>
            <w:tcW w:w="1012"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pPr>
            <w:r>
              <w:t>-</w:t>
            </w:r>
          </w:p>
        </w:tc>
      </w:tr>
      <w:tr w:rsidR="00580DC5" w:rsidRPr="0043660E" w:rsidTr="00580DC5">
        <w:trPr>
          <w:trHeight w:val="315"/>
        </w:trPr>
        <w:tc>
          <w:tcPr>
            <w:tcW w:w="6208" w:type="dxa"/>
            <w:tcBorders>
              <w:top w:val="nil"/>
              <w:left w:val="nil"/>
              <w:bottom w:val="nil"/>
              <w:right w:val="nil"/>
            </w:tcBorders>
            <w:shd w:val="clear" w:color="000000" w:fill="CCFFCC"/>
            <w:hideMark/>
          </w:tcPr>
          <w:p w:rsidR="00580DC5" w:rsidRPr="0043660E" w:rsidRDefault="00580DC5" w:rsidP="0043660E">
            <w:pPr>
              <w:rPr>
                <w:rFonts w:ascii="Calibri" w:hAnsi="Calibri"/>
                <w:b/>
                <w:bCs/>
                <w:sz w:val="20"/>
                <w:szCs w:val="20"/>
              </w:rPr>
            </w:pPr>
            <w:r w:rsidRPr="0043660E">
              <w:rPr>
                <w:rFonts w:ascii="Calibri" w:hAnsi="Calibri"/>
                <w:b/>
                <w:bCs/>
                <w:sz w:val="20"/>
                <w:szCs w:val="20"/>
              </w:rPr>
              <w:t>Adjustments involving the Collection Fund Adjustment Account:</w:t>
            </w:r>
          </w:p>
        </w:tc>
        <w:tc>
          <w:tcPr>
            <w:tcW w:w="1160"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5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48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36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4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380" w:type="dxa"/>
            <w:tcBorders>
              <w:top w:val="nil"/>
              <w:left w:val="nil"/>
              <w:bottom w:val="nil"/>
              <w:right w:val="nil"/>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012"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pPr>
            <w:r w:rsidRPr="0043660E">
              <w:t> </w:t>
            </w:r>
          </w:p>
        </w:tc>
      </w:tr>
      <w:tr w:rsidR="00580DC5" w:rsidRPr="0043660E" w:rsidTr="00580DC5">
        <w:trPr>
          <w:trHeight w:val="765"/>
        </w:trPr>
        <w:tc>
          <w:tcPr>
            <w:tcW w:w="6208" w:type="dxa"/>
            <w:tcBorders>
              <w:top w:val="nil"/>
              <w:left w:val="nil"/>
              <w:bottom w:val="nil"/>
              <w:right w:val="nil"/>
            </w:tcBorders>
            <w:shd w:val="clear" w:color="auto" w:fill="auto"/>
            <w:hideMark/>
          </w:tcPr>
          <w:p w:rsidR="00580DC5" w:rsidRPr="0043660E" w:rsidRDefault="00580DC5" w:rsidP="0043660E">
            <w:pPr>
              <w:rPr>
                <w:rFonts w:ascii="Calibri" w:hAnsi="Calibri"/>
                <w:sz w:val="20"/>
                <w:szCs w:val="20"/>
              </w:rPr>
            </w:pPr>
            <w:r w:rsidRPr="0043660E">
              <w:rPr>
                <w:rFonts w:ascii="Calibri" w:hAnsi="Calibri"/>
                <w:sz w:val="20"/>
                <w:szCs w:val="20"/>
              </w:rPr>
              <w:t>Amount by which council tax income credited to the CIES is different from council tax income calculated for the year in accordance with statutory requirements</w:t>
            </w:r>
          </w:p>
        </w:tc>
        <w:tc>
          <w:tcPr>
            <w:tcW w:w="1160"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351</w:t>
            </w:r>
          </w:p>
        </w:tc>
        <w:tc>
          <w:tcPr>
            <w:tcW w:w="15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r w:rsidRPr="0043660E">
              <w:rPr>
                <w:rFonts w:ascii="Calibri" w:hAnsi="Calibri"/>
              </w:rPr>
              <w:t> </w:t>
            </w:r>
          </w:p>
        </w:tc>
        <w:tc>
          <w:tcPr>
            <w:tcW w:w="148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p>
        </w:tc>
        <w:tc>
          <w:tcPr>
            <w:tcW w:w="136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p>
        </w:tc>
        <w:tc>
          <w:tcPr>
            <w:tcW w:w="14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p>
        </w:tc>
        <w:tc>
          <w:tcPr>
            <w:tcW w:w="1380" w:type="dxa"/>
            <w:tcBorders>
              <w:top w:val="nil"/>
              <w:left w:val="nil"/>
              <w:bottom w:val="nil"/>
              <w:right w:val="nil"/>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p>
        </w:tc>
        <w:tc>
          <w:tcPr>
            <w:tcW w:w="1012"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pPr>
            <w:r w:rsidRPr="0043660E">
              <w:t>(351)</w:t>
            </w:r>
          </w:p>
        </w:tc>
      </w:tr>
      <w:tr w:rsidR="00580DC5" w:rsidRPr="0043660E" w:rsidTr="00580DC5">
        <w:trPr>
          <w:trHeight w:val="315"/>
        </w:trPr>
        <w:tc>
          <w:tcPr>
            <w:tcW w:w="6208" w:type="dxa"/>
            <w:tcBorders>
              <w:top w:val="nil"/>
              <w:left w:val="nil"/>
              <w:bottom w:val="nil"/>
              <w:right w:val="nil"/>
            </w:tcBorders>
            <w:shd w:val="clear" w:color="000000" w:fill="CCFFCC"/>
            <w:hideMark/>
          </w:tcPr>
          <w:p w:rsidR="00580DC5" w:rsidRPr="0043660E" w:rsidRDefault="00580DC5" w:rsidP="0043660E">
            <w:pPr>
              <w:rPr>
                <w:rFonts w:ascii="Calibri" w:hAnsi="Calibri"/>
                <w:b/>
                <w:bCs/>
                <w:sz w:val="20"/>
                <w:szCs w:val="20"/>
              </w:rPr>
            </w:pPr>
            <w:r w:rsidRPr="0043660E">
              <w:rPr>
                <w:rFonts w:ascii="Calibri" w:hAnsi="Calibri"/>
                <w:b/>
                <w:bCs/>
                <w:sz w:val="20"/>
                <w:szCs w:val="20"/>
              </w:rPr>
              <w:t>Adjustment involving the Unequal Pay Back Pay Adjustment Account:</w:t>
            </w:r>
          </w:p>
        </w:tc>
        <w:tc>
          <w:tcPr>
            <w:tcW w:w="1160"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5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48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36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4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380" w:type="dxa"/>
            <w:tcBorders>
              <w:top w:val="nil"/>
              <w:left w:val="nil"/>
              <w:bottom w:val="nil"/>
              <w:right w:val="nil"/>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012"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pPr>
            <w:r w:rsidRPr="0043660E">
              <w:t>-</w:t>
            </w:r>
          </w:p>
        </w:tc>
      </w:tr>
      <w:tr w:rsidR="00580DC5" w:rsidRPr="0043660E" w:rsidTr="00580DC5">
        <w:trPr>
          <w:trHeight w:val="765"/>
        </w:trPr>
        <w:tc>
          <w:tcPr>
            <w:tcW w:w="6208" w:type="dxa"/>
            <w:tcBorders>
              <w:top w:val="nil"/>
              <w:left w:val="nil"/>
              <w:bottom w:val="nil"/>
              <w:right w:val="nil"/>
            </w:tcBorders>
            <w:shd w:val="clear" w:color="auto" w:fill="auto"/>
            <w:hideMark/>
          </w:tcPr>
          <w:p w:rsidR="00580DC5" w:rsidRPr="0043660E" w:rsidRDefault="00580DC5" w:rsidP="0043660E">
            <w:pPr>
              <w:rPr>
                <w:rFonts w:ascii="Calibri" w:hAnsi="Calibri"/>
                <w:sz w:val="20"/>
                <w:szCs w:val="20"/>
              </w:rPr>
            </w:pPr>
            <w:r w:rsidRPr="0043660E">
              <w:rPr>
                <w:rFonts w:ascii="Calibri" w:hAnsi="Calibri"/>
                <w:sz w:val="20"/>
                <w:szCs w:val="20"/>
              </w:rPr>
              <w:lastRenderedPageBreak/>
              <w:t>Amount by which amounts charged for Equal Pay claims to the CIES are different from the cost of settlements chargeable in the year in accordance with statutory requirements</w:t>
            </w:r>
          </w:p>
        </w:tc>
        <w:tc>
          <w:tcPr>
            <w:tcW w:w="1160"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r w:rsidRPr="0043660E">
              <w:rPr>
                <w:rFonts w:ascii="Calibri" w:hAnsi="Calibri"/>
              </w:rPr>
              <w:t> </w:t>
            </w:r>
          </w:p>
        </w:tc>
        <w:tc>
          <w:tcPr>
            <w:tcW w:w="1520" w:type="dxa"/>
            <w:tcBorders>
              <w:top w:val="nil"/>
              <w:left w:val="nil"/>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480" w:type="dxa"/>
            <w:tcBorders>
              <w:top w:val="nil"/>
              <w:left w:val="nil"/>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360" w:type="dxa"/>
            <w:tcBorders>
              <w:top w:val="nil"/>
              <w:left w:val="nil"/>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420" w:type="dxa"/>
            <w:tcBorders>
              <w:top w:val="nil"/>
              <w:left w:val="nil"/>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380" w:type="dxa"/>
            <w:tcBorders>
              <w:top w:val="nil"/>
              <w:left w:val="nil"/>
              <w:bottom w:val="nil"/>
              <w:right w:val="nil"/>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012"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001A63">
            <w:pPr>
              <w:jc w:val="right"/>
            </w:pPr>
            <w:r>
              <w:t>-</w:t>
            </w:r>
          </w:p>
        </w:tc>
      </w:tr>
      <w:tr w:rsidR="00580DC5" w:rsidRPr="0043660E" w:rsidTr="00580DC5">
        <w:trPr>
          <w:trHeight w:val="315"/>
        </w:trPr>
        <w:tc>
          <w:tcPr>
            <w:tcW w:w="6208" w:type="dxa"/>
            <w:tcBorders>
              <w:top w:val="nil"/>
              <w:left w:val="nil"/>
              <w:bottom w:val="nil"/>
              <w:right w:val="nil"/>
            </w:tcBorders>
            <w:shd w:val="clear" w:color="000000" w:fill="CCFFCC"/>
            <w:vAlign w:val="bottom"/>
            <w:hideMark/>
          </w:tcPr>
          <w:p w:rsidR="00580DC5" w:rsidRPr="0043660E" w:rsidRDefault="00580DC5" w:rsidP="0043660E">
            <w:pPr>
              <w:rPr>
                <w:rFonts w:ascii="Calibri" w:hAnsi="Calibri"/>
                <w:b/>
                <w:bCs/>
                <w:sz w:val="20"/>
                <w:szCs w:val="20"/>
              </w:rPr>
            </w:pPr>
            <w:r w:rsidRPr="0043660E">
              <w:rPr>
                <w:rFonts w:ascii="Calibri" w:hAnsi="Calibri"/>
                <w:b/>
                <w:bCs/>
                <w:sz w:val="20"/>
                <w:szCs w:val="20"/>
              </w:rPr>
              <w:t>Adjustment involving the Accumulated Absences Account</w:t>
            </w:r>
          </w:p>
        </w:tc>
        <w:tc>
          <w:tcPr>
            <w:tcW w:w="1160"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p>
        </w:tc>
        <w:tc>
          <w:tcPr>
            <w:tcW w:w="15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p>
        </w:tc>
        <w:tc>
          <w:tcPr>
            <w:tcW w:w="148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p>
        </w:tc>
        <w:tc>
          <w:tcPr>
            <w:tcW w:w="136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p>
        </w:tc>
        <w:tc>
          <w:tcPr>
            <w:tcW w:w="14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p>
        </w:tc>
        <w:tc>
          <w:tcPr>
            <w:tcW w:w="1380" w:type="dxa"/>
            <w:tcBorders>
              <w:top w:val="nil"/>
              <w:left w:val="nil"/>
              <w:bottom w:val="nil"/>
              <w:right w:val="nil"/>
            </w:tcBorders>
            <w:shd w:val="clear" w:color="auto" w:fill="auto"/>
            <w:noWrap/>
            <w:vAlign w:val="bottom"/>
            <w:hideMark/>
          </w:tcPr>
          <w:p w:rsidR="00580DC5" w:rsidRPr="0043660E" w:rsidRDefault="00580DC5" w:rsidP="00DC56C0">
            <w:pPr>
              <w:jc w:val="right"/>
              <w:rPr>
                <w:rFonts w:ascii="Calibri" w:hAnsi="Calibri"/>
              </w:rPr>
            </w:pPr>
          </w:p>
        </w:tc>
        <w:tc>
          <w:tcPr>
            <w:tcW w:w="1012"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pPr>
          </w:p>
        </w:tc>
      </w:tr>
      <w:tr w:rsidR="00580DC5" w:rsidRPr="0043660E" w:rsidTr="00580DC5">
        <w:trPr>
          <w:trHeight w:val="780"/>
        </w:trPr>
        <w:tc>
          <w:tcPr>
            <w:tcW w:w="6208" w:type="dxa"/>
            <w:tcBorders>
              <w:top w:val="nil"/>
              <w:left w:val="nil"/>
              <w:bottom w:val="nil"/>
              <w:right w:val="nil"/>
            </w:tcBorders>
            <w:shd w:val="clear" w:color="auto" w:fill="auto"/>
            <w:vAlign w:val="bottom"/>
            <w:hideMark/>
          </w:tcPr>
          <w:p w:rsidR="00580DC5" w:rsidRPr="0043660E" w:rsidRDefault="00580DC5" w:rsidP="0043660E">
            <w:pPr>
              <w:rPr>
                <w:rFonts w:ascii="Calibri" w:hAnsi="Calibri"/>
                <w:sz w:val="20"/>
                <w:szCs w:val="20"/>
              </w:rPr>
            </w:pPr>
            <w:r w:rsidRPr="0043660E">
              <w:rPr>
                <w:rFonts w:ascii="Calibri" w:hAnsi="Calibri"/>
                <w:sz w:val="20"/>
                <w:szCs w:val="20"/>
              </w:rPr>
              <w:t>Amount by which officer remuneration charged to the CIES on an accruals basis is different from remuneration chargeable in the year in accordance with statutory requirements</w:t>
            </w:r>
          </w:p>
        </w:tc>
        <w:tc>
          <w:tcPr>
            <w:tcW w:w="1160"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8,458</w:t>
            </w:r>
            <w:r w:rsidRPr="0043660E">
              <w:rPr>
                <w:rFonts w:ascii="Calibri" w:hAnsi="Calibri"/>
              </w:rPr>
              <w:t> </w:t>
            </w:r>
          </w:p>
        </w:tc>
        <w:tc>
          <w:tcPr>
            <w:tcW w:w="1520" w:type="dxa"/>
            <w:tcBorders>
              <w:top w:val="nil"/>
              <w:left w:val="nil"/>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r w:rsidRPr="0043660E">
              <w:rPr>
                <w:rFonts w:ascii="Calibri" w:hAnsi="Calibri"/>
              </w:rPr>
              <w:t> </w:t>
            </w:r>
          </w:p>
        </w:tc>
        <w:tc>
          <w:tcPr>
            <w:tcW w:w="1480" w:type="dxa"/>
            <w:tcBorders>
              <w:top w:val="nil"/>
              <w:left w:val="nil"/>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360" w:type="dxa"/>
            <w:tcBorders>
              <w:top w:val="nil"/>
              <w:left w:val="nil"/>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420" w:type="dxa"/>
            <w:tcBorders>
              <w:top w:val="nil"/>
              <w:left w:val="nil"/>
              <w:bottom w:val="nil"/>
              <w:right w:val="single" w:sz="4" w:space="0" w:color="auto"/>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380" w:type="dxa"/>
            <w:tcBorders>
              <w:top w:val="nil"/>
              <w:left w:val="nil"/>
              <w:bottom w:val="nil"/>
              <w:right w:val="nil"/>
            </w:tcBorders>
            <w:shd w:val="clear" w:color="auto" w:fill="auto"/>
            <w:noWrap/>
            <w:vAlign w:val="bottom"/>
            <w:hideMark/>
          </w:tcPr>
          <w:p w:rsidR="00580DC5" w:rsidRPr="0043660E" w:rsidRDefault="00580DC5" w:rsidP="00001A63">
            <w:pPr>
              <w:jc w:val="right"/>
              <w:rPr>
                <w:rFonts w:ascii="Calibri" w:hAnsi="Calibri"/>
              </w:rPr>
            </w:pPr>
            <w:r>
              <w:rPr>
                <w:rFonts w:ascii="Calibri" w:hAnsi="Calibri"/>
              </w:rPr>
              <w:t>-</w:t>
            </w:r>
          </w:p>
        </w:tc>
        <w:tc>
          <w:tcPr>
            <w:tcW w:w="1012"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001A63">
            <w:pPr>
              <w:jc w:val="right"/>
            </w:pPr>
            <w:r>
              <w:t>(8,458)</w:t>
            </w:r>
          </w:p>
        </w:tc>
      </w:tr>
      <w:tr w:rsidR="00580DC5" w:rsidRPr="0043660E" w:rsidTr="00580DC5">
        <w:trPr>
          <w:trHeight w:val="315"/>
        </w:trPr>
        <w:tc>
          <w:tcPr>
            <w:tcW w:w="6208" w:type="dxa"/>
            <w:tcBorders>
              <w:top w:val="nil"/>
              <w:left w:val="nil"/>
              <w:bottom w:val="nil"/>
              <w:right w:val="nil"/>
            </w:tcBorders>
            <w:shd w:val="clear" w:color="000000" w:fill="CCFFCC"/>
            <w:hideMark/>
          </w:tcPr>
          <w:p w:rsidR="00580DC5" w:rsidRPr="0043660E" w:rsidRDefault="00580DC5" w:rsidP="0043660E">
            <w:pPr>
              <w:rPr>
                <w:rFonts w:ascii="Calibri" w:hAnsi="Calibri"/>
                <w:b/>
                <w:bCs/>
                <w:sz w:val="22"/>
                <w:szCs w:val="22"/>
              </w:rPr>
            </w:pPr>
            <w:r w:rsidRPr="0043660E">
              <w:rPr>
                <w:rFonts w:ascii="Calibri" w:hAnsi="Calibri"/>
                <w:b/>
                <w:bCs/>
                <w:sz w:val="22"/>
                <w:szCs w:val="22"/>
              </w:rPr>
              <w:t>Other adjustments include</w:t>
            </w:r>
          </w:p>
        </w:tc>
        <w:tc>
          <w:tcPr>
            <w:tcW w:w="1160"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5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48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36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4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380" w:type="dxa"/>
            <w:tcBorders>
              <w:top w:val="nil"/>
              <w:left w:val="nil"/>
              <w:bottom w:val="nil"/>
              <w:right w:val="nil"/>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012"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pPr>
            <w:r w:rsidRPr="0043660E">
              <w:t>-</w:t>
            </w:r>
          </w:p>
        </w:tc>
      </w:tr>
      <w:tr w:rsidR="00580DC5" w:rsidRPr="0043660E" w:rsidTr="00580DC5">
        <w:trPr>
          <w:trHeight w:val="525"/>
        </w:trPr>
        <w:tc>
          <w:tcPr>
            <w:tcW w:w="6208" w:type="dxa"/>
            <w:tcBorders>
              <w:top w:val="nil"/>
              <w:left w:val="nil"/>
              <w:bottom w:val="nil"/>
              <w:right w:val="nil"/>
            </w:tcBorders>
            <w:shd w:val="clear" w:color="000000" w:fill="CCFFCC"/>
            <w:vAlign w:val="bottom"/>
            <w:hideMark/>
          </w:tcPr>
          <w:p w:rsidR="00580DC5" w:rsidRPr="0043660E" w:rsidRDefault="00580DC5" w:rsidP="0043660E">
            <w:pPr>
              <w:rPr>
                <w:rFonts w:ascii="Calibri" w:hAnsi="Calibri"/>
                <w:b/>
                <w:bCs/>
                <w:sz w:val="20"/>
                <w:szCs w:val="20"/>
              </w:rPr>
            </w:pPr>
            <w:r w:rsidRPr="0043660E">
              <w:rPr>
                <w:rFonts w:ascii="Calibri" w:hAnsi="Calibri"/>
                <w:b/>
                <w:bCs/>
                <w:sz w:val="20"/>
                <w:szCs w:val="20"/>
              </w:rPr>
              <w:t>Adjustment between the Capital Adjustment Account and the Revaluation Reserve</w:t>
            </w:r>
          </w:p>
        </w:tc>
        <w:tc>
          <w:tcPr>
            <w:tcW w:w="1160"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5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48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36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4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380" w:type="dxa"/>
            <w:tcBorders>
              <w:top w:val="nil"/>
              <w:left w:val="nil"/>
              <w:bottom w:val="nil"/>
              <w:right w:val="nil"/>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012"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pPr>
            <w:r w:rsidRPr="0043660E">
              <w:t>-</w:t>
            </w:r>
          </w:p>
        </w:tc>
      </w:tr>
      <w:tr w:rsidR="00580DC5" w:rsidRPr="0043660E" w:rsidTr="00580DC5">
        <w:trPr>
          <w:trHeight w:val="945"/>
        </w:trPr>
        <w:tc>
          <w:tcPr>
            <w:tcW w:w="6208" w:type="dxa"/>
            <w:tcBorders>
              <w:top w:val="nil"/>
              <w:left w:val="nil"/>
              <w:bottom w:val="nil"/>
              <w:right w:val="nil"/>
            </w:tcBorders>
            <w:shd w:val="clear" w:color="auto" w:fill="auto"/>
            <w:hideMark/>
          </w:tcPr>
          <w:p w:rsidR="00580DC5" w:rsidRPr="0043660E" w:rsidRDefault="00580DC5" w:rsidP="0043660E">
            <w:pPr>
              <w:rPr>
                <w:rFonts w:ascii="Calibri" w:hAnsi="Calibri"/>
              </w:rPr>
            </w:pPr>
            <w:r w:rsidRPr="0043660E">
              <w:rPr>
                <w:rFonts w:ascii="Calibri" w:hAnsi="Calibri"/>
              </w:rPr>
              <w:t>Adjustments between RR and CAA for depreciation that is related to the revaluation balance rather than Historic Cost. (current cost depreciation)</w:t>
            </w:r>
          </w:p>
        </w:tc>
        <w:tc>
          <w:tcPr>
            <w:tcW w:w="1160"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r w:rsidRPr="0043660E">
              <w:rPr>
                <w:rFonts w:ascii="Calibri" w:hAnsi="Calibri"/>
              </w:rPr>
              <w:t> </w:t>
            </w:r>
          </w:p>
        </w:tc>
        <w:tc>
          <w:tcPr>
            <w:tcW w:w="15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p>
        </w:tc>
        <w:tc>
          <w:tcPr>
            <w:tcW w:w="148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p>
        </w:tc>
        <w:tc>
          <w:tcPr>
            <w:tcW w:w="136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(7,396)</w:t>
            </w:r>
          </w:p>
        </w:tc>
        <w:tc>
          <w:tcPr>
            <w:tcW w:w="14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p>
        </w:tc>
        <w:tc>
          <w:tcPr>
            <w:tcW w:w="1380" w:type="dxa"/>
            <w:tcBorders>
              <w:top w:val="nil"/>
              <w:left w:val="nil"/>
              <w:bottom w:val="nil"/>
              <w:right w:val="nil"/>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p>
        </w:tc>
        <w:tc>
          <w:tcPr>
            <w:tcW w:w="1012"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pPr>
            <w:r w:rsidRPr="0043660E">
              <w:t>7,396</w:t>
            </w:r>
          </w:p>
        </w:tc>
      </w:tr>
      <w:tr w:rsidR="00580DC5" w:rsidRPr="0043660E" w:rsidTr="00580DC5">
        <w:trPr>
          <w:trHeight w:val="315"/>
        </w:trPr>
        <w:tc>
          <w:tcPr>
            <w:tcW w:w="6208" w:type="dxa"/>
            <w:tcBorders>
              <w:top w:val="nil"/>
              <w:left w:val="nil"/>
              <w:bottom w:val="nil"/>
              <w:right w:val="nil"/>
            </w:tcBorders>
            <w:shd w:val="clear" w:color="auto" w:fill="auto"/>
            <w:hideMark/>
          </w:tcPr>
          <w:p w:rsidR="00580DC5" w:rsidRPr="0043660E" w:rsidRDefault="00580DC5" w:rsidP="0043660E">
            <w:pPr>
              <w:rPr>
                <w:rFonts w:ascii="Calibri" w:hAnsi="Calibri"/>
              </w:rPr>
            </w:pPr>
            <w:r w:rsidRPr="0043660E">
              <w:rPr>
                <w:rFonts w:ascii="Calibri" w:hAnsi="Calibri"/>
              </w:rPr>
              <w:t>Write out RR Balances re Academies</w:t>
            </w:r>
          </w:p>
        </w:tc>
        <w:tc>
          <w:tcPr>
            <w:tcW w:w="1160"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r w:rsidRPr="0043660E">
              <w:rPr>
                <w:rFonts w:ascii="Calibri" w:hAnsi="Calibri"/>
              </w:rPr>
              <w:t> </w:t>
            </w:r>
          </w:p>
        </w:tc>
        <w:tc>
          <w:tcPr>
            <w:tcW w:w="15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p>
        </w:tc>
        <w:tc>
          <w:tcPr>
            <w:tcW w:w="148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p>
        </w:tc>
        <w:tc>
          <w:tcPr>
            <w:tcW w:w="136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(53,224)</w:t>
            </w:r>
          </w:p>
        </w:tc>
        <w:tc>
          <w:tcPr>
            <w:tcW w:w="14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p>
        </w:tc>
        <w:tc>
          <w:tcPr>
            <w:tcW w:w="1380" w:type="dxa"/>
            <w:tcBorders>
              <w:top w:val="nil"/>
              <w:left w:val="nil"/>
              <w:bottom w:val="nil"/>
              <w:right w:val="nil"/>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p>
        </w:tc>
        <w:tc>
          <w:tcPr>
            <w:tcW w:w="1012"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pPr>
            <w:r w:rsidRPr="0043660E">
              <w:t>53,224</w:t>
            </w:r>
          </w:p>
        </w:tc>
      </w:tr>
      <w:tr w:rsidR="00580DC5" w:rsidRPr="0043660E" w:rsidTr="00580DC5">
        <w:trPr>
          <w:trHeight w:val="315"/>
        </w:trPr>
        <w:tc>
          <w:tcPr>
            <w:tcW w:w="6208" w:type="dxa"/>
            <w:tcBorders>
              <w:top w:val="nil"/>
              <w:left w:val="nil"/>
              <w:bottom w:val="nil"/>
              <w:right w:val="nil"/>
            </w:tcBorders>
            <w:shd w:val="clear" w:color="auto" w:fill="auto"/>
            <w:hideMark/>
          </w:tcPr>
          <w:p w:rsidR="00580DC5" w:rsidRPr="0043660E" w:rsidRDefault="00580DC5" w:rsidP="0043660E">
            <w:pPr>
              <w:rPr>
                <w:rFonts w:ascii="Calibri" w:hAnsi="Calibri"/>
              </w:rPr>
            </w:pPr>
            <w:r w:rsidRPr="0043660E">
              <w:rPr>
                <w:rFonts w:ascii="Calibri" w:hAnsi="Calibri"/>
              </w:rPr>
              <w:t>Reclassification of Balances on RR</w:t>
            </w:r>
          </w:p>
        </w:tc>
        <w:tc>
          <w:tcPr>
            <w:tcW w:w="1160"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r w:rsidRPr="0043660E">
              <w:rPr>
                <w:rFonts w:ascii="Calibri" w:hAnsi="Calibri"/>
              </w:rPr>
              <w:t> </w:t>
            </w:r>
          </w:p>
        </w:tc>
        <w:tc>
          <w:tcPr>
            <w:tcW w:w="15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p>
        </w:tc>
        <w:tc>
          <w:tcPr>
            <w:tcW w:w="148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p>
        </w:tc>
        <w:tc>
          <w:tcPr>
            <w:tcW w:w="136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4</w:t>
            </w:r>
          </w:p>
        </w:tc>
        <w:tc>
          <w:tcPr>
            <w:tcW w:w="14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p>
        </w:tc>
        <w:tc>
          <w:tcPr>
            <w:tcW w:w="1380" w:type="dxa"/>
            <w:tcBorders>
              <w:top w:val="nil"/>
              <w:left w:val="nil"/>
              <w:bottom w:val="nil"/>
              <w:right w:val="nil"/>
            </w:tcBorders>
            <w:shd w:val="clear" w:color="auto" w:fill="auto"/>
            <w:noWrap/>
            <w:vAlign w:val="bottom"/>
            <w:hideMark/>
          </w:tcPr>
          <w:p w:rsidR="00580DC5" w:rsidRPr="0043660E" w:rsidRDefault="00580DC5" w:rsidP="00DC56C0">
            <w:pPr>
              <w:jc w:val="right"/>
              <w:rPr>
                <w:rFonts w:ascii="Calibri" w:hAnsi="Calibri"/>
              </w:rPr>
            </w:pPr>
            <w:r>
              <w:rPr>
                <w:rFonts w:ascii="Calibri" w:hAnsi="Calibri"/>
              </w:rPr>
              <w:t>-</w:t>
            </w:r>
          </w:p>
        </w:tc>
        <w:tc>
          <w:tcPr>
            <w:tcW w:w="1012"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pPr>
            <w:r w:rsidRPr="0043660E">
              <w:t>(4)</w:t>
            </w:r>
          </w:p>
        </w:tc>
      </w:tr>
      <w:tr w:rsidR="00580DC5" w:rsidRPr="0043660E" w:rsidTr="00580DC5">
        <w:trPr>
          <w:trHeight w:val="330"/>
        </w:trPr>
        <w:tc>
          <w:tcPr>
            <w:tcW w:w="6208" w:type="dxa"/>
            <w:tcBorders>
              <w:top w:val="nil"/>
              <w:left w:val="nil"/>
              <w:bottom w:val="nil"/>
              <w:right w:val="nil"/>
            </w:tcBorders>
            <w:shd w:val="clear" w:color="auto" w:fill="auto"/>
            <w:hideMark/>
          </w:tcPr>
          <w:p w:rsidR="00580DC5" w:rsidRPr="0043660E" w:rsidRDefault="00580DC5" w:rsidP="0043660E">
            <w:pPr>
              <w:rPr>
                <w:rFonts w:ascii="Calibri" w:hAnsi="Calibri"/>
              </w:rPr>
            </w:pPr>
            <w:r w:rsidRPr="0043660E">
              <w:rPr>
                <w:rFonts w:ascii="Calibri" w:hAnsi="Calibri"/>
              </w:rPr>
              <w:t>Reverse write down RR</w:t>
            </w:r>
          </w:p>
        </w:tc>
        <w:tc>
          <w:tcPr>
            <w:tcW w:w="1160"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5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48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36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420" w:type="dxa"/>
            <w:tcBorders>
              <w:top w:val="nil"/>
              <w:left w:val="nil"/>
              <w:bottom w:val="nil"/>
              <w:right w:val="single" w:sz="4" w:space="0" w:color="auto"/>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380" w:type="dxa"/>
            <w:tcBorders>
              <w:top w:val="nil"/>
              <w:left w:val="nil"/>
              <w:bottom w:val="nil"/>
              <w:right w:val="nil"/>
            </w:tcBorders>
            <w:shd w:val="clear" w:color="auto" w:fill="auto"/>
            <w:noWrap/>
            <w:vAlign w:val="bottom"/>
            <w:hideMark/>
          </w:tcPr>
          <w:p w:rsidR="00580DC5" w:rsidRPr="0043660E" w:rsidRDefault="00580DC5" w:rsidP="00DC56C0">
            <w:pPr>
              <w:jc w:val="right"/>
              <w:rPr>
                <w:rFonts w:ascii="Calibri" w:hAnsi="Calibri"/>
              </w:rPr>
            </w:pPr>
            <w:r w:rsidRPr="0043660E">
              <w:rPr>
                <w:rFonts w:ascii="Calibri" w:hAnsi="Calibri"/>
              </w:rPr>
              <w:t> </w:t>
            </w:r>
          </w:p>
        </w:tc>
        <w:tc>
          <w:tcPr>
            <w:tcW w:w="1012" w:type="dxa"/>
            <w:tcBorders>
              <w:top w:val="nil"/>
              <w:left w:val="single" w:sz="4" w:space="0" w:color="auto"/>
              <w:bottom w:val="nil"/>
              <w:right w:val="single" w:sz="4" w:space="0" w:color="auto"/>
            </w:tcBorders>
            <w:shd w:val="clear" w:color="auto" w:fill="auto"/>
            <w:noWrap/>
            <w:vAlign w:val="bottom"/>
            <w:hideMark/>
          </w:tcPr>
          <w:p w:rsidR="00580DC5" w:rsidRPr="0043660E" w:rsidRDefault="00580DC5" w:rsidP="00DC56C0">
            <w:pPr>
              <w:jc w:val="right"/>
            </w:pPr>
            <w:r w:rsidRPr="0043660E">
              <w:t>-</w:t>
            </w:r>
          </w:p>
        </w:tc>
      </w:tr>
      <w:tr w:rsidR="00580DC5" w:rsidRPr="0043660E" w:rsidTr="00580DC5">
        <w:trPr>
          <w:trHeight w:val="330"/>
        </w:trPr>
        <w:tc>
          <w:tcPr>
            <w:tcW w:w="6208" w:type="dxa"/>
            <w:tcBorders>
              <w:top w:val="single" w:sz="8" w:space="0" w:color="auto"/>
              <w:left w:val="single" w:sz="8" w:space="0" w:color="auto"/>
              <w:bottom w:val="single" w:sz="8" w:space="0" w:color="auto"/>
              <w:right w:val="nil"/>
            </w:tcBorders>
            <w:shd w:val="clear" w:color="auto" w:fill="auto"/>
            <w:vAlign w:val="bottom"/>
            <w:hideMark/>
          </w:tcPr>
          <w:p w:rsidR="00580DC5" w:rsidRPr="0043660E" w:rsidRDefault="00580DC5" w:rsidP="0043660E">
            <w:pPr>
              <w:rPr>
                <w:rFonts w:ascii="Calibri" w:hAnsi="Calibri"/>
              </w:rPr>
            </w:pPr>
            <w:r w:rsidRPr="0043660E">
              <w:rPr>
                <w:rFonts w:ascii="Calibri" w:hAnsi="Calibri"/>
              </w:rPr>
              <w:t> </w:t>
            </w:r>
          </w:p>
        </w:tc>
        <w:tc>
          <w:tcPr>
            <w:tcW w:w="1160" w:type="dxa"/>
            <w:tcBorders>
              <w:top w:val="single" w:sz="8" w:space="0" w:color="auto"/>
              <w:left w:val="nil"/>
              <w:bottom w:val="single" w:sz="8" w:space="0" w:color="auto"/>
              <w:right w:val="nil"/>
            </w:tcBorders>
            <w:shd w:val="clear" w:color="auto" w:fill="auto"/>
            <w:noWrap/>
            <w:vAlign w:val="bottom"/>
            <w:hideMark/>
          </w:tcPr>
          <w:p w:rsidR="00580DC5" w:rsidRPr="0043660E" w:rsidRDefault="00580DC5" w:rsidP="00DC56C0">
            <w:pPr>
              <w:jc w:val="right"/>
              <w:rPr>
                <w:rFonts w:ascii="Calibri" w:hAnsi="Calibri"/>
                <w:b/>
                <w:bCs/>
              </w:rPr>
            </w:pPr>
            <w:r w:rsidRPr="0043660E">
              <w:rPr>
                <w:rFonts w:ascii="Calibri" w:hAnsi="Calibri"/>
                <w:b/>
                <w:bCs/>
              </w:rPr>
              <w:t>21,164</w:t>
            </w:r>
          </w:p>
        </w:tc>
        <w:tc>
          <w:tcPr>
            <w:tcW w:w="1520" w:type="dxa"/>
            <w:tcBorders>
              <w:top w:val="single" w:sz="8" w:space="0" w:color="auto"/>
              <w:left w:val="nil"/>
              <w:bottom w:val="single" w:sz="8" w:space="0" w:color="auto"/>
              <w:right w:val="nil"/>
            </w:tcBorders>
            <w:shd w:val="clear" w:color="auto" w:fill="auto"/>
            <w:noWrap/>
            <w:vAlign w:val="bottom"/>
            <w:hideMark/>
          </w:tcPr>
          <w:p w:rsidR="00580DC5" w:rsidRPr="0043660E" w:rsidRDefault="00580DC5" w:rsidP="00DC56C0">
            <w:pPr>
              <w:jc w:val="right"/>
              <w:rPr>
                <w:rFonts w:ascii="Calibri" w:hAnsi="Calibri"/>
                <w:b/>
                <w:bCs/>
              </w:rPr>
            </w:pPr>
            <w:r w:rsidRPr="0043660E">
              <w:rPr>
                <w:rFonts w:ascii="Calibri" w:hAnsi="Calibri"/>
                <w:b/>
                <w:bCs/>
              </w:rPr>
              <w:t>1,222</w:t>
            </w:r>
          </w:p>
        </w:tc>
        <w:tc>
          <w:tcPr>
            <w:tcW w:w="1480" w:type="dxa"/>
            <w:tcBorders>
              <w:top w:val="single" w:sz="8" w:space="0" w:color="auto"/>
              <w:left w:val="nil"/>
              <w:bottom w:val="single" w:sz="8" w:space="0" w:color="auto"/>
              <w:right w:val="nil"/>
            </w:tcBorders>
            <w:shd w:val="clear" w:color="auto" w:fill="auto"/>
            <w:noWrap/>
            <w:vAlign w:val="bottom"/>
            <w:hideMark/>
          </w:tcPr>
          <w:p w:rsidR="00580DC5" w:rsidRPr="0043660E" w:rsidRDefault="00580DC5" w:rsidP="00DC56C0">
            <w:pPr>
              <w:jc w:val="right"/>
              <w:rPr>
                <w:rFonts w:ascii="Calibri" w:hAnsi="Calibri"/>
                <w:b/>
                <w:bCs/>
              </w:rPr>
            </w:pPr>
            <w:r w:rsidRPr="0043660E">
              <w:rPr>
                <w:rFonts w:ascii="Calibri" w:hAnsi="Calibri"/>
                <w:b/>
                <w:bCs/>
              </w:rPr>
              <w:t>(64,718)</w:t>
            </w:r>
          </w:p>
        </w:tc>
        <w:tc>
          <w:tcPr>
            <w:tcW w:w="1360" w:type="dxa"/>
            <w:tcBorders>
              <w:top w:val="single" w:sz="8" w:space="0" w:color="auto"/>
              <w:left w:val="nil"/>
              <w:bottom w:val="single" w:sz="8" w:space="0" w:color="auto"/>
              <w:right w:val="nil"/>
            </w:tcBorders>
            <w:shd w:val="clear" w:color="auto" w:fill="auto"/>
            <w:noWrap/>
            <w:vAlign w:val="bottom"/>
            <w:hideMark/>
          </w:tcPr>
          <w:p w:rsidR="00580DC5" w:rsidRPr="0043660E" w:rsidRDefault="00580DC5" w:rsidP="00DC56C0">
            <w:pPr>
              <w:jc w:val="right"/>
              <w:rPr>
                <w:rFonts w:ascii="Calibri" w:hAnsi="Calibri"/>
                <w:b/>
                <w:bCs/>
              </w:rPr>
            </w:pPr>
            <w:r w:rsidRPr="0043660E">
              <w:rPr>
                <w:rFonts w:ascii="Calibri" w:hAnsi="Calibri"/>
                <w:b/>
                <w:bCs/>
              </w:rPr>
              <w:t>(6,303)</w:t>
            </w:r>
          </w:p>
        </w:tc>
        <w:tc>
          <w:tcPr>
            <w:tcW w:w="1420" w:type="dxa"/>
            <w:tcBorders>
              <w:top w:val="single" w:sz="8" w:space="0" w:color="auto"/>
              <w:left w:val="nil"/>
              <w:bottom w:val="single" w:sz="8" w:space="0" w:color="auto"/>
              <w:right w:val="nil"/>
            </w:tcBorders>
            <w:shd w:val="clear" w:color="auto" w:fill="auto"/>
            <w:noWrap/>
            <w:vAlign w:val="bottom"/>
            <w:hideMark/>
          </w:tcPr>
          <w:p w:rsidR="00580DC5" w:rsidRPr="0043660E" w:rsidRDefault="00580DC5" w:rsidP="00DC56C0">
            <w:pPr>
              <w:jc w:val="right"/>
              <w:rPr>
                <w:rFonts w:ascii="Calibri" w:hAnsi="Calibri"/>
                <w:b/>
                <w:bCs/>
              </w:rPr>
            </w:pPr>
            <w:r w:rsidRPr="0043660E">
              <w:rPr>
                <w:rFonts w:ascii="Calibri" w:hAnsi="Calibri"/>
                <w:b/>
                <w:bCs/>
              </w:rPr>
              <w:t>(2,056)</w:t>
            </w:r>
          </w:p>
        </w:tc>
        <w:tc>
          <w:tcPr>
            <w:tcW w:w="1380" w:type="dxa"/>
            <w:tcBorders>
              <w:top w:val="single" w:sz="8" w:space="0" w:color="auto"/>
              <w:left w:val="nil"/>
              <w:bottom w:val="single" w:sz="8" w:space="0" w:color="auto"/>
              <w:right w:val="nil"/>
            </w:tcBorders>
            <w:shd w:val="clear" w:color="auto" w:fill="auto"/>
            <w:noWrap/>
            <w:vAlign w:val="bottom"/>
            <w:hideMark/>
          </w:tcPr>
          <w:p w:rsidR="00580DC5" w:rsidRPr="0043660E" w:rsidRDefault="00580DC5" w:rsidP="00DC56C0">
            <w:pPr>
              <w:jc w:val="right"/>
              <w:rPr>
                <w:rFonts w:ascii="Calibri" w:hAnsi="Calibri"/>
                <w:b/>
                <w:bCs/>
              </w:rPr>
            </w:pPr>
            <w:r w:rsidRPr="0043660E">
              <w:rPr>
                <w:rFonts w:ascii="Calibri" w:hAnsi="Calibri"/>
                <w:b/>
                <w:bCs/>
              </w:rPr>
              <w:t>(1,117)</w:t>
            </w:r>
          </w:p>
        </w:tc>
        <w:tc>
          <w:tcPr>
            <w:tcW w:w="101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80DC5" w:rsidRPr="0043660E" w:rsidRDefault="00580DC5" w:rsidP="00DC56C0">
            <w:pPr>
              <w:jc w:val="right"/>
              <w:rPr>
                <w:b/>
                <w:bCs/>
              </w:rPr>
            </w:pPr>
            <w:r w:rsidRPr="0043660E">
              <w:rPr>
                <w:b/>
                <w:bCs/>
              </w:rPr>
              <w:t>51,808</w:t>
            </w:r>
          </w:p>
        </w:tc>
      </w:tr>
    </w:tbl>
    <w:p w:rsidR="00C3664D" w:rsidRDefault="00C3664D" w:rsidP="00C3664D">
      <w:pPr>
        <w:spacing w:after="240"/>
        <w:rPr>
          <w:sz w:val="8"/>
          <w:highlight w:val="yellow"/>
        </w:rPr>
      </w:pPr>
    </w:p>
    <w:p w:rsidR="00EC1907" w:rsidRDefault="00EC1907" w:rsidP="00C3664D">
      <w:pPr>
        <w:spacing w:after="240"/>
        <w:rPr>
          <w:sz w:val="8"/>
          <w:highlight w:val="yellow"/>
        </w:rPr>
      </w:pPr>
    </w:p>
    <w:p w:rsidR="00EC1907" w:rsidRDefault="00EC1907" w:rsidP="00C3664D">
      <w:pPr>
        <w:spacing w:after="240"/>
        <w:rPr>
          <w:sz w:val="8"/>
          <w:highlight w:val="yellow"/>
        </w:rPr>
      </w:pPr>
    </w:p>
    <w:p w:rsidR="00EC1907" w:rsidRDefault="00EC1907" w:rsidP="00C3664D">
      <w:pPr>
        <w:spacing w:after="240"/>
        <w:rPr>
          <w:sz w:val="8"/>
          <w:highlight w:val="yellow"/>
        </w:rPr>
      </w:pPr>
    </w:p>
    <w:p w:rsidR="00EC1907" w:rsidRDefault="00EC1907" w:rsidP="00C3664D">
      <w:pPr>
        <w:spacing w:after="240"/>
        <w:rPr>
          <w:sz w:val="8"/>
          <w:highlight w:val="yellow"/>
        </w:rPr>
      </w:pPr>
    </w:p>
    <w:p w:rsidR="00EC1907" w:rsidRDefault="00EC1907" w:rsidP="00C3664D">
      <w:pPr>
        <w:spacing w:after="240"/>
        <w:rPr>
          <w:sz w:val="8"/>
          <w:highlight w:val="yellow"/>
        </w:rPr>
      </w:pPr>
    </w:p>
    <w:p w:rsidR="00EC1907" w:rsidRDefault="00EC1907" w:rsidP="00C3664D">
      <w:pPr>
        <w:spacing w:after="240"/>
        <w:rPr>
          <w:sz w:val="8"/>
          <w:highlight w:val="yellow"/>
        </w:rPr>
      </w:pPr>
    </w:p>
    <w:p w:rsidR="00384EDD" w:rsidRDefault="00384EDD" w:rsidP="00C3664D">
      <w:pPr>
        <w:spacing w:after="240"/>
        <w:rPr>
          <w:sz w:val="8"/>
          <w:highlight w:val="yellow"/>
        </w:rPr>
      </w:pPr>
    </w:p>
    <w:p w:rsidR="0043660E" w:rsidRDefault="0043660E" w:rsidP="00C3664D">
      <w:pPr>
        <w:spacing w:after="240"/>
        <w:rPr>
          <w:sz w:val="8"/>
          <w:highlight w:val="yellow"/>
        </w:rPr>
      </w:pPr>
    </w:p>
    <w:p w:rsidR="0043660E" w:rsidRPr="00286C0E" w:rsidRDefault="0043660E" w:rsidP="00C3664D">
      <w:pPr>
        <w:spacing w:after="240"/>
        <w:rPr>
          <w:b/>
          <w:highlight w:val="yellow"/>
          <w:u w:val="single"/>
        </w:rPr>
      </w:pPr>
    </w:p>
    <w:p w:rsidR="006224EC" w:rsidRPr="00286C0E" w:rsidRDefault="006224EC" w:rsidP="00C3664D">
      <w:pPr>
        <w:spacing w:after="240"/>
        <w:rPr>
          <w:b/>
          <w:highlight w:val="yellow"/>
          <w:u w:val="single"/>
        </w:rPr>
      </w:pPr>
    </w:p>
    <w:p w:rsidR="00C3664D" w:rsidRPr="00EC1907" w:rsidRDefault="00913FE3" w:rsidP="00C3664D">
      <w:pPr>
        <w:spacing w:after="240"/>
        <w:rPr>
          <w:b/>
          <w:u w:val="single"/>
        </w:rPr>
      </w:pPr>
      <w:r w:rsidRPr="00EC1907">
        <w:rPr>
          <w:b/>
          <w:u w:val="single"/>
        </w:rPr>
        <w:lastRenderedPageBreak/>
        <w:t>2010</w:t>
      </w:r>
      <w:r w:rsidR="00C3664D" w:rsidRPr="00EC1907">
        <w:rPr>
          <w:b/>
          <w:u w:val="single"/>
        </w:rPr>
        <w:t>/1</w:t>
      </w:r>
      <w:r w:rsidRPr="00EC1907">
        <w:rPr>
          <w:b/>
          <w:u w:val="single"/>
        </w:rPr>
        <w:t>1</w:t>
      </w:r>
      <w:r w:rsidR="00C3664D" w:rsidRPr="00EC1907">
        <w:rPr>
          <w:b/>
          <w:u w:val="single"/>
        </w:rPr>
        <w:t xml:space="preserve"> Comparative Year Adjustments Re-stated</w:t>
      </w:r>
    </w:p>
    <w:tbl>
      <w:tblPr>
        <w:tblpPr w:leftFromText="180" w:rightFromText="180" w:vertAnchor="text" w:horzAnchor="margin" w:tblpXSpec="center" w:tblpY="138"/>
        <w:tblW w:w="15644" w:type="dxa"/>
        <w:tblLook w:val="04A0"/>
      </w:tblPr>
      <w:tblGrid>
        <w:gridCol w:w="1315"/>
        <w:gridCol w:w="1316"/>
        <w:gridCol w:w="1316"/>
        <w:gridCol w:w="1316"/>
        <w:gridCol w:w="1770"/>
        <w:gridCol w:w="1384"/>
        <w:gridCol w:w="1244"/>
        <w:gridCol w:w="1244"/>
        <w:gridCol w:w="1244"/>
        <w:gridCol w:w="1097"/>
        <w:gridCol w:w="1269"/>
        <w:gridCol w:w="1129"/>
      </w:tblGrid>
      <w:tr w:rsidR="00C3664D" w:rsidRPr="00EC1907" w:rsidTr="00913FE3">
        <w:trPr>
          <w:trHeight w:val="332"/>
        </w:trPr>
        <w:tc>
          <w:tcPr>
            <w:tcW w:w="1315" w:type="dxa"/>
            <w:tcBorders>
              <w:top w:val="nil"/>
              <w:left w:val="nil"/>
              <w:bottom w:val="nil"/>
              <w:right w:val="nil"/>
            </w:tcBorders>
            <w:shd w:val="clear" w:color="auto" w:fill="auto"/>
            <w:noWrap/>
            <w:vAlign w:val="bottom"/>
            <w:hideMark/>
          </w:tcPr>
          <w:p w:rsidR="00C3664D" w:rsidRPr="00EC1907" w:rsidRDefault="00C3664D" w:rsidP="008F72C1">
            <w:pPr>
              <w:rPr>
                <w:b/>
                <w:bCs/>
                <w:color w:val="000000"/>
                <w:sz w:val="22"/>
                <w:szCs w:val="22"/>
              </w:rPr>
            </w:pPr>
          </w:p>
        </w:tc>
        <w:tc>
          <w:tcPr>
            <w:tcW w:w="1316" w:type="dxa"/>
            <w:tcBorders>
              <w:top w:val="nil"/>
              <w:left w:val="nil"/>
              <w:bottom w:val="nil"/>
              <w:right w:val="nil"/>
            </w:tcBorders>
            <w:shd w:val="clear" w:color="auto" w:fill="auto"/>
            <w:noWrap/>
            <w:vAlign w:val="bottom"/>
            <w:hideMark/>
          </w:tcPr>
          <w:p w:rsidR="00C3664D" w:rsidRPr="00EC1907" w:rsidRDefault="00C3664D" w:rsidP="008F72C1">
            <w:pPr>
              <w:rPr>
                <w:color w:val="000000"/>
                <w:sz w:val="22"/>
                <w:szCs w:val="22"/>
              </w:rPr>
            </w:pPr>
          </w:p>
        </w:tc>
        <w:tc>
          <w:tcPr>
            <w:tcW w:w="1316" w:type="dxa"/>
            <w:tcBorders>
              <w:top w:val="nil"/>
              <w:left w:val="nil"/>
              <w:bottom w:val="nil"/>
              <w:right w:val="nil"/>
            </w:tcBorders>
            <w:shd w:val="clear" w:color="auto" w:fill="auto"/>
            <w:noWrap/>
            <w:vAlign w:val="bottom"/>
            <w:hideMark/>
          </w:tcPr>
          <w:p w:rsidR="00C3664D" w:rsidRPr="00EC1907" w:rsidRDefault="00C3664D" w:rsidP="008F72C1">
            <w:pPr>
              <w:rPr>
                <w:color w:val="000000"/>
                <w:sz w:val="22"/>
                <w:szCs w:val="22"/>
              </w:rPr>
            </w:pPr>
          </w:p>
        </w:tc>
        <w:tc>
          <w:tcPr>
            <w:tcW w:w="1316" w:type="dxa"/>
            <w:tcBorders>
              <w:top w:val="nil"/>
              <w:left w:val="nil"/>
              <w:bottom w:val="nil"/>
              <w:right w:val="nil"/>
            </w:tcBorders>
            <w:shd w:val="clear" w:color="auto" w:fill="auto"/>
            <w:noWrap/>
            <w:vAlign w:val="bottom"/>
            <w:hideMark/>
          </w:tcPr>
          <w:p w:rsidR="00C3664D" w:rsidRPr="00EC1907" w:rsidRDefault="00C3664D" w:rsidP="008F72C1">
            <w:pPr>
              <w:rPr>
                <w:color w:val="000000"/>
                <w:sz w:val="22"/>
                <w:szCs w:val="22"/>
              </w:rPr>
            </w:pPr>
          </w:p>
        </w:tc>
        <w:tc>
          <w:tcPr>
            <w:tcW w:w="1770" w:type="dxa"/>
            <w:tcBorders>
              <w:top w:val="nil"/>
              <w:left w:val="nil"/>
              <w:bottom w:val="nil"/>
              <w:right w:val="nil"/>
            </w:tcBorders>
            <w:shd w:val="clear" w:color="auto" w:fill="auto"/>
            <w:noWrap/>
            <w:vAlign w:val="bottom"/>
            <w:hideMark/>
          </w:tcPr>
          <w:p w:rsidR="00C3664D" w:rsidRPr="00EC1907" w:rsidRDefault="00C3664D" w:rsidP="008F72C1">
            <w:pPr>
              <w:rPr>
                <w:color w:val="000000"/>
                <w:sz w:val="22"/>
                <w:szCs w:val="22"/>
              </w:rPr>
            </w:pPr>
          </w:p>
        </w:tc>
        <w:tc>
          <w:tcPr>
            <w:tcW w:w="3872"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3664D" w:rsidRPr="00EC1907" w:rsidRDefault="00C3664D" w:rsidP="008F72C1">
            <w:pPr>
              <w:jc w:val="center"/>
              <w:rPr>
                <w:b/>
                <w:bCs/>
                <w:color w:val="000000"/>
                <w:sz w:val="22"/>
                <w:szCs w:val="22"/>
              </w:rPr>
            </w:pPr>
            <w:r w:rsidRPr="00EC1907">
              <w:rPr>
                <w:b/>
                <w:bCs/>
                <w:color w:val="000000"/>
                <w:sz w:val="22"/>
                <w:szCs w:val="22"/>
              </w:rPr>
              <w:t>Useable Reserves</w:t>
            </w:r>
            <w:r w:rsidR="00094EF0" w:rsidRPr="00EC1907">
              <w:rPr>
                <w:b/>
                <w:bCs/>
                <w:color w:val="000000"/>
                <w:sz w:val="22"/>
                <w:szCs w:val="22"/>
              </w:rPr>
              <w:t xml:space="preserve"> £000</w:t>
            </w:r>
          </w:p>
        </w:tc>
        <w:tc>
          <w:tcPr>
            <w:tcW w:w="4739"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3664D" w:rsidRPr="00EC1907" w:rsidRDefault="00C3664D" w:rsidP="008F72C1">
            <w:pPr>
              <w:jc w:val="center"/>
              <w:rPr>
                <w:b/>
                <w:bCs/>
                <w:color w:val="000000"/>
                <w:sz w:val="22"/>
                <w:szCs w:val="22"/>
              </w:rPr>
            </w:pPr>
            <w:r w:rsidRPr="00EC1907">
              <w:rPr>
                <w:b/>
                <w:bCs/>
                <w:color w:val="000000"/>
                <w:sz w:val="22"/>
                <w:szCs w:val="22"/>
              </w:rPr>
              <w:t>Unusable Reserves £000</w:t>
            </w:r>
          </w:p>
        </w:tc>
      </w:tr>
      <w:tr w:rsidR="00C3664D" w:rsidRPr="00EC1907" w:rsidTr="00913FE3">
        <w:trPr>
          <w:trHeight w:val="302"/>
        </w:trPr>
        <w:tc>
          <w:tcPr>
            <w:tcW w:w="1315" w:type="dxa"/>
            <w:tcBorders>
              <w:top w:val="nil"/>
              <w:left w:val="nil"/>
              <w:bottom w:val="nil"/>
              <w:right w:val="nil"/>
            </w:tcBorders>
            <w:shd w:val="clear" w:color="auto" w:fill="auto"/>
            <w:noWrap/>
            <w:vAlign w:val="bottom"/>
            <w:hideMark/>
          </w:tcPr>
          <w:p w:rsidR="00C3664D" w:rsidRPr="00EC1907" w:rsidRDefault="00C3664D" w:rsidP="008F72C1">
            <w:pPr>
              <w:rPr>
                <w:b/>
                <w:bCs/>
                <w:color w:val="000000"/>
                <w:sz w:val="22"/>
                <w:szCs w:val="22"/>
              </w:rPr>
            </w:pPr>
          </w:p>
        </w:tc>
        <w:tc>
          <w:tcPr>
            <w:tcW w:w="1316" w:type="dxa"/>
            <w:tcBorders>
              <w:top w:val="nil"/>
              <w:left w:val="nil"/>
              <w:bottom w:val="nil"/>
              <w:right w:val="nil"/>
            </w:tcBorders>
            <w:shd w:val="clear" w:color="auto" w:fill="auto"/>
            <w:noWrap/>
            <w:vAlign w:val="bottom"/>
            <w:hideMark/>
          </w:tcPr>
          <w:p w:rsidR="00C3664D" w:rsidRPr="00EC1907" w:rsidRDefault="00C3664D" w:rsidP="008F72C1">
            <w:pPr>
              <w:rPr>
                <w:color w:val="000000"/>
                <w:sz w:val="22"/>
                <w:szCs w:val="22"/>
              </w:rPr>
            </w:pPr>
          </w:p>
        </w:tc>
        <w:tc>
          <w:tcPr>
            <w:tcW w:w="1316" w:type="dxa"/>
            <w:tcBorders>
              <w:top w:val="nil"/>
              <w:left w:val="nil"/>
              <w:bottom w:val="nil"/>
              <w:right w:val="nil"/>
            </w:tcBorders>
            <w:shd w:val="clear" w:color="auto" w:fill="auto"/>
            <w:noWrap/>
            <w:vAlign w:val="bottom"/>
            <w:hideMark/>
          </w:tcPr>
          <w:p w:rsidR="00C3664D" w:rsidRPr="00EC1907" w:rsidRDefault="00C3664D" w:rsidP="008F72C1">
            <w:pPr>
              <w:rPr>
                <w:color w:val="000000"/>
                <w:sz w:val="22"/>
                <w:szCs w:val="22"/>
              </w:rPr>
            </w:pPr>
          </w:p>
        </w:tc>
        <w:tc>
          <w:tcPr>
            <w:tcW w:w="1316" w:type="dxa"/>
            <w:tcBorders>
              <w:top w:val="nil"/>
              <w:left w:val="nil"/>
              <w:bottom w:val="nil"/>
              <w:right w:val="nil"/>
            </w:tcBorders>
            <w:shd w:val="clear" w:color="auto" w:fill="auto"/>
            <w:noWrap/>
            <w:vAlign w:val="bottom"/>
            <w:hideMark/>
          </w:tcPr>
          <w:p w:rsidR="00C3664D" w:rsidRPr="00EC1907" w:rsidRDefault="00C3664D" w:rsidP="008F72C1">
            <w:pPr>
              <w:rPr>
                <w:color w:val="000000"/>
                <w:sz w:val="22"/>
                <w:szCs w:val="22"/>
              </w:rPr>
            </w:pPr>
          </w:p>
        </w:tc>
        <w:tc>
          <w:tcPr>
            <w:tcW w:w="1770" w:type="dxa"/>
            <w:tcBorders>
              <w:top w:val="nil"/>
              <w:left w:val="nil"/>
              <w:bottom w:val="nil"/>
              <w:right w:val="nil"/>
            </w:tcBorders>
            <w:shd w:val="clear" w:color="auto" w:fill="auto"/>
            <w:noWrap/>
            <w:vAlign w:val="bottom"/>
            <w:hideMark/>
          </w:tcPr>
          <w:p w:rsidR="00C3664D" w:rsidRPr="00EC1907" w:rsidRDefault="00C3664D" w:rsidP="008F72C1">
            <w:pPr>
              <w:rPr>
                <w:color w:val="000000"/>
                <w:sz w:val="22"/>
                <w:szCs w:val="22"/>
              </w:rPr>
            </w:pPr>
          </w:p>
        </w:tc>
        <w:tc>
          <w:tcPr>
            <w:tcW w:w="138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3664D" w:rsidRPr="00EC1907" w:rsidRDefault="00F730B9" w:rsidP="008F72C1">
            <w:pPr>
              <w:jc w:val="center"/>
              <w:rPr>
                <w:color w:val="000000"/>
                <w:sz w:val="22"/>
                <w:szCs w:val="22"/>
              </w:rPr>
            </w:pPr>
            <w:r w:rsidRPr="00EC1907">
              <w:rPr>
                <w:color w:val="000000"/>
                <w:sz w:val="22"/>
                <w:szCs w:val="22"/>
              </w:rPr>
              <w:t>County fund</w:t>
            </w:r>
            <w:r w:rsidR="00C3664D" w:rsidRPr="00EC1907">
              <w:rPr>
                <w:color w:val="000000"/>
                <w:sz w:val="22"/>
                <w:szCs w:val="22"/>
              </w:rPr>
              <w:t xml:space="preserve"> </w:t>
            </w:r>
          </w:p>
        </w:tc>
        <w:tc>
          <w:tcPr>
            <w:tcW w:w="12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3664D" w:rsidRPr="00EC1907" w:rsidRDefault="00C3664D" w:rsidP="008F72C1">
            <w:pPr>
              <w:jc w:val="center"/>
              <w:rPr>
                <w:color w:val="000000"/>
                <w:sz w:val="22"/>
                <w:szCs w:val="22"/>
              </w:rPr>
            </w:pPr>
            <w:r w:rsidRPr="00EC1907">
              <w:rPr>
                <w:color w:val="000000"/>
                <w:sz w:val="22"/>
                <w:szCs w:val="22"/>
              </w:rPr>
              <w:t xml:space="preserve">Capital Receipts Reserve </w:t>
            </w:r>
          </w:p>
        </w:tc>
        <w:tc>
          <w:tcPr>
            <w:tcW w:w="1244" w:type="dxa"/>
            <w:vMerge w:val="restart"/>
            <w:tcBorders>
              <w:top w:val="nil"/>
              <w:left w:val="single" w:sz="4" w:space="0" w:color="auto"/>
              <w:bottom w:val="single" w:sz="4" w:space="0" w:color="auto"/>
              <w:right w:val="nil"/>
            </w:tcBorders>
            <w:shd w:val="clear" w:color="auto" w:fill="auto"/>
            <w:textDirection w:val="btLr"/>
            <w:vAlign w:val="center"/>
            <w:hideMark/>
          </w:tcPr>
          <w:p w:rsidR="00C3664D" w:rsidRPr="00EC1907" w:rsidRDefault="00C3664D" w:rsidP="008F72C1">
            <w:pPr>
              <w:jc w:val="center"/>
              <w:rPr>
                <w:color w:val="000000"/>
                <w:sz w:val="22"/>
                <w:szCs w:val="22"/>
              </w:rPr>
            </w:pPr>
            <w:r w:rsidRPr="00EC1907">
              <w:rPr>
                <w:color w:val="000000"/>
                <w:sz w:val="22"/>
                <w:szCs w:val="22"/>
              </w:rPr>
              <w:t xml:space="preserve">Capital Grants Unapplied </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3664D" w:rsidRPr="00EC1907" w:rsidRDefault="00C3664D" w:rsidP="008F72C1">
            <w:pPr>
              <w:jc w:val="center"/>
              <w:rPr>
                <w:color w:val="000000"/>
                <w:sz w:val="22"/>
                <w:szCs w:val="22"/>
              </w:rPr>
            </w:pPr>
            <w:r w:rsidRPr="00EC1907">
              <w:rPr>
                <w:color w:val="000000"/>
                <w:sz w:val="22"/>
                <w:szCs w:val="22"/>
              </w:rPr>
              <w:t>Capital Adjustment Account</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3664D" w:rsidRPr="00EC1907" w:rsidRDefault="00C3664D" w:rsidP="008F72C1">
            <w:pPr>
              <w:jc w:val="center"/>
              <w:rPr>
                <w:color w:val="000000"/>
                <w:sz w:val="22"/>
                <w:szCs w:val="22"/>
              </w:rPr>
            </w:pPr>
            <w:r w:rsidRPr="00EC1907">
              <w:rPr>
                <w:color w:val="000000"/>
                <w:sz w:val="22"/>
                <w:szCs w:val="22"/>
              </w:rPr>
              <w:t>Financial Instruments Adjustment Account</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3664D" w:rsidRPr="00EC1907" w:rsidRDefault="00C3664D" w:rsidP="008F72C1">
            <w:pPr>
              <w:jc w:val="center"/>
              <w:rPr>
                <w:color w:val="000000"/>
                <w:sz w:val="22"/>
                <w:szCs w:val="22"/>
              </w:rPr>
            </w:pPr>
            <w:r w:rsidRPr="00EC1907">
              <w:rPr>
                <w:color w:val="000000"/>
                <w:sz w:val="22"/>
                <w:szCs w:val="22"/>
              </w:rPr>
              <w:t>Pensions Reserve</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3664D" w:rsidRPr="00EC1907" w:rsidRDefault="00C3664D" w:rsidP="008F72C1">
            <w:pPr>
              <w:jc w:val="center"/>
              <w:rPr>
                <w:color w:val="000000"/>
                <w:sz w:val="22"/>
                <w:szCs w:val="22"/>
              </w:rPr>
            </w:pPr>
            <w:r w:rsidRPr="00EC1907">
              <w:rPr>
                <w:color w:val="000000"/>
                <w:sz w:val="22"/>
                <w:szCs w:val="22"/>
              </w:rPr>
              <w:t>Other Unusable Reserves</w:t>
            </w:r>
          </w:p>
        </w:tc>
      </w:tr>
      <w:tr w:rsidR="00C3664D" w:rsidRPr="00EC1907" w:rsidTr="00913FE3">
        <w:trPr>
          <w:trHeight w:val="302"/>
        </w:trPr>
        <w:tc>
          <w:tcPr>
            <w:tcW w:w="1315" w:type="dxa"/>
            <w:tcBorders>
              <w:top w:val="nil"/>
              <w:left w:val="nil"/>
              <w:bottom w:val="nil"/>
              <w:right w:val="nil"/>
            </w:tcBorders>
            <w:shd w:val="clear" w:color="auto" w:fill="auto"/>
            <w:noWrap/>
            <w:vAlign w:val="bottom"/>
            <w:hideMark/>
          </w:tcPr>
          <w:p w:rsidR="00C3664D" w:rsidRPr="00EC1907" w:rsidRDefault="00C3664D" w:rsidP="008F72C1">
            <w:pPr>
              <w:rPr>
                <w:b/>
                <w:bCs/>
                <w:color w:val="000000"/>
                <w:sz w:val="22"/>
                <w:szCs w:val="22"/>
              </w:rPr>
            </w:pPr>
          </w:p>
        </w:tc>
        <w:tc>
          <w:tcPr>
            <w:tcW w:w="1316" w:type="dxa"/>
            <w:tcBorders>
              <w:top w:val="nil"/>
              <w:left w:val="nil"/>
              <w:bottom w:val="nil"/>
              <w:right w:val="nil"/>
            </w:tcBorders>
            <w:shd w:val="clear" w:color="auto" w:fill="auto"/>
            <w:noWrap/>
            <w:vAlign w:val="bottom"/>
            <w:hideMark/>
          </w:tcPr>
          <w:p w:rsidR="00C3664D" w:rsidRPr="00EC1907" w:rsidRDefault="00C3664D" w:rsidP="008F72C1">
            <w:pPr>
              <w:rPr>
                <w:color w:val="000000"/>
                <w:sz w:val="22"/>
                <w:szCs w:val="22"/>
              </w:rPr>
            </w:pPr>
          </w:p>
        </w:tc>
        <w:tc>
          <w:tcPr>
            <w:tcW w:w="1316" w:type="dxa"/>
            <w:tcBorders>
              <w:top w:val="nil"/>
              <w:left w:val="nil"/>
              <w:bottom w:val="nil"/>
              <w:right w:val="nil"/>
            </w:tcBorders>
            <w:shd w:val="clear" w:color="auto" w:fill="auto"/>
            <w:noWrap/>
            <w:vAlign w:val="bottom"/>
            <w:hideMark/>
          </w:tcPr>
          <w:p w:rsidR="00C3664D" w:rsidRPr="00EC1907" w:rsidRDefault="00C3664D" w:rsidP="008F72C1">
            <w:pPr>
              <w:rPr>
                <w:color w:val="000000"/>
                <w:sz w:val="22"/>
                <w:szCs w:val="22"/>
              </w:rPr>
            </w:pPr>
          </w:p>
        </w:tc>
        <w:tc>
          <w:tcPr>
            <w:tcW w:w="1316" w:type="dxa"/>
            <w:tcBorders>
              <w:top w:val="nil"/>
              <w:left w:val="nil"/>
              <w:bottom w:val="nil"/>
              <w:right w:val="nil"/>
            </w:tcBorders>
            <w:shd w:val="clear" w:color="auto" w:fill="auto"/>
            <w:noWrap/>
            <w:vAlign w:val="bottom"/>
            <w:hideMark/>
          </w:tcPr>
          <w:p w:rsidR="00C3664D" w:rsidRPr="00EC1907" w:rsidRDefault="00C3664D" w:rsidP="008F72C1">
            <w:pPr>
              <w:rPr>
                <w:color w:val="000000"/>
                <w:sz w:val="22"/>
                <w:szCs w:val="22"/>
              </w:rPr>
            </w:pPr>
          </w:p>
        </w:tc>
        <w:tc>
          <w:tcPr>
            <w:tcW w:w="1770" w:type="dxa"/>
            <w:tcBorders>
              <w:top w:val="nil"/>
              <w:left w:val="nil"/>
              <w:bottom w:val="nil"/>
              <w:right w:val="nil"/>
            </w:tcBorders>
            <w:shd w:val="clear" w:color="auto" w:fill="auto"/>
            <w:noWrap/>
            <w:vAlign w:val="bottom"/>
            <w:hideMark/>
          </w:tcPr>
          <w:p w:rsidR="00C3664D" w:rsidRPr="00EC1907" w:rsidRDefault="00C3664D" w:rsidP="008F72C1">
            <w:pPr>
              <w:rPr>
                <w:color w:val="000000"/>
                <w:sz w:val="22"/>
                <w:szCs w:val="22"/>
              </w:rPr>
            </w:pPr>
          </w:p>
        </w:tc>
        <w:tc>
          <w:tcPr>
            <w:tcW w:w="1384" w:type="dxa"/>
            <w:vMerge/>
            <w:tcBorders>
              <w:top w:val="nil"/>
              <w:left w:val="single" w:sz="4" w:space="0" w:color="auto"/>
              <w:bottom w:val="single" w:sz="4" w:space="0" w:color="auto"/>
              <w:right w:val="single" w:sz="4" w:space="0" w:color="auto"/>
            </w:tcBorders>
            <w:shd w:val="clear" w:color="auto" w:fill="auto"/>
            <w:vAlign w:val="center"/>
            <w:hideMark/>
          </w:tcPr>
          <w:p w:rsidR="00C3664D" w:rsidRPr="00EC1907" w:rsidRDefault="00C3664D" w:rsidP="008F72C1">
            <w:pPr>
              <w:rPr>
                <w:color w:val="000000"/>
                <w:sz w:val="22"/>
                <w:szCs w:val="22"/>
              </w:rPr>
            </w:pPr>
          </w:p>
        </w:tc>
        <w:tc>
          <w:tcPr>
            <w:tcW w:w="1244" w:type="dxa"/>
            <w:vMerge/>
            <w:tcBorders>
              <w:top w:val="nil"/>
              <w:left w:val="single" w:sz="4" w:space="0" w:color="auto"/>
              <w:bottom w:val="single" w:sz="4" w:space="0" w:color="auto"/>
              <w:right w:val="single" w:sz="4" w:space="0" w:color="auto"/>
            </w:tcBorders>
            <w:shd w:val="clear" w:color="auto" w:fill="auto"/>
            <w:vAlign w:val="center"/>
            <w:hideMark/>
          </w:tcPr>
          <w:p w:rsidR="00C3664D" w:rsidRPr="00EC1907" w:rsidRDefault="00C3664D" w:rsidP="008F72C1">
            <w:pPr>
              <w:rPr>
                <w:color w:val="000000"/>
                <w:sz w:val="22"/>
                <w:szCs w:val="22"/>
              </w:rPr>
            </w:pPr>
          </w:p>
        </w:tc>
        <w:tc>
          <w:tcPr>
            <w:tcW w:w="1244" w:type="dxa"/>
            <w:vMerge/>
            <w:tcBorders>
              <w:top w:val="nil"/>
              <w:left w:val="single" w:sz="4" w:space="0" w:color="auto"/>
              <w:bottom w:val="single" w:sz="4" w:space="0" w:color="auto"/>
              <w:right w:val="nil"/>
            </w:tcBorders>
            <w:shd w:val="clear" w:color="auto" w:fill="auto"/>
            <w:vAlign w:val="center"/>
            <w:hideMark/>
          </w:tcPr>
          <w:p w:rsidR="00C3664D" w:rsidRPr="00EC1907" w:rsidRDefault="00C3664D" w:rsidP="008F72C1">
            <w:pPr>
              <w:rPr>
                <w:color w:val="000000"/>
                <w:sz w:val="22"/>
                <w:szCs w:val="22"/>
              </w:rPr>
            </w:pPr>
          </w:p>
        </w:tc>
        <w:tc>
          <w:tcPr>
            <w:tcW w:w="12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664D" w:rsidRPr="00EC1907" w:rsidRDefault="00C3664D" w:rsidP="008F72C1">
            <w:pPr>
              <w:rPr>
                <w:color w:val="000000"/>
                <w:sz w:val="22"/>
                <w:szCs w:val="22"/>
              </w:rPr>
            </w:pPr>
          </w:p>
        </w:tc>
        <w:tc>
          <w:tcPr>
            <w:tcW w:w="10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664D" w:rsidRPr="00EC1907" w:rsidRDefault="00C3664D" w:rsidP="008F72C1">
            <w:pPr>
              <w:rPr>
                <w:color w:val="000000"/>
                <w:sz w:val="22"/>
                <w:szCs w:val="22"/>
              </w:rPr>
            </w:pPr>
          </w:p>
        </w:tc>
        <w:tc>
          <w:tcPr>
            <w:tcW w:w="12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664D" w:rsidRPr="00EC1907" w:rsidRDefault="00C3664D" w:rsidP="008F72C1">
            <w:pPr>
              <w:rPr>
                <w:color w:val="000000"/>
                <w:sz w:val="22"/>
                <w:szCs w:val="22"/>
              </w:rPr>
            </w:pPr>
          </w:p>
        </w:tc>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664D" w:rsidRPr="00EC1907" w:rsidRDefault="00C3664D" w:rsidP="008F72C1">
            <w:pPr>
              <w:rPr>
                <w:color w:val="000000"/>
                <w:sz w:val="22"/>
                <w:szCs w:val="22"/>
              </w:rPr>
            </w:pPr>
          </w:p>
        </w:tc>
      </w:tr>
      <w:tr w:rsidR="00C3664D" w:rsidRPr="00EC1907" w:rsidTr="00913FE3">
        <w:trPr>
          <w:trHeight w:val="302"/>
        </w:trPr>
        <w:tc>
          <w:tcPr>
            <w:tcW w:w="1315" w:type="dxa"/>
            <w:tcBorders>
              <w:top w:val="nil"/>
              <w:left w:val="nil"/>
              <w:bottom w:val="nil"/>
              <w:right w:val="nil"/>
            </w:tcBorders>
            <w:shd w:val="clear" w:color="auto" w:fill="auto"/>
            <w:noWrap/>
            <w:vAlign w:val="bottom"/>
            <w:hideMark/>
          </w:tcPr>
          <w:p w:rsidR="00C3664D" w:rsidRPr="00EC1907" w:rsidRDefault="00C3664D" w:rsidP="008F72C1">
            <w:pPr>
              <w:rPr>
                <w:b/>
                <w:bCs/>
                <w:color w:val="000000"/>
                <w:sz w:val="22"/>
                <w:szCs w:val="22"/>
              </w:rPr>
            </w:pPr>
          </w:p>
        </w:tc>
        <w:tc>
          <w:tcPr>
            <w:tcW w:w="1316" w:type="dxa"/>
            <w:tcBorders>
              <w:top w:val="nil"/>
              <w:left w:val="nil"/>
              <w:bottom w:val="nil"/>
              <w:right w:val="nil"/>
            </w:tcBorders>
            <w:shd w:val="clear" w:color="auto" w:fill="auto"/>
            <w:noWrap/>
            <w:vAlign w:val="bottom"/>
            <w:hideMark/>
          </w:tcPr>
          <w:p w:rsidR="00C3664D" w:rsidRPr="00EC1907" w:rsidRDefault="00C3664D" w:rsidP="008F72C1">
            <w:pPr>
              <w:rPr>
                <w:color w:val="000000"/>
                <w:sz w:val="22"/>
                <w:szCs w:val="22"/>
              </w:rPr>
            </w:pPr>
          </w:p>
        </w:tc>
        <w:tc>
          <w:tcPr>
            <w:tcW w:w="1316" w:type="dxa"/>
            <w:tcBorders>
              <w:top w:val="nil"/>
              <w:left w:val="nil"/>
              <w:bottom w:val="nil"/>
              <w:right w:val="nil"/>
            </w:tcBorders>
            <w:shd w:val="clear" w:color="auto" w:fill="auto"/>
            <w:noWrap/>
            <w:vAlign w:val="bottom"/>
            <w:hideMark/>
          </w:tcPr>
          <w:p w:rsidR="00C3664D" w:rsidRPr="00EC1907" w:rsidRDefault="00C3664D" w:rsidP="008F72C1">
            <w:pPr>
              <w:rPr>
                <w:color w:val="000000"/>
                <w:sz w:val="22"/>
                <w:szCs w:val="22"/>
              </w:rPr>
            </w:pPr>
          </w:p>
        </w:tc>
        <w:tc>
          <w:tcPr>
            <w:tcW w:w="1316" w:type="dxa"/>
            <w:tcBorders>
              <w:top w:val="nil"/>
              <w:left w:val="nil"/>
              <w:bottom w:val="nil"/>
              <w:right w:val="nil"/>
            </w:tcBorders>
            <w:shd w:val="clear" w:color="auto" w:fill="auto"/>
            <w:noWrap/>
            <w:vAlign w:val="bottom"/>
            <w:hideMark/>
          </w:tcPr>
          <w:p w:rsidR="00C3664D" w:rsidRPr="00EC1907" w:rsidRDefault="00C3664D" w:rsidP="008F72C1">
            <w:pPr>
              <w:rPr>
                <w:color w:val="000000"/>
                <w:sz w:val="22"/>
                <w:szCs w:val="22"/>
              </w:rPr>
            </w:pPr>
          </w:p>
        </w:tc>
        <w:tc>
          <w:tcPr>
            <w:tcW w:w="1770" w:type="dxa"/>
            <w:tcBorders>
              <w:top w:val="nil"/>
              <w:left w:val="nil"/>
              <w:bottom w:val="nil"/>
              <w:right w:val="nil"/>
            </w:tcBorders>
            <w:shd w:val="clear" w:color="auto" w:fill="auto"/>
            <w:noWrap/>
            <w:vAlign w:val="bottom"/>
            <w:hideMark/>
          </w:tcPr>
          <w:p w:rsidR="00C3664D" w:rsidRPr="00EC1907" w:rsidRDefault="00C3664D" w:rsidP="008F72C1">
            <w:pPr>
              <w:rPr>
                <w:color w:val="000000"/>
                <w:sz w:val="22"/>
                <w:szCs w:val="22"/>
              </w:rPr>
            </w:pPr>
          </w:p>
        </w:tc>
        <w:tc>
          <w:tcPr>
            <w:tcW w:w="1384" w:type="dxa"/>
            <w:vMerge/>
            <w:tcBorders>
              <w:top w:val="nil"/>
              <w:left w:val="single" w:sz="4" w:space="0" w:color="auto"/>
              <w:bottom w:val="single" w:sz="4" w:space="0" w:color="auto"/>
              <w:right w:val="single" w:sz="4" w:space="0" w:color="auto"/>
            </w:tcBorders>
            <w:shd w:val="clear" w:color="auto" w:fill="auto"/>
            <w:vAlign w:val="center"/>
            <w:hideMark/>
          </w:tcPr>
          <w:p w:rsidR="00C3664D" w:rsidRPr="00EC1907" w:rsidRDefault="00C3664D" w:rsidP="008F72C1">
            <w:pPr>
              <w:rPr>
                <w:color w:val="000000"/>
                <w:sz w:val="22"/>
                <w:szCs w:val="22"/>
              </w:rPr>
            </w:pPr>
          </w:p>
        </w:tc>
        <w:tc>
          <w:tcPr>
            <w:tcW w:w="1244" w:type="dxa"/>
            <w:vMerge/>
            <w:tcBorders>
              <w:top w:val="nil"/>
              <w:left w:val="single" w:sz="4" w:space="0" w:color="auto"/>
              <w:bottom w:val="single" w:sz="4" w:space="0" w:color="auto"/>
              <w:right w:val="single" w:sz="4" w:space="0" w:color="auto"/>
            </w:tcBorders>
            <w:shd w:val="clear" w:color="auto" w:fill="auto"/>
            <w:vAlign w:val="center"/>
            <w:hideMark/>
          </w:tcPr>
          <w:p w:rsidR="00C3664D" w:rsidRPr="00EC1907" w:rsidRDefault="00C3664D" w:rsidP="008F72C1">
            <w:pPr>
              <w:rPr>
                <w:color w:val="000000"/>
                <w:sz w:val="22"/>
                <w:szCs w:val="22"/>
              </w:rPr>
            </w:pPr>
          </w:p>
        </w:tc>
        <w:tc>
          <w:tcPr>
            <w:tcW w:w="1244" w:type="dxa"/>
            <w:vMerge/>
            <w:tcBorders>
              <w:top w:val="nil"/>
              <w:left w:val="single" w:sz="4" w:space="0" w:color="auto"/>
              <w:bottom w:val="single" w:sz="4" w:space="0" w:color="auto"/>
              <w:right w:val="nil"/>
            </w:tcBorders>
            <w:shd w:val="clear" w:color="auto" w:fill="auto"/>
            <w:vAlign w:val="center"/>
            <w:hideMark/>
          </w:tcPr>
          <w:p w:rsidR="00C3664D" w:rsidRPr="00EC1907" w:rsidRDefault="00C3664D" w:rsidP="008F72C1">
            <w:pPr>
              <w:rPr>
                <w:color w:val="000000"/>
                <w:sz w:val="22"/>
                <w:szCs w:val="22"/>
              </w:rPr>
            </w:pPr>
          </w:p>
        </w:tc>
        <w:tc>
          <w:tcPr>
            <w:tcW w:w="12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664D" w:rsidRPr="00EC1907" w:rsidRDefault="00C3664D" w:rsidP="008F72C1">
            <w:pPr>
              <w:rPr>
                <w:color w:val="000000"/>
                <w:sz w:val="22"/>
                <w:szCs w:val="22"/>
              </w:rPr>
            </w:pPr>
          </w:p>
        </w:tc>
        <w:tc>
          <w:tcPr>
            <w:tcW w:w="10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664D" w:rsidRPr="00EC1907" w:rsidRDefault="00C3664D" w:rsidP="008F72C1">
            <w:pPr>
              <w:rPr>
                <w:color w:val="000000"/>
                <w:sz w:val="22"/>
                <w:szCs w:val="22"/>
              </w:rPr>
            </w:pPr>
          </w:p>
        </w:tc>
        <w:tc>
          <w:tcPr>
            <w:tcW w:w="12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664D" w:rsidRPr="00EC1907" w:rsidRDefault="00C3664D" w:rsidP="008F72C1">
            <w:pPr>
              <w:rPr>
                <w:color w:val="000000"/>
                <w:sz w:val="22"/>
                <w:szCs w:val="22"/>
              </w:rPr>
            </w:pPr>
          </w:p>
        </w:tc>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664D" w:rsidRPr="00EC1907" w:rsidRDefault="00C3664D" w:rsidP="008F72C1">
            <w:pPr>
              <w:rPr>
                <w:color w:val="000000"/>
                <w:sz w:val="22"/>
                <w:szCs w:val="22"/>
              </w:rPr>
            </w:pPr>
          </w:p>
        </w:tc>
      </w:tr>
      <w:tr w:rsidR="00C3664D" w:rsidRPr="00EC1907" w:rsidTr="00913FE3">
        <w:trPr>
          <w:trHeight w:val="302"/>
        </w:trPr>
        <w:tc>
          <w:tcPr>
            <w:tcW w:w="1315" w:type="dxa"/>
            <w:tcBorders>
              <w:top w:val="nil"/>
              <w:left w:val="nil"/>
              <w:bottom w:val="nil"/>
              <w:right w:val="nil"/>
            </w:tcBorders>
            <w:shd w:val="clear" w:color="auto" w:fill="auto"/>
            <w:noWrap/>
            <w:vAlign w:val="bottom"/>
            <w:hideMark/>
          </w:tcPr>
          <w:p w:rsidR="00C3664D" w:rsidRPr="00EC1907" w:rsidRDefault="00C3664D" w:rsidP="008F72C1">
            <w:pPr>
              <w:rPr>
                <w:b/>
                <w:bCs/>
                <w:color w:val="000000"/>
                <w:sz w:val="22"/>
                <w:szCs w:val="22"/>
              </w:rPr>
            </w:pPr>
          </w:p>
        </w:tc>
        <w:tc>
          <w:tcPr>
            <w:tcW w:w="1316" w:type="dxa"/>
            <w:tcBorders>
              <w:top w:val="nil"/>
              <w:left w:val="nil"/>
              <w:bottom w:val="nil"/>
              <w:right w:val="nil"/>
            </w:tcBorders>
            <w:shd w:val="clear" w:color="auto" w:fill="auto"/>
            <w:noWrap/>
            <w:vAlign w:val="bottom"/>
            <w:hideMark/>
          </w:tcPr>
          <w:p w:rsidR="00C3664D" w:rsidRPr="00EC1907" w:rsidRDefault="00C3664D" w:rsidP="008F72C1">
            <w:pPr>
              <w:rPr>
                <w:color w:val="000000"/>
                <w:sz w:val="22"/>
                <w:szCs w:val="22"/>
              </w:rPr>
            </w:pPr>
          </w:p>
        </w:tc>
        <w:tc>
          <w:tcPr>
            <w:tcW w:w="1316" w:type="dxa"/>
            <w:tcBorders>
              <w:top w:val="nil"/>
              <w:left w:val="nil"/>
              <w:bottom w:val="nil"/>
              <w:right w:val="nil"/>
            </w:tcBorders>
            <w:shd w:val="clear" w:color="auto" w:fill="auto"/>
            <w:noWrap/>
            <w:vAlign w:val="bottom"/>
            <w:hideMark/>
          </w:tcPr>
          <w:p w:rsidR="00C3664D" w:rsidRPr="00EC1907" w:rsidRDefault="00C3664D" w:rsidP="008F72C1">
            <w:pPr>
              <w:rPr>
                <w:color w:val="000000"/>
                <w:sz w:val="22"/>
                <w:szCs w:val="22"/>
              </w:rPr>
            </w:pPr>
          </w:p>
        </w:tc>
        <w:tc>
          <w:tcPr>
            <w:tcW w:w="1316" w:type="dxa"/>
            <w:tcBorders>
              <w:top w:val="nil"/>
              <w:left w:val="nil"/>
              <w:bottom w:val="nil"/>
              <w:right w:val="nil"/>
            </w:tcBorders>
            <w:shd w:val="clear" w:color="auto" w:fill="auto"/>
            <w:noWrap/>
            <w:vAlign w:val="bottom"/>
            <w:hideMark/>
          </w:tcPr>
          <w:p w:rsidR="00C3664D" w:rsidRPr="00EC1907" w:rsidRDefault="00C3664D" w:rsidP="008F72C1">
            <w:pPr>
              <w:rPr>
                <w:color w:val="000000"/>
                <w:sz w:val="22"/>
                <w:szCs w:val="22"/>
              </w:rPr>
            </w:pPr>
          </w:p>
        </w:tc>
        <w:tc>
          <w:tcPr>
            <w:tcW w:w="1770" w:type="dxa"/>
            <w:tcBorders>
              <w:top w:val="nil"/>
              <w:left w:val="nil"/>
              <w:bottom w:val="nil"/>
              <w:right w:val="nil"/>
            </w:tcBorders>
            <w:shd w:val="clear" w:color="auto" w:fill="auto"/>
            <w:noWrap/>
            <w:vAlign w:val="bottom"/>
            <w:hideMark/>
          </w:tcPr>
          <w:p w:rsidR="00C3664D" w:rsidRPr="00EC1907" w:rsidRDefault="00C3664D" w:rsidP="008F72C1">
            <w:pPr>
              <w:rPr>
                <w:color w:val="000000"/>
                <w:sz w:val="22"/>
                <w:szCs w:val="22"/>
              </w:rPr>
            </w:pPr>
          </w:p>
        </w:tc>
        <w:tc>
          <w:tcPr>
            <w:tcW w:w="1384" w:type="dxa"/>
            <w:vMerge/>
            <w:tcBorders>
              <w:top w:val="nil"/>
              <w:left w:val="single" w:sz="4" w:space="0" w:color="auto"/>
              <w:bottom w:val="single" w:sz="4" w:space="0" w:color="auto"/>
              <w:right w:val="single" w:sz="4" w:space="0" w:color="auto"/>
            </w:tcBorders>
            <w:shd w:val="clear" w:color="auto" w:fill="auto"/>
            <w:vAlign w:val="center"/>
            <w:hideMark/>
          </w:tcPr>
          <w:p w:rsidR="00C3664D" w:rsidRPr="00EC1907" w:rsidRDefault="00C3664D" w:rsidP="008F72C1">
            <w:pPr>
              <w:rPr>
                <w:color w:val="000000"/>
                <w:sz w:val="22"/>
                <w:szCs w:val="22"/>
              </w:rPr>
            </w:pPr>
          </w:p>
        </w:tc>
        <w:tc>
          <w:tcPr>
            <w:tcW w:w="1244" w:type="dxa"/>
            <w:vMerge/>
            <w:tcBorders>
              <w:top w:val="nil"/>
              <w:left w:val="single" w:sz="4" w:space="0" w:color="auto"/>
              <w:bottom w:val="single" w:sz="4" w:space="0" w:color="auto"/>
              <w:right w:val="single" w:sz="4" w:space="0" w:color="auto"/>
            </w:tcBorders>
            <w:shd w:val="clear" w:color="auto" w:fill="auto"/>
            <w:vAlign w:val="center"/>
            <w:hideMark/>
          </w:tcPr>
          <w:p w:rsidR="00C3664D" w:rsidRPr="00EC1907" w:rsidRDefault="00C3664D" w:rsidP="008F72C1">
            <w:pPr>
              <w:rPr>
                <w:color w:val="000000"/>
                <w:sz w:val="22"/>
                <w:szCs w:val="22"/>
              </w:rPr>
            </w:pPr>
          </w:p>
        </w:tc>
        <w:tc>
          <w:tcPr>
            <w:tcW w:w="1244" w:type="dxa"/>
            <w:vMerge/>
            <w:tcBorders>
              <w:top w:val="nil"/>
              <w:left w:val="single" w:sz="4" w:space="0" w:color="auto"/>
              <w:bottom w:val="single" w:sz="4" w:space="0" w:color="auto"/>
              <w:right w:val="nil"/>
            </w:tcBorders>
            <w:shd w:val="clear" w:color="auto" w:fill="auto"/>
            <w:vAlign w:val="center"/>
            <w:hideMark/>
          </w:tcPr>
          <w:p w:rsidR="00C3664D" w:rsidRPr="00EC1907" w:rsidRDefault="00C3664D" w:rsidP="008F72C1">
            <w:pPr>
              <w:rPr>
                <w:color w:val="000000"/>
                <w:sz w:val="22"/>
                <w:szCs w:val="22"/>
              </w:rPr>
            </w:pPr>
          </w:p>
        </w:tc>
        <w:tc>
          <w:tcPr>
            <w:tcW w:w="12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664D" w:rsidRPr="00EC1907" w:rsidRDefault="00C3664D" w:rsidP="008F72C1">
            <w:pPr>
              <w:rPr>
                <w:color w:val="000000"/>
                <w:sz w:val="22"/>
                <w:szCs w:val="22"/>
              </w:rPr>
            </w:pPr>
          </w:p>
        </w:tc>
        <w:tc>
          <w:tcPr>
            <w:tcW w:w="10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664D" w:rsidRPr="00EC1907" w:rsidRDefault="00C3664D" w:rsidP="008F72C1">
            <w:pPr>
              <w:rPr>
                <w:color w:val="000000"/>
                <w:sz w:val="22"/>
                <w:szCs w:val="22"/>
              </w:rPr>
            </w:pPr>
          </w:p>
        </w:tc>
        <w:tc>
          <w:tcPr>
            <w:tcW w:w="12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664D" w:rsidRPr="00EC1907" w:rsidRDefault="00C3664D" w:rsidP="008F72C1">
            <w:pPr>
              <w:rPr>
                <w:color w:val="000000"/>
                <w:sz w:val="22"/>
                <w:szCs w:val="22"/>
              </w:rPr>
            </w:pPr>
          </w:p>
        </w:tc>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664D" w:rsidRPr="00EC1907" w:rsidRDefault="00C3664D" w:rsidP="008F72C1">
            <w:pPr>
              <w:rPr>
                <w:color w:val="000000"/>
                <w:sz w:val="22"/>
                <w:szCs w:val="22"/>
              </w:rPr>
            </w:pPr>
          </w:p>
        </w:tc>
      </w:tr>
      <w:tr w:rsidR="00C3664D" w:rsidRPr="00EC1907" w:rsidTr="00913FE3">
        <w:trPr>
          <w:trHeight w:val="302"/>
        </w:trPr>
        <w:tc>
          <w:tcPr>
            <w:tcW w:w="1315" w:type="dxa"/>
            <w:tcBorders>
              <w:top w:val="nil"/>
              <w:left w:val="nil"/>
              <w:bottom w:val="nil"/>
              <w:right w:val="nil"/>
            </w:tcBorders>
            <w:shd w:val="clear" w:color="auto" w:fill="auto"/>
            <w:noWrap/>
            <w:vAlign w:val="bottom"/>
            <w:hideMark/>
          </w:tcPr>
          <w:p w:rsidR="00C3664D" w:rsidRPr="00EC1907" w:rsidRDefault="00C3664D" w:rsidP="008F72C1">
            <w:pPr>
              <w:rPr>
                <w:color w:val="000000"/>
                <w:sz w:val="22"/>
                <w:szCs w:val="22"/>
              </w:rPr>
            </w:pPr>
          </w:p>
        </w:tc>
        <w:tc>
          <w:tcPr>
            <w:tcW w:w="1316" w:type="dxa"/>
            <w:tcBorders>
              <w:top w:val="nil"/>
              <w:left w:val="nil"/>
              <w:bottom w:val="nil"/>
              <w:right w:val="nil"/>
            </w:tcBorders>
            <w:shd w:val="clear" w:color="auto" w:fill="auto"/>
            <w:noWrap/>
            <w:vAlign w:val="bottom"/>
            <w:hideMark/>
          </w:tcPr>
          <w:p w:rsidR="00C3664D" w:rsidRPr="00EC1907" w:rsidRDefault="00C3664D" w:rsidP="008F72C1">
            <w:pPr>
              <w:rPr>
                <w:color w:val="000000"/>
                <w:sz w:val="22"/>
                <w:szCs w:val="22"/>
              </w:rPr>
            </w:pPr>
          </w:p>
        </w:tc>
        <w:tc>
          <w:tcPr>
            <w:tcW w:w="1316" w:type="dxa"/>
            <w:tcBorders>
              <w:top w:val="nil"/>
              <w:left w:val="nil"/>
              <w:bottom w:val="nil"/>
              <w:right w:val="nil"/>
            </w:tcBorders>
            <w:shd w:val="clear" w:color="auto" w:fill="auto"/>
            <w:noWrap/>
            <w:vAlign w:val="bottom"/>
            <w:hideMark/>
          </w:tcPr>
          <w:p w:rsidR="00C3664D" w:rsidRPr="00EC1907" w:rsidRDefault="00C3664D" w:rsidP="008F72C1">
            <w:pPr>
              <w:rPr>
                <w:color w:val="000000"/>
                <w:sz w:val="22"/>
                <w:szCs w:val="22"/>
              </w:rPr>
            </w:pPr>
          </w:p>
        </w:tc>
        <w:tc>
          <w:tcPr>
            <w:tcW w:w="1316" w:type="dxa"/>
            <w:tcBorders>
              <w:top w:val="nil"/>
              <w:left w:val="nil"/>
              <w:bottom w:val="nil"/>
              <w:right w:val="nil"/>
            </w:tcBorders>
            <w:shd w:val="clear" w:color="auto" w:fill="auto"/>
            <w:noWrap/>
            <w:vAlign w:val="bottom"/>
            <w:hideMark/>
          </w:tcPr>
          <w:p w:rsidR="00C3664D" w:rsidRPr="00EC1907" w:rsidRDefault="00C3664D" w:rsidP="008F72C1">
            <w:pPr>
              <w:rPr>
                <w:color w:val="000000"/>
                <w:sz w:val="22"/>
                <w:szCs w:val="22"/>
              </w:rPr>
            </w:pPr>
          </w:p>
        </w:tc>
        <w:tc>
          <w:tcPr>
            <w:tcW w:w="1770" w:type="dxa"/>
            <w:tcBorders>
              <w:top w:val="nil"/>
              <w:left w:val="nil"/>
              <w:bottom w:val="nil"/>
              <w:right w:val="nil"/>
            </w:tcBorders>
            <w:shd w:val="clear" w:color="auto" w:fill="auto"/>
            <w:noWrap/>
            <w:vAlign w:val="bottom"/>
            <w:hideMark/>
          </w:tcPr>
          <w:p w:rsidR="00C3664D" w:rsidRPr="00EC1907" w:rsidRDefault="00C3664D" w:rsidP="008F72C1">
            <w:pPr>
              <w:rPr>
                <w:color w:val="000000"/>
                <w:sz w:val="22"/>
                <w:szCs w:val="22"/>
              </w:rPr>
            </w:pPr>
          </w:p>
        </w:tc>
        <w:tc>
          <w:tcPr>
            <w:tcW w:w="1384" w:type="dxa"/>
            <w:vMerge/>
            <w:tcBorders>
              <w:top w:val="nil"/>
              <w:left w:val="single" w:sz="4" w:space="0" w:color="auto"/>
              <w:bottom w:val="single" w:sz="4" w:space="0" w:color="auto"/>
              <w:right w:val="single" w:sz="4" w:space="0" w:color="auto"/>
            </w:tcBorders>
            <w:shd w:val="clear" w:color="auto" w:fill="auto"/>
            <w:vAlign w:val="center"/>
            <w:hideMark/>
          </w:tcPr>
          <w:p w:rsidR="00C3664D" w:rsidRPr="00EC1907" w:rsidRDefault="00C3664D" w:rsidP="008F72C1">
            <w:pPr>
              <w:rPr>
                <w:color w:val="000000"/>
                <w:sz w:val="22"/>
                <w:szCs w:val="22"/>
              </w:rPr>
            </w:pPr>
          </w:p>
        </w:tc>
        <w:tc>
          <w:tcPr>
            <w:tcW w:w="1244" w:type="dxa"/>
            <w:vMerge/>
            <w:tcBorders>
              <w:top w:val="nil"/>
              <w:left w:val="single" w:sz="4" w:space="0" w:color="auto"/>
              <w:bottom w:val="single" w:sz="4" w:space="0" w:color="auto"/>
              <w:right w:val="single" w:sz="4" w:space="0" w:color="auto"/>
            </w:tcBorders>
            <w:shd w:val="clear" w:color="auto" w:fill="auto"/>
            <w:vAlign w:val="center"/>
            <w:hideMark/>
          </w:tcPr>
          <w:p w:rsidR="00C3664D" w:rsidRPr="00EC1907" w:rsidRDefault="00C3664D" w:rsidP="008F72C1">
            <w:pPr>
              <w:rPr>
                <w:color w:val="000000"/>
                <w:sz w:val="22"/>
                <w:szCs w:val="22"/>
              </w:rPr>
            </w:pPr>
          </w:p>
        </w:tc>
        <w:tc>
          <w:tcPr>
            <w:tcW w:w="1244" w:type="dxa"/>
            <w:vMerge/>
            <w:tcBorders>
              <w:top w:val="nil"/>
              <w:left w:val="single" w:sz="4" w:space="0" w:color="auto"/>
              <w:bottom w:val="single" w:sz="4" w:space="0" w:color="auto"/>
              <w:right w:val="nil"/>
            </w:tcBorders>
            <w:shd w:val="clear" w:color="auto" w:fill="auto"/>
            <w:vAlign w:val="center"/>
            <w:hideMark/>
          </w:tcPr>
          <w:p w:rsidR="00C3664D" w:rsidRPr="00EC1907" w:rsidRDefault="00C3664D" w:rsidP="008F72C1">
            <w:pPr>
              <w:rPr>
                <w:color w:val="000000"/>
                <w:sz w:val="22"/>
                <w:szCs w:val="22"/>
              </w:rPr>
            </w:pPr>
          </w:p>
        </w:tc>
        <w:tc>
          <w:tcPr>
            <w:tcW w:w="12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664D" w:rsidRPr="00EC1907" w:rsidRDefault="00C3664D" w:rsidP="008F72C1">
            <w:pPr>
              <w:rPr>
                <w:color w:val="000000"/>
                <w:sz w:val="22"/>
                <w:szCs w:val="22"/>
              </w:rPr>
            </w:pPr>
          </w:p>
        </w:tc>
        <w:tc>
          <w:tcPr>
            <w:tcW w:w="10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664D" w:rsidRPr="00EC1907" w:rsidRDefault="00C3664D" w:rsidP="008F72C1">
            <w:pPr>
              <w:rPr>
                <w:color w:val="000000"/>
                <w:sz w:val="22"/>
                <w:szCs w:val="22"/>
              </w:rPr>
            </w:pPr>
          </w:p>
        </w:tc>
        <w:tc>
          <w:tcPr>
            <w:tcW w:w="12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664D" w:rsidRPr="00EC1907" w:rsidRDefault="00C3664D" w:rsidP="008F72C1">
            <w:pPr>
              <w:rPr>
                <w:color w:val="000000"/>
                <w:sz w:val="22"/>
                <w:szCs w:val="22"/>
              </w:rPr>
            </w:pPr>
          </w:p>
        </w:tc>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664D" w:rsidRPr="00EC1907" w:rsidRDefault="00C3664D" w:rsidP="008F72C1">
            <w:pPr>
              <w:rPr>
                <w:color w:val="000000"/>
                <w:sz w:val="22"/>
                <w:szCs w:val="22"/>
              </w:rPr>
            </w:pPr>
          </w:p>
        </w:tc>
      </w:tr>
      <w:tr w:rsidR="00C3664D" w:rsidRPr="00EC1907" w:rsidTr="00913FE3">
        <w:trPr>
          <w:trHeight w:val="317"/>
        </w:trPr>
        <w:tc>
          <w:tcPr>
            <w:tcW w:w="7033" w:type="dxa"/>
            <w:gridSpan w:val="5"/>
            <w:tcBorders>
              <w:top w:val="single" w:sz="4" w:space="0" w:color="auto"/>
              <w:left w:val="single" w:sz="4" w:space="0" w:color="auto"/>
              <w:bottom w:val="single" w:sz="4" w:space="0" w:color="auto"/>
              <w:right w:val="nil"/>
            </w:tcBorders>
            <w:shd w:val="clear" w:color="000000" w:fill="D8D8D8"/>
            <w:noWrap/>
            <w:vAlign w:val="bottom"/>
            <w:hideMark/>
          </w:tcPr>
          <w:p w:rsidR="00C3664D" w:rsidRPr="00EC1907" w:rsidRDefault="00C3664D" w:rsidP="008F72C1">
            <w:pPr>
              <w:rPr>
                <w:b/>
                <w:bCs/>
                <w:color w:val="000000"/>
                <w:sz w:val="22"/>
                <w:szCs w:val="22"/>
                <w:u w:val="single"/>
              </w:rPr>
            </w:pPr>
            <w:r w:rsidRPr="00EC1907">
              <w:rPr>
                <w:b/>
                <w:bCs/>
                <w:color w:val="000000"/>
                <w:sz w:val="22"/>
                <w:szCs w:val="22"/>
                <w:u w:val="single"/>
              </w:rPr>
              <w:t>Adjustments primarily involving the Capital Adjustment Account:</w:t>
            </w:r>
          </w:p>
        </w:tc>
        <w:tc>
          <w:tcPr>
            <w:tcW w:w="1384" w:type="dxa"/>
            <w:tcBorders>
              <w:top w:val="single" w:sz="4" w:space="0" w:color="auto"/>
              <w:left w:val="nil"/>
              <w:bottom w:val="single" w:sz="4" w:space="0" w:color="auto"/>
              <w:right w:val="nil"/>
            </w:tcBorders>
            <w:shd w:val="clear" w:color="000000" w:fill="D8D8D8"/>
            <w:noWrap/>
            <w:vAlign w:val="bottom"/>
            <w:hideMark/>
          </w:tcPr>
          <w:p w:rsidR="00C3664D" w:rsidRPr="00EC1907" w:rsidRDefault="00C3664D" w:rsidP="008F72C1">
            <w:pPr>
              <w:rPr>
                <w:b/>
                <w:bCs/>
                <w:color w:val="000000"/>
                <w:sz w:val="22"/>
                <w:szCs w:val="22"/>
                <w:u w:val="single"/>
              </w:rPr>
            </w:pPr>
          </w:p>
        </w:tc>
        <w:tc>
          <w:tcPr>
            <w:tcW w:w="1244" w:type="dxa"/>
            <w:tcBorders>
              <w:top w:val="single" w:sz="4" w:space="0" w:color="auto"/>
              <w:left w:val="nil"/>
              <w:bottom w:val="single" w:sz="4" w:space="0" w:color="auto"/>
              <w:right w:val="nil"/>
            </w:tcBorders>
            <w:shd w:val="clear" w:color="000000" w:fill="D8D8D8"/>
            <w:noWrap/>
            <w:vAlign w:val="bottom"/>
            <w:hideMark/>
          </w:tcPr>
          <w:p w:rsidR="00C3664D" w:rsidRPr="00EC1907" w:rsidRDefault="00C3664D" w:rsidP="008F72C1">
            <w:pPr>
              <w:rPr>
                <w:b/>
                <w:bCs/>
                <w:color w:val="000000"/>
                <w:sz w:val="22"/>
                <w:szCs w:val="22"/>
                <w:u w:val="single"/>
              </w:rPr>
            </w:pPr>
          </w:p>
        </w:tc>
        <w:tc>
          <w:tcPr>
            <w:tcW w:w="1244" w:type="dxa"/>
            <w:tcBorders>
              <w:top w:val="single" w:sz="4" w:space="0" w:color="auto"/>
              <w:left w:val="nil"/>
              <w:bottom w:val="single" w:sz="4" w:space="0" w:color="auto"/>
              <w:right w:val="nil"/>
            </w:tcBorders>
            <w:shd w:val="clear" w:color="000000" w:fill="D8D8D8"/>
            <w:noWrap/>
            <w:vAlign w:val="bottom"/>
            <w:hideMark/>
          </w:tcPr>
          <w:p w:rsidR="00C3664D" w:rsidRPr="00EC1907" w:rsidRDefault="00C3664D" w:rsidP="008F72C1">
            <w:pPr>
              <w:rPr>
                <w:b/>
                <w:bCs/>
                <w:color w:val="000000"/>
                <w:sz w:val="22"/>
                <w:szCs w:val="22"/>
                <w:u w:val="single"/>
              </w:rPr>
            </w:pPr>
          </w:p>
        </w:tc>
        <w:tc>
          <w:tcPr>
            <w:tcW w:w="1244" w:type="dxa"/>
            <w:tcBorders>
              <w:top w:val="single" w:sz="4" w:space="0" w:color="auto"/>
              <w:left w:val="nil"/>
              <w:bottom w:val="single" w:sz="4" w:space="0" w:color="auto"/>
              <w:right w:val="nil"/>
            </w:tcBorders>
            <w:shd w:val="clear" w:color="000000" w:fill="D8D8D8"/>
            <w:noWrap/>
            <w:vAlign w:val="bottom"/>
            <w:hideMark/>
          </w:tcPr>
          <w:p w:rsidR="00C3664D" w:rsidRPr="00EC1907" w:rsidRDefault="00C3664D" w:rsidP="008F72C1">
            <w:pPr>
              <w:rPr>
                <w:b/>
                <w:bCs/>
                <w:color w:val="000000"/>
                <w:sz w:val="22"/>
                <w:szCs w:val="22"/>
                <w:u w:val="single"/>
              </w:rPr>
            </w:pPr>
          </w:p>
        </w:tc>
        <w:tc>
          <w:tcPr>
            <w:tcW w:w="1097" w:type="dxa"/>
            <w:tcBorders>
              <w:top w:val="single" w:sz="4" w:space="0" w:color="auto"/>
              <w:left w:val="nil"/>
              <w:bottom w:val="single" w:sz="4" w:space="0" w:color="auto"/>
              <w:right w:val="nil"/>
            </w:tcBorders>
            <w:shd w:val="clear" w:color="000000" w:fill="D8D8D8"/>
            <w:noWrap/>
            <w:vAlign w:val="bottom"/>
            <w:hideMark/>
          </w:tcPr>
          <w:p w:rsidR="00C3664D" w:rsidRPr="00EC1907" w:rsidRDefault="00C3664D" w:rsidP="008F72C1">
            <w:pPr>
              <w:rPr>
                <w:b/>
                <w:bCs/>
                <w:color w:val="000000"/>
                <w:sz w:val="22"/>
                <w:szCs w:val="22"/>
                <w:u w:val="single"/>
              </w:rPr>
            </w:pPr>
          </w:p>
        </w:tc>
        <w:tc>
          <w:tcPr>
            <w:tcW w:w="1269" w:type="dxa"/>
            <w:tcBorders>
              <w:top w:val="single" w:sz="4" w:space="0" w:color="auto"/>
              <w:left w:val="nil"/>
              <w:bottom w:val="single" w:sz="4" w:space="0" w:color="auto"/>
              <w:right w:val="nil"/>
            </w:tcBorders>
            <w:shd w:val="clear" w:color="000000" w:fill="D8D8D8"/>
            <w:noWrap/>
            <w:vAlign w:val="bottom"/>
            <w:hideMark/>
          </w:tcPr>
          <w:p w:rsidR="00C3664D" w:rsidRPr="00EC1907" w:rsidRDefault="00C3664D" w:rsidP="008F72C1">
            <w:pPr>
              <w:rPr>
                <w:b/>
                <w:bCs/>
                <w:color w:val="000000"/>
                <w:sz w:val="22"/>
                <w:szCs w:val="22"/>
                <w:u w:val="single"/>
              </w:rPr>
            </w:pPr>
          </w:p>
        </w:tc>
        <w:tc>
          <w:tcPr>
            <w:tcW w:w="1129" w:type="dxa"/>
            <w:tcBorders>
              <w:top w:val="single" w:sz="4" w:space="0" w:color="auto"/>
              <w:left w:val="nil"/>
              <w:bottom w:val="single" w:sz="4" w:space="0" w:color="auto"/>
              <w:right w:val="single" w:sz="4" w:space="0" w:color="auto"/>
            </w:tcBorders>
            <w:shd w:val="clear" w:color="000000" w:fill="D8D8D8"/>
            <w:noWrap/>
            <w:vAlign w:val="bottom"/>
            <w:hideMark/>
          </w:tcPr>
          <w:p w:rsidR="00C3664D" w:rsidRPr="00EC1907" w:rsidRDefault="00C3664D" w:rsidP="008F72C1">
            <w:pPr>
              <w:rPr>
                <w:b/>
                <w:bCs/>
                <w:color w:val="000000"/>
                <w:sz w:val="22"/>
                <w:szCs w:val="22"/>
                <w:u w:val="single"/>
              </w:rPr>
            </w:pPr>
          </w:p>
        </w:tc>
      </w:tr>
      <w:tr w:rsidR="00C3664D" w:rsidRPr="00EC1907" w:rsidTr="00913FE3">
        <w:trPr>
          <w:trHeight w:val="317"/>
        </w:trPr>
        <w:tc>
          <w:tcPr>
            <w:tcW w:w="7033" w:type="dxa"/>
            <w:gridSpan w:val="5"/>
            <w:tcBorders>
              <w:top w:val="single" w:sz="4" w:space="0" w:color="auto"/>
              <w:left w:val="nil"/>
              <w:bottom w:val="nil"/>
              <w:right w:val="single" w:sz="4" w:space="0" w:color="000000"/>
            </w:tcBorders>
            <w:shd w:val="clear" w:color="auto" w:fill="auto"/>
            <w:noWrap/>
            <w:vAlign w:val="bottom"/>
            <w:hideMark/>
          </w:tcPr>
          <w:p w:rsidR="00C3664D" w:rsidRPr="00EC1907" w:rsidRDefault="00C3664D" w:rsidP="008F72C1">
            <w:pPr>
              <w:rPr>
                <w:b/>
                <w:bCs/>
                <w:color w:val="000000"/>
                <w:sz w:val="22"/>
                <w:szCs w:val="22"/>
              </w:rPr>
            </w:pPr>
            <w:r w:rsidRPr="00EC1907">
              <w:rPr>
                <w:b/>
                <w:bCs/>
                <w:color w:val="000000"/>
                <w:sz w:val="22"/>
                <w:szCs w:val="22"/>
              </w:rPr>
              <w:t> </w:t>
            </w:r>
          </w:p>
        </w:tc>
        <w:tc>
          <w:tcPr>
            <w:tcW w:w="1384" w:type="dxa"/>
            <w:tcBorders>
              <w:top w:val="nil"/>
              <w:left w:val="nil"/>
              <w:bottom w:val="nil"/>
              <w:right w:val="single" w:sz="4" w:space="0" w:color="auto"/>
            </w:tcBorders>
            <w:shd w:val="clear" w:color="auto" w:fill="auto"/>
            <w:noWrap/>
            <w:vAlign w:val="bottom"/>
            <w:hideMark/>
          </w:tcPr>
          <w:p w:rsidR="00C3664D" w:rsidRPr="00EC1907" w:rsidRDefault="00C3664D" w:rsidP="008F72C1">
            <w:pPr>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C3664D" w:rsidRPr="00EC1907" w:rsidRDefault="00C3664D" w:rsidP="008F72C1">
            <w:pPr>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C3664D" w:rsidRPr="00EC1907" w:rsidRDefault="00C3664D" w:rsidP="008F72C1">
            <w:pPr>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C3664D" w:rsidRPr="00EC1907" w:rsidRDefault="00C3664D" w:rsidP="008F72C1">
            <w:pPr>
              <w:rPr>
                <w:color w:val="000000"/>
                <w:sz w:val="22"/>
                <w:szCs w:val="22"/>
              </w:rPr>
            </w:pPr>
            <w:r w:rsidRPr="00EC1907">
              <w:rPr>
                <w:color w:val="000000"/>
                <w:sz w:val="22"/>
                <w:szCs w:val="22"/>
              </w:rPr>
              <w:t> </w:t>
            </w:r>
          </w:p>
        </w:tc>
        <w:tc>
          <w:tcPr>
            <w:tcW w:w="1097" w:type="dxa"/>
            <w:tcBorders>
              <w:top w:val="nil"/>
              <w:left w:val="nil"/>
              <w:bottom w:val="nil"/>
              <w:right w:val="single" w:sz="4" w:space="0" w:color="auto"/>
            </w:tcBorders>
            <w:shd w:val="clear" w:color="auto" w:fill="auto"/>
            <w:noWrap/>
            <w:vAlign w:val="bottom"/>
            <w:hideMark/>
          </w:tcPr>
          <w:p w:rsidR="00C3664D" w:rsidRPr="00EC1907" w:rsidRDefault="00C3664D" w:rsidP="008F72C1">
            <w:pPr>
              <w:rPr>
                <w:color w:val="000000"/>
                <w:sz w:val="22"/>
                <w:szCs w:val="22"/>
              </w:rPr>
            </w:pPr>
            <w:r w:rsidRPr="00EC1907">
              <w:rPr>
                <w:color w:val="000000"/>
                <w:sz w:val="22"/>
                <w:szCs w:val="22"/>
              </w:rPr>
              <w:t> </w:t>
            </w:r>
          </w:p>
        </w:tc>
        <w:tc>
          <w:tcPr>
            <w:tcW w:w="1269" w:type="dxa"/>
            <w:tcBorders>
              <w:top w:val="nil"/>
              <w:left w:val="nil"/>
              <w:bottom w:val="nil"/>
              <w:right w:val="single" w:sz="4" w:space="0" w:color="auto"/>
            </w:tcBorders>
            <w:shd w:val="clear" w:color="auto" w:fill="auto"/>
            <w:noWrap/>
            <w:vAlign w:val="bottom"/>
            <w:hideMark/>
          </w:tcPr>
          <w:p w:rsidR="00C3664D" w:rsidRPr="00EC1907" w:rsidRDefault="00C3664D" w:rsidP="008F72C1">
            <w:pPr>
              <w:rPr>
                <w:color w:val="000000"/>
                <w:sz w:val="22"/>
                <w:szCs w:val="22"/>
              </w:rPr>
            </w:pPr>
            <w:r w:rsidRPr="00EC1907">
              <w:rPr>
                <w:color w:val="000000"/>
                <w:sz w:val="22"/>
                <w:szCs w:val="22"/>
              </w:rPr>
              <w:t> </w:t>
            </w:r>
          </w:p>
        </w:tc>
        <w:tc>
          <w:tcPr>
            <w:tcW w:w="1129" w:type="dxa"/>
            <w:tcBorders>
              <w:top w:val="nil"/>
              <w:left w:val="nil"/>
              <w:bottom w:val="nil"/>
              <w:right w:val="single" w:sz="4" w:space="0" w:color="auto"/>
            </w:tcBorders>
            <w:shd w:val="clear" w:color="auto" w:fill="auto"/>
            <w:noWrap/>
            <w:vAlign w:val="bottom"/>
            <w:hideMark/>
          </w:tcPr>
          <w:p w:rsidR="00C3664D" w:rsidRPr="00EC1907" w:rsidRDefault="00C3664D" w:rsidP="008F72C1">
            <w:pPr>
              <w:rPr>
                <w:color w:val="000000"/>
                <w:sz w:val="22"/>
                <w:szCs w:val="22"/>
              </w:rPr>
            </w:pPr>
            <w:r w:rsidRPr="00EC1907">
              <w:rPr>
                <w:color w:val="000000"/>
                <w:sz w:val="22"/>
                <w:szCs w:val="22"/>
              </w:rPr>
              <w:t> </w:t>
            </w:r>
          </w:p>
        </w:tc>
      </w:tr>
      <w:tr w:rsidR="00C3664D" w:rsidRPr="00EC1907" w:rsidTr="00913FE3">
        <w:trPr>
          <w:trHeight w:val="317"/>
        </w:trPr>
        <w:tc>
          <w:tcPr>
            <w:tcW w:w="7033" w:type="dxa"/>
            <w:gridSpan w:val="5"/>
            <w:tcBorders>
              <w:top w:val="nil"/>
              <w:left w:val="nil"/>
              <w:bottom w:val="nil"/>
              <w:right w:val="nil"/>
            </w:tcBorders>
            <w:shd w:val="clear" w:color="auto" w:fill="auto"/>
            <w:noWrap/>
            <w:vAlign w:val="bottom"/>
            <w:hideMark/>
          </w:tcPr>
          <w:p w:rsidR="00C3664D" w:rsidRPr="00EC1907" w:rsidRDefault="00C3664D" w:rsidP="008F72C1">
            <w:pPr>
              <w:rPr>
                <w:b/>
                <w:bCs/>
                <w:color w:val="000000"/>
                <w:sz w:val="22"/>
                <w:szCs w:val="22"/>
              </w:rPr>
            </w:pPr>
            <w:r w:rsidRPr="00EC1907">
              <w:rPr>
                <w:b/>
                <w:bCs/>
                <w:color w:val="000000"/>
                <w:sz w:val="22"/>
                <w:szCs w:val="22"/>
              </w:rPr>
              <w:t>Reversal of items debited or credited to the Comprehensive I&amp;E:</w:t>
            </w:r>
          </w:p>
        </w:tc>
        <w:tc>
          <w:tcPr>
            <w:tcW w:w="1384" w:type="dxa"/>
            <w:tcBorders>
              <w:top w:val="nil"/>
              <w:left w:val="single" w:sz="4" w:space="0" w:color="auto"/>
              <w:bottom w:val="nil"/>
              <w:right w:val="single" w:sz="4" w:space="0" w:color="auto"/>
            </w:tcBorders>
            <w:shd w:val="clear" w:color="auto" w:fill="auto"/>
            <w:noWrap/>
            <w:vAlign w:val="bottom"/>
            <w:hideMark/>
          </w:tcPr>
          <w:p w:rsidR="00C3664D" w:rsidRPr="00EC1907" w:rsidRDefault="00C3664D" w:rsidP="008F72C1">
            <w:pPr>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C3664D" w:rsidRPr="00EC1907" w:rsidRDefault="00C3664D" w:rsidP="008F72C1">
            <w:pPr>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C3664D" w:rsidRPr="00EC1907" w:rsidRDefault="00C3664D" w:rsidP="008F72C1">
            <w:pPr>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C3664D" w:rsidRPr="00EC1907" w:rsidRDefault="00C3664D" w:rsidP="008F72C1">
            <w:pPr>
              <w:rPr>
                <w:color w:val="000000"/>
                <w:sz w:val="22"/>
                <w:szCs w:val="22"/>
              </w:rPr>
            </w:pPr>
            <w:r w:rsidRPr="00EC1907">
              <w:rPr>
                <w:color w:val="000000"/>
                <w:sz w:val="22"/>
                <w:szCs w:val="22"/>
              </w:rPr>
              <w:t> </w:t>
            </w:r>
          </w:p>
        </w:tc>
        <w:tc>
          <w:tcPr>
            <w:tcW w:w="1097" w:type="dxa"/>
            <w:tcBorders>
              <w:top w:val="nil"/>
              <w:left w:val="nil"/>
              <w:bottom w:val="nil"/>
              <w:right w:val="single" w:sz="4" w:space="0" w:color="auto"/>
            </w:tcBorders>
            <w:shd w:val="clear" w:color="auto" w:fill="auto"/>
            <w:noWrap/>
            <w:vAlign w:val="bottom"/>
            <w:hideMark/>
          </w:tcPr>
          <w:p w:rsidR="00C3664D" w:rsidRPr="00EC1907" w:rsidRDefault="00C3664D" w:rsidP="008F72C1">
            <w:pPr>
              <w:rPr>
                <w:color w:val="000000"/>
                <w:sz w:val="22"/>
                <w:szCs w:val="22"/>
              </w:rPr>
            </w:pPr>
            <w:r w:rsidRPr="00EC1907">
              <w:rPr>
                <w:color w:val="000000"/>
                <w:sz w:val="22"/>
                <w:szCs w:val="22"/>
              </w:rPr>
              <w:t> </w:t>
            </w:r>
          </w:p>
        </w:tc>
        <w:tc>
          <w:tcPr>
            <w:tcW w:w="1269" w:type="dxa"/>
            <w:tcBorders>
              <w:top w:val="nil"/>
              <w:left w:val="nil"/>
              <w:bottom w:val="nil"/>
              <w:right w:val="single" w:sz="4" w:space="0" w:color="auto"/>
            </w:tcBorders>
            <w:shd w:val="clear" w:color="auto" w:fill="auto"/>
            <w:noWrap/>
            <w:vAlign w:val="bottom"/>
            <w:hideMark/>
          </w:tcPr>
          <w:p w:rsidR="00C3664D" w:rsidRPr="00EC1907" w:rsidRDefault="00C3664D" w:rsidP="008F72C1">
            <w:pPr>
              <w:rPr>
                <w:color w:val="000000"/>
                <w:sz w:val="22"/>
                <w:szCs w:val="22"/>
              </w:rPr>
            </w:pPr>
            <w:r w:rsidRPr="00EC1907">
              <w:rPr>
                <w:color w:val="000000"/>
                <w:sz w:val="22"/>
                <w:szCs w:val="22"/>
              </w:rPr>
              <w:t> </w:t>
            </w:r>
          </w:p>
        </w:tc>
        <w:tc>
          <w:tcPr>
            <w:tcW w:w="1129" w:type="dxa"/>
            <w:tcBorders>
              <w:top w:val="nil"/>
              <w:left w:val="nil"/>
              <w:bottom w:val="nil"/>
              <w:right w:val="single" w:sz="4" w:space="0" w:color="auto"/>
            </w:tcBorders>
            <w:shd w:val="clear" w:color="auto" w:fill="auto"/>
            <w:noWrap/>
            <w:vAlign w:val="bottom"/>
            <w:hideMark/>
          </w:tcPr>
          <w:p w:rsidR="00C3664D" w:rsidRPr="00EC1907" w:rsidRDefault="00C3664D" w:rsidP="008F72C1">
            <w:pPr>
              <w:rPr>
                <w:color w:val="000000"/>
                <w:sz w:val="22"/>
                <w:szCs w:val="22"/>
              </w:rPr>
            </w:pPr>
            <w:r w:rsidRPr="00EC1907">
              <w:rPr>
                <w:color w:val="000000"/>
                <w:sz w:val="22"/>
                <w:szCs w:val="22"/>
              </w:rPr>
              <w:t> </w:t>
            </w:r>
          </w:p>
        </w:tc>
      </w:tr>
      <w:tr w:rsidR="00913FE3" w:rsidRPr="00EC1907" w:rsidTr="00913FE3">
        <w:trPr>
          <w:trHeight w:val="302"/>
        </w:trPr>
        <w:tc>
          <w:tcPr>
            <w:tcW w:w="7033" w:type="dxa"/>
            <w:gridSpan w:val="5"/>
            <w:tcBorders>
              <w:top w:val="nil"/>
              <w:left w:val="nil"/>
              <w:bottom w:val="nil"/>
              <w:right w:val="nil"/>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Charges for depreciation and impairment of Non Current Assets</w:t>
            </w:r>
          </w:p>
        </w:tc>
        <w:tc>
          <w:tcPr>
            <w:tcW w:w="1384" w:type="dxa"/>
            <w:tcBorders>
              <w:top w:val="nil"/>
              <w:left w:val="single" w:sz="4" w:space="0" w:color="auto"/>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37,985</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(37,985)</w:t>
            </w:r>
          </w:p>
        </w:tc>
        <w:tc>
          <w:tcPr>
            <w:tcW w:w="1097"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6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12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r>
      <w:tr w:rsidR="00913FE3" w:rsidRPr="00EC1907" w:rsidTr="00913FE3">
        <w:trPr>
          <w:trHeight w:val="302"/>
        </w:trPr>
        <w:tc>
          <w:tcPr>
            <w:tcW w:w="7033" w:type="dxa"/>
            <w:gridSpan w:val="5"/>
            <w:tcBorders>
              <w:top w:val="nil"/>
              <w:left w:val="nil"/>
              <w:bottom w:val="nil"/>
              <w:right w:val="nil"/>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Revaluation losses on Property, Plant &amp; Equipment</w:t>
            </w:r>
          </w:p>
        </w:tc>
        <w:tc>
          <w:tcPr>
            <w:tcW w:w="1384" w:type="dxa"/>
            <w:tcBorders>
              <w:top w:val="nil"/>
              <w:left w:val="single" w:sz="4" w:space="0" w:color="auto"/>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65,817</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(65,817)</w:t>
            </w:r>
          </w:p>
        </w:tc>
        <w:tc>
          <w:tcPr>
            <w:tcW w:w="1097"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6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12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r>
      <w:tr w:rsidR="00913FE3" w:rsidRPr="00EC1907" w:rsidTr="00913FE3">
        <w:trPr>
          <w:trHeight w:val="302"/>
        </w:trPr>
        <w:tc>
          <w:tcPr>
            <w:tcW w:w="7033" w:type="dxa"/>
            <w:gridSpan w:val="5"/>
            <w:tcBorders>
              <w:top w:val="nil"/>
              <w:left w:val="nil"/>
              <w:bottom w:val="nil"/>
              <w:right w:val="nil"/>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Movements in the market value of Investment property</w:t>
            </w:r>
          </w:p>
        </w:tc>
        <w:tc>
          <w:tcPr>
            <w:tcW w:w="1384" w:type="dxa"/>
            <w:tcBorders>
              <w:top w:val="nil"/>
              <w:left w:val="single" w:sz="4" w:space="0" w:color="auto"/>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(52)</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52</w:t>
            </w:r>
          </w:p>
        </w:tc>
        <w:tc>
          <w:tcPr>
            <w:tcW w:w="1097"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6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12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r>
      <w:tr w:rsidR="00913FE3" w:rsidRPr="00EC1907" w:rsidTr="00913FE3">
        <w:trPr>
          <w:trHeight w:val="302"/>
        </w:trPr>
        <w:tc>
          <w:tcPr>
            <w:tcW w:w="7033" w:type="dxa"/>
            <w:gridSpan w:val="5"/>
            <w:tcBorders>
              <w:top w:val="nil"/>
              <w:left w:val="nil"/>
              <w:bottom w:val="nil"/>
              <w:right w:val="nil"/>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Amortisation of Intangible Assets</w:t>
            </w:r>
          </w:p>
        </w:tc>
        <w:tc>
          <w:tcPr>
            <w:tcW w:w="1384" w:type="dxa"/>
            <w:tcBorders>
              <w:top w:val="nil"/>
              <w:left w:val="single" w:sz="4" w:space="0" w:color="auto"/>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097"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6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12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r>
      <w:tr w:rsidR="00913FE3" w:rsidRPr="00EC1907" w:rsidTr="00913FE3">
        <w:trPr>
          <w:trHeight w:val="302"/>
        </w:trPr>
        <w:tc>
          <w:tcPr>
            <w:tcW w:w="7033" w:type="dxa"/>
            <w:gridSpan w:val="5"/>
            <w:tcBorders>
              <w:top w:val="nil"/>
              <w:left w:val="nil"/>
              <w:bottom w:val="nil"/>
              <w:right w:val="nil"/>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Capital Grants &amp; Contributions Applied</w:t>
            </w:r>
          </w:p>
        </w:tc>
        <w:tc>
          <w:tcPr>
            <w:tcW w:w="1384" w:type="dxa"/>
            <w:tcBorders>
              <w:top w:val="nil"/>
              <w:left w:val="single" w:sz="4" w:space="0" w:color="auto"/>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097"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6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12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r>
      <w:tr w:rsidR="00913FE3" w:rsidRPr="00EC1907" w:rsidTr="00913FE3">
        <w:trPr>
          <w:trHeight w:val="302"/>
        </w:trPr>
        <w:tc>
          <w:tcPr>
            <w:tcW w:w="7033" w:type="dxa"/>
            <w:gridSpan w:val="5"/>
            <w:tcBorders>
              <w:top w:val="nil"/>
              <w:left w:val="nil"/>
              <w:bottom w:val="nil"/>
              <w:right w:val="nil"/>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Revenue Contribution to Finance Capital Outlay</w:t>
            </w:r>
          </w:p>
        </w:tc>
        <w:tc>
          <w:tcPr>
            <w:tcW w:w="1384" w:type="dxa"/>
            <w:tcBorders>
              <w:top w:val="nil"/>
              <w:left w:val="single" w:sz="4" w:space="0" w:color="auto"/>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( 2,893)</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2,893</w:t>
            </w:r>
          </w:p>
        </w:tc>
        <w:tc>
          <w:tcPr>
            <w:tcW w:w="1097"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6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12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r>
      <w:tr w:rsidR="00913FE3" w:rsidRPr="00EC1907" w:rsidTr="00913FE3">
        <w:trPr>
          <w:trHeight w:val="302"/>
        </w:trPr>
        <w:tc>
          <w:tcPr>
            <w:tcW w:w="7033" w:type="dxa"/>
            <w:gridSpan w:val="5"/>
            <w:tcBorders>
              <w:top w:val="nil"/>
              <w:left w:val="nil"/>
              <w:bottom w:val="nil"/>
              <w:right w:val="nil"/>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Revenue Expenditure Funded from Capital Under Statute</w:t>
            </w:r>
          </w:p>
        </w:tc>
        <w:tc>
          <w:tcPr>
            <w:tcW w:w="1384" w:type="dxa"/>
            <w:tcBorders>
              <w:top w:val="nil"/>
              <w:left w:val="single" w:sz="4" w:space="0" w:color="auto"/>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18,290</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(18,290)</w:t>
            </w:r>
          </w:p>
        </w:tc>
        <w:tc>
          <w:tcPr>
            <w:tcW w:w="1097"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6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12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r>
      <w:tr w:rsidR="00913FE3" w:rsidRPr="00EC1907" w:rsidTr="00913FE3">
        <w:trPr>
          <w:trHeight w:val="603"/>
        </w:trPr>
        <w:tc>
          <w:tcPr>
            <w:tcW w:w="7033" w:type="dxa"/>
            <w:gridSpan w:val="5"/>
            <w:tcBorders>
              <w:top w:val="nil"/>
              <w:left w:val="nil"/>
              <w:bottom w:val="nil"/>
              <w:right w:val="nil"/>
            </w:tcBorders>
            <w:shd w:val="clear" w:color="auto" w:fill="auto"/>
            <w:vAlign w:val="bottom"/>
            <w:hideMark/>
          </w:tcPr>
          <w:p w:rsidR="00913FE3" w:rsidRPr="00EC1907" w:rsidRDefault="00913FE3" w:rsidP="00913FE3">
            <w:pPr>
              <w:rPr>
                <w:color w:val="000000"/>
                <w:sz w:val="22"/>
                <w:szCs w:val="22"/>
              </w:rPr>
            </w:pPr>
            <w:r w:rsidRPr="00EC1907">
              <w:rPr>
                <w:color w:val="000000"/>
                <w:sz w:val="22"/>
                <w:szCs w:val="22"/>
              </w:rPr>
              <w:t>Amounts of NCAs written off on disposal or sale as part of the gain/loss on disposal to the Comprehensive I&amp;E</w:t>
            </w:r>
          </w:p>
        </w:tc>
        <w:tc>
          <w:tcPr>
            <w:tcW w:w="1384" w:type="dxa"/>
            <w:tcBorders>
              <w:top w:val="nil"/>
              <w:left w:val="single" w:sz="4" w:space="0" w:color="auto"/>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34,507</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(10,380)</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(23,114) </w:t>
            </w:r>
          </w:p>
        </w:tc>
        <w:tc>
          <w:tcPr>
            <w:tcW w:w="1097"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6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12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(1,014)</w:t>
            </w:r>
          </w:p>
        </w:tc>
      </w:tr>
      <w:tr w:rsidR="00913FE3" w:rsidRPr="00EC1907" w:rsidTr="00913FE3">
        <w:trPr>
          <w:trHeight w:val="302"/>
        </w:trPr>
        <w:tc>
          <w:tcPr>
            <w:tcW w:w="7033" w:type="dxa"/>
            <w:gridSpan w:val="5"/>
            <w:tcBorders>
              <w:top w:val="nil"/>
              <w:left w:val="nil"/>
              <w:bottom w:val="nil"/>
              <w:right w:val="single" w:sz="4" w:space="0" w:color="000000"/>
            </w:tcBorders>
            <w:shd w:val="clear" w:color="auto" w:fill="auto"/>
            <w:noWrap/>
            <w:vAlign w:val="bottom"/>
            <w:hideMark/>
          </w:tcPr>
          <w:p w:rsidR="00913FE3" w:rsidRPr="00EC1907" w:rsidRDefault="00913FE3" w:rsidP="00913FE3">
            <w:pPr>
              <w:rPr>
                <w:color w:val="000000"/>
                <w:sz w:val="22"/>
                <w:szCs w:val="22"/>
              </w:rPr>
            </w:pPr>
          </w:p>
        </w:tc>
        <w:tc>
          <w:tcPr>
            <w:tcW w:w="138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097" w:type="dxa"/>
            <w:tcBorders>
              <w:top w:val="nil"/>
              <w:left w:val="nil"/>
              <w:bottom w:val="nil"/>
              <w:right w:val="single" w:sz="4" w:space="0" w:color="auto"/>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c>
          <w:tcPr>
            <w:tcW w:w="1269" w:type="dxa"/>
            <w:tcBorders>
              <w:top w:val="nil"/>
              <w:left w:val="nil"/>
              <w:bottom w:val="nil"/>
              <w:right w:val="single" w:sz="4" w:space="0" w:color="auto"/>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c>
          <w:tcPr>
            <w:tcW w:w="1129" w:type="dxa"/>
            <w:tcBorders>
              <w:top w:val="nil"/>
              <w:left w:val="nil"/>
              <w:bottom w:val="nil"/>
              <w:right w:val="single" w:sz="4" w:space="0" w:color="auto"/>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r>
      <w:tr w:rsidR="00913FE3" w:rsidRPr="00EC1907" w:rsidTr="00913FE3">
        <w:trPr>
          <w:trHeight w:val="302"/>
        </w:trPr>
        <w:tc>
          <w:tcPr>
            <w:tcW w:w="7033" w:type="dxa"/>
            <w:gridSpan w:val="5"/>
            <w:tcBorders>
              <w:top w:val="nil"/>
              <w:left w:val="nil"/>
              <w:bottom w:val="nil"/>
              <w:right w:val="nil"/>
            </w:tcBorders>
            <w:shd w:val="clear" w:color="auto" w:fill="auto"/>
            <w:noWrap/>
            <w:vAlign w:val="bottom"/>
            <w:hideMark/>
          </w:tcPr>
          <w:p w:rsidR="00913FE3" w:rsidRPr="00EC1907" w:rsidRDefault="00913FE3" w:rsidP="00913FE3">
            <w:pPr>
              <w:rPr>
                <w:b/>
                <w:bCs/>
                <w:color w:val="000000"/>
                <w:sz w:val="22"/>
                <w:szCs w:val="22"/>
              </w:rPr>
            </w:pPr>
            <w:r w:rsidRPr="00EC1907">
              <w:rPr>
                <w:b/>
                <w:bCs/>
                <w:color w:val="000000"/>
                <w:sz w:val="22"/>
                <w:szCs w:val="22"/>
              </w:rPr>
              <w:t>Insertion of items not debited or credited to the Comprehensive I&amp;E:</w:t>
            </w:r>
          </w:p>
        </w:tc>
        <w:tc>
          <w:tcPr>
            <w:tcW w:w="1384" w:type="dxa"/>
            <w:tcBorders>
              <w:top w:val="nil"/>
              <w:left w:val="single" w:sz="4" w:space="0" w:color="auto"/>
              <w:bottom w:val="nil"/>
              <w:right w:val="single" w:sz="4" w:space="0" w:color="auto"/>
            </w:tcBorders>
            <w:shd w:val="clear" w:color="auto" w:fill="auto"/>
            <w:noWrap/>
            <w:vAlign w:val="bottom"/>
            <w:hideMark/>
          </w:tcPr>
          <w:p w:rsidR="00913FE3" w:rsidRPr="00EC1907" w:rsidRDefault="00913FE3" w:rsidP="00913FE3">
            <w:pPr>
              <w:rPr>
                <w:b/>
                <w:bCs/>
                <w:color w:val="000000"/>
                <w:sz w:val="22"/>
                <w:szCs w:val="22"/>
              </w:rPr>
            </w:pPr>
            <w:r w:rsidRPr="00EC1907">
              <w:rPr>
                <w:b/>
                <w:bCs/>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rPr>
                <w:b/>
                <w:bCs/>
                <w:color w:val="000000"/>
                <w:sz w:val="22"/>
                <w:szCs w:val="22"/>
              </w:rPr>
            </w:pPr>
            <w:r w:rsidRPr="00EC1907">
              <w:rPr>
                <w:b/>
                <w:bCs/>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rPr>
                <w:b/>
                <w:bCs/>
                <w:color w:val="000000"/>
                <w:sz w:val="22"/>
                <w:szCs w:val="22"/>
              </w:rPr>
            </w:pPr>
            <w:r w:rsidRPr="00EC1907">
              <w:rPr>
                <w:b/>
                <w:bCs/>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b/>
                <w:bCs/>
                <w:color w:val="000000"/>
                <w:sz w:val="22"/>
                <w:szCs w:val="22"/>
              </w:rPr>
            </w:pPr>
            <w:r w:rsidRPr="00EC1907">
              <w:rPr>
                <w:b/>
                <w:bCs/>
                <w:color w:val="000000"/>
                <w:sz w:val="22"/>
                <w:szCs w:val="22"/>
              </w:rPr>
              <w:t> </w:t>
            </w:r>
          </w:p>
        </w:tc>
        <w:tc>
          <w:tcPr>
            <w:tcW w:w="1097" w:type="dxa"/>
            <w:tcBorders>
              <w:top w:val="nil"/>
              <w:left w:val="nil"/>
              <w:bottom w:val="nil"/>
              <w:right w:val="single" w:sz="4" w:space="0" w:color="auto"/>
            </w:tcBorders>
            <w:shd w:val="clear" w:color="auto" w:fill="auto"/>
            <w:noWrap/>
            <w:vAlign w:val="bottom"/>
            <w:hideMark/>
          </w:tcPr>
          <w:p w:rsidR="00913FE3" w:rsidRPr="00EC1907" w:rsidRDefault="00913FE3" w:rsidP="00913FE3">
            <w:pPr>
              <w:rPr>
                <w:b/>
                <w:bCs/>
                <w:color w:val="000000"/>
                <w:sz w:val="22"/>
                <w:szCs w:val="22"/>
              </w:rPr>
            </w:pPr>
            <w:r w:rsidRPr="00EC1907">
              <w:rPr>
                <w:b/>
                <w:bCs/>
                <w:color w:val="000000"/>
                <w:sz w:val="22"/>
                <w:szCs w:val="22"/>
              </w:rPr>
              <w:t> </w:t>
            </w:r>
          </w:p>
        </w:tc>
        <w:tc>
          <w:tcPr>
            <w:tcW w:w="1269" w:type="dxa"/>
            <w:tcBorders>
              <w:top w:val="nil"/>
              <w:left w:val="nil"/>
              <w:bottom w:val="nil"/>
              <w:right w:val="single" w:sz="4" w:space="0" w:color="auto"/>
            </w:tcBorders>
            <w:shd w:val="clear" w:color="auto" w:fill="auto"/>
            <w:noWrap/>
            <w:vAlign w:val="bottom"/>
            <w:hideMark/>
          </w:tcPr>
          <w:p w:rsidR="00913FE3" w:rsidRPr="00EC1907" w:rsidRDefault="00913FE3" w:rsidP="00913FE3">
            <w:pPr>
              <w:rPr>
                <w:b/>
                <w:bCs/>
                <w:color w:val="000000"/>
                <w:sz w:val="22"/>
                <w:szCs w:val="22"/>
              </w:rPr>
            </w:pPr>
            <w:r w:rsidRPr="00EC1907">
              <w:rPr>
                <w:b/>
                <w:bCs/>
                <w:color w:val="000000"/>
                <w:sz w:val="22"/>
                <w:szCs w:val="22"/>
              </w:rPr>
              <w:t> </w:t>
            </w:r>
          </w:p>
        </w:tc>
        <w:tc>
          <w:tcPr>
            <w:tcW w:w="1129" w:type="dxa"/>
            <w:tcBorders>
              <w:top w:val="nil"/>
              <w:left w:val="nil"/>
              <w:bottom w:val="nil"/>
              <w:right w:val="single" w:sz="4" w:space="0" w:color="auto"/>
            </w:tcBorders>
            <w:shd w:val="clear" w:color="auto" w:fill="auto"/>
            <w:noWrap/>
            <w:vAlign w:val="bottom"/>
            <w:hideMark/>
          </w:tcPr>
          <w:p w:rsidR="00913FE3" w:rsidRPr="00EC1907" w:rsidRDefault="00913FE3" w:rsidP="00913FE3">
            <w:pPr>
              <w:rPr>
                <w:b/>
                <w:bCs/>
                <w:color w:val="000000"/>
                <w:sz w:val="22"/>
                <w:szCs w:val="22"/>
              </w:rPr>
            </w:pPr>
            <w:r w:rsidRPr="00EC1907">
              <w:rPr>
                <w:b/>
                <w:bCs/>
                <w:color w:val="000000"/>
                <w:sz w:val="22"/>
                <w:szCs w:val="22"/>
              </w:rPr>
              <w:t> </w:t>
            </w:r>
          </w:p>
        </w:tc>
      </w:tr>
      <w:tr w:rsidR="00913FE3" w:rsidRPr="00EC1907" w:rsidTr="00913FE3">
        <w:trPr>
          <w:trHeight w:val="302"/>
        </w:trPr>
        <w:tc>
          <w:tcPr>
            <w:tcW w:w="7033" w:type="dxa"/>
            <w:gridSpan w:val="5"/>
            <w:tcBorders>
              <w:top w:val="nil"/>
              <w:left w:val="nil"/>
              <w:bottom w:val="nil"/>
              <w:right w:val="nil"/>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Statutory provision for the financing of capital investment (MRP)</w:t>
            </w:r>
          </w:p>
        </w:tc>
        <w:tc>
          <w:tcPr>
            <w:tcW w:w="1384" w:type="dxa"/>
            <w:tcBorders>
              <w:top w:val="nil"/>
              <w:left w:val="single" w:sz="4" w:space="0" w:color="auto"/>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( 24,151)</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24,151</w:t>
            </w:r>
          </w:p>
        </w:tc>
        <w:tc>
          <w:tcPr>
            <w:tcW w:w="1097"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6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12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r>
      <w:tr w:rsidR="00913FE3" w:rsidRPr="00EC1907" w:rsidTr="00913FE3">
        <w:trPr>
          <w:trHeight w:val="302"/>
        </w:trPr>
        <w:tc>
          <w:tcPr>
            <w:tcW w:w="7033" w:type="dxa"/>
            <w:gridSpan w:val="5"/>
            <w:tcBorders>
              <w:top w:val="nil"/>
              <w:left w:val="nil"/>
              <w:bottom w:val="nil"/>
              <w:right w:val="nil"/>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Statutory provision for the financing of capital investment (MRP PFI)</w:t>
            </w:r>
          </w:p>
        </w:tc>
        <w:tc>
          <w:tcPr>
            <w:tcW w:w="1384" w:type="dxa"/>
            <w:tcBorders>
              <w:top w:val="nil"/>
              <w:left w:val="single" w:sz="4" w:space="0" w:color="auto"/>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(4,329)</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4,329</w:t>
            </w:r>
          </w:p>
        </w:tc>
        <w:tc>
          <w:tcPr>
            <w:tcW w:w="1097"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6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12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r>
      <w:tr w:rsidR="00913FE3" w:rsidRPr="00EC1907" w:rsidTr="00913FE3">
        <w:trPr>
          <w:trHeight w:val="302"/>
        </w:trPr>
        <w:tc>
          <w:tcPr>
            <w:tcW w:w="7033" w:type="dxa"/>
            <w:gridSpan w:val="5"/>
            <w:tcBorders>
              <w:top w:val="nil"/>
              <w:left w:val="nil"/>
              <w:bottom w:val="single" w:sz="4" w:space="0" w:color="auto"/>
              <w:right w:val="single" w:sz="4" w:space="0" w:color="000000"/>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c>
          <w:tcPr>
            <w:tcW w:w="1384" w:type="dxa"/>
            <w:tcBorders>
              <w:top w:val="nil"/>
              <w:left w:val="nil"/>
              <w:bottom w:val="nil"/>
              <w:right w:val="single" w:sz="4" w:space="0" w:color="auto"/>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c>
          <w:tcPr>
            <w:tcW w:w="1097" w:type="dxa"/>
            <w:tcBorders>
              <w:top w:val="nil"/>
              <w:left w:val="nil"/>
              <w:bottom w:val="nil"/>
              <w:right w:val="single" w:sz="4" w:space="0" w:color="auto"/>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c>
          <w:tcPr>
            <w:tcW w:w="1269" w:type="dxa"/>
            <w:tcBorders>
              <w:top w:val="nil"/>
              <w:left w:val="nil"/>
              <w:bottom w:val="nil"/>
              <w:right w:val="single" w:sz="4" w:space="0" w:color="auto"/>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c>
          <w:tcPr>
            <w:tcW w:w="1129" w:type="dxa"/>
            <w:tcBorders>
              <w:top w:val="nil"/>
              <w:left w:val="nil"/>
              <w:bottom w:val="nil"/>
              <w:right w:val="single" w:sz="4" w:space="0" w:color="auto"/>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r>
      <w:tr w:rsidR="00913FE3" w:rsidRPr="00EC1907" w:rsidTr="00913FE3">
        <w:trPr>
          <w:trHeight w:val="317"/>
        </w:trPr>
        <w:tc>
          <w:tcPr>
            <w:tcW w:w="7033" w:type="dxa"/>
            <w:gridSpan w:val="5"/>
            <w:tcBorders>
              <w:top w:val="single" w:sz="4" w:space="0" w:color="auto"/>
              <w:left w:val="single" w:sz="4" w:space="0" w:color="auto"/>
              <w:bottom w:val="single" w:sz="4" w:space="0" w:color="auto"/>
              <w:right w:val="nil"/>
            </w:tcBorders>
            <w:shd w:val="clear" w:color="000000" w:fill="D8D8D8"/>
            <w:noWrap/>
            <w:vAlign w:val="bottom"/>
            <w:hideMark/>
          </w:tcPr>
          <w:p w:rsidR="00913FE3" w:rsidRPr="00EC1907" w:rsidRDefault="00913FE3" w:rsidP="00913FE3">
            <w:pPr>
              <w:rPr>
                <w:b/>
                <w:bCs/>
                <w:color w:val="000000"/>
                <w:sz w:val="22"/>
                <w:szCs w:val="22"/>
                <w:u w:val="single"/>
              </w:rPr>
            </w:pPr>
            <w:r w:rsidRPr="00EC1907">
              <w:rPr>
                <w:b/>
                <w:bCs/>
                <w:color w:val="000000"/>
                <w:sz w:val="22"/>
                <w:szCs w:val="22"/>
                <w:u w:val="single"/>
              </w:rPr>
              <w:t>Adjustments primarily involving the Capital Grants Unapplied Account:</w:t>
            </w:r>
          </w:p>
        </w:tc>
        <w:tc>
          <w:tcPr>
            <w:tcW w:w="1384"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rPr>
                <w:b/>
                <w:bCs/>
                <w:color w:val="000000"/>
                <w:sz w:val="22"/>
                <w:szCs w:val="22"/>
                <w:u w:val="single"/>
              </w:rPr>
            </w:pPr>
          </w:p>
        </w:tc>
        <w:tc>
          <w:tcPr>
            <w:tcW w:w="1244"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rPr>
                <w:b/>
                <w:bCs/>
                <w:color w:val="000000"/>
                <w:sz w:val="22"/>
                <w:szCs w:val="22"/>
                <w:u w:val="single"/>
              </w:rPr>
            </w:pPr>
          </w:p>
        </w:tc>
        <w:tc>
          <w:tcPr>
            <w:tcW w:w="1244"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rPr>
                <w:b/>
                <w:bCs/>
                <w:color w:val="000000"/>
                <w:sz w:val="22"/>
                <w:szCs w:val="22"/>
                <w:u w:val="single"/>
              </w:rPr>
            </w:pPr>
          </w:p>
        </w:tc>
        <w:tc>
          <w:tcPr>
            <w:tcW w:w="1244"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rPr>
                <w:b/>
                <w:bCs/>
                <w:color w:val="000000"/>
                <w:sz w:val="22"/>
                <w:szCs w:val="22"/>
                <w:u w:val="single"/>
              </w:rPr>
            </w:pPr>
          </w:p>
        </w:tc>
        <w:tc>
          <w:tcPr>
            <w:tcW w:w="1097"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rPr>
                <w:b/>
                <w:bCs/>
                <w:color w:val="000000"/>
                <w:sz w:val="22"/>
                <w:szCs w:val="22"/>
                <w:u w:val="single"/>
              </w:rPr>
            </w:pPr>
          </w:p>
        </w:tc>
        <w:tc>
          <w:tcPr>
            <w:tcW w:w="1269"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rPr>
                <w:b/>
                <w:bCs/>
                <w:color w:val="000000"/>
                <w:sz w:val="22"/>
                <w:szCs w:val="22"/>
                <w:u w:val="single"/>
              </w:rPr>
            </w:pPr>
          </w:p>
        </w:tc>
        <w:tc>
          <w:tcPr>
            <w:tcW w:w="1129" w:type="dxa"/>
            <w:tcBorders>
              <w:top w:val="single" w:sz="4" w:space="0" w:color="auto"/>
              <w:left w:val="nil"/>
              <w:bottom w:val="single" w:sz="4" w:space="0" w:color="auto"/>
              <w:right w:val="single" w:sz="4" w:space="0" w:color="auto"/>
            </w:tcBorders>
            <w:shd w:val="clear" w:color="000000" w:fill="D8D8D8"/>
            <w:noWrap/>
            <w:vAlign w:val="bottom"/>
            <w:hideMark/>
          </w:tcPr>
          <w:p w:rsidR="00913FE3" w:rsidRPr="00EC1907" w:rsidRDefault="00913FE3" w:rsidP="00913FE3">
            <w:pPr>
              <w:rPr>
                <w:b/>
                <w:bCs/>
                <w:color w:val="000000"/>
                <w:sz w:val="22"/>
                <w:szCs w:val="22"/>
                <w:u w:val="single"/>
              </w:rPr>
            </w:pPr>
          </w:p>
        </w:tc>
      </w:tr>
      <w:tr w:rsidR="00913FE3" w:rsidRPr="00EC1907" w:rsidTr="00913FE3">
        <w:trPr>
          <w:trHeight w:val="302"/>
        </w:trPr>
        <w:tc>
          <w:tcPr>
            <w:tcW w:w="7033" w:type="dxa"/>
            <w:gridSpan w:val="5"/>
            <w:tcBorders>
              <w:top w:val="single" w:sz="4" w:space="0" w:color="auto"/>
              <w:left w:val="nil"/>
              <w:bottom w:val="nil"/>
              <w:right w:val="single" w:sz="4" w:space="0" w:color="000000"/>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c>
          <w:tcPr>
            <w:tcW w:w="1384" w:type="dxa"/>
            <w:tcBorders>
              <w:top w:val="nil"/>
              <w:left w:val="nil"/>
              <w:bottom w:val="nil"/>
              <w:right w:val="single" w:sz="4" w:space="0" w:color="auto"/>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c>
          <w:tcPr>
            <w:tcW w:w="1097" w:type="dxa"/>
            <w:tcBorders>
              <w:top w:val="nil"/>
              <w:left w:val="nil"/>
              <w:bottom w:val="nil"/>
              <w:right w:val="single" w:sz="4" w:space="0" w:color="auto"/>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c>
          <w:tcPr>
            <w:tcW w:w="1269" w:type="dxa"/>
            <w:tcBorders>
              <w:top w:val="nil"/>
              <w:left w:val="nil"/>
              <w:bottom w:val="nil"/>
              <w:right w:val="single" w:sz="4" w:space="0" w:color="auto"/>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c>
          <w:tcPr>
            <w:tcW w:w="1129" w:type="dxa"/>
            <w:tcBorders>
              <w:top w:val="nil"/>
              <w:left w:val="nil"/>
              <w:bottom w:val="nil"/>
              <w:right w:val="single" w:sz="4" w:space="0" w:color="auto"/>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r>
      <w:tr w:rsidR="00913FE3" w:rsidRPr="00EC1907" w:rsidTr="00913FE3">
        <w:trPr>
          <w:trHeight w:val="302"/>
        </w:trPr>
        <w:tc>
          <w:tcPr>
            <w:tcW w:w="7033" w:type="dxa"/>
            <w:gridSpan w:val="5"/>
            <w:tcBorders>
              <w:top w:val="nil"/>
              <w:left w:val="nil"/>
              <w:bottom w:val="nil"/>
              <w:right w:val="nil"/>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lastRenderedPageBreak/>
              <w:t>Capital grants and contributions unapplied credited to the Comprehensive I&amp;E</w:t>
            </w:r>
          </w:p>
        </w:tc>
        <w:tc>
          <w:tcPr>
            <w:tcW w:w="1384" w:type="dxa"/>
            <w:tcBorders>
              <w:top w:val="nil"/>
              <w:left w:val="single" w:sz="4" w:space="0" w:color="auto"/>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(100,107)</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2,125</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97,982</w:t>
            </w:r>
          </w:p>
        </w:tc>
        <w:tc>
          <w:tcPr>
            <w:tcW w:w="1097"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6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12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r>
      <w:tr w:rsidR="00913FE3" w:rsidRPr="00EC1907" w:rsidTr="00913FE3">
        <w:trPr>
          <w:trHeight w:val="302"/>
        </w:trPr>
        <w:tc>
          <w:tcPr>
            <w:tcW w:w="7033" w:type="dxa"/>
            <w:gridSpan w:val="5"/>
            <w:tcBorders>
              <w:top w:val="nil"/>
              <w:left w:val="nil"/>
              <w:bottom w:val="nil"/>
              <w:right w:val="nil"/>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Application of grants to capital financing transferred to CAA</w:t>
            </w:r>
          </w:p>
        </w:tc>
        <w:tc>
          <w:tcPr>
            <w:tcW w:w="1384" w:type="dxa"/>
            <w:tcBorders>
              <w:top w:val="nil"/>
              <w:left w:val="single" w:sz="4" w:space="0" w:color="auto"/>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c>
          <w:tcPr>
            <w:tcW w:w="1097" w:type="dxa"/>
            <w:tcBorders>
              <w:top w:val="nil"/>
              <w:left w:val="nil"/>
              <w:bottom w:val="nil"/>
              <w:right w:val="single" w:sz="4" w:space="0" w:color="auto"/>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c>
          <w:tcPr>
            <w:tcW w:w="1269" w:type="dxa"/>
            <w:tcBorders>
              <w:top w:val="nil"/>
              <w:left w:val="nil"/>
              <w:bottom w:val="nil"/>
              <w:right w:val="single" w:sz="4" w:space="0" w:color="auto"/>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c>
          <w:tcPr>
            <w:tcW w:w="1129" w:type="dxa"/>
            <w:tcBorders>
              <w:top w:val="nil"/>
              <w:left w:val="nil"/>
              <w:bottom w:val="nil"/>
              <w:right w:val="single" w:sz="4" w:space="0" w:color="auto"/>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r>
      <w:tr w:rsidR="00913FE3" w:rsidRPr="00EC1907" w:rsidTr="00913FE3">
        <w:trPr>
          <w:trHeight w:val="302"/>
        </w:trPr>
        <w:tc>
          <w:tcPr>
            <w:tcW w:w="7033" w:type="dxa"/>
            <w:gridSpan w:val="5"/>
            <w:tcBorders>
              <w:top w:val="nil"/>
              <w:left w:val="nil"/>
              <w:bottom w:val="single" w:sz="4" w:space="0" w:color="auto"/>
              <w:right w:val="single" w:sz="4" w:space="0" w:color="000000"/>
            </w:tcBorders>
            <w:shd w:val="clear" w:color="auto" w:fill="auto"/>
            <w:noWrap/>
            <w:vAlign w:val="bottom"/>
            <w:hideMark/>
          </w:tcPr>
          <w:p w:rsidR="00913FE3" w:rsidRPr="00EC1907" w:rsidRDefault="00913FE3" w:rsidP="00913FE3">
            <w:pPr>
              <w:jc w:val="center"/>
              <w:rPr>
                <w:color w:val="000000"/>
                <w:sz w:val="22"/>
                <w:szCs w:val="22"/>
              </w:rPr>
            </w:pPr>
            <w:r w:rsidRPr="00EC1907">
              <w:rPr>
                <w:color w:val="000000"/>
                <w:sz w:val="22"/>
                <w:szCs w:val="22"/>
              </w:rPr>
              <w:t> </w:t>
            </w:r>
          </w:p>
        </w:tc>
        <w:tc>
          <w:tcPr>
            <w:tcW w:w="138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097"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6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12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r>
      <w:tr w:rsidR="00913FE3" w:rsidRPr="00EC1907" w:rsidTr="00913FE3">
        <w:trPr>
          <w:trHeight w:val="317"/>
        </w:trPr>
        <w:tc>
          <w:tcPr>
            <w:tcW w:w="7033" w:type="dxa"/>
            <w:gridSpan w:val="5"/>
            <w:tcBorders>
              <w:top w:val="single" w:sz="4" w:space="0" w:color="auto"/>
              <w:left w:val="single" w:sz="4" w:space="0" w:color="auto"/>
              <w:bottom w:val="single" w:sz="4" w:space="0" w:color="auto"/>
              <w:right w:val="nil"/>
            </w:tcBorders>
            <w:shd w:val="clear" w:color="000000" w:fill="D8D8D8"/>
            <w:noWrap/>
            <w:vAlign w:val="bottom"/>
            <w:hideMark/>
          </w:tcPr>
          <w:p w:rsidR="00913FE3" w:rsidRPr="00EC1907" w:rsidRDefault="00913FE3" w:rsidP="00913FE3">
            <w:pPr>
              <w:rPr>
                <w:b/>
                <w:bCs/>
                <w:color w:val="000000"/>
                <w:sz w:val="22"/>
                <w:szCs w:val="22"/>
                <w:u w:val="single"/>
              </w:rPr>
            </w:pPr>
            <w:r w:rsidRPr="00EC1907">
              <w:rPr>
                <w:b/>
                <w:bCs/>
                <w:color w:val="000000"/>
                <w:sz w:val="22"/>
                <w:szCs w:val="22"/>
                <w:u w:val="single"/>
              </w:rPr>
              <w:t>Adjustments primarily involving the Capital Receipts Reserve:</w:t>
            </w:r>
          </w:p>
        </w:tc>
        <w:tc>
          <w:tcPr>
            <w:tcW w:w="1384"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rPr>
                <w:b/>
                <w:bCs/>
                <w:color w:val="000000"/>
                <w:sz w:val="22"/>
                <w:szCs w:val="22"/>
                <w:u w:val="single"/>
              </w:rPr>
            </w:pPr>
          </w:p>
        </w:tc>
        <w:tc>
          <w:tcPr>
            <w:tcW w:w="1244"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rPr>
                <w:b/>
                <w:bCs/>
                <w:color w:val="000000"/>
                <w:sz w:val="22"/>
                <w:szCs w:val="22"/>
                <w:u w:val="single"/>
              </w:rPr>
            </w:pPr>
          </w:p>
        </w:tc>
        <w:tc>
          <w:tcPr>
            <w:tcW w:w="1244"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rPr>
                <w:b/>
                <w:bCs/>
                <w:color w:val="000000"/>
                <w:sz w:val="22"/>
                <w:szCs w:val="22"/>
                <w:u w:val="single"/>
              </w:rPr>
            </w:pPr>
          </w:p>
        </w:tc>
        <w:tc>
          <w:tcPr>
            <w:tcW w:w="1244"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rPr>
                <w:b/>
                <w:bCs/>
                <w:color w:val="000000"/>
                <w:sz w:val="22"/>
                <w:szCs w:val="22"/>
                <w:u w:val="single"/>
              </w:rPr>
            </w:pPr>
          </w:p>
        </w:tc>
        <w:tc>
          <w:tcPr>
            <w:tcW w:w="1097"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rPr>
                <w:b/>
                <w:bCs/>
                <w:color w:val="000000"/>
                <w:sz w:val="22"/>
                <w:szCs w:val="22"/>
                <w:u w:val="single"/>
              </w:rPr>
            </w:pPr>
          </w:p>
        </w:tc>
        <w:tc>
          <w:tcPr>
            <w:tcW w:w="1269"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rPr>
                <w:b/>
                <w:bCs/>
                <w:color w:val="000000"/>
                <w:sz w:val="22"/>
                <w:szCs w:val="22"/>
                <w:u w:val="single"/>
              </w:rPr>
            </w:pPr>
          </w:p>
        </w:tc>
        <w:tc>
          <w:tcPr>
            <w:tcW w:w="1129" w:type="dxa"/>
            <w:tcBorders>
              <w:top w:val="single" w:sz="4" w:space="0" w:color="auto"/>
              <w:left w:val="nil"/>
              <w:bottom w:val="single" w:sz="4" w:space="0" w:color="auto"/>
              <w:right w:val="single" w:sz="4" w:space="0" w:color="auto"/>
            </w:tcBorders>
            <w:shd w:val="clear" w:color="000000" w:fill="D8D8D8"/>
            <w:noWrap/>
            <w:vAlign w:val="bottom"/>
            <w:hideMark/>
          </w:tcPr>
          <w:p w:rsidR="00913FE3" w:rsidRPr="00EC1907" w:rsidRDefault="00913FE3" w:rsidP="00913FE3">
            <w:pPr>
              <w:rPr>
                <w:b/>
                <w:bCs/>
                <w:color w:val="000000"/>
                <w:sz w:val="22"/>
                <w:szCs w:val="22"/>
                <w:u w:val="single"/>
              </w:rPr>
            </w:pPr>
          </w:p>
        </w:tc>
      </w:tr>
      <w:tr w:rsidR="00913FE3" w:rsidRPr="00EC1907" w:rsidTr="00913FE3">
        <w:trPr>
          <w:trHeight w:val="603"/>
        </w:trPr>
        <w:tc>
          <w:tcPr>
            <w:tcW w:w="7033" w:type="dxa"/>
            <w:gridSpan w:val="5"/>
            <w:tcBorders>
              <w:top w:val="nil"/>
              <w:left w:val="nil"/>
              <w:bottom w:val="nil"/>
              <w:right w:val="nil"/>
            </w:tcBorders>
            <w:shd w:val="clear" w:color="auto" w:fill="auto"/>
            <w:vAlign w:val="bottom"/>
            <w:hideMark/>
          </w:tcPr>
          <w:p w:rsidR="00913FE3" w:rsidRPr="00EC1907" w:rsidRDefault="00913FE3" w:rsidP="00913FE3">
            <w:pPr>
              <w:rPr>
                <w:color w:val="000000"/>
                <w:sz w:val="22"/>
                <w:szCs w:val="22"/>
              </w:rPr>
            </w:pPr>
            <w:r w:rsidRPr="00EC1907">
              <w:rPr>
                <w:color w:val="000000"/>
                <w:sz w:val="22"/>
                <w:szCs w:val="22"/>
              </w:rPr>
              <w:t>Transfer of cash sale proceeds credited as part of the (gain)/loss on disposal to the Comprehensive I&amp;E</w:t>
            </w:r>
          </w:p>
        </w:tc>
        <w:tc>
          <w:tcPr>
            <w:tcW w:w="1384" w:type="dxa"/>
            <w:tcBorders>
              <w:top w:val="nil"/>
              <w:left w:val="single" w:sz="4" w:space="0" w:color="auto"/>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( 13,275)</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13,275</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097"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6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12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r>
      <w:tr w:rsidR="00913FE3" w:rsidRPr="00EC1907" w:rsidTr="00913FE3">
        <w:trPr>
          <w:trHeight w:val="302"/>
        </w:trPr>
        <w:tc>
          <w:tcPr>
            <w:tcW w:w="7033" w:type="dxa"/>
            <w:gridSpan w:val="5"/>
            <w:tcBorders>
              <w:top w:val="nil"/>
              <w:left w:val="nil"/>
              <w:bottom w:val="nil"/>
              <w:right w:val="nil"/>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Use of CRR to finance new capital expenditure</w:t>
            </w:r>
          </w:p>
        </w:tc>
        <w:tc>
          <w:tcPr>
            <w:tcW w:w="1384" w:type="dxa"/>
            <w:tcBorders>
              <w:top w:val="nil"/>
              <w:left w:val="single" w:sz="4" w:space="0" w:color="auto"/>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097"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6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12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r>
      <w:tr w:rsidR="00913FE3" w:rsidRPr="00EC1907" w:rsidTr="00913FE3">
        <w:trPr>
          <w:trHeight w:val="302"/>
        </w:trPr>
        <w:tc>
          <w:tcPr>
            <w:tcW w:w="7033" w:type="dxa"/>
            <w:gridSpan w:val="5"/>
            <w:tcBorders>
              <w:top w:val="nil"/>
              <w:left w:val="nil"/>
              <w:bottom w:val="nil"/>
              <w:right w:val="nil"/>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Contribution from the CRR towards administrative costs of NCA disposals</w:t>
            </w:r>
          </w:p>
        </w:tc>
        <w:tc>
          <w:tcPr>
            <w:tcW w:w="1384" w:type="dxa"/>
            <w:tcBorders>
              <w:top w:val="nil"/>
              <w:left w:val="single" w:sz="4" w:space="0" w:color="auto"/>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097"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6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12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r>
      <w:tr w:rsidR="00913FE3" w:rsidRPr="00EC1907" w:rsidTr="00913FE3">
        <w:trPr>
          <w:trHeight w:val="302"/>
        </w:trPr>
        <w:tc>
          <w:tcPr>
            <w:tcW w:w="7033" w:type="dxa"/>
            <w:gridSpan w:val="5"/>
            <w:tcBorders>
              <w:top w:val="nil"/>
              <w:left w:val="nil"/>
              <w:bottom w:val="nil"/>
              <w:right w:val="nil"/>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Contribution from the CRR to finance the payments to the Government capital receipts pool</w:t>
            </w:r>
          </w:p>
        </w:tc>
        <w:tc>
          <w:tcPr>
            <w:tcW w:w="1384" w:type="dxa"/>
            <w:tcBorders>
              <w:top w:val="nil"/>
              <w:left w:val="single" w:sz="4" w:space="0" w:color="auto"/>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097"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6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12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r>
      <w:tr w:rsidR="00913FE3" w:rsidRPr="00EC1907" w:rsidTr="00913FE3">
        <w:trPr>
          <w:trHeight w:val="302"/>
        </w:trPr>
        <w:tc>
          <w:tcPr>
            <w:tcW w:w="7033" w:type="dxa"/>
            <w:gridSpan w:val="5"/>
            <w:tcBorders>
              <w:top w:val="nil"/>
              <w:left w:val="nil"/>
              <w:bottom w:val="nil"/>
              <w:right w:val="nil"/>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Transfer from Deferred CRR upon receipt of cash</w:t>
            </w:r>
          </w:p>
        </w:tc>
        <w:tc>
          <w:tcPr>
            <w:tcW w:w="1384" w:type="dxa"/>
            <w:tcBorders>
              <w:top w:val="nil"/>
              <w:left w:val="single" w:sz="4" w:space="0" w:color="auto"/>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097"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6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12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r>
      <w:tr w:rsidR="00913FE3" w:rsidRPr="00EC1907" w:rsidTr="00913FE3">
        <w:trPr>
          <w:trHeight w:val="302"/>
        </w:trPr>
        <w:tc>
          <w:tcPr>
            <w:tcW w:w="7033" w:type="dxa"/>
            <w:gridSpan w:val="5"/>
            <w:tcBorders>
              <w:top w:val="nil"/>
              <w:left w:val="nil"/>
              <w:bottom w:val="single" w:sz="4" w:space="0" w:color="auto"/>
              <w:right w:val="single" w:sz="4" w:space="0" w:color="000000"/>
            </w:tcBorders>
            <w:shd w:val="clear" w:color="auto" w:fill="auto"/>
            <w:noWrap/>
            <w:vAlign w:val="bottom"/>
            <w:hideMark/>
          </w:tcPr>
          <w:p w:rsidR="00913FE3" w:rsidRPr="00EC1907" w:rsidRDefault="00913FE3" w:rsidP="00913FE3">
            <w:pPr>
              <w:jc w:val="center"/>
              <w:rPr>
                <w:color w:val="000000"/>
                <w:sz w:val="22"/>
                <w:szCs w:val="22"/>
              </w:rPr>
            </w:pPr>
            <w:r w:rsidRPr="00EC1907">
              <w:rPr>
                <w:color w:val="000000"/>
                <w:sz w:val="22"/>
                <w:szCs w:val="22"/>
              </w:rPr>
              <w:t> </w:t>
            </w:r>
          </w:p>
        </w:tc>
        <w:tc>
          <w:tcPr>
            <w:tcW w:w="1384" w:type="dxa"/>
            <w:tcBorders>
              <w:top w:val="nil"/>
              <w:left w:val="nil"/>
              <w:bottom w:val="nil"/>
              <w:right w:val="single" w:sz="4" w:space="0" w:color="auto"/>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c>
          <w:tcPr>
            <w:tcW w:w="1097" w:type="dxa"/>
            <w:tcBorders>
              <w:top w:val="nil"/>
              <w:left w:val="nil"/>
              <w:bottom w:val="nil"/>
              <w:right w:val="single" w:sz="4" w:space="0" w:color="auto"/>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c>
          <w:tcPr>
            <w:tcW w:w="1269" w:type="dxa"/>
            <w:tcBorders>
              <w:top w:val="nil"/>
              <w:left w:val="nil"/>
              <w:bottom w:val="nil"/>
              <w:right w:val="single" w:sz="4" w:space="0" w:color="auto"/>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c>
          <w:tcPr>
            <w:tcW w:w="1129" w:type="dxa"/>
            <w:tcBorders>
              <w:top w:val="nil"/>
              <w:left w:val="nil"/>
              <w:bottom w:val="nil"/>
              <w:right w:val="single" w:sz="4" w:space="0" w:color="auto"/>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r>
      <w:tr w:rsidR="00913FE3" w:rsidRPr="00EC1907" w:rsidTr="00913FE3">
        <w:trPr>
          <w:trHeight w:val="302"/>
        </w:trPr>
        <w:tc>
          <w:tcPr>
            <w:tcW w:w="7033" w:type="dxa"/>
            <w:gridSpan w:val="5"/>
            <w:tcBorders>
              <w:top w:val="single" w:sz="4" w:space="0" w:color="auto"/>
              <w:left w:val="single" w:sz="4" w:space="0" w:color="auto"/>
              <w:bottom w:val="single" w:sz="4" w:space="0" w:color="auto"/>
              <w:right w:val="nil"/>
            </w:tcBorders>
            <w:shd w:val="clear" w:color="000000" w:fill="D8D8D8"/>
            <w:noWrap/>
            <w:vAlign w:val="bottom"/>
            <w:hideMark/>
          </w:tcPr>
          <w:p w:rsidR="00913FE3" w:rsidRPr="00EC1907" w:rsidRDefault="00913FE3" w:rsidP="00913FE3">
            <w:pPr>
              <w:rPr>
                <w:b/>
                <w:bCs/>
                <w:color w:val="000000"/>
                <w:sz w:val="22"/>
                <w:szCs w:val="22"/>
                <w:u w:val="single"/>
              </w:rPr>
            </w:pPr>
            <w:r w:rsidRPr="00EC1907">
              <w:rPr>
                <w:b/>
                <w:bCs/>
                <w:color w:val="000000"/>
                <w:sz w:val="22"/>
                <w:szCs w:val="22"/>
                <w:u w:val="single"/>
              </w:rPr>
              <w:t>Adjustments primarily involving the Deferred Capital Receipts Reserve:</w:t>
            </w:r>
          </w:p>
        </w:tc>
        <w:tc>
          <w:tcPr>
            <w:tcW w:w="1384"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rPr>
                <w:b/>
                <w:bCs/>
                <w:color w:val="000000"/>
                <w:sz w:val="22"/>
                <w:szCs w:val="22"/>
                <w:u w:val="single"/>
              </w:rPr>
            </w:pPr>
          </w:p>
        </w:tc>
        <w:tc>
          <w:tcPr>
            <w:tcW w:w="1244"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rPr>
                <w:b/>
                <w:bCs/>
                <w:color w:val="000000"/>
                <w:sz w:val="22"/>
                <w:szCs w:val="22"/>
                <w:u w:val="single"/>
              </w:rPr>
            </w:pPr>
          </w:p>
        </w:tc>
        <w:tc>
          <w:tcPr>
            <w:tcW w:w="1244"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rPr>
                <w:b/>
                <w:bCs/>
                <w:color w:val="000000"/>
                <w:sz w:val="22"/>
                <w:szCs w:val="22"/>
                <w:u w:val="single"/>
              </w:rPr>
            </w:pPr>
          </w:p>
        </w:tc>
        <w:tc>
          <w:tcPr>
            <w:tcW w:w="1244"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rPr>
                <w:b/>
                <w:bCs/>
                <w:color w:val="000000"/>
                <w:sz w:val="22"/>
                <w:szCs w:val="22"/>
                <w:u w:val="single"/>
              </w:rPr>
            </w:pPr>
          </w:p>
        </w:tc>
        <w:tc>
          <w:tcPr>
            <w:tcW w:w="1097"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rPr>
                <w:b/>
                <w:bCs/>
                <w:color w:val="000000"/>
                <w:sz w:val="22"/>
                <w:szCs w:val="22"/>
                <w:u w:val="single"/>
              </w:rPr>
            </w:pPr>
          </w:p>
        </w:tc>
        <w:tc>
          <w:tcPr>
            <w:tcW w:w="1269"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rPr>
                <w:b/>
                <w:bCs/>
                <w:color w:val="000000"/>
                <w:sz w:val="22"/>
                <w:szCs w:val="22"/>
                <w:u w:val="single"/>
              </w:rPr>
            </w:pPr>
          </w:p>
        </w:tc>
        <w:tc>
          <w:tcPr>
            <w:tcW w:w="1129" w:type="dxa"/>
            <w:tcBorders>
              <w:top w:val="single" w:sz="4" w:space="0" w:color="auto"/>
              <w:left w:val="nil"/>
              <w:bottom w:val="single" w:sz="4" w:space="0" w:color="auto"/>
              <w:right w:val="single" w:sz="4" w:space="0" w:color="auto"/>
            </w:tcBorders>
            <w:shd w:val="clear" w:color="000000" w:fill="D8D8D8"/>
            <w:noWrap/>
            <w:vAlign w:val="bottom"/>
            <w:hideMark/>
          </w:tcPr>
          <w:p w:rsidR="00913FE3" w:rsidRPr="00EC1907" w:rsidRDefault="00913FE3" w:rsidP="00913FE3">
            <w:pPr>
              <w:rPr>
                <w:b/>
                <w:bCs/>
                <w:color w:val="000000"/>
                <w:sz w:val="22"/>
                <w:szCs w:val="22"/>
                <w:u w:val="single"/>
              </w:rPr>
            </w:pPr>
          </w:p>
        </w:tc>
      </w:tr>
      <w:tr w:rsidR="00913FE3" w:rsidRPr="00EC1907" w:rsidTr="00913FE3">
        <w:trPr>
          <w:trHeight w:val="603"/>
        </w:trPr>
        <w:tc>
          <w:tcPr>
            <w:tcW w:w="7033" w:type="dxa"/>
            <w:gridSpan w:val="5"/>
            <w:tcBorders>
              <w:top w:val="nil"/>
              <w:left w:val="nil"/>
              <w:bottom w:val="nil"/>
              <w:right w:val="nil"/>
            </w:tcBorders>
            <w:shd w:val="clear" w:color="auto" w:fill="auto"/>
            <w:vAlign w:val="bottom"/>
            <w:hideMark/>
          </w:tcPr>
          <w:p w:rsidR="00913FE3" w:rsidRPr="00EC1907" w:rsidRDefault="00913FE3" w:rsidP="00913FE3">
            <w:pPr>
              <w:rPr>
                <w:color w:val="000000"/>
                <w:sz w:val="22"/>
                <w:szCs w:val="22"/>
              </w:rPr>
            </w:pPr>
            <w:r w:rsidRPr="00EC1907">
              <w:rPr>
                <w:color w:val="000000"/>
                <w:sz w:val="22"/>
                <w:szCs w:val="22"/>
              </w:rPr>
              <w:t>Transfer of deferred sale proceeds credited as part of the (gain)/loss on disposal to the Comprehensive I&amp;E</w:t>
            </w:r>
          </w:p>
        </w:tc>
        <w:tc>
          <w:tcPr>
            <w:tcW w:w="1384" w:type="dxa"/>
            <w:tcBorders>
              <w:top w:val="nil"/>
              <w:left w:val="single" w:sz="4" w:space="0" w:color="auto"/>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097"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6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12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r>
      <w:tr w:rsidR="00913FE3" w:rsidRPr="00EC1907" w:rsidTr="00913FE3">
        <w:trPr>
          <w:trHeight w:val="302"/>
        </w:trPr>
        <w:tc>
          <w:tcPr>
            <w:tcW w:w="7033" w:type="dxa"/>
            <w:gridSpan w:val="5"/>
            <w:tcBorders>
              <w:top w:val="nil"/>
              <w:left w:val="nil"/>
              <w:bottom w:val="single" w:sz="4" w:space="0" w:color="auto"/>
              <w:right w:val="single" w:sz="4" w:space="0" w:color="000000"/>
            </w:tcBorders>
            <w:shd w:val="clear" w:color="auto" w:fill="auto"/>
            <w:noWrap/>
            <w:vAlign w:val="bottom"/>
            <w:hideMark/>
          </w:tcPr>
          <w:p w:rsidR="00913FE3" w:rsidRPr="00EC1907" w:rsidRDefault="00913FE3" w:rsidP="00913FE3">
            <w:pPr>
              <w:jc w:val="center"/>
              <w:rPr>
                <w:color w:val="000000"/>
                <w:sz w:val="22"/>
                <w:szCs w:val="22"/>
              </w:rPr>
            </w:pPr>
            <w:r w:rsidRPr="00EC1907">
              <w:rPr>
                <w:color w:val="000000"/>
                <w:sz w:val="22"/>
                <w:szCs w:val="22"/>
              </w:rPr>
              <w:t> </w:t>
            </w:r>
          </w:p>
        </w:tc>
        <w:tc>
          <w:tcPr>
            <w:tcW w:w="138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097"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6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129" w:type="dxa"/>
            <w:tcBorders>
              <w:top w:val="nil"/>
              <w:left w:val="nil"/>
              <w:bottom w:val="nil"/>
              <w:right w:val="single" w:sz="4" w:space="0" w:color="auto"/>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r>
      <w:tr w:rsidR="00913FE3" w:rsidRPr="00EC1907" w:rsidTr="00913FE3">
        <w:trPr>
          <w:trHeight w:val="302"/>
        </w:trPr>
        <w:tc>
          <w:tcPr>
            <w:tcW w:w="7033" w:type="dxa"/>
            <w:gridSpan w:val="5"/>
            <w:tcBorders>
              <w:top w:val="single" w:sz="4" w:space="0" w:color="auto"/>
              <w:left w:val="single" w:sz="4" w:space="0" w:color="auto"/>
              <w:bottom w:val="single" w:sz="4" w:space="0" w:color="auto"/>
              <w:right w:val="nil"/>
            </w:tcBorders>
            <w:shd w:val="clear" w:color="000000" w:fill="D8D8D8"/>
            <w:noWrap/>
            <w:vAlign w:val="bottom"/>
            <w:hideMark/>
          </w:tcPr>
          <w:p w:rsidR="00913FE3" w:rsidRPr="00EC1907" w:rsidRDefault="00913FE3" w:rsidP="00913FE3">
            <w:pPr>
              <w:rPr>
                <w:b/>
                <w:bCs/>
                <w:color w:val="000000"/>
                <w:sz w:val="22"/>
                <w:szCs w:val="22"/>
                <w:u w:val="single"/>
              </w:rPr>
            </w:pPr>
            <w:r w:rsidRPr="00EC1907">
              <w:rPr>
                <w:b/>
                <w:bCs/>
                <w:color w:val="000000"/>
                <w:sz w:val="22"/>
                <w:szCs w:val="22"/>
                <w:u w:val="single"/>
              </w:rPr>
              <w:t>Adjustment primarily involving the Financial Instruments Adjustment Account:</w:t>
            </w:r>
          </w:p>
        </w:tc>
        <w:tc>
          <w:tcPr>
            <w:tcW w:w="1384"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jc w:val="right"/>
              <w:rPr>
                <w:b/>
                <w:bCs/>
                <w:color w:val="000000"/>
                <w:sz w:val="22"/>
                <w:szCs w:val="22"/>
                <w:u w:val="single"/>
              </w:rPr>
            </w:pPr>
          </w:p>
        </w:tc>
        <w:tc>
          <w:tcPr>
            <w:tcW w:w="1244"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jc w:val="right"/>
              <w:rPr>
                <w:b/>
                <w:bCs/>
                <w:color w:val="000000"/>
                <w:sz w:val="22"/>
                <w:szCs w:val="22"/>
                <w:u w:val="single"/>
              </w:rPr>
            </w:pPr>
          </w:p>
        </w:tc>
        <w:tc>
          <w:tcPr>
            <w:tcW w:w="1244"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jc w:val="right"/>
              <w:rPr>
                <w:b/>
                <w:bCs/>
                <w:color w:val="000000"/>
                <w:sz w:val="22"/>
                <w:szCs w:val="22"/>
                <w:u w:val="single"/>
              </w:rPr>
            </w:pPr>
          </w:p>
        </w:tc>
        <w:tc>
          <w:tcPr>
            <w:tcW w:w="1244"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jc w:val="right"/>
              <w:rPr>
                <w:b/>
                <w:bCs/>
                <w:color w:val="000000"/>
                <w:sz w:val="22"/>
                <w:szCs w:val="22"/>
                <w:u w:val="single"/>
              </w:rPr>
            </w:pPr>
          </w:p>
        </w:tc>
        <w:tc>
          <w:tcPr>
            <w:tcW w:w="1097"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jc w:val="right"/>
              <w:rPr>
                <w:b/>
                <w:bCs/>
                <w:color w:val="000000"/>
                <w:sz w:val="22"/>
                <w:szCs w:val="22"/>
                <w:u w:val="single"/>
              </w:rPr>
            </w:pPr>
          </w:p>
        </w:tc>
        <w:tc>
          <w:tcPr>
            <w:tcW w:w="1269"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jc w:val="right"/>
              <w:rPr>
                <w:b/>
                <w:bCs/>
                <w:color w:val="000000"/>
                <w:sz w:val="22"/>
                <w:szCs w:val="22"/>
                <w:u w:val="single"/>
              </w:rPr>
            </w:pPr>
          </w:p>
        </w:tc>
        <w:tc>
          <w:tcPr>
            <w:tcW w:w="1129" w:type="dxa"/>
            <w:tcBorders>
              <w:top w:val="single" w:sz="4" w:space="0" w:color="auto"/>
              <w:left w:val="nil"/>
              <w:bottom w:val="single" w:sz="4" w:space="0" w:color="auto"/>
              <w:right w:val="single" w:sz="4" w:space="0" w:color="auto"/>
            </w:tcBorders>
            <w:shd w:val="clear" w:color="000000" w:fill="D8D8D8"/>
            <w:noWrap/>
            <w:vAlign w:val="bottom"/>
            <w:hideMark/>
          </w:tcPr>
          <w:p w:rsidR="00913FE3" w:rsidRPr="00EC1907" w:rsidRDefault="00913FE3" w:rsidP="00913FE3">
            <w:pPr>
              <w:rPr>
                <w:b/>
                <w:bCs/>
                <w:color w:val="000000"/>
                <w:sz w:val="22"/>
                <w:szCs w:val="22"/>
                <w:u w:val="single"/>
              </w:rPr>
            </w:pPr>
          </w:p>
        </w:tc>
      </w:tr>
      <w:tr w:rsidR="00913FE3" w:rsidRPr="00EC1907" w:rsidTr="00913FE3">
        <w:trPr>
          <w:trHeight w:val="603"/>
        </w:trPr>
        <w:tc>
          <w:tcPr>
            <w:tcW w:w="7033" w:type="dxa"/>
            <w:gridSpan w:val="5"/>
            <w:tcBorders>
              <w:top w:val="nil"/>
              <w:left w:val="nil"/>
              <w:bottom w:val="nil"/>
              <w:right w:val="nil"/>
            </w:tcBorders>
            <w:shd w:val="clear" w:color="auto" w:fill="auto"/>
            <w:vAlign w:val="bottom"/>
            <w:hideMark/>
          </w:tcPr>
          <w:p w:rsidR="00913FE3" w:rsidRPr="00EC1907" w:rsidRDefault="00913FE3" w:rsidP="00913FE3">
            <w:pPr>
              <w:rPr>
                <w:color w:val="000000"/>
                <w:sz w:val="22"/>
                <w:szCs w:val="22"/>
              </w:rPr>
            </w:pPr>
            <w:r w:rsidRPr="00EC1907">
              <w:rPr>
                <w:color w:val="000000"/>
                <w:sz w:val="22"/>
                <w:szCs w:val="22"/>
              </w:rPr>
              <w:t>Amount by which finance costs charged to the Comprehensive I&amp;E are different from finance costs chargeable in the year in accordance with statutory requirements</w:t>
            </w:r>
          </w:p>
        </w:tc>
        <w:tc>
          <w:tcPr>
            <w:tcW w:w="1384" w:type="dxa"/>
            <w:tcBorders>
              <w:top w:val="nil"/>
              <w:left w:val="single" w:sz="4" w:space="0" w:color="auto"/>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27,101</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097"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(27,101)</w:t>
            </w:r>
          </w:p>
        </w:tc>
        <w:tc>
          <w:tcPr>
            <w:tcW w:w="126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12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r>
      <w:tr w:rsidR="00913FE3" w:rsidRPr="00EC1907" w:rsidTr="00913FE3">
        <w:trPr>
          <w:trHeight w:val="302"/>
        </w:trPr>
        <w:tc>
          <w:tcPr>
            <w:tcW w:w="7033" w:type="dxa"/>
            <w:gridSpan w:val="5"/>
            <w:tcBorders>
              <w:top w:val="nil"/>
              <w:left w:val="nil"/>
              <w:bottom w:val="single" w:sz="4" w:space="0" w:color="auto"/>
              <w:right w:val="single" w:sz="4" w:space="0" w:color="000000"/>
            </w:tcBorders>
            <w:shd w:val="clear" w:color="auto" w:fill="auto"/>
            <w:noWrap/>
            <w:vAlign w:val="bottom"/>
            <w:hideMark/>
          </w:tcPr>
          <w:p w:rsidR="00913FE3" w:rsidRPr="00EC1907" w:rsidRDefault="00913FE3" w:rsidP="00913FE3">
            <w:pPr>
              <w:jc w:val="center"/>
              <w:rPr>
                <w:color w:val="000000"/>
                <w:sz w:val="22"/>
                <w:szCs w:val="22"/>
              </w:rPr>
            </w:pPr>
            <w:r w:rsidRPr="00EC1907">
              <w:rPr>
                <w:color w:val="000000"/>
                <w:sz w:val="22"/>
                <w:szCs w:val="22"/>
              </w:rPr>
              <w:t> </w:t>
            </w:r>
          </w:p>
        </w:tc>
        <w:tc>
          <w:tcPr>
            <w:tcW w:w="138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097"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6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129" w:type="dxa"/>
            <w:tcBorders>
              <w:top w:val="nil"/>
              <w:left w:val="nil"/>
              <w:bottom w:val="nil"/>
              <w:right w:val="single" w:sz="4" w:space="0" w:color="auto"/>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r>
      <w:tr w:rsidR="00913FE3" w:rsidRPr="00EC1907" w:rsidTr="00913FE3">
        <w:trPr>
          <w:trHeight w:val="302"/>
        </w:trPr>
        <w:tc>
          <w:tcPr>
            <w:tcW w:w="7033" w:type="dxa"/>
            <w:gridSpan w:val="5"/>
            <w:tcBorders>
              <w:top w:val="single" w:sz="4" w:space="0" w:color="auto"/>
              <w:left w:val="single" w:sz="4" w:space="0" w:color="auto"/>
              <w:bottom w:val="single" w:sz="4" w:space="0" w:color="auto"/>
              <w:right w:val="nil"/>
            </w:tcBorders>
            <w:shd w:val="clear" w:color="000000" w:fill="D8D8D8"/>
            <w:noWrap/>
            <w:vAlign w:val="bottom"/>
            <w:hideMark/>
          </w:tcPr>
          <w:p w:rsidR="00913FE3" w:rsidRPr="00EC1907" w:rsidRDefault="00913FE3" w:rsidP="00913FE3">
            <w:pPr>
              <w:rPr>
                <w:b/>
                <w:bCs/>
                <w:color w:val="000000"/>
                <w:sz w:val="22"/>
                <w:szCs w:val="22"/>
                <w:u w:val="single"/>
              </w:rPr>
            </w:pPr>
            <w:r w:rsidRPr="00EC1907">
              <w:rPr>
                <w:b/>
                <w:bCs/>
                <w:color w:val="000000"/>
                <w:sz w:val="22"/>
                <w:szCs w:val="22"/>
                <w:u w:val="single"/>
              </w:rPr>
              <w:t>Adjustments primarily involving the Pensions Reserve</w:t>
            </w:r>
          </w:p>
        </w:tc>
        <w:tc>
          <w:tcPr>
            <w:tcW w:w="1384"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jc w:val="right"/>
              <w:rPr>
                <w:b/>
                <w:bCs/>
                <w:color w:val="000000"/>
                <w:sz w:val="22"/>
                <w:szCs w:val="22"/>
                <w:u w:val="single"/>
              </w:rPr>
            </w:pPr>
          </w:p>
        </w:tc>
        <w:tc>
          <w:tcPr>
            <w:tcW w:w="1244"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jc w:val="right"/>
              <w:rPr>
                <w:b/>
                <w:bCs/>
                <w:color w:val="000000"/>
                <w:sz w:val="22"/>
                <w:szCs w:val="22"/>
                <w:u w:val="single"/>
              </w:rPr>
            </w:pPr>
          </w:p>
        </w:tc>
        <w:tc>
          <w:tcPr>
            <w:tcW w:w="1244"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jc w:val="right"/>
              <w:rPr>
                <w:b/>
                <w:bCs/>
                <w:color w:val="000000"/>
                <w:sz w:val="22"/>
                <w:szCs w:val="22"/>
                <w:u w:val="single"/>
              </w:rPr>
            </w:pPr>
          </w:p>
        </w:tc>
        <w:tc>
          <w:tcPr>
            <w:tcW w:w="1244"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jc w:val="right"/>
              <w:rPr>
                <w:b/>
                <w:bCs/>
                <w:color w:val="000000"/>
                <w:sz w:val="22"/>
                <w:szCs w:val="22"/>
                <w:u w:val="single"/>
              </w:rPr>
            </w:pPr>
          </w:p>
        </w:tc>
        <w:tc>
          <w:tcPr>
            <w:tcW w:w="1097"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jc w:val="right"/>
              <w:rPr>
                <w:b/>
                <w:bCs/>
                <w:color w:val="000000"/>
                <w:sz w:val="22"/>
                <w:szCs w:val="22"/>
                <w:u w:val="single"/>
              </w:rPr>
            </w:pPr>
          </w:p>
        </w:tc>
        <w:tc>
          <w:tcPr>
            <w:tcW w:w="1269"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jc w:val="right"/>
              <w:rPr>
                <w:b/>
                <w:bCs/>
                <w:color w:val="000000"/>
                <w:sz w:val="22"/>
                <w:szCs w:val="22"/>
                <w:u w:val="single"/>
              </w:rPr>
            </w:pPr>
          </w:p>
        </w:tc>
        <w:tc>
          <w:tcPr>
            <w:tcW w:w="1129" w:type="dxa"/>
            <w:tcBorders>
              <w:top w:val="single" w:sz="4" w:space="0" w:color="auto"/>
              <w:left w:val="nil"/>
              <w:bottom w:val="single" w:sz="4" w:space="0" w:color="auto"/>
              <w:right w:val="single" w:sz="4" w:space="0" w:color="auto"/>
            </w:tcBorders>
            <w:shd w:val="clear" w:color="000000" w:fill="D8D8D8"/>
            <w:noWrap/>
            <w:vAlign w:val="bottom"/>
            <w:hideMark/>
          </w:tcPr>
          <w:p w:rsidR="00913FE3" w:rsidRPr="00EC1907" w:rsidRDefault="00913FE3" w:rsidP="00913FE3">
            <w:pPr>
              <w:rPr>
                <w:b/>
                <w:bCs/>
                <w:color w:val="000000"/>
                <w:sz w:val="22"/>
                <w:szCs w:val="22"/>
                <w:u w:val="single"/>
              </w:rPr>
            </w:pPr>
          </w:p>
        </w:tc>
      </w:tr>
      <w:tr w:rsidR="00913FE3" w:rsidRPr="00EC1907" w:rsidTr="00913FE3">
        <w:trPr>
          <w:trHeight w:val="603"/>
        </w:trPr>
        <w:tc>
          <w:tcPr>
            <w:tcW w:w="7033" w:type="dxa"/>
            <w:gridSpan w:val="5"/>
            <w:tcBorders>
              <w:top w:val="nil"/>
              <w:left w:val="nil"/>
              <w:bottom w:val="nil"/>
              <w:right w:val="nil"/>
            </w:tcBorders>
            <w:shd w:val="clear" w:color="auto" w:fill="auto"/>
            <w:vAlign w:val="bottom"/>
            <w:hideMark/>
          </w:tcPr>
          <w:p w:rsidR="00913FE3" w:rsidRPr="00EC1907" w:rsidRDefault="00913FE3" w:rsidP="00913FE3">
            <w:pPr>
              <w:rPr>
                <w:color w:val="000000"/>
                <w:sz w:val="22"/>
                <w:szCs w:val="22"/>
              </w:rPr>
            </w:pPr>
            <w:r w:rsidRPr="00EC1907">
              <w:rPr>
                <w:color w:val="000000"/>
                <w:sz w:val="22"/>
                <w:szCs w:val="22"/>
              </w:rPr>
              <w:t>Reversal of items related to retirement benefits debited or credited to the Comprehensive I&amp;E (see note 67)</w:t>
            </w:r>
          </w:p>
        </w:tc>
        <w:tc>
          <w:tcPr>
            <w:tcW w:w="1384" w:type="dxa"/>
            <w:tcBorders>
              <w:top w:val="nil"/>
              <w:left w:val="single" w:sz="4" w:space="0" w:color="auto"/>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(29,682)</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097"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6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29,682</w:t>
            </w:r>
          </w:p>
        </w:tc>
        <w:tc>
          <w:tcPr>
            <w:tcW w:w="112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r>
      <w:tr w:rsidR="00913FE3" w:rsidRPr="00EC1907" w:rsidTr="00913FE3">
        <w:trPr>
          <w:trHeight w:val="302"/>
        </w:trPr>
        <w:tc>
          <w:tcPr>
            <w:tcW w:w="7033" w:type="dxa"/>
            <w:gridSpan w:val="5"/>
            <w:tcBorders>
              <w:top w:val="nil"/>
              <w:left w:val="nil"/>
              <w:bottom w:val="nil"/>
              <w:right w:val="nil"/>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Employers pensions contributions and direct payments to pensioners payable in the year</w:t>
            </w:r>
          </w:p>
        </w:tc>
        <w:tc>
          <w:tcPr>
            <w:tcW w:w="1384" w:type="dxa"/>
            <w:tcBorders>
              <w:top w:val="nil"/>
              <w:left w:val="single" w:sz="4" w:space="0" w:color="auto"/>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(86,474)</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097"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6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86,474</w:t>
            </w:r>
          </w:p>
        </w:tc>
        <w:tc>
          <w:tcPr>
            <w:tcW w:w="112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r>
      <w:tr w:rsidR="00913FE3" w:rsidRPr="00EC1907" w:rsidTr="00913FE3">
        <w:trPr>
          <w:trHeight w:val="302"/>
        </w:trPr>
        <w:tc>
          <w:tcPr>
            <w:tcW w:w="7033" w:type="dxa"/>
            <w:gridSpan w:val="5"/>
            <w:tcBorders>
              <w:top w:val="nil"/>
              <w:left w:val="nil"/>
              <w:bottom w:val="single" w:sz="4" w:space="0" w:color="auto"/>
              <w:right w:val="single" w:sz="4" w:space="0" w:color="000000"/>
            </w:tcBorders>
            <w:shd w:val="clear" w:color="auto" w:fill="auto"/>
            <w:noWrap/>
            <w:vAlign w:val="bottom"/>
            <w:hideMark/>
          </w:tcPr>
          <w:p w:rsidR="00913FE3" w:rsidRPr="00EC1907" w:rsidRDefault="00913FE3" w:rsidP="00913FE3">
            <w:pPr>
              <w:rPr>
                <w:b/>
                <w:bCs/>
                <w:color w:val="000000"/>
                <w:sz w:val="22"/>
                <w:szCs w:val="22"/>
                <w:u w:val="single"/>
              </w:rPr>
            </w:pPr>
            <w:r w:rsidRPr="00EC1907">
              <w:rPr>
                <w:b/>
                <w:bCs/>
                <w:color w:val="000000"/>
                <w:sz w:val="22"/>
                <w:szCs w:val="22"/>
                <w:u w:val="single"/>
              </w:rPr>
              <w:t> </w:t>
            </w:r>
          </w:p>
        </w:tc>
        <w:tc>
          <w:tcPr>
            <w:tcW w:w="138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097"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6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12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r>
      <w:tr w:rsidR="00913FE3" w:rsidRPr="00EC1907" w:rsidTr="00913FE3">
        <w:trPr>
          <w:trHeight w:val="302"/>
        </w:trPr>
        <w:tc>
          <w:tcPr>
            <w:tcW w:w="7033" w:type="dxa"/>
            <w:gridSpan w:val="5"/>
            <w:tcBorders>
              <w:top w:val="single" w:sz="4" w:space="0" w:color="auto"/>
              <w:left w:val="single" w:sz="4" w:space="0" w:color="auto"/>
              <w:bottom w:val="single" w:sz="4" w:space="0" w:color="auto"/>
              <w:right w:val="nil"/>
            </w:tcBorders>
            <w:shd w:val="clear" w:color="000000" w:fill="D8D8D8"/>
            <w:noWrap/>
            <w:vAlign w:val="bottom"/>
            <w:hideMark/>
          </w:tcPr>
          <w:p w:rsidR="00913FE3" w:rsidRPr="00EC1907" w:rsidRDefault="00913FE3" w:rsidP="00913FE3">
            <w:pPr>
              <w:rPr>
                <w:b/>
                <w:bCs/>
                <w:color w:val="000000"/>
                <w:sz w:val="22"/>
                <w:szCs w:val="22"/>
                <w:u w:val="single"/>
              </w:rPr>
            </w:pPr>
            <w:r w:rsidRPr="00EC1907">
              <w:rPr>
                <w:b/>
                <w:bCs/>
                <w:color w:val="000000"/>
                <w:sz w:val="22"/>
                <w:szCs w:val="22"/>
                <w:u w:val="single"/>
              </w:rPr>
              <w:t xml:space="preserve">Adjustments primarily involving the Collection Fund Adjustment </w:t>
            </w:r>
            <w:r w:rsidRPr="00EC1907">
              <w:rPr>
                <w:b/>
                <w:bCs/>
                <w:color w:val="000000"/>
                <w:sz w:val="22"/>
                <w:szCs w:val="22"/>
                <w:u w:val="single"/>
              </w:rPr>
              <w:lastRenderedPageBreak/>
              <w:t>Account:</w:t>
            </w:r>
          </w:p>
        </w:tc>
        <w:tc>
          <w:tcPr>
            <w:tcW w:w="1384"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jc w:val="right"/>
              <w:rPr>
                <w:b/>
                <w:bCs/>
                <w:color w:val="000000"/>
                <w:sz w:val="22"/>
                <w:szCs w:val="22"/>
                <w:u w:val="single"/>
              </w:rPr>
            </w:pPr>
          </w:p>
        </w:tc>
        <w:tc>
          <w:tcPr>
            <w:tcW w:w="1244"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jc w:val="right"/>
              <w:rPr>
                <w:b/>
                <w:bCs/>
                <w:color w:val="000000"/>
                <w:sz w:val="22"/>
                <w:szCs w:val="22"/>
                <w:u w:val="single"/>
              </w:rPr>
            </w:pPr>
          </w:p>
        </w:tc>
        <w:tc>
          <w:tcPr>
            <w:tcW w:w="1244"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jc w:val="right"/>
              <w:rPr>
                <w:b/>
                <w:bCs/>
                <w:color w:val="000000"/>
                <w:sz w:val="22"/>
                <w:szCs w:val="22"/>
                <w:u w:val="single"/>
              </w:rPr>
            </w:pPr>
          </w:p>
        </w:tc>
        <w:tc>
          <w:tcPr>
            <w:tcW w:w="1244"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jc w:val="right"/>
              <w:rPr>
                <w:b/>
                <w:bCs/>
                <w:color w:val="000000"/>
                <w:sz w:val="22"/>
                <w:szCs w:val="22"/>
                <w:u w:val="single"/>
              </w:rPr>
            </w:pPr>
          </w:p>
        </w:tc>
        <w:tc>
          <w:tcPr>
            <w:tcW w:w="1097"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jc w:val="right"/>
              <w:rPr>
                <w:b/>
                <w:bCs/>
                <w:color w:val="000000"/>
                <w:sz w:val="22"/>
                <w:szCs w:val="22"/>
                <w:u w:val="single"/>
              </w:rPr>
            </w:pPr>
          </w:p>
        </w:tc>
        <w:tc>
          <w:tcPr>
            <w:tcW w:w="1269"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jc w:val="right"/>
              <w:rPr>
                <w:b/>
                <w:bCs/>
                <w:color w:val="000000"/>
                <w:sz w:val="22"/>
                <w:szCs w:val="22"/>
                <w:u w:val="single"/>
              </w:rPr>
            </w:pPr>
          </w:p>
        </w:tc>
        <w:tc>
          <w:tcPr>
            <w:tcW w:w="1129" w:type="dxa"/>
            <w:tcBorders>
              <w:top w:val="single" w:sz="4" w:space="0" w:color="auto"/>
              <w:left w:val="nil"/>
              <w:bottom w:val="single" w:sz="4" w:space="0" w:color="auto"/>
              <w:right w:val="single" w:sz="4" w:space="0" w:color="auto"/>
            </w:tcBorders>
            <w:shd w:val="clear" w:color="000000" w:fill="D8D8D8"/>
            <w:noWrap/>
            <w:vAlign w:val="bottom"/>
            <w:hideMark/>
          </w:tcPr>
          <w:p w:rsidR="00913FE3" w:rsidRPr="00EC1907" w:rsidRDefault="00913FE3" w:rsidP="00913FE3">
            <w:pPr>
              <w:jc w:val="right"/>
              <w:rPr>
                <w:b/>
                <w:bCs/>
                <w:color w:val="000000"/>
                <w:sz w:val="22"/>
                <w:szCs w:val="22"/>
                <w:u w:val="single"/>
              </w:rPr>
            </w:pPr>
          </w:p>
        </w:tc>
      </w:tr>
      <w:tr w:rsidR="00913FE3" w:rsidRPr="00EC1907" w:rsidTr="00913FE3">
        <w:trPr>
          <w:trHeight w:val="603"/>
        </w:trPr>
        <w:tc>
          <w:tcPr>
            <w:tcW w:w="7033" w:type="dxa"/>
            <w:gridSpan w:val="5"/>
            <w:tcBorders>
              <w:top w:val="nil"/>
              <w:left w:val="nil"/>
              <w:bottom w:val="nil"/>
              <w:right w:val="nil"/>
            </w:tcBorders>
            <w:shd w:val="clear" w:color="auto" w:fill="auto"/>
            <w:vAlign w:val="bottom"/>
            <w:hideMark/>
          </w:tcPr>
          <w:p w:rsidR="00913FE3" w:rsidRPr="00EC1907" w:rsidRDefault="00913FE3" w:rsidP="00913FE3">
            <w:pPr>
              <w:rPr>
                <w:color w:val="000000"/>
                <w:sz w:val="22"/>
                <w:szCs w:val="22"/>
              </w:rPr>
            </w:pPr>
            <w:r w:rsidRPr="00EC1907">
              <w:rPr>
                <w:color w:val="000000"/>
                <w:sz w:val="22"/>
                <w:szCs w:val="22"/>
              </w:rPr>
              <w:lastRenderedPageBreak/>
              <w:t>Amount by which Council Tax income credited to the I&amp;E is different from Council Tax income calculated for the year in accordance with statutory requirements</w:t>
            </w:r>
          </w:p>
        </w:tc>
        <w:tc>
          <w:tcPr>
            <w:tcW w:w="1384" w:type="dxa"/>
            <w:tcBorders>
              <w:top w:val="nil"/>
              <w:left w:val="single" w:sz="4" w:space="0" w:color="auto"/>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(2,425)</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097"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6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12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2,425</w:t>
            </w:r>
          </w:p>
        </w:tc>
      </w:tr>
      <w:tr w:rsidR="00913FE3" w:rsidRPr="00EC1907" w:rsidTr="00913FE3">
        <w:trPr>
          <w:trHeight w:val="302"/>
        </w:trPr>
        <w:tc>
          <w:tcPr>
            <w:tcW w:w="7033" w:type="dxa"/>
            <w:gridSpan w:val="5"/>
            <w:tcBorders>
              <w:top w:val="nil"/>
              <w:left w:val="nil"/>
              <w:bottom w:val="single" w:sz="4" w:space="0" w:color="auto"/>
              <w:right w:val="single" w:sz="4" w:space="0" w:color="000000"/>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 </w:t>
            </w:r>
          </w:p>
        </w:tc>
        <w:tc>
          <w:tcPr>
            <w:tcW w:w="138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097"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6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129" w:type="dxa"/>
            <w:tcBorders>
              <w:top w:val="nil"/>
              <w:left w:val="nil"/>
              <w:bottom w:val="nil"/>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r>
      <w:tr w:rsidR="00913FE3" w:rsidRPr="00EC1907" w:rsidTr="00913FE3">
        <w:trPr>
          <w:trHeight w:val="302"/>
        </w:trPr>
        <w:tc>
          <w:tcPr>
            <w:tcW w:w="7033" w:type="dxa"/>
            <w:gridSpan w:val="5"/>
            <w:tcBorders>
              <w:top w:val="single" w:sz="4" w:space="0" w:color="auto"/>
              <w:left w:val="single" w:sz="4" w:space="0" w:color="auto"/>
              <w:bottom w:val="single" w:sz="4" w:space="0" w:color="auto"/>
              <w:right w:val="nil"/>
            </w:tcBorders>
            <w:shd w:val="clear" w:color="000000" w:fill="D8D8D8"/>
            <w:noWrap/>
            <w:vAlign w:val="bottom"/>
            <w:hideMark/>
          </w:tcPr>
          <w:p w:rsidR="00913FE3" w:rsidRPr="00EC1907" w:rsidRDefault="00913FE3" w:rsidP="00913FE3">
            <w:pPr>
              <w:rPr>
                <w:b/>
                <w:bCs/>
                <w:color w:val="000000"/>
                <w:sz w:val="22"/>
                <w:szCs w:val="22"/>
                <w:u w:val="single"/>
              </w:rPr>
            </w:pPr>
            <w:r w:rsidRPr="00EC1907">
              <w:rPr>
                <w:b/>
                <w:bCs/>
                <w:color w:val="000000"/>
                <w:sz w:val="22"/>
                <w:szCs w:val="22"/>
                <w:u w:val="single"/>
              </w:rPr>
              <w:t>Adjustments primarily involving the Accumulated Absences Account:</w:t>
            </w:r>
          </w:p>
        </w:tc>
        <w:tc>
          <w:tcPr>
            <w:tcW w:w="1384"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jc w:val="right"/>
              <w:rPr>
                <w:b/>
                <w:bCs/>
                <w:color w:val="000000"/>
                <w:sz w:val="22"/>
                <w:szCs w:val="22"/>
                <w:u w:val="single"/>
              </w:rPr>
            </w:pPr>
          </w:p>
        </w:tc>
        <w:tc>
          <w:tcPr>
            <w:tcW w:w="1244"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jc w:val="right"/>
              <w:rPr>
                <w:b/>
                <w:bCs/>
                <w:color w:val="000000"/>
                <w:sz w:val="22"/>
                <w:szCs w:val="22"/>
                <w:u w:val="single"/>
              </w:rPr>
            </w:pPr>
          </w:p>
        </w:tc>
        <w:tc>
          <w:tcPr>
            <w:tcW w:w="1244"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jc w:val="right"/>
              <w:rPr>
                <w:b/>
                <w:bCs/>
                <w:color w:val="000000"/>
                <w:sz w:val="22"/>
                <w:szCs w:val="22"/>
                <w:u w:val="single"/>
              </w:rPr>
            </w:pPr>
          </w:p>
        </w:tc>
        <w:tc>
          <w:tcPr>
            <w:tcW w:w="1244"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jc w:val="right"/>
              <w:rPr>
                <w:b/>
                <w:bCs/>
                <w:color w:val="000000"/>
                <w:sz w:val="22"/>
                <w:szCs w:val="22"/>
                <w:u w:val="single"/>
              </w:rPr>
            </w:pPr>
          </w:p>
        </w:tc>
        <w:tc>
          <w:tcPr>
            <w:tcW w:w="1097"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jc w:val="right"/>
              <w:rPr>
                <w:b/>
                <w:bCs/>
                <w:color w:val="000000"/>
                <w:sz w:val="22"/>
                <w:szCs w:val="22"/>
                <w:u w:val="single"/>
              </w:rPr>
            </w:pPr>
          </w:p>
        </w:tc>
        <w:tc>
          <w:tcPr>
            <w:tcW w:w="1269" w:type="dxa"/>
            <w:tcBorders>
              <w:top w:val="single" w:sz="4" w:space="0" w:color="auto"/>
              <w:left w:val="nil"/>
              <w:bottom w:val="single" w:sz="4" w:space="0" w:color="auto"/>
              <w:right w:val="nil"/>
            </w:tcBorders>
            <w:shd w:val="clear" w:color="000000" w:fill="D8D8D8"/>
            <w:noWrap/>
            <w:vAlign w:val="bottom"/>
            <w:hideMark/>
          </w:tcPr>
          <w:p w:rsidR="00913FE3" w:rsidRPr="00EC1907" w:rsidRDefault="00913FE3" w:rsidP="00913FE3">
            <w:pPr>
              <w:jc w:val="right"/>
              <w:rPr>
                <w:b/>
                <w:bCs/>
                <w:color w:val="000000"/>
                <w:sz w:val="22"/>
                <w:szCs w:val="22"/>
                <w:u w:val="single"/>
              </w:rPr>
            </w:pPr>
          </w:p>
        </w:tc>
        <w:tc>
          <w:tcPr>
            <w:tcW w:w="1129" w:type="dxa"/>
            <w:tcBorders>
              <w:top w:val="single" w:sz="4" w:space="0" w:color="auto"/>
              <w:left w:val="nil"/>
              <w:bottom w:val="single" w:sz="4" w:space="0" w:color="auto"/>
              <w:right w:val="single" w:sz="4" w:space="0" w:color="auto"/>
            </w:tcBorders>
            <w:shd w:val="clear" w:color="000000" w:fill="D8D8D8"/>
            <w:noWrap/>
            <w:vAlign w:val="bottom"/>
            <w:hideMark/>
          </w:tcPr>
          <w:p w:rsidR="00913FE3" w:rsidRPr="00EC1907" w:rsidRDefault="00913FE3" w:rsidP="00913FE3">
            <w:pPr>
              <w:jc w:val="right"/>
              <w:rPr>
                <w:b/>
                <w:bCs/>
                <w:color w:val="000000"/>
                <w:sz w:val="22"/>
                <w:szCs w:val="22"/>
                <w:u w:val="single"/>
              </w:rPr>
            </w:pPr>
          </w:p>
        </w:tc>
      </w:tr>
      <w:tr w:rsidR="00913FE3" w:rsidRPr="00EC1907" w:rsidTr="00913FE3">
        <w:trPr>
          <w:trHeight w:val="603"/>
        </w:trPr>
        <w:tc>
          <w:tcPr>
            <w:tcW w:w="703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913FE3" w:rsidRPr="00EC1907" w:rsidRDefault="00913FE3" w:rsidP="00913FE3">
            <w:pPr>
              <w:rPr>
                <w:color w:val="000000"/>
                <w:sz w:val="22"/>
                <w:szCs w:val="22"/>
              </w:rPr>
            </w:pPr>
            <w:r w:rsidRPr="00EC1907">
              <w:rPr>
                <w:color w:val="000000"/>
                <w:sz w:val="22"/>
                <w:szCs w:val="22"/>
              </w:rPr>
              <w:t>Amount by which officer remuneration charged to the I&amp;E on an accruals basis is different from remuneration chargeable in the year in accordance with statutory requirements</w:t>
            </w:r>
          </w:p>
        </w:tc>
        <w:tc>
          <w:tcPr>
            <w:tcW w:w="1384" w:type="dxa"/>
            <w:tcBorders>
              <w:top w:val="nil"/>
              <w:left w:val="nil"/>
              <w:bottom w:val="single" w:sz="4" w:space="0" w:color="auto"/>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(9,101)</w:t>
            </w:r>
          </w:p>
        </w:tc>
        <w:tc>
          <w:tcPr>
            <w:tcW w:w="1244" w:type="dxa"/>
            <w:tcBorders>
              <w:top w:val="nil"/>
              <w:left w:val="nil"/>
              <w:bottom w:val="single" w:sz="4" w:space="0" w:color="auto"/>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269" w:type="dxa"/>
            <w:tcBorders>
              <w:top w:val="nil"/>
              <w:left w:val="nil"/>
              <w:bottom w:val="single" w:sz="4" w:space="0" w:color="auto"/>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w:t>
            </w:r>
          </w:p>
        </w:tc>
        <w:tc>
          <w:tcPr>
            <w:tcW w:w="1129" w:type="dxa"/>
            <w:tcBorders>
              <w:top w:val="nil"/>
              <w:left w:val="nil"/>
              <w:bottom w:val="single" w:sz="4" w:space="0" w:color="auto"/>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 9,101</w:t>
            </w:r>
          </w:p>
        </w:tc>
      </w:tr>
      <w:tr w:rsidR="00913FE3" w:rsidRPr="00EC1907" w:rsidTr="00913FE3">
        <w:trPr>
          <w:trHeight w:val="199"/>
        </w:trPr>
        <w:tc>
          <w:tcPr>
            <w:tcW w:w="7033" w:type="dxa"/>
            <w:gridSpan w:val="5"/>
            <w:tcBorders>
              <w:top w:val="single" w:sz="4" w:space="0" w:color="auto"/>
              <w:left w:val="single" w:sz="4" w:space="0" w:color="auto"/>
              <w:bottom w:val="single" w:sz="4" w:space="0" w:color="auto"/>
              <w:right w:val="single" w:sz="4" w:space="0" w:color="000000"/>
            </w:tcBorders>
            <w:shd w:val="clear" w:color="auto" w:fill="BFBFBF"/>
            <w:vAlign w:val="bottom"/>
            <w:hideMark/>
          </w:tcPr>
          <w:p w:rsidR="00913FE3" w:rsidRPr="00EC1907" w:rsidRDefault="00913FE3" w:rsidP="00913FE3">
            <w:pPr>
              <w:rPr>
                <w:b/>
                <w:color w:val="000000"/>
                <w:sz w:val="22"/>
                <w:szCs w:val="22"/>
                <w:u w:val="single"/>
              </w:rPr>
            </w:pPr>
            <w:r w:rsidRPr="00EC1907">
              <w:rPr>
                <w:b/>
                <w:color w:val="000000"/>
                <w:sz w:val="22"/>
                <w:szCs w:val="22"/>
                <w:u w:val="single"/>
              </w:rPr>
              <w:t>Other Adjustments Include:</w:t>
            </w:r>
          </w:p>
        </w:tc>
        <w:tc>
          <w:tcPr>
            <w:tcW w:w="1384" w:type="dxa"/>
            <w:tcBorders>
              <w:top w:val="nil"/>
              <w:left w:val="nil"/>
              <w:bottom w:val="single" w:sz="4" w:space="0" w:color="auto"/>
              <w:right w:val="single" w:sz="4" w:space="0" w:color="auto"/>
            </w:tcBorders>
            <w:shd w:val="clear" w:color="auto" w:fill="BFBFBF"/>
            <w:noWrap/>
            <w:vAlign w:val="bottom"/>
            <w:hideMark/>
          </w:tcPr>
          <w:p w:rsidR="00913FE3" w:rsidRPr="00EC1907" w:rsidRDefault="00913FE3" w:rsidP="00913FE3">
            <w:pPr>
              <w:jc w:val="right"/>
              <w:rPr>
                <w:color w:val="000000"/>
                <w:sz w:val="22"/>
                <w:szCs w:val="22"/>
              </w:rPr>
            </w:pPr>
          </w:p>
        </w:tc>
        <w:tc>
          <w:tcPr>
            <w:tcW w:w="1244" w:type="dxa"/>
            <w:tcBorders>
              <w:top w:val="nil"/>
              <w:left w:val="nil"/>
              <w:bottom w:val="single" w:sz="4" w:space="0" w:color="auto"/>
              <w:right w:val="single" w:sz="4" w:space="0" w:color="auto"/>
            </w:tcBorders>
            <w:shd w:val="clear" w:color="auto" w:fill="BFBFBF"/>
            <w:noWrap/>
            <w:vAlign w:val="bottom"/>
            <w:hideMark/>
          </w:tcPr>
          <w:p w:rsidR="00913FE3" w:rsidRPr="00EC1907" w:rsidRDefault="00913FE3" w:rsidP="00913FE3">
            <w:pPr>
              <w:jc w:val="right"/>
              <w:rPr>
                <w:color w:val="000000"/>
                <w:sz w:val="22"/>
                <w:szCs w:val="22"/>
              </w:rPr>
            </w:pPr>
          </w:p>
        </w:tc>
        <w:tc>
          <w:tcPr>
            <w:tcW w:w="1244" w:type="dxa"/>
            <w:tcBorders>
              <w:top w:val="nil"/>
              <w:left w:val="nil"/>
              <w:bottom w:val="single" w:sz="4" w:space="0" w:color="auto"/>
              <w:right w:val="single" w:sz="4" w:space="0" w:color="auto"/>
            </w:tcBorders>
            <w:shd w:val="clear" w:color="auto" w:fill="BFBFBF"/>
            <w:noWrap/>
            <w:vAlign w:val="bottom"/>
            <w:hideMark/>
          </w:tcPr>
          <w:p w:rsidR="00913FE3" w:rsidRPr="00EC1907" w:rsidRDefault="00913FE3" w:rsidP="00913FE3">
            <w:pPr>
              <w:jc w:val="right"/>
              <w:rPr>
                <w:color w:val="000000"/>
                <w:sz w:val="22"/>
                <w:szCs w:val="22"/>
              </w:rPr>
            </w:pPr>
          </w:p>
        </w:tc>
        <w:tc>
          <w:tcPr>
            <w:tcW w:w="1244" w:type="dxa"/>
            <w:tcBorders>
              <w:top w:val="nil"/>
              <w:left w:val="nil"/>
              <w:bottom w:val="single" w:sz="4" w:space="0" w:color="auto"/>
              <w:right w:val="single" w:sz="4" w:space="0" w:color="auto"/>
            </w:tcBorders>
            <w:shd w:val="clear" w:color="auto" w:fill="BFBFBF"/>
            <w:noWrap/>
            <w:vAlign w:val="bottom"/>
            <w:hideMark/>
          </w:tcPr>
          <w:p w:rsidR="00913FE3" w:rsidRPr="00EC1907" w:rsidRDefault="00913FE3" w:rsidP="00913FE3">
            <w:pPr>
              <w:jc w:val="right"/>
              <w:rPr>
                <w:color w:val="000000"/>
                <w:sz w:val="22"/>
                <w:szCs w:val="22"/>
              </w:rPr>
            </w:pPr>
          </w:p>
        </w:tc>
        <w:tc>
          <w:tcPr>
            <w:tcW w:w="1097" w:type="dxa"/>
            <w:tcBorders>
              <w:top w:val="nil"/>
              <w:left w:val="nil"/>
              <w:bottom w:val="single" w:sz="4" w:space="0" w:color="auto"/>
              <w:right w:val="single" w:sz="4" w:space="0" w:color="auto"/>
            </w:tcBorders>
            <w:shd w:val="clear" w:color="auto" w:fill="BFBFBF"/>
            <w:noWrap/>
            <w:vAlign w:val="bottom"/>
            <w:hideMark/>
          </w:tcPr>
          <w:p w:rsidR="00913FE3" w:rsidRPr="00EC1907" w:rsidRDefault="00913FE3" w:rsidP="00913FE3">
            <w:pPr>
              <w:jc w:val="right"/>
              <w:rPr>
                <w:color w:val="000000"/>
                <w:sz w:val="22"/>
                <w:szCs w:val="22"/>
              </w:rPr>
            </w:pPr>
          </w:p>
        </w:tc>
        <w:tc>
          <w:tcPr>
            <w:tcW w:w="1269" w:type="dxa"/>
            <w:tcBorders>
              <w:top w:val="nil"/>
              <w:left w:val="nil"/>
              <w:bottom w:val="single" w:sz="4" w:space="0" w:color="auto"/>
              <w:right w:val="single" w:sz="4" w:space="0" w:color="auto"/>
            </w:tcBorders>
            <w:shd w:val="clear" w:color="auto" w:fill="BFBFBF"/>
            <w:noWrap/>
            <w:vAlign w:val="bottom"/>
            <w:hideMark/>
          </w:tcPr>
          <w:p w:rsidR="00913FE3" w:rsidRPr="00EC1907" w:rsidRDefault="00913FE3" w:rsidP="00913FE3">
            <w:pPr>
              <w:jc w:val="right"/>
              <w:rPr>
                <w:color w:val="000000"/>
                <w:sz w:val="22"/>
                <w:szCs w:val="22"/>
              </w:rPr>
            </w:pPr>
          </w:p>
        </w:tc>
        <w:tc>
          <w:tcPr>
            <w:tcW w:w="1129" w:type="dxa"/>
            <w:tcBorders>
              <w:top w:val="nil"/>
              <w:left w:val="nil"/>
              <w:bottom w:val="single" w:sz="4" w:space="0" w:color="auto"/>
              <w:right w:val="single" w:sz="4" w:space="0" w:color="auto"/>
            </w:tcBorders>
            <w:shd w:val="clear" w:color="auto" w:fill="BFBFBF"/>
            <w:noWrap/>
            <w:vAlign w:val="bottom"/>
            <w:hideMark/>
          </w:tcPr>
          <w:p w:rsidR="00913FE3" w:rsidRPr="00EC1907" w:rsidRDefault="00913FE3" w:rsidP="00913FE3">
            <w:pPr>
              <w:jc w:val="right"/>
              <w:rPr>
                <w:color w:val="000000"/>
                <w:sz w:val="22"/>
                <w:szCs w:val="22"/>
              </w:rPr>
            </w:pPr>
          </w:p>
        </w:tc>
      </w:tr>
      <w:tr w:rsidR="00913FE3" w:rsidRPr="00EC1907" w:rsidTr="00913FE3">
        <w:trPr>
          <w:trHeight w:val="218"/>
        </w:trPr>
        <w:tc>
          <w:tcPr>
            <w:tcW w:w="7033" w:type="dxa"/>
            <w:gridSpan w:val="5"/>
            <w:tcBorders>
              <w:top w:val="single" w:sz="4" w:space="0" w:color="auto"/>
              <w:left w:val="single" w:sz="4" w:space="0" w:color="auto"/>
              <w:bottom w:val="single" w:sz="4" w:space="0" w:color="auto"/>
              <w:right w:val="single" w:sz="4" w:space="0" w:color="000000"/>
            </w:tcBorders>
            <w:shd w:val="clear" w:color="auto" w:fill="BFBFBF"/>
            <w:vAlign w:val="bottom"/>
            <w:hideMark/>
          </w:tcPr>
          <w:p w:rsidR="00913FE3" w:rsidRPr="00EC1907" w:rsidRDefault="00913FE3" w:rsidP="00913FE3">
            <w:pPr>
              <w:rPr>
                <w:b/>
                <w:color w:val="000000"/>
                <w:sz w:val="22"/>
                <w:szCs w:val="22"/>
              </w:rPr>
            </w:pPr>
            <w:r w:rsidRPr="00EC1907">
              <w:rPr>
                <w:b/>
                <w:color w:val="000000"/>
                <w:sz w:val="22"/>
                <w:szCs w:val="22"/>
              </w:rPr>
              <w:t>Revaluation Reserve:</w:t>
            </w:r>
          </w:p>
        </w:tc>
        <w:tc>
          <w:tcPr>
            <w:tcW w:w="1384" w:type="dxa"/>
            <w:tcBorders>
              <w:top w:val="nil"/>
              <w:left w:val="nil"/>
              <w:bottom w:val="single" w:sz="4" w:space="0" w:color="auto"/>
              <w:right w:val="single" w:sz="4" w:space="0" w:color="auto"/>
            </w:tcBorders>
            <w:shd w:val="clear" w:color="auto" w:fill="BFBFBF"/>
            <w:noWrap/>
            <w:vAlign w:val="bottom"/>
            <w:hideMark/>
          </w:tcPr>
          <w:p w:rsidR="00913FE3" w:rsidRPr="00EC1907" w:rsidRDefault="00913FE3" w:rsidP="00913FE3">
            <w:pPr>
              <w:jc w:val="right"/>
              <w:rPr>
                <w:color w:val="000000"/>
                <w:sz w:val="22"/>
                <w:szCs w:val="22"/>
              </w:rPr>
            </w:pPr>
          </w:p>
        </w:tc>
        <w:tc>
          <w:tcPr>
            <w:tcW w:w="1244" w:type="dxa"/>
            <w:tcBorders>
              <w:top w:val="nil"/>
              <w:left w:val="nil"/>
              <w:bottom w:val="single" w:sz="4" w:space="0" w:color="auto"/>
              <w:right w:val="single" w:sz="4" w:space="0" w:color="auto"/>
            </w:tcBorders>
            <w:shd w:val="clear" w:color="auto" w:fill="BFBFBF"/>
            <w:noWrap/>
            <w:vAlign w:val="bottom"/>
            <w:hideMark/>
          </w:tcPr>
          <w:p w:rsidR="00913FE3" w:rsidRPr="00EC1907" w:rsidRDefault="00913FE3" w:rsidP="00913FE3">
            <w:pPr>
              <w:jc w:val="right"/>
              <w:rPr>
                <w:color w:val="000000"/>
                <w:sz w:val="22"/>
                <w:szCs w:val="22"/>
              </w:rPr>
            </w:pPr>
          </w:p>
        </w:tc>
        <w:tc>
          <w:tcPr>
            <w:tcW w:w="1244" w:type="dxa"/>
            <w:tcBorders>
              <w:top w:val="nil"/>
              <w:left w:val="nil"/>
              <w:bottom w:val="single" w:sz="4" w:space="0" w:color="auto"/>
              <w:right w:val="single" w:sz="4" w:space="0" w:color="auto"/>
            </w:tcBorders>
            <w:shd w:val="clear" w:color="auto" w:fill="BFBFBF"/>
            <w:noWrap/>
            <w:vAlign w:val="bottom"/>
            <w:hideMark/>
          </w:tcPr>
          <w:p w:rsidR="00913FE3" w:rsidRPr="00EC1907" w:rsidRDefault="00913FE3" w:rsidP="00913FE3">
            <w:pPr>
              <w:jc w:val="right"/>
              <w:rPr>
                <w:color w:val="000000"/>
                <w:sz w:val="22"/>
                <w:szCs w:val="22"/>
              </w:rPr>
            </w:pPr>
          </w:p>
        </w:tc>
        <w:tc>
          <w:tcPr>
            <w:tcW w:w="1244" w:type="dxa"/>
            <w:tcBorders>
              <w:top w:val="nil"/>
              <w:left w:val="nil"/>
              <w:bottom w:val="single" w:sz="4" w:space="0" w:color="auto"/>
              <w:right w:val="single" w:sz="4" w:space="0" w:color="auto"/>
            </w:tcBorders>
            <w:shd w:val="clear" w:color="auto" w:fill="BFBFBF"/>
            <w:noWrap/>
            <w:vAlign w:val="bottom"/>
            <w:hideMark/>
          </w:tcPr>
          <w:p w:rsidR="00913FE3" w:rsidRPr="00EC1907" w:rsidRDefault="00913FE3" w:rsidP="00913FE3">
            <w:pPr>
              <w:jc w:val="right"/>
              <w:rPr>
                <w:color w:val="000000"/>
                <w:sz w:val="22"/>
                <w:szCs w:val="22"/>
              </w:rPr>
            </w:pPr>
          </w:p>
        </w:tc>
        <w:tc>
          <w:tcPr>
            <w:tcW w:w="1097" w:type="dxa"/>
            <w:tcBorders>
              <w:top w:val="nil"/>
              <w:left w:val="nil"/>
              <w:bottom w:val="single" w:sz="4" w:space="0" w:color="auto"/>
              <w:right w:val="single" w:sz="4" w:space="0" w:color="auto"/>
            </w:tcBorders>
            <w:shd w:val="clear" w:color="auto" w:fill="BFBFBF"/>
            <w:noWrap/>
            <w:vAlign w:val="bottom"/>
            <w:hideMark/>
          </w:tcPr>
          <w:p w:rsidR="00913FE3" w:rsidRPr="00EC1907" w:rsidRDefault="00913FE3" w:rsidP="00913FE3">
            <w:pPr>
              <w:jc w:val="right"/>
              <w:rPr>
                <w:color w:val="000000"/>
                <w:sz w:val="22"/>
                <w:szCs w:val="22"/>
              </w:rPr>
            </w:pPr>
          </w:p>
        </w:tc>
        <w:tc>
          <w:tcPr>
            <w:tcW w:w="1269" w:type="dxa"/>
            <w:tcBorders>
              <w:top w:val="nil"/>
              <w:left w:val="nil"/>
              <w:bottom w:val="single" w:sz="4" w:space="0" w:color="auto"/>
              <w:right w:val="single" w:sz="4" w:space="0" w:color="auto"/>
            </w:tcBorders>
            <w:shd w:val="clear" w:color="auto" w:fill="BFBFBF"/>
            <w:noWrap/>
            <w:vAlign w:val="bottom"/>
            <w:hideMark/>
          </w:tcPr>
          <w:p w:rsidR="00913FE3" w:rsidRPr="00EC1907" w:rsidRDefault="00913FE3" w:rsidP="00913FE3">
            <w:pPr>
              <w:jc w:val="right"/>
              <w:rPr>
                <w:color w:val="000000"/>
                <w:sz w:val="22"/>
                <w:szCs w:val="22"/>
              </w:rPr>
            </w:pPr>
          </w:p>
        </w:tc>
        <w:tc>
          <w:tcPr>
            <w:tcW w:w="1129" w:type="dxa"/>
            <w:tcBorders>
              <w:top w:val="nil"/>
              <w:left w:val="nil"/>
              <w:bottom w:val="single" w:sz="4" w:space="0" w:color="auto"/>
              <w:right w:val="single" w:sz="4" w:space="0" w:color="auto"/>
            </w:tcBorders>
            <w:shd w:val="clear" w:color="auto" w:fill="BFBFBF"/>
            <w:noWrap/>
            <w:vAlign w:val="bottom"/>
            <w:hideMark/>
          </w:tcPr>
          <w:p w:rsidR="00913FE3" w:rsidRPr="00EC1907" w:rsidRDefault="00913FE3" w:rsidP="00913FE3">
            <w:pPr>
              <w:jc w:val="right"/>
              <w:rPr>
                <w:color w:val="000000"/>
                <w:sz w:val="22"/>
                <w:szCs w:val="22"/>
              </w:rPr>
            </w:pPr>
          </w:p>
        </w:tc>
      </w:tr>
      <w:tr w:rsidR="00913FE3" w:rsidRPr="00EC1907" w:rsidTr="00913FE3">
        <w:trPr>
          <w:trHeight w:val="603"/>
        </w:trPr>
        <w:tc>
          <w:tcPr>
            <w:tcW w:w="703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913FE3" w:rsidRPr="00EC1907" w:rsidRDefault="00913FE3" w:rsidP="00913FE3">
            <w:pPr>
              <w:rPr>
                <w:color w:val="000000"/>
                <w:sz w:val="22"/>
                <w:szCs w:val="22"/>
              </w:rPr>
            </w:pPr>
            <w:r w:rsidRPr="00EC1907">
              <w:rPr>
                <w:color w:val="000000"/>
                <w:sz w:val="22"/>
                <w:szCs w:val="22"/>
              </w:rPr>
              <w:t>Adjustments between RR and CAA for depreciation that is related to the revaluation balance rather than Historic Cost. (current cost depreciation)</w:t>
            </w:r>
          </w:p>
        </w:tc>
        <w:tc>
          <w:tcPr>
            <w:tcW w:w="1384" w:type="dxa"/>
            <w:tcBorders>
              <w:top w:val="nil"/>
              <w:left w:val="nil"/>
              <w:bottom w:val="single" w:sz="4" w:space="0" w:color="auto"/>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w:t>
            </w:r>
          </w:p>
        </w:tc>
        <w:tc>
          <w:tcPr>
            <w:tcW w:w="1244" w:type="dxa"/>
            <w:tcBorders>
              <w:top w:val="nil"/>
              <w:left w:val="nil"/>
              <w:bottom w:val="single" w:sz="4" w:space="0" w:color="auto"/>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w:t>
            </w:r>
          </w:p>
        </w:tc>
        <w:tc>
          <w:tcPr>
            <w:tcW w:w="1244" w:type="dxa"/>
            <w:tcBorders>
              <w:top w:val="nil"/>
              <w:left w:val="nil"/>
              <w:bottom w:val="single" w:sz="4" w:space="0" w:color="auto"/>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w:t>
            </w:r>
          </w:p>
        </w:tc>
        <w:tc>
          <w:tcPr>
            <w:tcW w:w="1244" w:type="dxa"/>
            <w:tcBorders>
              <w:top w:val="nil"/>
              <w:left w:val="nil"/>
              <w:bottom w:val="single" w:sz="4" w:space="0" w:color="auto"/>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7,753</w:t>
            </w:r>
          </w:p>
        </w:tc>
        <w:tc>
          <w:tcPr>
            <w:tcW w:w="1097" w:type="dxa"/>
            <w:tcBorders>
              <w:top w:val="nil"/>
              <w:left w:val="nil"/>
              <w:bottom w:val="single" w:sz="4" w:space="0" w:color="auto"/>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w:t>
            </w:r>
          </w:p>
        </w:tc>
        <w:tc>
          <w:tcPr>
            <w:tcW w:w="1269" w:type="dxa"/>
            <w:tcBorders>
              <w:top w:val="nil"/>
              <w:left w:val="nil"/>
              <w:bottom w:val="single" w:sz="4" w:space="0" w:color="auto"/>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w:t>
            </w:r>
          </w:p>
        </w:tc>
        <w:tc>
          <w:tcPr>
            <w:tcW w:w="1129" w:type="dxa"/>
            <w:tcBorders>
              <w:top w:val="nil"/>
              <w:left w:val="nil"/>
              <w:bottom w:val="single" w:sz="4" w:space="0" w:color="auto"/>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(7,753)</w:t>
            </w:r>
          </w:p>
        </w:tc>
      </w:tr>
      <w:tr w:rsidR="00913FE3" w:rsidRPr="00EC1907" w:rsidTr="00913FE3">
        <w:trPr>
          <w:trHeight w:val="203"/>
        </w:trPr>
        <w:tc>
          <w:tcPr>
            <w:tcW w:w="703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913FE3" w:rsidRPr="00EC1907" w:rsidRDefault="00913FE3" w:rsidP="00913FE3">
            <w:pPr>
              <w:rPr>
                <w:color w:val="000000"/>
                <w:sz w:val="22"/>
                <w:szCs w:val="22"/>
              </w:rPr>
            </w:pPr>
            <w:r w:rsidRPr="00EC1907">
              <w:rPr>
                <w:color w:val="000000"/>
                <w:sz w:val="22"/>
                <w:szCs w:val="22"/>
              </w:rPr>
              <w:t>Write out RR re: academies</w:t>
            </w:r>
          </w:p>
        </w:tc>
        <w:tc>
          <w:tcPr>
            <w:tcW w:w="1384" w:type="dxa"/>
            <w:tcBorders>
              <w:top w:val="nil"/>
              <w:left w:val="nil"/>
              <w:bottom w:val="single" w:sz="4" w:space="0" w:color="auto"/>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w:t>
            </w:r>
          </w:p>
        </w:tc>
        <w:tc>
          <w:tcPr>
            <w:tcW w:w="1244" w:type="dxa"/>
            <w:tcBorders>
              <w:top w:val="nil"/>
              <w:left w:val="nil"/>
              <w:bottom w:val="single" w:sz="4" w:space="0" w:color="auto"/>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w:t>
            </w:r>
          </w:p>
        </w:tc>
        <w:tc>
          <w:tcPr>
            <w:tcW w:w="1244" w:type="dxa"/>
            <w:tcBorders>
              <w:top w:val="nil"/>
              <w:left w:val="nil"/>
              <w:bottom w:val="single" w:sz="4" w:space="0" w:color="auto"/>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w:t>
            </w:r>
          </w:p>
        </w:tc>
        <w:tc>
          <w:tcPr>
            <w:tcW w:w="1244" w:type="dxa"/>
            <w:tcBorders>
              <w:top w:val="nil"/>
              <w:left w:val="nil"/>
              <w:bottom w:val="single" w:sz="4" w:space="0" w:color="auto"/>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9,636</w:t>
            </w:r>
          </w:p>
        </w:tc>
        <w:tc>
          <w:tcPr>
            <w:tcW w:w="1097" w:type="dxa"/>
            <w:tcBorders>
              <w:top w:val="nil"/>
              <w:left w:val="nil"/>
              <w:bottom w:val="single" w:sz="4" w:space="0" w:color="auto"/>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w:t>
            </w:r>
          </w:p>
        </w:tc>
        <w:tc>
          <w:tcPr>
            <w:tcW w:w="1269" w:type="dxa"/>
            <w:tcBorders>
              <w:top w:val="nil"/>
              <w:left w:val="nil"/>
              <w:bottom w:val="single" w:sz="4" w:space="0" w:color="auto"/>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w:t>
            </w:r>
          </w:p>
        </w:tc>
        <w:tc>
          <w:tcPr>
            <w:tcW w:w="1129" w:type="dxa"/>
            <w:tcBorders>
              <w:top w:val="nil"/>
              <w:left w:val="nil"/>
              <w:bottom w:val="single" w:sz="4" w:space="0" w:color="auto"/>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(9,636)</w:t>
            </w:r>
          </w:p>
        </w:tc>
      </w:tr>
      <w:tr w:rsidR="00913FE3" w:rsidRPr="00EC1907" w:rsidTr="00913FE3">
        <w:trPr>
          <w:trHeight w:val="91"/>
        </w:trPr>
        <w:tc>
          <w:tcPr>
            <w:tcW w:w="703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913FE3" w:rsidRPr="00EC1907" w:rsidRDefault="00913FE3" w:rsidP="00913FE3">
            <w:pPr>
              <w:rPr>
                <w:color w:val="000000"/>
                <w:sz w:val="22"/>
                <w:szCs w:val="22"/>
              </w:rPr>
            </w:pPr>
            <w:r w:rsidRPr="00EC1907">
              <w:rPr>
                <w:color w:val="000000"/>
                <w:sz w:val="22"/>
                <w:szCs w:val="22"/>
              </w:rPr>
              <w:t> Reclassification of Balances on RR</w:t>
            </w:r>
          </w:p>
        </w:tc>
        <w:tc>
          <w:tcPr>
            <w:tcW w:w="1384" w:type="dxa"/>
            <w:tcBorders>
              <w:top w:val="nil"/>
              <w:left w:val="nil"/>
              <w:bottom w:val="single" w:sz="4" w:space="0" w:color="auto"/>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w:t>
            </w:r>
          </w:p>
        </w:tc>
        <w:tc>
          <w:tcPr>
            <w:tcW w:w="1244" w:type="dxa"/>
            <w:tcBorders>
              <w:top w:val="nil"/>
              <w:left w:val="nil"/>
              <w:bottom w:val="single" w:sz="4" w:space="0" w:color="auto"/>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w:t>
            </w:r>
          </w:p>
        </w:tc>
        <w:tc>
          <w:tcPr>
            <w:tcW w:w="1244" w:type="dxa"/>
            <w:tcBorders>
              <w:top w:val="nil"/>
              <w:left w:val="nil"/>
              <w:bottom w:val="single" w:sz="4" w:space="0" w:color="auto"/>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w:t>
            </w:r>
          </w:p>
        </w:tc>
        <w:tc>
          <w:tcPr>
            <w:tcW w:w="1244" w:type="dxa"/>
            <w:tcBorders>
              <w:top w:val="nil"/>
              <w:left w:val="nil"/>
              <w:bottom w:val="single" w:sz="4" w:space="0" w:color="auto"/>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288</w:t>
            </w:r>
          </w:p>
        </w:tc>
        <w:tc>
          <w:tcPr>
            <w:tcW w:w="1097" w:type="dxa"/>
            <w:tcBorders>
              <w:top w:val="nil"/>
              <w:left w:val="nil"/>
              <w:bottom w:val="single" w:sz="4" w:space="0" w:color="auto"/>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w:t>
            </w:r>
          </w:p>
        </w:tc>
        <w:tc>
          <w:tcPr>
            <w:tcW w:w="1269" w:type="dxa"/>
            <w:tcBorders>
              <w:top w:val="nil"/>
              <w:left w:val="nil"/>
              <w:bottom w:val="single" w:sz="4" w:space="0" w:color="auto"/>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w:t>
            </w:r>
          </w:p>
        </w:tc>
        <w:tc>
          <w:tcPr>
            <w:tcW w:w="1129" w:type="dxa"/>
            <w:tcBorders>
              <w:top w:val="nil"/>
              <w:left w:val="nil"/>
              <w:bottom w:val="single" w:sz="4" w:space="0" w:color="auto"/>
              <w:right w:val="single" w:sz="4" w:space="0" w:color="auto"/>
            </w:tcBorders>
            <w:shd w:val="clear" w:color="auto" w:fill="auto"/>
            <w:noWrap/>
            <w:vAlign w:val="bottom"/>
            <w:hideMark/>
          </w:tcPr>
          <w:p w:rsidR="00913FE3" w:rsidRPr="00EC1907" w:rsidRDefault="00913FE3" w:rsidP="00913FE3">
            <w:pPr>
              <w:jc w:val="right"/>
              <w:rPr>
                <w:color w:val="000000"/>
                <w:sz w:val="22"/>
                <w:szCs w:val="22"/>
              </w:rPr>
            </w:pPr>
            <w:r w:rsidRPr="00EC1907">
              <w:rPr>
                <w:color w:val="000000"/>
                <w:sz w:val="22"/>
                <w:szCs w:val="22"/>
              </w:rPr>
              <w:t>(288)</w:t>
            </w:r>
          </w:p>
        </w:tc>
      </w:tr>
      <w:tr w:rsidR="00913FE3" w:rsidRPr="00EC1907" w:rsidTr="00913FE3">
        <w:trPr>
          <w:trHeight w:val="302"/>
        </w:trPr>
        <w:tc>
          <w:tcPr>
            <w:tcW w:w="7033" w:type="dxa"/>
            <w:gridSpan w:val="5"/>
            <w:tcBorders>
              <w:top w:val="single" w:sz="4" w:space="0" w:color="auto"/>
              <w:left w:val="nil"/>
              <w:bottom w:val="single" w:sz="4" w:space="0" w:color="auto"/>
              <w:right w:val="nil"/>
            </w:tcBorders>
            <w:shd w:val="clear" w:color="auto" w:fill="auto"/>
            <w:noWrap/>
            <w:vAlign w:val="bottom"/>
            <w:hideMark/>
          </w:tcPr>
          <w:p w:rsidR="00913FE3" w:rsidRPr="00EC1907" w:rsidRDefault="00913FE3" w:rsidP="00913FE3">
            <w:pPr>
              <w:jc w:val="center"/>
              <w:rPr>
                <w:color w:val="000000"/>
                <w:sz w:val="22"/>
                <w:szCs w:val="22"/>
              </w:rPr>
            </w:pPr>
            <w:r w:rsidRPr="00EC1907">
              <w:rPr>
                <w:color w:val="000000"/>
                <w:sz w:val="22"/>
                <w:szCs w:val="22"/>
              </w:rPr>
              <w:t> </w:t>
            </w:r>
          </w:p>
        </w:tc>
        <w:tc>
          <w:tcPr>
            <w:tcW w:w="1384" w:type="dxa"/>
            <w:tcBorders>
              <w:top w:val="nil"/>
              <w:left w:val="nil"/>
              <w:bottom w:val="nil"/>
              <w:right w:val="nil"/>
            </w:tcBorders>
            <w:shd w:val="clear" w:color="auto" w:fill="auto"/>
            <w:noWrap/>
            <w:vAlign w:val="bottom"/>
            <w:hideMark/>
          </w:tcPr>
          <w:p w:rsidR="00913FE3" w:rsidRPr="00EC1907" w:rsidRDefault="00913FE3" w:rsidP="00913FE3">
            <w:pPr>
              <w:rPr>
                <w:color w:val="000000"/>
                <w:sz w:val="22"/>
                <w:szCs w:val="22"/>
              </w:rPr>
            </w:pPr>
          </w:p>
        </w:tc>
        <w:tc>
          <w:tcPr>
            <w:tcW w:w="1244" w:type="dxa"/>
            <w:tcBorders>
              <w:top w:val="nil"/>
              <w:left w:val="nil"/>
              <w:bottom w:val="nil"/>
              <w:right w:val="nil"/>
            </w:tcBorders>
            <w:shd w:val="clear" w:color="auto" w:fill="auto"/>
            <w:noWrap/>
            <w:vAlign w:val="bottom"/>
            <w:hideMark/>
          </w:tcPr>
          <w:p w:rsidR="00913FE3" w:rsidRPr="00EC1907" w:rsidRDefault="00913FE3" w:rsidP="00913FE3">
            <w:pPr>
              <w:rPr>
                <w:color w:val="000000"/>
                <w:sz w:val="22"/>
                <w:szCs w:val="22"/>
              </w:rPr>
            </w:pPr>
          </w:p>
        </w:tc>
        <w:tc>
          <w:tcPr>
            <w:tcW w:w="1244" w:type="dxa"/>
            <w:tcBorders>
              <w:top w:val="nil"/>
              <w:left w:val="nil"/>
              <w:bottom w:val="nil"/>
              <w:right w:val="nil"/>
            </w:tcBorders>
            <w:shd w:val="clear" w:color="auto" w:fill="auto"/>
            <w:noWrap/>
            <w:vAlign w:val="bottom"/>
            <w:hideMark/>
          </w:tcPr>
          <w:p w:rsidR="00913FE3" w:rsidRPr="00EC1907" w:rsidRDefault="00913FE3" w:rsidP="00913FE3">
            <w:pPr>
              <w:rPr>
                <w:color w:val="000000"/>
                <w:sz w:val="22"/>
                <w:szCs w:val="22"/>
              </w:rPr>
            </w:pPr>
          </w:p>
        </w:tc>
        <w:tc>
          <w:tcPr>
            <w:tcW w:w="1244" w:type="dxa"/>
            <w:tcBorders>
              <w:top w:val="nil"/>
              <w:left w:val="nil"/>
              <w:bottom w:val="nil"/>
              <w:right w:val="nil"/>
            </w:tcBorders>
            <w:shd w:val="clear" w:color="auto" w:fill="auto"/>
            <w:noWrap/>
            <w:vAlign w:val="bottom"/>
            <w:hideMark/>
          </w:tcPr>
          <w:p w:rsidR="00913FE3" w:rsidRPr="00EC1907" w:rsidRDefault="00913FE3" w:rsidP="00913FE3">
            <w:pPr>
              <w:rPr>
                <w:color w:val="000000"/>
                <w:sz w:val="22"/>
                <w:szCs w:val="22"/>
              </w:rPr>
            </w:pPr>
          </w:p>
        </w:tc>
        <w:tc>
          <w:tcPr>
            <w:tcW w:w="1097" w:type="dxa"/>
            <w:tcBorders>
              <w:top w:val="nil"/>
              <w:left w:val="nil"/>
              <w:bottom w:val="nil"/>
              <w:right w:val="nil"/>
            </w:tcBorders>
            <w:shd w:val="clear" w:color="auto" w:fill="auto"/>
            <w:noWrap/>
            <w:vAlign w:val="bottom"/>
            <w:hideMark/>
          </w:tcPr>
          <w:p w:rsidR="00913FE3" w:rsidRPr="00EC1907" w:rsidRDefault="00913FE3" w:rsidP="00913FE3">
            <w:pPr>
              <w:rPr>
                <w:color w:val="000000"/>
                <w:sz w:val="22"/>
                <w:szCs w:val="22"/>
              </w:rPr>
            </w:pPr>
          </w:p>
        </w:tc>
        <w:tc>
          <w:tcPr>
            <w:tcW w:w="1269" w:type="dxa"/>
            <w:tcBorders>
              <w:top w:val="nil"/>
              <w:left w:val="nil"/>
              <w:bottom w:val="nil"/>
              <w:right w:val="nil"/>
            </w:tcBorders>
            <w:shd w:val="clear" w:color="auto" w:fill="auto"/>
            <w:noWrap/>
            <w:vAlign w:val="bottom"/>
            <w:hideMark/>
          </w:tcPr>
          <w:p w:rsidR="00913FE3" w:rsidRPr="00EC1907" w:rsidRDefault="00913FE3" w:rsidP="00913FE3">
            <w:pPr>
              <w:rPr>
                <w:color w:val="000000"/>
                <w:sz w:val="22"/>
                <w:szCs w:val="22"/>
              </w:rPr>
            </w:pPr>
          </w:p>
        </w:tc>
        <w:tc>
          <w:tcPr>
            <w:tcW w:w="1129" w:type="dxa"/>
            <w:tcBorders>
              <w:top w:val="nil"/>
              <w:left w:val="nil"/>
              <w:bottom w:val="nil"/>
              <w:right w:val="nil"/>
            </w:tcBorders>
            <w:shd w:val="clear" w:color="auto" w:fill="auto"/>
            <w:noWrap/>
            <w:vAlign w:val="bottom"/>
            <w:hideMark/>
          </w:tcPr>
          <w:p w:rsidR="00913FE3" w:rsidRPr="00EC1907" w:rsidRDefault="00913FE3" w:rsidP="00913FE3">
            <w:pPr>
              <w:rPr>
                <w:color w:val="000000"/>
                <w:sz w:val="22"/>
                <w:szCs w:val="22"/>
              </w:rPr>
            </w:pPr>
          </w:p>
        </w:tc>
      </w:tr>
      <w:tr w:rsidR="00913FE3" w:rsidRPr="00EC1907" w:rsidTr="00913FE3">
        <w:trPr>
          <w:trHeight w:val="317"/>
        </w:trPr>
        <w:tc>
          <w:tcPr>
            <w:tcW w:w="703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3FE3" w:rsidRPr="00EC1907" w:rsidRDefault="00913FE3" w:rsidP="00913FE3">
            <w:pPr>
              <w:rPr>
                <w:color w:val="000000"/>
                <w:sz w:val="22"/>
                <w:szCs w:val="22"/>
              </w:rPr>
            </w:pPr>
            <w:r w:rsidRPr="00EC1907">
              <w:rPr>
                <w:color w:val="000000"/>
                <w:sz w:val="22"/>
                <w:szCs w:val="22"/>
              </w:rPr>
              <w:t>Total Adjustments</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913FE3" w:rsidRPr="00EC1907" w:rsidRDefault="00913FE3" w:rsidP="00913FE3">
            <w:pPr>
              <w:jc w:val="right"/>
              <w:rPr>
                <w:b/>
                <w:color w:val="000000"/>
                <w:sz w:val="22"/>
                <w:szCs w:val="22"/>
              </w:rPr>
            </w:pPr>
            <w:r w:rsidRPr="00EC1907">
              <w:rPr>
                <w:b/>
                <w:color w:val="000000"/>
                <w:sz w:val="22"/>
                <w:szCs w:val="22"/>
              </w:rPr>
              <w:t> (88,790)</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913FE3" w:rsidRPr="00EC1907" w:rsidRDefault="00913FE3" w:rsidP="00913FE3">
            <w:pPr>
              <w:jc w:val="right"/>
              <w:rPr>
                <w:b/>
                <w:color w:val="000000"/>
                <w:sz w:val="22"/>
                <w:szCs w:val="22"/>
              </w:rPr>
            </w:pPr>
            <w:r w:rsidRPr="00EC1907">
              <w:rPr>
                <w:b/>
                <w:color w:val="000000"/>
                <w:sz w:val="22"/>
                <w:szCs w:val="22"/>
              </w:rPr>
              <w:t>2,896</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913FE3" w:rsidRPr="00EC1907" w:rsidRDefault="00913FE3" w:rsidP="00913FE3">
            <w:pPr>
              <w:jc w:val="right"/>
              <w:rPr>
                <w:b/>
                <w:color w:val="000000"/>
                <w:sz w:val="22"/>
                <w:szCs w:val="22"/>
              </w:rPr>
            </w:pPr>
            <w:r w:rsidRPr="00EC1907">
              <w:rPr>
                <w:b/>
                <w:color w:val="000000"/>
                <w:sz w:val="22"/>
                <w:szCs w:val="22"/>
              </w:rPr>
              <w:t> 2,125</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913FE3" w:rsidRPr="00EC1907" w:rsidRDefault="00913FE3" w:rsidP="00913FE3">
            <w:pPr>
              <w:jc w:val="right"/>
              <w:rPr>
                <w:b/>
                <w:color w:val="000000"/>
                <w:sz w:val="22"/>
                <w:szCs w:val="22"/>
              </w:rPr>
            </w:pPr>
            <w:r w:rsidRPr="00EC1907">
              <w:rPr>
                <w:b/>
                <w:color w:val="000000"/>
                <w:sz w:val="22"/>
                <w:szCs w:val="22"/>
              </w:rPr>
              <w:t> 1,880</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913FE3" w:rsidRPr="00EC1907" w:rsidRDefault="00913FE3" w:rsidP="00913FE3">
            <w:pPr>
              <w:jc w:val="right"/>
              <w:rPr>
                <w:b/>
                <w:color w:val="000000"/>
                <w:sz w:val="22"/>
                <w:szCs w:val="22"/>
              </w:rPr>
            </w:pPr>
            <w:r w:rsidRPr="00EC1907">
              <w:rPr>
                <w:b/>
                <w:color w:val="000000"/>
                <w:sz w:val="22"/>
                <w:szCs w:val="22"/>
              </w:rPr>
              <w:t> (27,101)</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rsidR="00913FE3" w:rsidRPr="00EC1907" w:rsidRDefault="00913FE3" w:rsidP="00913FE3">
            <w:pPr>
              <w:jc w:val="right"/>
              <w:rPr>
                <w:b/>
                <w:color w:val="000000"/>
                <w:sz w:val="22"/>
                <w:szCs w:val="22"/>
              </w:rPr>
            </w:pPr>
            <w:r w:rsidRPr="00EC1907">
              <w:rPr>
                <w:b/>
                <w:color w:val="000000"/>
                <w:sz w:val="22"/>
                <w:szCs w:val="22"/>
              </w:rPr>
              <w:t> 116,156</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913FE3" w:rsidRPr="00EC1907" w:rsidRDefault="00913FE3" w:rsidP="00913FE3">
            <w:pPr>
              <w:jc w:val="right"/>
              <w:rPr>
                <w:b/>
                <w:color w:val="000000"/>
                <w:sz w:val="22"/>
                <w:szCs w:val="22"/>
              </w:rPr>
            </w:pPr>
            <w:r w:rsidRPr="00EC1907">
              <w:rPr>
                <w:b/>
                <w:color w:val="000000"/>
                <w:sz w:val="22"/>
                <w:szCs w:val="22"/>
              </w:rPr>
              <w:t> (7,165)</w:t>
            </w:r>
          </w:p>
        </w:tc>
      </w:tr>
    </w:tbl>
    <w:p w:rsidR="00C3664D" w:rsidRPr="00EC1907" w:rsidRDefault="00C3664D" w:rsidP="00A1169B">
      <w:pPr>
        <w:rPr>
          <w:b/>
          <w:sz w:val="22"/>
          <w:szCs w:val="22"/>
        </w:rPr>
      </w:pPr>
    </w:p>
    <w:p w:rsidR="00F029C4" w:rsidRPr="00EC1907" w:rsidRDefault="00F029C4" w:rsidP="00F029C4">
      <w:pPr>
        <w:jc w:val="both"/>
        <w:rPr>
          <w:color w:val="1F497D"/>
        </w:rPr>
      </w:pPr>
      <w:r w:rsidRPr="00EC1907">
        <w:rPr>
          <w:b/>
        </w:rPr>
        <w:t xml:space="preserve">** </w:t>
      </w:r>
      <w:r w:rsidRPr="00EC1907">
        <w:t>The significant variance on the amount by which finance costs charged to the Comprehensive I&amp;E are different from finance costs chargeable in the year in accordance with statutory requirements relates to the net of premiums and discounts removed from the Comprehensive Income and Expenditure Statement to be amortised over the lifetime of the repaid loans in accordance with current accounting standards. In addition amounts previously adjusted in the Comprehensive Income and Expenditure Statement for Icelandic investment impairment has been reversed following the expiry of the regulation which allowed for this adjustment.</w:t>
      </w:r>
    </w:p>
    <w:p w:rsidR="003C7860" w:rsidRPr="005B4A35" w:rsidRDefault="00C3664D" w:rsidP="00BD07E4">
      <w:pPr>
        <w:numPr>
          <w:ilvl w:val="0"/>
          <w:numId w:val="21"/>
        </w:numPr>
        <w:rPr>
          <w:b/>
        </w:rPr>
      </w:pPr>
      <w:r w:rsidRPr="00286C0E">
        <w:rPr>
          <w:b/>
          <w:color w:val="FF0000"/>
          <w:highlight w:val="yellow"/>
        </w:rPr>
        <w:br w:type="page"/>
      </w:r>
      <w:r w:rsidR="003C7860" w:rsidRPr="005B4A35">
        <w:rPr>
          <w:b/>
        </w:rPr>
        <w:lastRenderedPageBreak/>
        <w:t>Other Comprehensive Income and Expenditure</w:t>
      </w:r>
    </w:p>
    <w:tbl>
      <w:tblPr>
        <w:tblW w:w="7797" w:type="dxa"/>
        <w:tblInd w:w="108" w:type="dxa"/>
        <w:tblLook w:val="04A0"/>
      </w:tblPr>
      <w:tblGrid>
        <w:gridCol w:w="4536"/>
        <w:gridCol w:w="1701"/>
        <w:gridCol w:w="1560"/>
      </w:tblGrid>
      <w:tr w:rsidR="0088371A" w:rsidRPr="005B4A35" w:rsidTr="00074CBF">
        <w:trPr>
          <w:trHeight w:val="315"/>
        </w:trPr>
        <w:tc>
          <w:tcPr>
            <w:tcW w:w="4536" w:type="dxa"/>
            <w:tcBorders>
              <w:top w:val="nil"/>
              <w:left w:val="nil"/>
              <w:bottom w:val="single" w:sz="4" w:space="0" w:color="auto"/>
              <w:right w:val="nil"/>
            </w:tcBorders>
            <w:shd w:val="clear" w:color="auto" w:fill="auto"/>
            <w:noWrap/>
            <w:vAlign w:val="bottom"/>
            <w:hideMark/>
          </w:tcPr>
          <w:p w:rsidR="0088371A" w:rsidRPr="005B4A35" w:rsidRDefault="0088371A" w:rsidP="0088371A">
            <w:pPr>
              <w:rPr>
                <w:rFonts w:ascii="Calibri" w:hAnsi="Calibri"/>
                <w:color w:val="000000"/>
              </w:rPr>
            </w:pPr>
          </w:p>
        </w:tc>
        <w:tc>
          <w:tcPr>
            <w:tcW w:w="1701" w:type="dxa"/>
            <w:tcBorders>
              <w:top w:val="nil"/>
              <w:left w:val="nil"/>
              <w:bottom w:val="single" w:sz="4" w:space="0" w:color="auto"/>
              <w:right w:val="nil"/>
            </w:tcBorders>
            <w:shd w:val="clear" w:color="auto" w:fill="auto"/>
            <w:noWrap/>
            <w:vAlign w:val="bottom"/>
            <w:hideMark/>
          </w:tcPr>
          <w:p w:rsidR="0088371A" w:rsidRPr="005B4A35" w:rsidRDefault="0088371A" w:rsidP="0088371A">
            <w:pPr>
              <w:rPr>
                <w:rFonts w:ascii="Calibri" w:hAnsi="Calibri"/>
                <w:color w:val="000000"/>
              </w:rPr>
            </w:pPr>
          </w:p>
        </w:tc>
        <w:tc>
          <w:tcPr>
            <w:tcW w:w="1560" w:type="dxa"/>
            <w:tcBorders>
              <w:top w:val="nil"/>
              <w:left w:val="nil"/>
              <w:bottom w:val="single" w:sz="4" w:space="0" w:color="auto"/>
              <w:right w:val="nil"/>
            </w:tcBorders>
            <w:shd w:val="clear" w:color="auto" w:fill="auto"/>
            <w:noWrap/>
            <w:vAlign w:val="bottom"/>
            <w:hideMark/>
          </w:tcPr>
          <w:p w:rsidR="0088371A" w:rsidRPr="005B4A35" w:rsidRDefault="0088371A" w:rsidP="0088371A">
            <w:pPr>
              <w:rPr>
                <w:rFonts w:ascii="Calibri" w:hAnsi="Calibri"/>
                <w:color w:val="000000"/>
              </w:rPr>
            </w:pPr>
          </w:p>
        </w:tc>
      </w:tr>
      <w:tr w:rsidR="0088371A" w:rsidRPr="005B4A35" w:rsidTr="00074CBF">
        <w:trPr>
          <w:trHeight w:val="900"/>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71A" w:rsidRPr="005B4A35" w:rsidRDefault="0088371A" w:rsidP="0088371A"/>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71A" w:rsidRPr="005B4A35" w:rsidRDefault="00572A0D" w:rsidP="00F41B77">
            <w:pPr>
              <w:jc w:val="right"/>
              <w:rPr>
                <w:b/>
                <w:bCs/>
                <w:u w:val="single"/>
              </w:rPr>
            </w:pPr>
            <w:r w:rsidRPr="005B4A35">
              <w:rPr>
                <w:b/>
                <w:bCs/>
                <w:u w:val="single"/>
              </w:rPr>
              <w:t>2011</w:t>
            </w:r>
            <w:r w:rsidR="0088371A" w:rsidRPr="005B4A35">
              <w:rPr>
                <w:b/>
                <w:bCs/>
                <w:u w:val="single"/>
              </w:rPr>
              <w:t>/1</w:t>
            </w:r>
            <w:r w:rsidRPr="005B4A35">
              <w:rPr>
                <w:b/>
                <w:bCs/>
                <w:u w:val="single"/>
              </w:rPr>
              <w:t>2</w:t>
            </w:r>
          </w:p>
          <w:p w:rsidR="0088371A" w:rsidRPr="005B4A35" w:rsidRDefault="0088371A" w:rsidP="00F41B77">
            <w:pPr>
              <w:jc w:val="right"/>
              <w:rPr>
                <w:b/>
                <w:bCs/>
                <w:u w:val="single"/>
              </w:rPr>
            </w:pPr>
            <w:r w:rsidRPr="005B4A35">
              <w:rPr>
                <w:b/>
                <w:bCs/>
                <w:u w:val="single"/>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71A" w:rsidRPr="005B4A35" w:rsidRDefault="00572A0D" w:rsidP="00F41B77">
            <w:pPr>
              <w:jc w:val="right"/>
              <w:rPr>
                <w:b/>
                <w:u w:val="single"/>
              </w:rPr>
            </w:pPr>
            <w:r w:rsidRPr="005B4A35">
              <w:rPr>
                <w:b/>
                <w:u w:val="single"/>
              </w:rPr>
              <w:t>2010</w:t>
            </w:r>
            <w:r w:rsidR="0088371A" w:rsidRPr="005B4A35">
              <w:rPr>
                <w:b/>
                <w:u w:val="single"/>
              </w:rPr>
              <w:t>/1</w:t>
            </w:r>
            <w:r w:rsidRPr="005B4A35">
              <w:rPr>
                <w:b/>
                <w:u w:val="single"/>
              </w:rPr>
              <w:t>1</w:t>
            </w:r>
          </w:p>
          <w:p w:rsidR="0088371A" w:rsidRPr="005B4A35" w:rsidRDefault="0088371A" w:rsidP="00F41B77">
            <w:pPr>
              <w:jc w:val="right"/>
              <w:rPr>
                <w:b/>
                <w:u w:val="single"/>
              </w:rPr>
            </w:pPr>
            <w:r w:rsidRPr="005B4A35">
              <w:rPr>
                <w:b/>
                <w:u w:val="single"/>
              </w:rPr>
              <w:t>£000</w:t>
            </w:r>
          </w:p>
        </w:tc>
      </w:tr>
      <w:tr w:rsidR="00572A0D" w:rsidRPr="005B4A35" w:rsidTr="005B4A35">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A0D" w:rsidRPr="005B4A35" w:rsidRDefault="00572A0D" w:rsidP="0088371A">
            <w:pPr>
              <w:rPr>
                <w:color w:val="000000"/>
              </w:rPr>
            </w:pPr>
            <w:r w:rsidRPr="005B4A35">
              <w:rPr>
                <w:color w:val="000000"/>
              </w:rPr>
              <w:t>Actuarial (Gains)/ Losses on Retirement Benefits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A0D" w:rsidRPr="005B4A35" w:rsidRDefault="005B4A35" w:rsidP="005B4A35">
            <w:pPr>
              <w:jc w:val="right"/>
              <w:rPr>
                <w:rFonts w:ascii="Calibri" w:hAnsi="Calibri"/>
              </w:rPr>
            </w:pPr>
            <w:r>
              <w:rPr>
                <w:rFonts w:ascii="Calibri" w:hAnsi="Calibri"/>
              </w:rPr>
              <w:t>(175,400)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A0D" w:rsidRPr="005B4A35" w:rsidRDefault="00572A0D" w:rsidP="00572A0D">
            <w:pPr>
              <w:jc w:val="right"/>
              <w:rPr>
                <w:color w:val="000000"/>
              </w:rPr>
            </w:pPr>
            <w:r w:rsidRPr="005B4A35">
              <w:rPr>
                <w:color w:val="000000"/>
              </w:rPr>
              <w:t xml:space="preserve"> (178,590) </w:t>
            </w:r>
          </w:p>
        </w:tc>
      </w:tr>
      <w:tr w:rsidR="00572A0D" w:rsidRPr="005B4A35" w:rsidTr="005B4A35">
        <w:trPr>
          <w:trHeight w:val="31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A0D" w:rsidRPr="005B4A35" w:rsidRDefault="00572A0D" w:rsidP="0088371A">
            <w:pPr>
              <w:rPr>
                <w:color w:val="000000"/>
              </w:rPr>
            </w:pPr>
            <w:r w:rsidRPr="005B4A35">
              <w:rPr>
                <w:color w:val="000000"/>
              </w:rPr>
              <w:t>Unrealised Revaluation Gains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A0D" w:rsidRPr="005B4A35" w:rsidRDefault="005B4A35" w:rsidP="005B4A35">
            <w:pPr>
              <w:jc w:val="right"/>
              <w:rPr>
                <w:color w:val="000000"/>
              </w:rPr>
            </w:pPr>
            <w:r>
              <w:rPr>
                <w:rFonts w:ascii="Calibri" w:hAnsi="Calibri"/>
              </w:rPr>
              <w:t>16,151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A0D" w:rsidRPr="005B4A35" w:rsidRDefault="00572A0D" w:rsidP="00572A0D">
            <w:pPr>
              <w:jc w:val="right"/>
              <w:rPr>
                <w:color w:val="000000"/>
              </w:rPr>
            </w:pPr>
            <w:r w:rsidRPr="005B4A35">
              <w:rPr>
                <w:color w:val="000000"/>
              </w:rPr>
              <w:t xml:space="preserve">(139,150) </w:t>
            </w:r>
          </w:p>
        </w:tc>
      </w:tr>
      <w:tr w:rsidR="00572A0D" w:rsidRPr="005B4A35" w:rsidTr="005B4A35">
        <w:trPr>
          <w:trHeight w:val="31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A0D" w:rsidRPr="005B4A35" w:rsidRDefault="00572A0D" w:rsidP="00F30FC7">
            <w:pPr>
              <w:rPr>
                <w:color w:val="000000"/>
              </w:rPr>
            </w:pPr>
            <w:r w:rsidRPr="005B4A35">
              <w:rPr>
                <w:color w:val="000000"/>
              </w:rPr>
              <w:t>Revaluation Losses Charged to Revaluation Reserve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A35" w:rsidRDefault="005B4A35" w:rsidP="005B4A35">
            <w:pPr>
              <w:jc w:val="right"/>
              <w:rPr>
                <w:rFonts w:ascii="Calibri" w:hAnsi="Calibri"/>
              </w:rPr>
            </w:pPr>
            <w:r>
              <w:rPr>
                <w:rFonts w:ascii="Calibri" w:hAnsi="Calibri"/>
              </w:rPr>
              <w:t>(5,257)</w:t>
            </w:r>
          </w:p>
          <w:p w:rsidR="00572A0D" w:rsidRPr="005B4A35" w:rsidRDefault="00572A0D" w:rsidP="005B4A35">
            <w:pPr>
              <w:jc w:val="right"/>
              <w:rPr>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A0D" w:rsidRPr="005B4A35" w:rsidRDefault="00572A0D" w:rsidP="00572A0D">
            <w:pPr>
              <w:jc w:val="right"/>
              <w:rPr>
                <w:color w:val="000000"/>
              </w:rPr>
            </w:pPr>
            <w:r w:rsidRPr="005B4A35">
              <w:rPr>
                <w:color w:val="000000"/>
              </w:rPr>
              <w:t xml:space="preserve">                              20,093 </w:t>
            </w:r>
          </w:p>
        </w:tc>
      </w:tr>
      <w:tr w:rsidR="00572A0D" w:rsidRPr="00286C0E" w:rsidTr="005B4A35">
        <w:trPr>
          <w:trHeight w:val="31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A0D" w:rsidRPr="005B4A35" w:rsidRDefault="00572A0D" w:rsidP="0088371A">
            <w:pPr>
              <w:rPr>
                <w:color w:val="000000"/>
              </w:rPr>
            </w:pPr>
            <w:r w:rsidRPr="005B4A35">
              <w:rPr>
                <w:color w:val="000000"/>
              </w:rPr>
              <w:t>Valuation written out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A0D" w:rsidRPr="005B4A35" w:rsidRDefault="005B4A35" w:rsidP="005B4A35">
            <w:pPr>
              <w:jc w:val="right"/>
              <w:rPr>
                <w:rFonts w:ascii="Calibri" w:hAnsi="Calibri"/>
              </w:rPr>
            </w:pPr>
            <w:r>
              <w:rPr>
                <w:rFonts w:ascii="Calibri" w:hAnsi="Calibri"/>
              </w:rPr>
              <w:t>(1,160)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A0D" w:rsidRPr="005B4A35" w:rsidRDefault="00572A0D" w:rsidP="00572A0D">
            <w:pPr>
              <w:jc w:val="right"/>
              <w:rPr>
                <w:color w:val="000000"/>
              </w:rPr>
            </w:pPr>
            <w:r w:rsidRPr="005B4A35">
              <w:rPr>
                <w:color w:val="000000"/>
              </w:rPr>
              <w:t>-</w:t>
            </w:r>
          </w:p>
        </w:tc>
      </w:tr>
    </w:tbl>
    <w:p w:rsidR="00384EDD" w:rsidRPr="00286C0E" w:rsidRDefault="00384EDD" w:rsidP="00630533">
      <w:pPr>
        <w:rPr>
          <w:b/>
          <w:highlight w:val="yellow"/>
        </w:rPr>
      </w:pPr>
    </w:p>
    <w:p w:rsidR="00F856F8" w:rsidRPr="00286C0E" w:rsidRDefault="00F856F8" w:rsidP="003C7860">
      <w:pPr>
        <w:ind w:left="720"/>
        <w:rPr>
          <w:b/>
          <w:highlight w:val="yellow"/>
        </w:rPr>
      </w:pPr>
    </w:p>
    <w:p w:rsidR="00C3664D" w:rsidRPr="0001091E" w:rsidRDefault="00C3664D" w:rsidP="00BD07E4">
      <w:pPr>
        <w:numPr>
          <w:ilvl w:val="0"/>
          <w:numId w:val="21"/>
        </w:numPr>
        <w:rPr>
          <w:b/>
        </w:rPr>
      </w:pPr>
      <w:r w:rsidRPr="0001091E">
        <w:rPr>
          <w:b/>
        </w:rPr>
        <w:t>Transfers to/from Earmarked Reserves</w:t>
      </w:r>
    </w:p>
    <w:p w:rsidR="00C3664D" w:rsidRPr="0001091E" w:rsidRDefault="00C3664D" w:rsidP="00C3664D">
      <w:pPr>
        <w:rPr>
          <w:b/>
          <w:sz w:val="22"/>
          <w:szCs w:val="22"/>
        </w:rPr>
      </w:pPr>
    </w:p>
    <w:p w:rsidR="00C3664D" w:rsidRDefault="00C3664D" w:rsidP="00C3664D">
      <w:pPr>
        <w:spacing w:after="240"/>
        <w:ind w:left="720"/>
        <w:jc w:val="both"/>
      </w:pPr>
      <w:r w:rsidRPr="0001091E">
        <w:t xml:space="preserve">This note sets out the amounts set aside from the </w:t>
      </w:r>
      <w:r w:rsidR="00F730B9" w:rsidRPr="0001091E">
        <w:t>County fund</w:t>
      </w:r>
      <w:r w:rsidRPr="0001091E">
        <w:t xml:space="preserve"> balances in earmarked reserves to provide financing for future expenditure plans, and the amounts posted back from earmarked reserves to meet </w:t>
      </w:r>
      <w:r w:rsidR="00F730B9" w:rsidRPr="0001091E">
        <w:t>County fund</w:t>
      </w:r>
      <w:r w:rsidR="00572A0D" w:rsidRPr="0001091E">
        <w:t xml:space="preserve"> expenditure in 2011/12</w:t>
      </w:r>
      <w:r w:rsidRPr="0001091E">
        <w:t xml:space="preserve">. </w:t>
      </w:r>
    </w:p>
    <w:p w:rsidR="0001091E" w:rsidRDefault="0001091E" w:rsidP="00C3664D">
      <w:pPr>
        <w:spacing w:after="240"/>
        <w:ind w:left="720"/>
        <w:jc w:val="both"/>
      </w:pPr>
    </w:p>
    <w:tbl>
      <w:tblPr>
        <w:tblW w:w="14960" w:type="dxa"/>
        <w:tblInd w:w="93" w:type="dxa"/>
        <w:tblLook w:val="04A0"/>
      </w:tblPr>
      <w:tblGrid>
        <w:gridCol w:w="3320"/>
        <w:gridCol w:w="1960"/>
        <w:gridCol w:w="1720"/>
        <w:gridCol w:w="1240"/>
        <w:gridCol w:w="1120"/>
        <w:gridCol w:w="1140"/>
        <w:gridCol w:w="1720"/>
        <w:gridCol w:w="1240"/>
        <w:gridCol w:w="1500"/>
      </w:tblGrid>
      <w:tr w:rsidR="0001091E" w:rsidRPr="0001091E" w:rsidTr="003018D5">
        <w:trPr>
          <w:trHeight w:val="300"/>
        </w:trPr>
        <w:tc>
          <w:tcPr>
            <w:tcW w:w="3320" w:type="dxa"/>
            <w:tcBorders>
              <w:top w:val="nil"/>
              <w:left w:val="nil"/>
              <w:bottom w:val="nil"/>
              <w:right w:val="single" w:sz="4" w:space="0" w:color="auto"/>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p>
        </w:tc>
        <w:tc>
          <w:tcPr>
            <w:tcW w:w="60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91E" w:rsidRPr="0001091E" w:rsidRDefault="0001091E" w:rsidP="0001091E">
            <w:pPr>
              <w:jc w:val="center"/>
              <w:rPr>
                <w:rFonts w:ascii="Calibri" w:hAnsi="Calibri" w:cs="Times New Roman"/>
                <w:b/>
                <w:bCs/>
                <w:color w:val="000000"/>
                <w:sz w:val="22"/>
                <w:szCs w:val="22"/>
              </w:rPr>
            </w:pPr>
            <w:r w:rsidRPr="0001091E">
              <w:rPr>
                <w:rFonts w:ascii="Calibri" w:hAnsi="Calibri" w:cs="Times New Roman"/>
                <w:b/>
                <w:bCs/>
                <w:color w:val="000000"/>
                <w:sz w:val="22"/>
                <w:szCs w:val="22"/>
              </w:rPr>
              <w:t>COMPARATIVE YEAR 2010/11</w:t>
            </w:r>
          </w:p>
        </w:tc>
        <w:tc>
          <w:tcPr>
            <w:tcW w:w="5600" w:type="dxa"/>
            <w:gridSpan w:val="4"/>
            <w:tcBorders>
              <w:top w:val="single" w:sz="4" w:space="0" w:color="auto"/>
              <w:left w:val="nil"/>
              <w:bottom w:val="single" w:sz="4" w:space="0" w:color="auto"/>
              <w:right w:val="single" w:sz="4" w:space="0" w:color="auto"/>
            </w:tcBorders>
            <w:shd w:val="clear" w:color="auto" w:fill="auto"/>
            <w:noWrap/>
            <w:vAlign w:val="bottom"/>
            <w:hideMark/>
          </w:tcPr>
          <w:p w:rsidR="0001091E" w:rsidRPr="0001091E" w:rsidRDefault="0001091E" w:rsidP="0001091E">
            <w:pPr>
              <w:jc w:val="center"/>
              <w:rPr>
                <w:rFonts w:ascii="Calibri" w:hAnsi="Calibri" w:cs="Times New Roman"/>
                <w:b/>
                <w:bCs/>
                <w:color w:val="000000"/>
                <w:sz w:val="22"/>
                <w:szCs w:val="22"/>
              </w:rPr>
            </w:pPr>
            <w:r w:rsidRPr="0001091E">
              <w:rPr>
                <w:rFonts w:ascii="Calibri" w:hAnsi="Calibri" w:cs="Times New Roman"/>
                <w:b/>
                <w:bCs/>
                <w:color w:val="000000"/>
                <w:sz w:val="22"/>
                <w:szCs w:val="22"/>
              </w:rPr>
              <w:t>2011-12</w:t>
            </w:r>
          </w:p>
        </w:tc>
      </w:tr>
      <w:tr w:rsidR="0001091E" w:rsidRPr="0001091E" w:rsidTr="0001091E">
        <w:trPr>
          <w:trHeight w:val="900"/>
        </w:trPr>
        <w:tc>
          <w:tcPr>
            <w:tcW w:w="3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91E" w:rsidRPr="0001091E" w:rsidRDefault="0001091E" w:rsidP="0001091E">
            <w:pPr>
              <w:rPr>
                <w:rFonts w:ascii="Calibri" w:hAnsi="Calibri" w:cs="Times New Roman"/>
                <w:b/>
                <w:bCs/>
                <w:color w:val="000000"/>
                <w:sz w:val="22"/>
                <w:szCs w:val="22"/>
              </w:rPr>
            </w:pPr>
            <w:r w:rsidRPr="0001091E">
              <w:rPr>
                <w:rFonts w:ascii="Calibri" w:hAnsi="Calibri" w:cs="Times New Roman"/>
                <w:b/>
                <w:bCs/>
                <w:color w:val="000000"/>
                <w:sz w:val="22"/>
                <w:szCs w:val="22"/>
              </w:rPr>
              <w:t>Revenue Reserves</w:t>
            </w:r>
          </w:p>
        </w:tc>
        <w:tc>
          <w:tcPr>
            <w:tcW w:w="1960" w:type="dxa"/>
            <w:tcBorders>
              <w:top w:val="nil"/>
              <w:left w:val="nil"/>
              <w:bottom w:val="single" w:sz="4" w:space="0" w:color="auto"/>
              <w:right w:val="single" w:sz="4" w:space="0" w:color="auto"/>
            </w:tcBorders>
            <w:shd w:val="clear" w:color="auto" w:fill="auto"/>
            <w:vAlign w:val="bottom"/>
            <w:hideMark/>
          </w:tcPr>
          <w:p w:rsidR="0001091E" w:rsidRPr="0001091E" w:rsidRDefault="0001091E" w:rsidP="0001091E">
            <w:pPr>
              <w:jc w:val="center"/>
              <w:rPr>
                <w:rFonts w:ascii="Calibri" w:hAnsi="Calibri" w:cs="Times New Roman"/>
                <w:b/>
                <w:bCs/>
                <w:color w:val="000000"/>
                <w:sz w:val="22"/>
                <w:szCs w:val="22"/>
              </w:rPr>
            </w:pPr>
            <w:r w:rsidRPr="0001091E">
              <w:rPr>
                <w:rFonts w:ascii="Calibri" w:hAnsi="Calibri" w:cs="Times New Roman"/>
                <w:b/>
                <w:bCs/>
                <w:color w:val="000000"/>
                <w:sz w:val="22"/>
                <w:szCs w:val="22"/>
              </w:rPr>
              <w:t>OPENING BALANCE</w:t>
            </w:r>
          </w:p>
        </w:tc>
        <w:tc>
          <w:tcPr>
            <w:tcW w:w="1720" w:type="dxa"/>
            <w:tcBorders>
              <w:top w:val="nil"/>
              <w:left w:val="nil"/>
              <w:bottom w:val="single" w:sz="4" w:space="0" w:color="auto"/>
              <w:right w:val="single" w:sz="4" w:space="0" w:color="auto"/>
            </w:tcBorders>
            <w:shd w:val="clear" w:color="auto" w:fill="auto"/>
            <w:vAlign w:val="bottom"/>
            <w:hideMark/>
          </w:tcPr>
          <w:p w:rsidR="0001091E" w:rsidRPr="0001091E" w:rsidRDefault="0071261A" w:rsidP="0001091E">
            <w:pPr>
              <w:jc w:val="center"/>
              <w:rPr>
                <w:rFonts w:ascii="Calibri" w:hAnsi="Calibri" w:cs="Times New Roman"/>
                <w:b/>
                <w:bCs/>
                <w:color w:val="000000"/>
                <w:sz w:val="22"/>
                <w:szCs w:val="22"/>
              </w:rPr>
            </w:pPr>
            <w:r>
              <w:rPr>
                <w:rFonts w:ascii="Calibri" w:hAnsi="Calibri" w:cs="Times New Roman"/>
                <w:b/>
                <w:bCs/>
                <w:color w:val="000000"/>
                <w:sz w:val="22"/>
                <w:szCs w:val="22"/>
              </w:rPr>
              <w:t>Net Contributions to and from Reserves</w:t>
            </w:r>
            <w:r w:rsidR="00642437">
              <w:rPr>
                <w:rFonts w:ascii="Calibri" w:hAnsi="Calibri" w:cs="Times New Roman"/>
                <w:b/>
                <w:bCs/>
                <w:color w:val="000000"/>
                <w:sz w:val="22"/>
                <w:szCs w:val="22"/>
              </w:rPr>
              <w:t xml:space="preserve"> (use of reserves)</w:t>
            </w:r>
          </w:p>
        </w:tc>
        <w:tc>
          <w:tcPr>
            <w:tcW w:w="1240" w:type="dxa"/>
            <w:tcBorders>
              <w:top w:val="nil"/>
              <w:left w:val="nil"/>
              <w:bottom w:val="single" w:sz="4" w:space="0" w:color="auto"/>
              <w:right w:val="single" w:sz="4" w:space="0" w:color="auto"/>
            </w:tcBorders>
            <w:shd w:val="clear" w:color="auto" w:fill="auto"/>
            <w:vAlign w:val="bottom"/>
            <w:hideMark/>
          </w:tcPr>
          <w:p w:rsidR="0001091E" w:rsidRPr="0001091E" w:rsidRDefault="0071261A" w:rsidP="0001091E">
            <w:pPr>
              <w:jc w:val="center"/>
              <w:rPr>
                <w:rFonts w:ascii="Calibri" w:hAnsi="Calibri" w:cs="Times New Roman"/>
                <w:b/>
                <w:bCs/>
                <w:color w:val="000000"/>
                <w:sz w:val="22"/>
                <w:szCs w:val="22"/>
              </w:rPr>
            </w:pPr>
            <w:r>
              <w:rPr>
                <w:rFonts w:ascii="Calibri" w:hAnsi="Calibri" w:cs="Times New Roman"/>
                <w:b/>
                <w:bCs/>
                <w:color w:val="000000"/>
                <w:sz w:val="22"/>
                <w:szCs w:val="22"/>
              </w:rPr>
              <w:t>Transfers between Reserves</w:t>
            </w:r>
          </w:p>
        </w:tc>
        <w:tc>
          <w:tcPr>
            <w:tcW w:w="1120" w:type="dxa"/>
            <w:tcBorders>
              <w:top w:val="nil"/>
              <w:left w:val="nil"/>
              <w:bottom w:val="single" w:sz="4" w:space="0" w:color="auto"/>
              <w:right w:val="single" w:sz="4" w:space="0" w:color="auto"/>
            </w:tcBorders>
            <w:shd w:val="clear" w:color="auto" w:fill="auto"/>
            <w:vAlign w:val="bottom"/>
            <w:hideMark/>
          </w:tcPr>
          <w:p w:rsidR="0001091E" w:rsidRPr="0001091E" w:rsidRDefault="0001091E" w:rsidP="0001091E">
            <w:pPr>
              <w:jc w:val="center"/>
              <w:rPr>
                <w:rFonts w:ascii="Calibri" w:hAnsi="Calibri" w:cs="Times New Roman"/>
                <w:b/>
                <w:bCs/>
                <w:color w:val="000000"/>
                <w:sz w:val="22"/>
                <w:szCs w:val="22"/>
              </w:rPr>
            </w:pPr>
            <w:r w:rsidRPr="0001091E">
              <w:rPr>
                <w:rFonts w:ascii="Calibri" w:hAnsi="Calibri" w:cs="Times New Roman"/>
                <w:b/>
                <w:bCs/>
                <w:color w:val="000000"/>
                <w:sz w:val="22"/>
                <w:szCs w:val="22"/>
              </w:rPr>
              <w:t>CLOSING BALANCE</w:t>
            </w:r>
          </w:p>
        </w:tc>
        <w:tc>
          <w:tcPr>
            <w:tcW w:w="1140" w:type="dxa"/>
            <w:tcBorders>
              <w:top w:val="nil"/>
              <w:left w:val="nil"/>
              <w:bottom w:val="single" w:sz="4" w:space="0" w:color="auto"/>
              <w:right w:val="single" w:sz="4" w:space="0" w:color="auto"/>
            </w:tcBorders>
            <w:shd w:val="clear" w:color="auto" w:fill="auto"/>
            <w:vAlign w:val="bottom"/>
            <w:hideMark/>
          </w:tcPr>
          <w:p w:rsidR="0001091E" w:rsidRPr="0001091E" w:rsidRDefault="0001091E" w:rsidP="0001091E">
            <w:pPr>
              <w:jc w:val="center"/>
              <w:rPr>
                <w:rFonts w:ascii="Calibri" w:hAnsi="Calibri" w:cs="Times New Roman"/>
                <w:b/>
                <w:bCs/>
                <w:color w:val="000000"/>
                <w:sz w:val="22"/>
                <w:szCs w:val="22"/>
              </w:rPr>
            </w:pPr>
            <w:r w:rsidRPr="0001091E">
              <w:rPr>
                <w:rFonts w:ascii="Calibri" w:hAnsi="Calibri" w:cs="Times New Roman"/>
                <w:b/>
                <w:bCs/>
                <w:color w:val="000000"/>
                <w:sz w:val="22"/>
                <w:szCs w:val="22"/>
              </w:rPr>
              <w:t>OPENING BALANCE</w:t>
            </w:r>
          </w:p>
        </w:tc>
        <w:tc>
          <w:tcPr>
            <w:tcW w:w="1720" w:type="dxa"/>
            <w:tcBorders>
              <w:top w:val="nil"/>
              <w:left w:val="nil"/>
              <w:bottom w:val="single" w:sz="4" w:space="0" w:color="auto"/>
              <w:right w:val="single" w:sz="4" w:space="0" w:color="auto"/>
            </w:tcBorders>
            <w:shd w:val="clear" w:color="auto" w:fill="auto"/>
            <w:vAlign w:val="bottom"/>
            <w:hideMark/>
          </w:tcPr>
          <w:p w:rsidR="0001091E" w:rsidRPr="0001091E" w:rsidRDefault="0071261A" w:rsidP="0001091E">
            <w:pPr>
              <w:jc w:val="center"/>
              <w:rPr>
                <w:rFonts w:ascii="Calibri" w:hAnsi="Calibri" w:cs="Times New Roman"/>
                <w:b/>
                <w:bCs/>
                <w:color w:val="000000"/>
                <w:sz w:val="22"/>
                <w:szCs w:val="22"/>
              </w:rPr>
            </w:pPr>
            <w:r>
              <w:rPr>
                <w:rFonts w:ascii="Calibri" w:hAnsi="Calibri" w:cs="Times New Roman"/>
                <w:b/>
                <w:bCs/>
                <w:color w:val="000000"/>
                <w:sz w:val="22"/>
                <w:szCs w:val="22"/>
              </w:rPr>
              <w:t>Net Contributions to and from Reserves</w:t>
            </w:r>
            <w:r w:rsidR="00642437">
              <w:rPr>
                <w:rFonts w:ascii="Calibri" w:hAnsi="Calibri" w:cs="Times New Roman"/>
                <w:b/>
                <w:bCs/>
                <w:color w:val="000000"/>
                <w:sz w:val="22"/>
                <w:szCs w:val="22"/>
              </w:rPr>
              <w:t xml:space="preserve"> (use of reserves)</w:t>
            </w:r>
          </w:p>
        </w:tc>
        <w:tc>
          <w:tcPr>
            <w:tcW w:w="1240" w:type="dxa"/>
            <w:tcBorders>
              <w:top w:val="nil"/>
              <w:left w:val="nil"/>
              <w:bottom w:val="single" w:sz="4" w:space="0" w:color="auto"/>
              <w:right w:val="single" w:sz="4" w:space="0" w:color="auto"/>
            </w:tcBorders>
            <w:shd w:val="clear" w:color="auto" w:fill="auto"/>
            <w:vAlign w:val="bottom"/>
            <w:hideMark/>
          </w:tcPr>
          <w:p w:rsidR="0001091E" w:rsidRPr="0001091E" w:rsidRDefault="0071261A" w:rsidP="0001091E">
            <w:pPr>
              <w:jc w:val="center"/>
              <w:rPr>
                <w:rFonts w:ascii="Calibri" w:hAnsi="Calibri" w:cs="Times New Roman"/>
                <w:b/>
                <w:bCs/>
                <w:color w:val="000000"/>
                <w:sz w:val="22"/>
                <w:szCs w:val="22"/>
              </w:rPr>
            </w:pPr>
            <w:r>
              <w:rPr>
                <w:rFonts w:ascii="Calibri" w:hAnsi="Calibri" w:cs="Times New Roman"/>
                <w:b/>
                <w:bCs/>
                <w:color w:val="000000"/>
                <w:sz w:val="22"/>
                <w:szCs w:val="22"/>
              </w:rPr>
              <w:t>Transfers between Reserves</w:t>
            </w:r>
          </w:p>
        </w:tc>
        <w:tc>
          <w:tcPr>
            <w:tcW w:w="1500" w:type="dxa"/>
            <w:tcBorders>
              <w:top w:val="nil"/>
              <w:left w:val="nil"/>
              <w:bottom w:val="single" w:sz="4" w:space="0" w:color="auto"/>
              <w:right w:val="single" w:sz="4" w:space="0" w:color="auto"/>
            </w:tcBorders>
            <w:shd w:val="clear" w:color="auto" w:fill="auto"/>
            <w:vAlign w:val="bottom"/>
            <w:hideMark/>
          </w:tcPr>
          <w:p w:rsidR="0001091E" w:rsidRPr="0001091E" w:rsidRDefault="0001091E" w:rsidP="0001091E">
            <w:pPr>
              <w:jc w:val="center"/>
              <w:rPr>
                <w:rFonts w:ascii="Calibri" w:hAnsi="Calibri" w:cs="Times New Roman"/>
                <w:b/>
                <w:bCs/>
                <w:color w:val="000000"/>
                <w:sz w:val="22"/>
                <w:szCs w:val="22"/>
              </w:rPr>
            </w:pPr>
            <w:r w:rsidRPr="0001091E">
              <w:rPr>
                <w:rFonts w:ascii="Calibri" w:hAnsi="Calibri" w:cs="Times New Roman"/>
                <w:b/>
                <w:bCs/>
                <w:color w:val="000000"/>
                <w:sz w:val="22"/>
                <w:szCs w:val="22"/>
              </w:rPr>
              <w:t>CLOSING BALANCE</w:t>
            </w:r>
          </w:p>
        </w:tc>
      </w:tr>
      <w:tr w:rsidR="00754DF4" w:rsidRPr="0001091E" w:rsidTr="00754DF4">
        <w:trPr>
          <w:trHeight w:val="340"/>
        </w:trPr>
        <w:tc>
          <w:tcPr>
            <w:tcW w:w="3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4DF4" w:rsidRPr="0001091E" w:rsidRDefault="00754DF4" w:rsidP="0001091E">
            <w:pPr>
              <w:rPr>
                <w:rFonts w:ascii="Calibri" w:hAnsi="Calibri" w:cs="Times New Roman"/>
                <w:b/>
                <w:bCs/>
                <w:color w:val="000000"/>
                <w:sz w:val="22"/>
                <w:szCs w:val="22"/>
              </w:rPr>
            </w:pPr>
          </w:p>
        </w:tc>
        <w:tc>
          <w:tcPr>
            <w:tcW w:w="1960" w:type="dxa"/>
            <w:tcBorders>
              <w:top w:val="nil"/>
              <w:left w:val="nil"/>
              <w:bottom w:val="single" w:sz="4" w:space="0" w:color="auto"/>
              <w:right w:val="single" w:sz="4" w:space="0" w:color="auto"/>
            </w:tcBorders>
            <w:shd w:val="clear" w:color="auto" w:fill="auto"/>
            <w:vAlign w:val="center"/>
            <w:hideMark/>
          </w:tcPr>
          <w:p w:rsidR="00754DF4" w:rsidRPr="0001091E" w:rsidRDefault="00754DF4" w:rsidP="00754DF4">
            <w:pPr>
              <w:jc w:val="center"/>
              <w:rPr>
                <w:rFonts w:ascii="Calibri" w:hAnsi="Calibri" w:cs="Times New Roman"/>
                <w:b/>
                <w:bCs/>
                <w:color w:val="000000"/>
                <w:sz w:val="22"/>
                <w:szCs w:val="22"/>
              </w:rPr>
            </w:pPr>
            <w:r>
              <w:rPr>
                <w:rFonts w:ascii="Calibri" w:hAnsi="Calibri" w:cs="Times New Roman"/>
                <w:b/>
                <w:bCs/>
                <w:color w:val="000000"/>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754DF4" w:rsidRPr="0001091E" w:rsidRDefault="00754DF4" w:rsidP="00754DF4">
            <w:pPr>
              <w:jc w:val="center"/>
              <w:rPr>
                <w:rFonts w:ascii="Calibri" w:hAnsi="Calibri" w:cs="Times New Roman"/>
                <w:b/>
                <w:bCs/>
                <w:color w:val="000000"/>
                <w:sz w:val="22"/>
                <w:szCs w:val="22"/>
              </w:rPr>
            </w:pPr>
            <w:r>
              <w:rPr>
                <w:rFonts w:ascii="Calibri" w:hAnsi="Calibri" w:cs="Times New Roman"/>
                <w:b/>
                <w:bCs/>
                <w:color w:val="000000"/>
                <w:sz w:val="22"/>
                <w:szCs w:val="22"/>
              </w:rPr>
              <w:t>£000</w:t>
            </w:r>
          </w:p>
        </w:tc>
        <w:tc>
          <w:tcPr>
            <w:tcW w:w="1240" w:type="dxa"/>
            <w:tcBorders>
              <w:top w:val="nil"/>
              <w:left w:val="nil"/>
              <w:bottom w:val="single" w:sz="4" w:space="0" w:color="auto"/>
              <w:right w:val="single" w:sz="4" w:space="0" w:color="auto"/>
            </w:tcBorders>
            <w:shd w:val="clear" w:color="auto" w:fill="auto"/>
            <w:vAlign w:val="center"/>
            <w:hideMark/>
          </w:tcPr>
          <w:p w:rsidR="00754DF4" w:rsidRPr="0001091E" w:rsidRDefault="00754DF4" w:rsidP="00754DF4">
            <w:pPr>
              <w:jc w:val="center"/>
              <w:rPr>
                <w:rFonts w:ascii="Calibri" w:hAnsi="Calibri" w:cs="Times New Roman"/>
                <w:b/>
                <w:bCs/>
                <w:color w:val="000000"/>
                <w:sz w:val="22"/>
                <w:szCs w:val="22"/>
              </w:rPr>
            </w:pPr>
            <w:r>
              <w:rPr>
                <w:rFonts w:ascii="Calibri" w:hAnsi="Calibri" w:cs="Times New Roman"/>
                <w:b/>
                <w:bCs/>
                <w:color w:val="000000"/>
                <w:sz w:val="22"/>
                <w:szCs w:val="22"/>
              </w:rPr>
              <w:t>£000</w:t>
            </w:r>
          </w:p>
        </w:tc>
        <w:tc>
          <w:tcPr>
            <w:tcW w:w="1120" w:type="dxa"/>
            <w:tcBorders>
              <w:top w:val="nil"/>
              <w:left w:val="nil"/>
              <w:bottom w:val="single" w:sz="4" w:space="0" w:color="auto"/>
              <w:right w:val="single" w:sz="4" w:space="0" w:color="auto"/>
            </w:tcBorders>
            <w:shd w:val="clear" w:color="auto" w:fill="auto"/>
            <w:vAlign w:val="center"/>
            <w:hideMark/>
          </w:tcPr>
          <w:p w:rsidR="00754DF4" w:rsidRPr="0001091E" w:rsidRDefault="00754DF4" w:rsidP="00754DF4">
            <w:pPr>
              <w:jc w:val="center"/>
              <w:rPr>
                <w:rFonts w:ascii="Calibri" w:hAnsi="Calibri" w:cs="Times New Roman"/>
                <w:b/>
                <w:bCs/>
                <w:color w:val="000000"/>
                <w:sz w:val="22"/>
                <w:szCs w:val="22"/>
              </w:rPr>
            </w:pPr>
            <w:r>
              <w:rPr>
                <w:rFonts w:ascii="Calibri" w:hAnsi="Calibri" w:cs="Times New Roman"/>
                <w:b/>
                <w:bCs/>
                <w:color w:val="000000"/>
                <w:sz w:val="22"/>
                <w:szCs w:val="22"/>
              </w:rPr>
              <w:t>£000</w:t>
            </w:r>
          </w:p>
        </w:tc>
        <w:tc>
          <w:tcPr>
            <w:tcW w:w="1140" w:type="dxa"/>
            <w:tcBorders>
              <w:top w:val="nil"/>
              <w:left w:val="nil"/>
              <w:bottom w:val="single" w:sz="4" w:space="0" w:color="auto"/>
              <w:right w:val="single" w:sz="4" w:space="0" w:color="auto"/>
            </w:tcBorders>
            <w:shd w:val="clear" w:color="auto" w:fill="auto"/>
            <w:vAlign w:val="center"/>
            <w:hideMark/>
          </w:tcPr>
          <w:p w:rsidR="00754DF4" w:rsidRPr="0001091E" w:rsidRDefault="00754DF4" w:rsidP="00754DF4">
            <w:pPr>
              <w:jc w:val="center"/>
              <w:rPr>
                <w:rFonts w:ascii="Calibri" w:hAnsi="Calibri" w:cs="Times New Roman"/>
                <w:b/>
                <w:bCs/>
                <w:color w:val="000000"/>
                <w:sz w:val="22"/>
                <w:szCs w:val="22"/>
              </w:rPr>
            </w:pPr>
            <w:r>
              <w:rPr>
                <w:rFonts w:ascii="Calibri" w:hAnsi="Calibri" w:cs="Times New Roman"/>
                <w:b/>
                <w:bCs/>
                <w:color w:val="000000"/>
                <w:sz w:val="22"/>
                <w:szCs w:val="22"/>
              </w:rPr>
              <w:t>£000</w:t>
            </w:r>
          </w:p>
        </w:tc>
        <w:tc>
          <w:tcPr>
            <w:tcW w:w="1720" w:type="dxa"/>
            <w:tcBorders>
              <w:top w:val="nil"/>
              <w:left w:val="nil"/>
              <w:bottom w:val="single" w:sz="4" w:space="0" w:color="auto"/>
              <w:right w:val="single" w:sz="4" w:space="0" w:color="auto"/>
            </w:tcBorders>
            <w:shd w:val="clear" w:color="auto" w:fill="auto"/>
            <w:vAlign w:val="center"/>
            <w:hideMark/>
          </w:tcPr>
          <w:p w:rsidR="00754DF4" w:rsidRPr="0001091E" w:rsidRDefault="00754DF4" w:rsidP="00754DF4">
            <w:pPr>
              <w:jc w:val="center"/>
              <w:rPr>
                <w:rFonts w:ascii="Calibri" w:hAnsi="Calibri" w:cs="Times New Roman"/>
                <w:b/>
                <w:bCs/>
                <w:color w:val="000000"/>
                <w:sz w:val="22"/>
                <w:szCs w:val="22"/>
              </w:rPr>
            </w:pPr>
            <w:r>
              <w:rPr>
                <w:rFonts w:ascii="Calibri" w:hAnsi="Calibri" w:cs="Times New Roman"/>
                <w:b/>
                <w:bCs/>
                <w:color w:val="000000"/>
                <w:sz w:val="22"/>
                <w:szCs w:val="22"/>
              </w:rPr>
              <w:t>£000</w:t>
            </w:r>
          </w:p>
        </w:tc>
        <w:tc>
          <w:tcPr>
            <w:tcW w:w="1240" w:type="dxa"/>
            <w:tcBorders>
              <w:top w:val="nil"/>
              <w:left w:val="nil"/>
              <w:bottom w:val="single" w:sz="4" w:space="0" w:color="auto"/>
              <w:right w:val="single" w:sz="4" w:space="0" w:color="auto"/>
            </w:tcBorders>
            <w:shd w:val="clear" w:color="auto" w:fill="auto"/>
            <w:vAlign w:val="center"/>
            <w:hideMark/>
          </w:tcPr>
          <w:p w:rsidR="00754DF4" w:rsidRPr="0001091E" w:rsidRDefault="00754DF4" w:rsidP="00754DF4">
            <w:pPr>
              <w:jc w:val="center"/>
              <w:rPr>
                <w:rFonts w:ascii="Calibri" w:hAnsi="Calibri" w:cs="Times New Roman"/>
                <w:b/>
                <w:bCs/>
                <w:color w:val="000000"/>
                <w:sz w:val="22"/>
                <w:szCs w:val="22"/>
              </w:rPr>
            </w:pPr>
            <w:r>
              <w:rPr>
                <w:rFonts w:ascii="Calibri" w:hAnsi="Calibri" w:cs="Times New Roman"/>
                <w:b/>
                <w:bCs/>
                <w:color w:val="000000"/>
                <w:sz w:val="22"/>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754DF4" w:rsidRPr="0001091E" w:rsidRDefault="00754DF4" w:rsidP="00754DF4">
            <w:pPr>
              <w:jc w:val="center"/>
              <w:rPr>
                <w:rFonts w:ascii="Calibri" w:hAnsi="Calibri" w:cs="Times New Roman"/>
                <w:b/>
                <w:bCs/>
                <w:color w:val="000000"/>
                <w:sz w:val="22"/>
                <w:szCs w:val="22"/>
              </w:rPr>
            </w:pPr>
            <w:r>
              <w:rPr>
                <w:rFonts w:ascii="Calibri" w:hAnsi="Calibri" w:cs="Times New Roman"/>
                <w:b/>
                <w:bCs/>
                <w:color w:val="000000"/>
                <w:sz w:val="22"/>
                <w:szCs w:val="22"/>
              </w:rPr>
              <w:t>£000</w:t>
            </w:r>
          </w:p>
        </w:tc>
      </w:tr>
      <w:tr w:rsidR="0001091E" w:rsidRPr="0001091E" w:rsidTr="0001091E">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r w:rsidRPr="0001091E">
              <w:rPr>
                <w:rFonts w:ascii="Calibri" w:hAnsi="Calibri" w:cs="Times New Roman"/>
                <w:color w:val="000000"/>
                <w:sz w:val="22"/>
                <w:szCs w:val="22"/>
              </w:rPr>
              <w:t>Strategic Investment Reserve</w:t>
            </w:r>
          </w:p>
        </w:tc>
        <w:tc>
          <w:tcPr>
            <w:tcW w:w="196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w:t>
            </w:r>
          </w:p>
        </w:tc>
        <w:tc>
          <w:tcPr>
            <w:tcW w:w="12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w:t>
            </w:r>
          </w:p>
        </w:tc>
        <w:tc>
          <w:tcPr>
            <w:tcW w:w="11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w:t>
            </w:r>
          </w:p>
        </w:tc>
        <w:tc>
          <w:tcPr>
            <w:tcW w:w="11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(1,000)</w:t>
            </w:r>
          </w:p>
        </w:tc>
        <w:tc>
          <w:tcPr>
            <w:tcW w:w="12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60,000</w:t>
            </w:r>
          </w:p>
        </w:tc>
        <w:tc>
          <w:tcPr>
            <w:tcW w:w="150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59,000</w:t>
            </w:r>
          </w:p>
        </w:tc>
      </w:tr>
      <w:tr w:rsidR="0001091E" w:rsidRPr="0001091E" w:rsidTr="0001091E">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r w:rsidRPr="0001091E">
              <w:rPr>
                <w:rFonts w:ascii="Calibri" w:hAnsi="Calibri" w:cs="Times New Roman"/>
                <w:color w:val="000000"/>
                <w:sz w:val="22"/>
                <w:szCs w:val="22"/>
              </w:rPr>
              <w:t>Schools Reserves</w:t>
            </w:r>
          </w:p>
        </w:tc>
        <w:tc>
          <w:tcPr>
            <w:tcW w:w="196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42,826</w:t>
            </w:r>
          </w:p>
        </w:tc>
        <w:tc>
          <w:tcPr>
            <w:tcW w:w="17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8,266</w:t>
            </w:r>
          </w:p>
        </w:tc>
        <w:tc>
          <w:tcPr>
            <w:tcW w:w="12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65</w:t>
            </w:r>
          </w:p>
        </w:tc>
        <w:tc>
          <w:tcPr>
            <w:tcW w:w="11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51,157</w:t>
            </w:r>
          </w:p>
        </w:tc>
        <w:tc>
          <w:tcPr>
            <w:tcW w:w="11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51,157</w:t>
            </w:r>
          </w:p>
        </w:tc>
        <w:tc>
          <w:tcPr>
            <w:tcW w:w="17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2,781</w:t>
            </w:r>
          </w:p>
        </w:tc>
        <w:tc>
          <w:tcPr>
            <w:tcW w:w="12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20</w:t>
            </w:r>
          </w:p>
        </w:tc>
        <w:tc>
          <w:tcPr>
            <w:tcW w:w="150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53,958</w:t>
            </w:r>
          </w:p>
        </w:tc>
      </w:tr>
      <w:tr w:rsidR="0001091E" w:rsidRPr="0001091E" w:rsidTr="0001091E">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r w:rsidRPr="0001091E">
              <w:rPr>
                <w:rFonts w:ascii="Calibri" w:hAnsi="Calibri" w:cs="Times New Roman"/>
                <w:color w:val="000000"/>
                <w:sz w:val="22"/>
                <w:szCs w:val="22"/>
              </w:rPr>
              <w:t>Service Transformation Reserve</w:t>
            </w:r>
          </w:p>
        </w:tc>
        <w:tc>
          <w:tcPr>
            <w:tcW w:w="196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3,600</w:t>
            </w:r>
          </w:p>
        </w:tc>
        <w:tc>
          <w:tcPr>
            <w:tcW w:w="12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30,501</w:t>
            </w:r>
          </w:p>
        </w:tc>
        <w:tc>
          <w:tcPr>
            <w:tcW w:w="11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34,101</w:t>
            </w:r>
          </w:p>
        </w:tc>
        <w:tc>
          <w:tcPr>
            <w:tcW w:w="11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34,101</w:t>
            </w:r>
          </w:p>
        </w:tc>
        <w:tc>
          <w:tcPr>
            <w:tcW w:w="17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(13,190)</w:t>
            </w:r>
          </w:p>
        </w:tc>
        <w:tc>
          <w:tcPr>
            <w:tcW w:w="12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(2,244)</w:t>
            </w:r>
          </w:p>
        </w:tc>
        <w:tc>
          <w:tcPr>
            <w:tcW w:w="150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18,667</w:t>
            </w:r>
          </w:p>
        </w:tc>
      </w:tr>
      <w:tr w:rsidR="0001091E" w:rsidRPr="0001091E" w:rsidTr="0001091E">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r w:rsidRPr="0001091E">
              <w:rPr>
                <w:rFonts w:ascii="Calibri" w:hAnsi="Calibri" w:cs="Times New Roman"/>
                <w:color w:val="000000"/>
                <w:sz w:val="22"/>
                <w:szCs w:val="22"/>
              </w:rPr>
              <w:t>Schools DSG Central Items</w:t>
            </w:r>
          </w:p>
        </w:tc>
        <w:tc>
          <w:tcPr>
            <w:tcW w:w="196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4,698</w:t>
            </w:r>
          </w:p>
        </w:tc>
        <w:tc>
          <w:tcPr>
            <w:tcW w:w="17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2,393</w:t>
            </w:r>
          </w:p>
        </w:tc>
        <w:tc>
          <w:tcPr>
            <w:tcW w:w="12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6,090</w:t>
            </w:r>
          </w:p>
        </w:tc>
        <w:tc>
          <w:tcPr>
            <w:tcW w:w="11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6,090</w:t>
            </w:r>
          </w:p>
        </w:tc>
        <w:tc>
          <w:tcPr>
            <w:tcW w:w="17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7,733</w:t>
            </w:r>
          </w:p>
        </w:tc>
        <w:tc>
          <w:tcPr>
            <w:tcW w:w="12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2,689</w:t>
            </w:r>
          </w:p>
        </w:tc>
        <w:tc>
          <w:tcPr>
            <w:tcW w:w="150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16,512</w:t>
            </w:r>
          </w:p>
        </w:tc>
      </w:tr>
      <w:tr w:rsidR="0001091E" w:rsidRPr="0001091E" w:rsidTr="0001091E">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r w:rsidRPr="0001091E">
              <w:rPr>
                <w:rFonts w:ascii="Calibri" w:hAnsi="Calibri" w:cs="Times New Roman"/>
                <w:color w:val="000000"/>
                <w:sz w:val="22"/>
                <w:szCs w:val="22"/>
              </w:rPr>
              <w:lastRenderedPageBreak/>
              <w:t>DFM Balances</w:t>
            </w:r>
          </w:p>
        </w:tc>
        <w:tc>
          <w:tcPr>
            <w:tcW w:w="196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26,420</w:t>
            </w:r>
          </w:p>
        </w:tc>
        <w:tc>
          <w:tcPr>
            <w:tcW w:w="17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D760AD">
            <w:pPr>
              <w:jc w:val="right"/>
              <w:rPr>
                <w:rFonts w:ascii="Calibri" w:hAnsi="Calibri" w:cs="Times New Roman"/>
                <w:color w:val="000000"/>
                <w:sz w:val="22"/>
                <w:szCs w:val="22"/>
              </w:rPr>
            </w:pPr>
            <w:r w:rsidRPr="0001091E">
              <w:rPr>
                <w:rFonts w:ascii="Calibri" w:hAnsi="Calibri" w:cs="Times New Roman"/>
                <w:color w:val="000000"/>
                <w:sz w:val="22"/>
                <w:szCs w:val="22"/>
              </w:rPr>
              <w:t>(1</w:t>
            </w:r>
            <w:r w:rsidR="00D760AD">
              <w:rPr>
                <w:rFonts w:ascii="Calibri" w:hAnsi="Calibri" w:cs="Times New Roman"/>
                <w:color w:val="000000"/>
                <w:sz w:val="22"/>
                <w:szCs w:val="22"/>
              </w:rPr>
              <w:t>6,570</w:t>
            </w:r>
            <w:r w:rsidRPr="0001091E">
              <w:rPr>
                <w:rFonts w:ascii="Calibri" w:hAnsi="Calibri" w:cs="Times New Roman"/>
                <w:color w:val="000000"/>
                <w:sz w:val="22"/>
                <w:szCs w:val="22"/>
              </w:rPr>
              <w:t>)</w:t>
            </w:r>
          </w:p>
        </w:tc>
        <w:tc>
          <w:tcPr>
            <w:tcW w:w="1240" w:type="dxa"/>
            <w:tcBorders>
              <w:top w:val="nil"/>
              <w:left w:val="nil"/>
              <w:bottom w:val="single" w:sz="4" w:space="0" w:color="auto"/>
              <w:right w:val="single" w:sz="4" w:space="0" w:color="auto"/>
            </w:tcBorders>
            <w:shd w:val="clear" w:color="auto" w:fill="auto"/>
            <w:noWrap/>
            <w:vAlign w:val="bottom"/>
            <w:hideMark/>
          </w:tcPr>
          <w:p w:rsidR="0001091E" w:rsidRPr="0001091E" w:rsidRDefault="00D760AD" w:rsidP="00D760AD">
            <w:pPr>
              <w:jc w:val="right"/>
              <w:rPr>
                <w:rFonts w:ascii="Calibri" w:hAnsi="Calibri" w:cs="Times New Roman"/>
                <w:color w:val="000000"/>
                <w:sz w:val="22"/>
                <w:szCs w:val="22"/>
              </w:rPr>
            </w:pPr>
            <w:r>
              <w:rPr>
                <w:rFonts w:ascii="Calibri" w:hAnsi="Calibri" w:cs="Times New Roman"/>
                <w:color w:val="000000"/>
                <w:sz w:val="22"/>
                <w:szCs w:val="22"/>
              </w:rPr>
              <w:t>7,145</w:t>
            </w:r>
          </w:p>
        </w:tc>
        <w:tc>
          <w:tcPr>
            <w:tcW w:w="11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16,995</w:t>
            </w:r>
          </w:p>
        </w:tc>
        <w:tc>
          <w:tcPr>
            <w:tcW w:w="11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16,995</w:t>
            </w:r>
          </w:p>
        </w:tc>
        <w:tc>
          <w:tcPr>
            <w:tcW w:w="17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7,028</w:t>
            </w:r>
          </w:p>
        </w:tc>
        <w:tc>
          <w:tcPr>
            <w:tcW w:w="12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(12,020)</w:t>
            </w:r>
          </w:p>
        </w:tc>
        <w:tc>
          <w:tcPr>
            <w:tcW w:w="150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12,004</w:t>
            </w:r>
          </w:p>
        </w:tc>
      </w:tr>
      <w:tr w:rsidR="0001091E" w:rsidRPr="0001091E" w:rsidTr="00580DC5">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r w:rsidRPr="0001091E">
              <w:rPr>
                <w:rFonts w:ascii="Calibri" w:hAnsi="Calibri" w:cs="Times New Roman"/>
                <w:color w:val="000000"/>
                <w:sz w:val="22"/>
                <w:szCs w:val="22"/>
              </w:rPr>
              <w:t>Restructure Reserve</w:t>
            </w:r>
          </w:p>
        </w:tc>
        <w:tc>
          <w:tcPr>
            <w:tcW w:w="1960" w:type="dxa"/>
            <w:tcBorders>
              <w:top w:val="nil"/>
              <w:left w:val="nil"/>
              <w:bottom w:val="single" w:sz="4" w:space="0" w:color="auto"/>
              <w:right w:val="single" w:sz="4" w:space="0" w:color="auto"/>
            </w:tcBorders>
            <w:shd w:val="clear" w:color="auto" w:fill="auto"/>
            <w:noWrap/>
            <w:vAlign w:val="bottom"/>
            <w:hideMark/>
          </w:tcPr>
          <w:p w:rsidR="0001091E" w:rsidRPr="0001091E" w:rsidRDefault="00580DC5" w:rsidP="00580DC5">
            <w:pPr>
              <w:jc w:val="right"/>
              <w:rPr>
                <w:rFonts w:ascii="Calibri" w:hAnsi="Calibri" w:cs="Times New Roman"/>
                <w:color w:val="000000"/>
                <w:sz w:val="22"/>
                <w:szCs w:val="22"/>
              </w:rPr>
            </w:pPr>
            <w:r>
              <w:rPr>
                <w:rFonts w:ascii="Calibri" w:hAnsi="Calibri" w:cs="Times New Roman"/>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bottom"/>
            <w:hideMark/>
          </w:tcPr>
          <w:p w:rsidR="0001091E" w:rsidRPr="0001091E" w:rsidRDefault="00580DC5" w:rsidP="00580DC5">
            <w:pPr>
              <w:jc w:val="right"/>
              <w:rPr>
                <w:rFonts w:ascii="Calibri" w:hAnsi="Calibri" w:cs="Times New Roman"/>
                <w:color w:val="000000"/>
                <w:sz w:val="22"/>
                <w:szCs w:val="22"/>
              </w:rPr>
            </w:pPr>
            <w:r>
              <w:rPr>
                <w:rFonts w:ascii="Calibri" w:hAnsi="Calibri" w:cs="Times New Roman"/>
                <w:color w:val="000000"/>
                <w:sz w:val="22"/>
                <w:szCs w:val="22"/>
              </w:rPr>
              <w:t>-</w:t>
            </w:r>
          </w:p>
        </w:tc>
        <w:tc>
          <w:tcPr>
            <w:tcW w:w="12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20,000</w:t>
            </w:r>
          </w:p>
        </w:tc>
        <w:tc>
          <w:tcPr>
            <w:tcW w:w="11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20,000</w:t>
            </w:r>
          </w:p>
        </w:tc>
        <w:tc>
          <w:tcPr>
            <w:tcW w:w="11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20,000</w:t>
            </w:r>
          </w:p>
        </w:tc>
        <w:tc>
          <w:tcPr>
            <w:tcW w:w="17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w:t>
            </w:r>
          </w:p>
        </w:tc>
        <w:tc>
          <w:tcPr>
            <w:tcW w:w="12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(8,733)</w:t>
            </w:r>
          </w:p>
        </w:tc>
        <w:tc>
          <w:tcPr>
            <w:tcW w:w="150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11,267</w:t>
            </w:r>
          </w:p>
        </w:tc>
      </w:tr>
      <w:tr w:rsidR="0001091E" w:rsidRPr="0001091E" w:rsidTr="0001091E">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r w:rsidRPr="0001091E">
              <w:rPr>
                <w:rFonts w:ascii="Calibri" w:hAnsi="Calibri" w:cs="Times New Roman"/>
                <w:color w:val="000000"/>
                <w:sz w:val="22"/>
                <w:szCs w:val="22"/>
              </w:rPr>
              <w:t>Other Revenue Reserves</w:t>
            </w:r>
          </w:p>
        </w:tc>
        <w:tc>
          <w:tcPr>
            <w:tcW w:w="196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61,196</w:t>
            </w:r>
          </w:p>
        </w:tc>
        <w:tc>
          <w:tcPr>
            <w:tcW w:w="17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16,201</w:t>
            </w:r>
          </w:p>
        </w:tc>
        <w:tc>
          <w:tcPr>
            <w:tcW w:w="12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(19,926)</w:t>
            </w:r>
          </w:p>
        </w:tc>
        <w:tc>
          <w:tcPr>
            <w:tcW w:w="11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57,471</w:t>
            </w:r>
          </w:p>
        </w:tc>
        <w:tc>
          <w:tcPr>
            <w:tcW w:w="11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57,471</w:t>
            </w:r>
          </w:p>
        </w:tc>
        <w:tc>
          <w:tcPr>
            <w:tcW w:w="17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(12,689)</w:t>
            </w:r>
          </w:p>
        </w:tc>
        <w:tc>
          <w:tcPr>
            <w:tcW w:w="12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23,761</w:t>
            </w:r>
          </w:p>
        </w:tc>
        <w:tc>
          <w:tcPr>
            <w:tcW w:w="150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68,542</w:t>
            </w:r>
          </w:p>
        </w:tc>
      </w:tr>
      <w:tr w:rsidR="0001091E" w:rsidRPr="0001091E" w:rsidTr="0001091E">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r w:rsidRPr="0001091E">
              <w:rPr>
                <w:rFonts w:ascii="Calibri" w:hAnsi="Calibri" w:cs="Times New Roman"/>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r w:rsidRPr="0001091E">
              <w:rPr>
                <w:rFonts w:ascii="Calibri" w:hAnsi="Calibri" w:cs="Times New Roman"/>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r w:rsidRPr="0001091E">
              <w:rPr>
                <w:rFonts w:ascii="Calibri" w:hAnsi="Calibri" w:cs="Times New Roman"/>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r w:rsidRPr="0001091E">
              <w:rPr>
                <w:rFonts w:ascii="Calibri" w:hAnsi="Calibri" w:cs="Times New Roman"/>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r w:rsidRPr="0001091E">
              <w:rPr>
                <w:rFonts w:ascii="Calibri" w:hAnsi="Calibri" w:cs="Times New Roman"/>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r w:rsidRPr="0001091E">
              <w:rPr>
                <w:rFonts w:ascii="Calibri" w:hAnsi="Calibri" w:cs="Times New Roman"/>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r w:rsidRPr="0001091E">
              <w:rPr>
                <w:rFonts w:ascii="Calibri" w:hAnsi="Calibri" w:cs="Times New Roman"/>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r w:rsidRPr="0001091E">
              <w:rPr>
                <w:rFonts w:ascii="Calibri" w:hAnsi="Calibri" w:cs="Times New Roman"/>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r w:rsidRPr="0001091E">
              <w:rPr>
                <w:rFonts w:ascii="Calibri" w:hAnsi="Calibri" w:cs="Times New Roman"/>
                <w:color w:val="000000"/>
                <w:sz w:val="22"/>
                <w:szCs w:val="22"/>
              </w:rPr>
              <w:t> </w:t>
            </w:r>
          </w:p>
        </w:tc>
      </w:tr>
      <w:tr w:rsidR="0001091E" w:rsidRPr="0001091E" w:rsidTr="0001091E">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b/>
                <w:bCs/>
                <w:color w:val="000000"/>
                <w:sz w:val="22"/>
                <w:szCs w:val="22"/>
              </w:rPr>
            </w:pPr>
            <w:r w:rsidRPr="0001091E">
              <w:rPr>
                <w:rFonts w:ascii="Calibri" w:hAnsi="Calibri" w:cs="Times New Roman"/>
                <w:b/>
                <w:bCs/>
                <w:color w:val="000000"/>
                <w:sz w:val="22"/>
                <w:szCs w:val="22"/>
              </w:rPr>
              <w:t>Trading Operations Reserves</w:t>
            </w:r>
          </w:p>
        </w:tc>
        <w:tc>
          <w:tcPr>
            <w:tcW w:w="196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2,234</w:t>
            </w:r>
          </w:p>
        </w:tc>
        <w:tc>
          <w:tcPr>
            <w:tcW w:w="17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1,481</w:t>
            </w:r>
          </w:p>
        </w:tc>
        <w:tc>
          <w:tcPr>
            <w:tcW w:w="12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w:t>
            </w:r>
          </w:p>
        </w:tc>
        <w:tc>
          <w:tcPr>
            <w:tcW w:w="11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3,716</w:t>
            </w:r>
          </w:p>
        </w:tc>
        <w:tc>
          <w:tcPr>
            <w:tcW w:w="11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3,716</w:t>
            </w:r>
          </w:p>
        </w:tc>
        <w:tc>
          <w:tcPr>
            <w:tcW w:w="17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(546)</w:t>
            </w:r>
          </w:p>
        </w:tc>
        <w:tc>
          <w:tcPr>
            <w:tcW w:w="12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(239)</w:t>
            </w:r>
          </w:p>
        </w:tc>
        <w:tc>
          <w:tcPr>
            <w:tcW w:w="150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2,930</w:t>
            </w:r>
          </w:p>
        </w:tc>
      </w:tr>
      <w:tr w:rsidR="0001091E" w:rsidRPr="0001091E" w:rsidTr="0001091E">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r w:rsidRPr="0001091E">
              <w:rPr>
                <w:rFonts w:ascii="Calibri" w:hAnsi="Calibri" w:cs="Times New Roman"/>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r w:rsidRPr="0001091E">
              <w:rPr>
                <w:rFonts w:ascii="Calibri" w:hAnsi="Calibri" w:cs="Times New Roman"/>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r w:rsidRPr="0001091E">
              <w:rPr>
                <w:rFonts w:ascii="Calibri" w:hAnsi="Calibri" w:cs="Times New Roman"/>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r w:rsidRPr="0001091E">
              <w:rPr>
                <w:rFonts w:ascii="Calibri" w:hAnsi="Calibri" w:cs="Times New Roman"/>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r w:rsidRPr="0001091E">
              <w:rPr>
                <w:rFonts w:ascii="Calibri" w:hAnsi="Calibri" w:cs="Times New Roman"/>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r w:rsidRPr="0001091E">
              <w:rPr>
                <w:rFonts w:ascii="Calibri" w:hAnsi="Calibri" w:cs="Times New Roman"/>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r w:rsidRPr="0001091E">
              <w:rPr>
                <w:rFonts w:ascii="Calibri" w:hAnsi="Calibri" w:cs="Times New Roman"/>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r w:rsidRPr="0001091E">
              <w:rPr>
                <w:rFonts w:ascii="Calibri" w:hAnsi="Calibri" w:cs="Times New Roman"/>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r w:rsidRPr="0001091E">
              <w:rPr>
                <w:rFonts w:ascii="Calibri" w:hAnsi="Calibri" w:cs="Times New Roman"/>
                <w:color w:val="000000"/>
                <w:sz w:val="22"/>
                <w:szCs w:val="22"/>
              </w:rPr>
              <w:t> </w:t>
            </w:r>
          </w:p>
        </w:tc>
      </w:tr>
      <w:tr w:rsidR="0001091E" w:rsidRPr="0001091E" w:rsidTr="0001091E">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b/>
                <w:bCs/>
                <w:color w:val="000000"/>
                <w:sz w:val="22"/>
                <w:szCs w:val="22"/>
              </w:rPr>
            </w:pPr>
            <w:r w:rsidRPr="0001091E">
              <w:rPr>
                <w:rFonts w:ascii="Calibri" w:hAnsi="Calibri" w:cs="Times New Roman"/>
                <w:b/>
                <w:bCs/>
                <w:color w:val="000000"/>
                <w:sz w:val="22"/>
                <w:szCs w:val="22"/>
              </w:rPr>
              <w:t>Capital Funding Reserves</w:t>
            </w:r>
          </w:p>
        </w:tc>
        <w:tc>
          <w:tcPr>
            <w:tcW w:w="196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9,854</w:t>
            </w:r>
          </w:p>
        </w:tc>
        <w:tc>
          <w:tcPr>
            <w:tcW w:w="17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1,727</w:t>
            </w:r>
          </w:p>
        </w:tc>
        <w:tc>
          <w:tcPr>
            <w:tcW w:w="12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210</w:t>
            </w:r>
          </w:p>
        </w:tc>
        <w:tc>
          <w:tcPr>
            <w:tcW w:w="11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11,792</w:t>
            </w:r>
          </w:p>
        </w:tc>
        <w:tc>
          <w:tcPr>
            <w:tcW w:w="11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11,792</w:t>
            </w:r>
          </w:p>
        </w:tc>
        <w:tc>
          <w:tcPr>
            <w:tcW w:w="17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2,121</w:t>
            </w:r>
          </w:p>
        </w:tc>
        <w:tc>
          <w:tcPr>
            <w:tcW w:w="12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(809)</w:t>
            </w:r>
          </w:p>
        </w:tc>
        <w:tc>
          <w:tcPr>
            <w:tcW w:w="150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13,104</w:t>
            </w:r>
          </w:p>
        </w:tc>
      </w:tr>
      <w:tr w:rsidR="0001091E" w:rsidRPr="0001091E" w:rsidTr="0001091E">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r w:rsidRPr="0001091E">
              <w:rPr>
                <w:rFonts w:ascii="Calibri" w:hAnsi="Calibri" w:cs="Times New Roman"/>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r w:rsidRPr="0001091E">
              <w:rPr>
                <w:rFonts w:ascii="Calibri" w:hAnsi="Calibri" w:cs="Times New Roman"/>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r w:rsidRPr="0001091E">
              <w:rPr>
                <w:rFonts w:ascii="Calibri" w:hAnsi="Calibri" w:cs="Times New Roman"/>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r w:rsidRPr="0001091E">
              <w:rPr>
                <w:rFonts w:ascii="Calibri" w:hAnsi="Calibri" w:cs="Times New Roman"/>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r w:rsidRPr="0001091E">
              <w:rPr>
                <w:rFonts w:ascii="Calibri" w:hAnsi="Calibri" w:cs="Times New Roman"/>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r w:rsidRPr="0001091E">
              <w:rPr>
                <w:rFonts w:ascii="Calibri" w:hAnsi="Calibri" w:cs="Times New Roman"/>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r w:rsidRPr="0001091E">
              <w:rPr>
                <w:rFonts w:ascii="Calibri" w:hAnsi="Calibri" w:cs="Times New Roman"/>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r w:rsidRPr="0001091E">
              <w:rPr>
                <w:rFonts w:ascii="Calibri" w:hAnsi="Calibri" w:cs="Times New Roman"/>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r w:rsidRPr="0001091E">
              <w:rPr>
                <w:rFonts w:ascii="Calibri" w:hAnsi="Calibri" w:cs="Times New Roman"/>
                <w:color w:val="000000"/>
                <w:sz w:val="22"/>
                <w:szCs w:val="22"/>
              </w:rPr>
              <w:t> </w:t>
            </w:r>
          </w:p>
        </w:tc>
      </w:tr>
      <w:tr w:rsidR="0001091E" w:rsidRPr="0001091E" w:rsidTr="0001091E">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01091E" w:rsidRPr="0001091E" w:rsidRDefault="0001091E" w:rsidP="0001091E">
            <w:pPr>
              <w:rPr>
                <w:rFonts w:ascii="Calibri" w:hAnsi="Calibri" w:cs="Times New Roman"/>
                <w:b/>
                <w:bCs/>
                <w:color w:val="000000"/>
                <w:sz w:val="22"/>
                <w:szCs w:val="22"/>
              </w:rPr>
            </w:pPr>
            <w:r w:rsidRPr="0001091E">
              <w:rPr>
                <w:rFonts w:ascii="Calibri" w:hAnsi="Calibri" w:cs="Times New Roman"/>
                <w:b/>
                <w:bCs/>
                <w:color w:val="000000"/>
                <w:sz w:val="22"/>
                <w:szCs w:val="22"/>
              </w:rPr>
              <w:t>County Fund</w:t>
            </w:r>
          </w:p>
        </w:tc>
        <w:tc>
          <w:tcPr>
            <w:tcW w:w="196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56,844</w:t>
            </w:r>
          </w:p>
        </w:tc>
        <w:tc>
          <w:tcPr>
            <w:tcW w:w="17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22,077</w:t>
            </w:r>
          </w:p>
        </w:tc>
        <w:tc>
          <w:tcPr>
            <w:tcW w:w="12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(36,995)</w:t>
            </w:r>
          </w:p>
        </w:tc>
        <w:tc>
          <w:tcPr>
            <w:tcW w:w="112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41,926</w:t>
            </w:r>
          </w:p>
        </w:tc>
        <w:tc>
          <w:tcPr>
            <w:tcW w:w="11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41,926</w:t>
            </w:r>
          </w:p>
        </w:tc>
        <w:tc>
          <w:tcPr>
            <w:tcW w:w="1720" w:type="dxa"/>
            <w:tcBorders>
              <w:top w:val="nil"/>
              <w:left w:val="nil"/>
              <w:bottom w:val="single" w:sz="4" w:space="0" w:color="auto"/>
              <w:right w:val="single" w:sz="4" w:space="0" w:color="auto"/>
            </w:tcBorders>
            <w:shd w:val="clear" w:color="auto" w:fill="auto"/>
            <w:noWrap/>
            <w:vAlign w:val="bottom"/>
            <w:hideMark/>
          </w:tcPr>
          <w:p w:rsidR="0001091E" w:rsidRPr="0001091E" w:rsidRDefault="00165099" w:rsidP="0001091E">
            <w:pPr>
              <w:jc w:val="right"/>
              <w:rPr>
                <w:rFonts w:ascii="Calibri" w:hAnsi="Calibri" w:cs="Times New Roman"/>
                <w:color w:val="000000"/>
                <w:sz w:val="22"/>
                <w:szCs w:val="22"/>
              </w:rPr>
            </w:pPr>
            <w:r>
              <w:rPr>
                <w:rFonts w:ascii="Calibri" w:hAnsi="Calibri" w:cs="Times New Roman"/>
                <w:color w:val="000000"/>
                <w:sz w:val="22"/>
                <w:szCs w:val="22"/>
              </w:rPr>
              <w:t>56,969</w:t>
            </w:r>
          </w:p>
        </w:tc>
        <w:tc>
          <w:tcPr>
            <w:tcW w:w="124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01091E">
            <w:pPr>
              <w:jc w:val="right"/>
              <w:rPr>
                <w:rFonts w:ascii="Calibri" w:hAnsi="Calibri" w:cs="Times New Roman"/>
                <w:color w:val="000000"/>
                <w:sz w:val="22"/>
                <w:szCs w:val="22"/>
              </w:rPr>
            </w:pPr>
            <w:r w:rsidRPr="0001091E">
              <w:rPr>
                <w:rFonts w:ascii="Calibri" w:hAnsi="Calibri" w:cs="Times New Roman"/>
                <w:color w:val="000000"/>
                <w:sz w:val="22"/>
                <w:szCs w:val="22"/>
              </w:rPr>
              <w:t>(62,425)</w:t>
            </w:r>
          </w:p>
        </w:tc>
        <w:tc>
          <w:tcPr>
            <w:tcW w:w="1500" w:type="dxa"/>
            <w:tcBorders>
              <w:top w:val="nil"/>
              <w:left w:val="nil"/>
              <w:bottom w:val="single" w:sz="4" w:space="0" w:color="auto"/>
              <w:right w:val="single" w:sz="4" w:space="0" w:color="auto"/>
            </w:tcBorders>
            <w:shd w:val="clear" w:color="auto" w:fill="auto"/>
            <w:noWrap/>
            <w:vAlign w:val="bottom"/>
            <w:hideMark/>
          </w:tcPr>
          <w:p w:rsidR="0001091E" w:rsidRPr="0001091E" w:rsidRDefault="0001091E" w:rsidP="00165099">
            <w:pPr>
              <w:jc w:val="right"/>
              <w:rPr>
                <w:rFonts w:ascii="Calibri" w:hAnsi="Calibri" w:cs="Times New Roman"/>
                <w:color w:val="000000"/>
                <w:sz w:val="22"/>
                <w:szCs w:val="22"/>
              </w:rPr>
            </w:pPr>
            <w:r w:rsidRPr="0001091E">
              <w:rPr>
                <w:rFonts w:ascii="Calibri" w:hAnsi="Calibri" w:cs="Times New Roman"/>
                <w:color w:val="000000"/>
                <w:sz w:val="22"/>
                <w:szCs w:val="22"/>
              </w:rPr>
              <w:t>3</w:t>
            </w:r>
            <w:r w:rsidR="00165099">
              <w:rPr>
                <w:rFonts w:ascii="Calibri" w:hAnsi="Calibri" w:cs="Times New Roman"/>
                <w:color w:val="000000"/>
                <w:sz w:val="22"/>
                <w:szCs w:val="22"/>
              </w:rPr>
              <w:t>6</w:t>
            </w:r>
            <w:r w:rsidRPr="0001091E">
              <w:rPr>
                <w:rFonts w:ascii="Calibri" w:hAnsi="Calibri" w:cs="Times New Roman"/>
                <w:color w:val="000000"/>
                <w:sz w:val="22"/>
                <w:szCs w:val="22"/>
              </w:rPr>
              <w:t>,</w:t>
            </w:r>
            <w:r w:rsidR="00165099">
              <w:rPr>
                <w:rFonts w:ascii="Calibri" w:hAnsi="Calibri" w:cs="Times New Roman"/>
                <w:color w:val="000000"/>
                <w:sz w:val="22"/>
                <w:szCs w:val="22"/>
              </w:rPr>
              <w:t>469</w:t>
            </w:r>
          </w:p>
        </w:tc>
      </w:tr>
    </w:tbl>
    <w:p w:rsidR="0001091E" w:rsidRDefault="0001091E" w:rsidP="00C3664D">
      <w:pPr>
        <w:spacing w:after="240"/>
        <w:ind w:left="720"/>
        <w:jc w:val="both"/>
      </w:pPr>
    </w:p>
    <w:p w:rsidR="0001091E" w:rsidRDefault="0001091E" w:rsidP="00C3664D">
      <w:pPr>
        <w:spacing w:after="240"/>
        <w:ind w:left="720"/>
        <w:jc w:val="both"/>
      </w:pPr>
    </w:p>
    <w:p w:rsidR="0001091E" w:rsidRDefault="0001091E" w:rsidP="00C3664D">
      <w:pPr>
        <w:spacing w:after="240"/>
        <w:ind w:left="720"/>
        <w:jc w:val="both"/>
      </w:pPr>
    </w:p>
    <w:p w:rsidR="0001091E" w:rsidRDefault="0001091E" w:rsidP="00C3664D">
      <w:pPr>
        <w:spacing w:after="240"/>
        <w:ind w:left="720"/>
        <w:jc w:val="both"/>
      </w:pPr>
    </w:p>
    <w:p w:rsidR="0001091E" w:rsidRDefault="0001091E" w:rsidP="00C3664D">
      <w:pPr>
        <w:spacing w:after="240"/>
        <w:ind w:left="720"/>
        <w:jc w:val="both"/>
      </w:pPr>
    </w:p>
    <w:p w:rsidR="0001091E" w:rsidRDefault="0001091E" w:rsidP="00C3664D">
      <w:pPr>
        <w:spacing w:after="240"/>
        <w:ind w:left="720"/>
        <w:jc w:val="both"/>
      </w:pPr>
    </w:p>
    <w:p w:rsidR="0001091E" w:rsidRDefault="0001091E" w:rsidP="00C3664D">
      <w:pPr>
        <w:spacing w:after="240"/>
        <w:ind w:left="720"/>
        <w:jc w:val="both"/>
      </w:pPr>
    </w:p>
    <w:p w:rsidR="0001091E" w:rsidRDefault="0001091E" w:rsidP="00C3664D">
      <w:pPr>
        <w:spacing w:after="240"/>
        <w:ind w:left="720"/>
        <w:jc w:val="both"/>
      </w:pPr>
    </w:p>
    <w:p w:rsidR="0001091E" w:rsidRPr="0001091E" w:rsidRDefault="0001091E" w:rsidP="00C3664D">
      <w:pPr>
        <w:spacing w:after="240"/>
        <w:ind w:left="720"/>
        <w:jc w:val="both"/>
      </w:pPr>
    </w:p>
    <w:p w:rsidR="00C3664D" w:rsidRPr="00286C0E" w:rsidRDefault="00C3664D" w:rsidP="00C3664D">
      <w:pPr>
        <w:spacing w:after="240"/>
        <w:ind w:left="720"/>
        <w:jc w:val="both"/>
        <w:rPr>
          <w:sz w:val="22"/>
          <w:szCs w:val="22"/>
          <w:highlight w:val="yellow"/>
        </w:rPr>
        <w:sectPr w:rsidR="00C3664D" w:rsidRPr="00286C0E" w:rsidSect="003018D5">
          <w:pgSz w:w="16838" w:h="11906" w:orient="landscape" w:code="9"/>
          <w:pgMar w:top="720" w:right="720" w:bottom="720" w:left="720" w:header="709" w:footer="709" w:gutter="0"/>
          <w:cols w:space="708"/>
          <w:docGrid w:linePitch="360"/>
        </w:sectPr>
      </w:pPr>
    </w:p>
    <w:p w:rsidR="006E7696" w:rsidRPr="0001091E" w:rsidRDefault="006E7696" w:rsidP="00BD07E4">
      <w:pPr>
        <w:numPr>
          <w:ilvl w:val="0"/>
          <w:numId w:val="21"/>
        </w:numPr>
        <w:spacing w:after="240"/>
        <w:rPr>
          <w:b/>
        </w:rPr>
      </w:pPr>
      <w:r w:rsidRPr="0001091E">
        <w:rPr>
          <w:b/>
        </w:rPr>
        <w:lastRenderedPageBreak/>
        <w:t>Revenue reserves</w:t>
      </w:r>
    </w:p>
    <w:p w:rsidR="006E7696" w:rsidRPr="003018D5" w:rsidRDefault="006E7696" w:rsidP="003018D5">
      <w:pPr>
        <w:spacing w:after="240"/>
        <w:jc w:val="both"/>
      </w:pPr>
      <w:r w:rsidRPr="003018D5">
        <w:t>Under the Local Government (Miscellaneous Provisions) Act 1976, we can hold reserves to help us introduce policies in the future. Details of these reserves at 31 March 20</w:t>
      </w:r>
      <w:r w:rsidR="00572A0D" w:rsidRPr="003018D5">
        <w:t>12</w:t>
      </w:r>
      <w:r w:rsidRPr="003018D5">
        <w:t xml:space="preserve"> are set out below. </w:t>
      </w:r>
    </w:p>
    <w:tbl>
      <w:tblPr>
        <w:tblW w:w="10455" w:type="dxa"/>
        <w:tblInd w:w="93" w:type="dxa"/>
        <w:tblLook w:val="04A0"/>
      </w:tblPr>
      <w:tblGrid>
        <w:gridCol w:w="1940"/>
        <w:gridCol w:w="970"/>
        <w:gridCol w:w="686"/>
        <w:gridCol w:w="284"/>
        <w:gridCol w:w="5633"/>
        <w:gridCol w:w="942"/>
      </w:tblGrid>
      <w:tr w:rsidR="0001091E" w:rsidRPr="0001091E" w:rsidTr="001D32BA">
        <w:trPr>
          <w:trHeight w:val="430"/>
        </w:trPr>
        <w:tc>
          <w:tcPr>
            <w:tcW w:w="3596" w:type="dxa"/>
            <w:gridSpan w:val="3"/>
            <w:tcBorders>
              <w:top w:val="nil"/>
              <w:left w:val="nil"/>
              <w:bottom w:val="nil"/>
              <w:right w:val="nil"/>
            </w:tcBorders>
            <w:shd w:val="clear" w:color="auto" w:fill="auto"/>
            <w:noWrap/>
            <w:vAlign w:val="bottom"/>
            <w:hideMark/>
          </w:tcPr>
          <w:p w:rsidR="0001091E" w:rsidRPr="00264633" w:rsidRDefault="0001091E" w:rsidP="0001091E">
            <w:pPr>
              <w:rPr>
                <w:b/>
                <w:bCs/>
                <w:color w:val="000000"/>
                <w:sz w:val="22"/>
                <w:szCs w:val="22"/>
              </w:rPr>
            </w:pPr>
          </w:p>
        </w:tc>
        <w:tc>
          <w:tcPr>
            <w:tcW w:w="284" w:type="dxa"/>
            <w:tcBorders>
              <w:top w:val="nil"/>
              <w:left w:val="nil"/>
              <w:bottom w:val="nil"/>
              <w:right w:val="nil"/>
            </w:tcBorders>
            <w:shd w:val="clear" w:color="auto" w:fill="auto"/>
            <w:noWrap/>
            <w:vAlign w:val="bottom"/>
            <w:hideMark/>
          </w:tcPr>
          <w:p w:rsidR="0001091E" w:rsidRPr="0001091E" w:rsidRDefault="0001091E" w:rsidP="0001091E">
            <w:pPr>
              <w:rPr>
                <w:rFonts w:ascii="Calibri" w:hAnsi="Calibri" w:cs="Times New Roman"/>
                <w:b/>
                <w:bCs/>
                <w:color w:val="000000"/>
                <w:sz w:val="22"/>
                <w:szCs w:val="22"/>
              </w:rPr>
            </w:pPr>
          </w:p>
        </w:tc>
        <w:tc>
          <w:tcPr>
            <w:tcW w:w="5633" w:type="dxa"/>
            <w:tcBorders>
              <w:top w:val="nil"/>
              <w:left w:val="nil"/>
              <w:bottom w:val="nil"/>
              <w:right w:val="nil"/>
            </w:tcBorders>
            <w:shd w:val="clear" w:color="auto" w:fill="auto"/>
            <w:noWrap/>
            <w:vAlign w:val="bottom"/>
            <w:hideMark/>
          </w:tcPr>
          <w:p w:rsidR="0001091E" w:rsidRPr="0001091E" w:rsidRDefault="0001091E" w:rsidP="0001091E">
            <w:pPr>
              <w:rPr>
                <w:rFonts w:ascii="Calibri" w:hAnsi="Calibri" w:cs="Times New Roman"/>
                <w:b/>
                <w:bCs/>
                <w:color w:val="000000"/>
                <w:sz w:val="22"/>
                <w:szCs w:val="22"/>
              </w:rPr>
            </w:pPr>
          </w:p>
        </w:tc>
        <w:tc>
          <w:tcPr>
            <w:tcW w:w="942" w:type="dxa"/>
            <w:tcBorders>
              <w:top w:val="nil"/>
              <w:left w:val="nil"/>
              <w:bottom w:val="nil"/>
              <w:right w:val="nil"/>
            </w:tcBorders>
            <w:shd w:val="clear" w:color="auto" w:fill="auto"/>
            <w:noWrap/>
            <w:vAlign w:val="center"/>
            <w:hideMark/>
          </w:tcPr>
          <w:p w:rsidR="0001091E" w:rsidRPr="0001091E" w:rsidRDefault="0001091E" w:rsidP="001D32BA">
            <w:pPr>
              <w:jc w:val="center"/>
              <w:rPr>
                <w:rFonts w:ascii="Calibri" w:hAnsi="Calibri" w:cs="Times New Roman"/>
                <w:b/>
                <w:bCs/>
                <w:color w:val="000000"/>
                <w:sz w:val="22"/>
                <w:szCs w:val="22"/>
              </w:rPr>
            </w:pPr>
            <w:r>
              <w:rPr>
                <w:rFonts w:ascii="Calibri" w:hAnsi="Calibri" w:cs="Times New Roman"/>
                <w:b/>
                <w:bCs/>
                <w:color w:val="000000"/>
                <w:sz w:val="22"/>
                <w:szCs w:val="22"/>
              </w:rPr>
              <w:t>£</w:t>
            </w:r>
            <w:r w:rsidR="001D32BA">
              <w:rPr>
                <w:rFonts w:ascii="Calibri" w:hAnsi="Calibri" w:cs="Times New Roman"/>
                <w:b/>
                <w:bCs/>
                <w:color w:val="000000"/>
                <w:sz w:val="22"/>
                <w:szCs w:val="22"/>
              </w:rPr>
              <w:t>000</w:t>
            </w:r>
          </w:p>
        </w:tc>
      </w:tr>
      <w:tr w:rsidR="001D32BA" w:rsidRPr="0001091E" w:rsidTr="001D32BA">
        <w:trPr>
          <w:trHeight w:val="310"/>
        </w:trPr>
        <w:tc>
          <w:tcPr>
            <w:tcW w:w="9513" w:type="dxa"/>
            <w:gridSpan w:val="5"/>
            <w:tcBorders>
              <w:top w:val="nil"/>
              <w:left w:val="nil"/>
              <w:bottom w:val="nil"/>
              <w:right w:val="nil"/>
            </w:tcBorders>
            <w:shd w:val="clear" w:color="auto" w:fill="auto"/>
            <w:hideMark/>
          </w:tcPr>
          <w:p w:rsidR="001D32BA" w:rsidRPr="00264633" w:rsidRDefault="001D32BA" w:rsidP="0001091E">
            <w:pPr>
              <w:rPr>
                <w:color w:val="000000"/>
                <w:sz w:val="22"/>
                <w:szCs w:val="22"/>
              </w:rPr>
            </w:pPr>
            <w:r w:rsidRPr="00264633">
              <w:rPr>
                <w:b/>
                <w:bCs/>
                <w:color w:val="000000"/>
                <w:sz w:val="22"/>
                <w:szCs w:val="22"/>
              </w:rPr>
              <w:t>Strategic Investment  Reserve</w:t>
            </w:r>
          </w:p>
        </w:tc>
        <w:tc>
          <w:tcPr>
            <w:tcW w:w="942" w:type="dxa"/>
            <w:tcBorders>
              <w:top w:val="nil"/>
              <w:left w:val="nil"/>
              <w:bottom w:val="nil"/>
              <w:right w:val="nil"/>
            </w:tcBorders>
            <w:shd w:val="clear" w:color="auto" w:fill="auto"/>
            <w:noWrap/>
            <w:hideMark/>
          </w:tcPr>
          <w:p w:rsidR="001D32BA" w:rsidRPr="0001091E" w:rsidRDefault="001D32BA" w:rsidP="001D32BA">
            <w:pPr>
              <w:jc w:val="right"/>
              <w:rPr>
                <w:rFonts w:ascii="Calibri" w:hAnsi="Calibri" w:cs="Times New Roman"/>
                <w:color w:val="000000"/>
                <w:sz w:val="22"/>
                <w:szCs w:val="22"/>
              </w:rPr>
            </w:pPr>
            <w:r w:rsidRPr="0001091E">
              <w:rPr>
                <w:rFonts w:ascii="Calibri" w:hAnsi="Calibri" w:cs="Times New Roman"/>
                <w:b/>
                <w:bCs/>
                <w:color w:val="000000"/>
                <w:sz w:val="22"/>
                <w:szCs w:val="22"/>
              </w:rPr>
              <w:t xml:space="preserve">59,000           </w:t>
            </w:r>
          </w:p>
        </w:tc>
      </w:tr>
      <w:tr w:rsidR="0001091E" w:rsidRPr="0001091E" w:rsidTr="001D32BA">
        <w:trPr>
          <w:trHeight w:val="1107"/>
        </w:trPr>
        <w:tc>
          <w:tcPr>
            <w:tcW w:w="9513" w:type="dxa"/>
            <w:gridSpan w:val="5"/>
            <w:tcBorders>
              <w:top w:val="nil"/>
              <w:left w:val="nil"/>
              <w:bottom w:val="nil"/>
              <w:right w:val="nil"/>
            </w:tcBorders>
            <w:shd w:val="clear" w:color="auto" w:fill="auto"/>
            <w:hideMark/>
          </w:tcPr>
          <w:p w:rsidR="0001091E" w:rsidRPr="00264633" w:rsidRDefault="0001091E" w:rsidP="0001091E">
            <w:pPr>
              <w:rPr>
                <w:color w:val="000000"/>
                <w:sz w:val="22"/>
                <w:szCs w:val="22"/>
              </w:rPr>
            </w:pPr>
            <w:r w:rsidRPr="00264633">
              <w:rPr>
                <w:color w:val="000000"/>
                <w:sz w:val="22"/>
                <w:szCs w:val="22"/>
              </w:rPr>
              <w:t>The Council agreed a programme of investment in areas including the provision of Residential and Respite Care, Economic development, Libraries regeneration, further development of Youth Zones, increasing employment opportunities and the development of Apprenticeship programmes. The Strategic Investment Reserve will deliver the funding for this investment.</w:t>
            </w:r>
          </w:p>
        </w:tc>
        <w:tc>
          <w:tcPr>
            <w:tcW w:w="942" w:type="dxa"/>
            <w:tcBorders>
              <w:top w:val="nil"/>
              <w:left w:val="nil"/>
              <w:bottom w:val="nil"/>
              <w:right w:val="nil"/>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p>
        </w:tc>
      </w:tr>
      <w:tr w:rsidR="001D32BA" w:rsidRPr="0001091E" w:rsidTr="001D32BA">
        <w:trPr>
          <w:trHeight w:val="280"/>
        </w:trPr>
        <w:tc>
          <w:tcPr>
            <w:tcW w:w="2910" w:type="dxa"/>
            <w:gridSpan w:val="2"/>
            <w:tcBorders>
              <w:top w:val="nil"/>
              <w:left w:val="nil"/>
              <w:bottom w:val="nil"/>
              <w:right w:val="nil"/>
            </w:tcBorders>
            <w:shd w:val="clear" w:color="auto" w:fill="auto"/>
            <w:noWrap/>
            <w:vAlign w:val="bottom"/>
            <w:hideMark/>
          </w:tcPr>
          <w:p w:rsidR="001D32BA" w:rsidRPr="00264633" w:rsidRDefault="001D32BA" w:rsidP="0001091E">
            <w:pPr>
              <w:rPr>
                <w:b/>
                <w:bCs/>
                <w:color w:val="000000"/>
                <w:sz w:val="22"/>
                <w:szCs w:val="22"/>
              </w:rPr>
            </w:pPr>
            <w:r w:rsidRPr="00264633">
              <w:rPr>
                <w:b/>
                <w:bCs/>
                <w:color w:val="000000"/>
                <w:sz w:val="22"/>
                <w:szCs w:val="22"/>
              </w:rPr>
              <w:t>Schools Reserves</w:t>
            </w:r>
          </w:p>
        </w:tc>
        <w:tc>
          <w:tcPr>
            <w:tcW w:w="970" w:type="dxa"/>
            <w:gridSpan w:val="2"/>
            <w:tcBorders>
              <w:top w:val="nil"/>
              <w:left w:val="nil"/>
              <w:bottom w:val="nil"/>
              <w:right w:val="nil"/>
            </w:tcBorders>
            <w:shd w:val="clear" w:color="auto" w:fill="auto"/>
            <w:noWrap/>
            <w:vAlign w:val="bottom"/>
            <w:hideMark/>
          </w:tcPr>
          <w:p w:rsidR="001D32BA" w:rsidRPr="00264633" w:rsidRDefault="001D32BA" w:rsidP="0001091E">
            <w:pPr>
              <w:rPr>
                <w:b/>
                <w:bCs/>
                <w:color w:val="000000"/>
                <w:sz w:val="22"/>
                <w:szCs w:val="22"/>
              </w:rPr>
            </w:pPr>
          </w:p>
        </w:tc>
        <w:tc>
          <w:tcPr>
            <w:tcW w:w="5633" w:type="dxa"/>
            <w:tcBorders>
              <w:top w:val="nil"/>
              <w:left w:val="nil"/>
              <w:bottom w:val="nil"/>
              <w:right w:val="nil"/>
            </w:tcBorders>
            <w:shd w:val="clear" w:color="auto" w:fill="auto"/>
            <w:noWrap/>
            <w:vAlign w:val="bottom"/>
            <w:hideMark/>
          </w:tcPr>
          <w:p w:rsidR="001D32BA" w:rsidRPr="0001091E" w:rsidRDefault="001D32BA" w:rsidP="0001091E">
            <w:pPr>
              <w:rPr>
                <w:rFonts w:ascii="Calibri" w:hAnsi="Calibri" w:cs="Times New Roman"/>
                <w:b/>
                <w:bCs/>
                <w:color w:val="000000"/>
                <w:sz w:val="22"/>
                <w:szCs w:val="22"/>
              </w:rPr>
            </w:pPr>
          </w:p>
        </w:tc>
        <w:tc>
          <w:tcPr>
            <w:tcW w:w="942" w:type="dxa"/>
            <w:tcBorders>
              <w:top w:val="nil"/>
              <w:left w:val="nil"/>
              <w:bottom w:val="nil"/>
              <w:right w:val="nil"/>
            </w:tcBorders>
            <w:shd w:val="clear" w:color="auto" w:fill="auto"/>
            <w:noWrap/>
            <w:vAlign w:val="bottom"/>
            <w:hideMark/>
          </w:tcPr>
          <w:p w:rsidR="001D32BA" w:rsidRPr="0001091E" w:rsidRDefault="001D32BA" w:rsidP="001D32BA">
            <w:pPr>
              <w:jc w:val="right"/>
              <w:rPr>
                <w:rFonts w:ascii="Calibri" w:hAnsi="Calibri" w:cs="Times New Roman"/>
                <w:b/>
                <w:bCs/>
                <w:color w:val="000000"/>
                <w:sz w:val="22"/>
                <w:szCs w:val="22"/>
              </w:rPr>
            </w:pPr>
            <w:r w:rsidRPr="0001091E">
              <w:rPr>
                <w:rFonts w:ascii="Calibri" w:hAnsi="Calibri" w:cs="Times New Roman"/>
                <w:b/>
                <w:bCs/>
                <w:color w:val="000000"/>
                <w:sz w:val="22"/>
                <w:szCs w:val="22"/>
              </w:rPr>
              <w:t xml:space="preserve">          53,958 </w:t>
            </w:r>
          </w:p>
        </w:tc>
      </w:tr>
      <w:tr w:rsidR="0001091E" w:rsidRPr="0001091E" w:rsidTr="001D32BA">
        <w:trPr>
          <w:trHeight w:val="861"/>
        </w:trPr>
        <w:tc>
          <w:tcPr>
            <w:tcW w:w="9513" w:type="dxa"/>
            <w:gridSpan w:val="5"/>
            <w:tcBorders>
              <w:top w:val="nil"/>
              <w:left w:val="nil"/>
              <w:bottom w:val="nil"/>
              <w:right w:val="nil"/>
            </w:tcBorders>
            <w:shd w:val="clear" w:color="auto" w:fill="auto"/>
            <w:hideMark/>
          </w:tcPr>
          <w:p w:rsidR="0001091E" w:rsidRPr="00264633" w:rsidRDefault="0001091E" w:rsidP="0001091E">
            <w:pPr>
              <w:rPr>
                <w:color w:val="000000"/>
                <w:sz w:val="22"/>
                <w:szCs w:val="22"/>
              </w:rPr>
            </w:pPr>
            <w:r w:rsidRPr="00264633">
              <w:rPr>
                <w:color w:val="000000"/>
                <w:sz w:val="22"/>
                <w:szCs w:val="22"/>
              </w:rPr>
              <w:t xml:space="preserve">Under the Education Reform Act, schools are given most of their budgets to control.  If a school does not spend </w:t>
            </w:r>
            <w:r w:rsidR="009D499F" w:rsidRPr="00264633">
              <w:rPr>
                <w:color w:val="000000"/>
                <w:sz w:val="22"/>
                <w:szCs w:val="22"/>
              </w:rPr>
              <w:t>its</w:t>
            </w:r>
            <w:r w:rsidRPr="00264633">
              <w:rPr>
                <w:color w:val="000000"/>
                <w:sz w:val="22"/>
                <w:szCs w:val="22"/>
              </w:rPr>
              <w:t xml:space="preserve"> entire budget, we hold it as a reserve for them to use in the future.  This reserve cannot be used for any other purpose.</w:t>
            </w:r>
          </w:p>
        </w:tc>
        <w:tc>
          <w:tcPr>
            <w:tcW w:w="942" w:type="dxa"/>
            <w:tcBorders>
              <w:top w:val="nil"/>
              <w:left w:val="nil"/>
              <w:bottom w:val="nil"/>
              <w:right w:val="nil"/>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p>
        </w:tc>
      </w:tr>
      <w:tr w:rsidR="0001091E" w:rsidRPr="0001091E" w:rsidTr="001D32BA">
        <w:trPr>
          <w:trHeight w:val="280"/>
        </w:trPr>
        <w:tc>
          <w:tcPr>
            <w:tcW w:w="1940" w:type="dxa"/>
            <w:tcBorders>
              <w:top w:val="nil"/>
              <w:left w:val="nil"/>
              <w:bottom w:val="nil"/>
              <w:right w:val="nil"/>
            </w:tcBorders>
            <w:shd w:val="clear" w:color="auto" w:fill="auto"/>
            <w:noWrap/>
            <w:vAlign w:val="bottom"/>
            <w:hideMark/>
          </w:tcPr>
          <w:p w:rsidR="0001091E" w:rsidRPr="00264633" w:rsidRDefault="0001091E" w:rsidP="0001091E">
            <w:pPr>
              <w:rPr>
                <w:b/>
                <w:bCs/>
                <w:color w:val="000000"/>
                <w:sz w:val="22"/>
                <w:szCs w:val="22"/>
              </w:rPr>
            </w:pPr>
            <w:r w:rsidRPr="00264633">
              <w:rPr>
                <w:b/>
                <w:bCs/>
                <w:color w:val="000000"/>
                <w:sz w:val="22"/>
                <w:szCs w:val="22"/>
              </w:rPr>
              <w:t>DFM Balances</w:t>
            </w:r>
          </w:p>
        </w:tc>
        <w:tc>
          <w:tcPr>
            <w:tcW w:w="970" w:type="dxa"/>
            <w:tcBorders>
              <w:top w:val="nil"/>
              <w:left w:val="nil"/>
              <w:bottom w:val="nil"/>
              <w:right w:val="nil"/>
            </w:tcBorders>
            <w:shd w:val="clear" w:color="auto" w:fill="auto"/>
            <w:noWrap/>
            <w:vAlign w:val="bottom"/>
            <w:hideMark/>
          </w:tcPr>
          <w:p w:rsidR="0001091E" w:rsidRPr="00264633" w:rsidRDefault="0001091E" w:rsidP="0001091E">
            <w:pPr>
              <w:rPr>
                <w:b/>
                <w:bCs/>
                <w:color w:val="000000"/>
                <w:sz w:val="22"/>
                <w:szCs w:val="22"/>
              </w:rPr>
            </w:pPr>
          </w:p>
        </w:tc>
        <w:tc>
          <w:tcPr>
            <w:tcW w:w="970" w:type="dxa"/>
            <w:gridSpan w:val="2"/>
            <w:tcBorders>
              <w:top w:val="nil"/>
              <w:left w:val="nil"/>
              <w:bottom w:val="nil"/>
              <w:right w:val="nil"/>
            </w:tcBorders>
            <w:shd w:val="clear" w:color="auto" w:fill="auto"/>
            <w:noWrap/>
            <w:vAlign w:val="bottom"/>
            <w:hideMark/>
          </w:tcPr>
          <w:p w:rsidR="0001091E" w:rsidRPr="00264633" w:rsidRDefault="0001091E" w:rsidP="0001091E">
            <w:pPr>
              <w:rPr>
                <w:b/>
                <w:bCs/>
                <w:color w:val="000000"/>
                <w:sz w:val="22"/>
                <w:szCs w:val="22"/>
              </w:rPr>
            </w:pPr>
          </w:p>
        </w:tc>
        <w:tc>
          <w:tcPr>
            <w:tcW w:w="5633" w:type="dxa"/>
            <w:tcBorders>
              <w:top w:val="nil"/>
              <w:left w:val="nil"/>
              <w:bottom w:val="nil"/>
              <w:right w:val="nil"/>
            </w:tcBorders>
            <w:shd w:val="clear" w:color="auto" w:fill="auto"/>
            <w:noWrap/>
            <w:vAlign w:val="bottom"/>
            <w:hideMark/>
          </w:tcPr>
          <w:p w:rsidR="0001091E" w:rsidRPr="0001091E" w:rsidRDefault="0001091E" w:rsidP="0001091E">
            <w:pPr>
              <w:rPr>
                <w:rFonts w:ascii="Calibri" w:hAnsi="Calibri" w:cs="Times New Roman"/>
                <w:b/>
                <w:bCs/>
                <w:color w:val="000000"/>
                <w:sz w:val="22"/>
                <w:szCs w:val="22"/>
              </w:rPr>
            </w:pPr>
          </w:p>
        </w:tc>
        <w:tc>
          <w:tcPr>
            <w:tcW w:w="942" w:type="dxa"/>
            <w:tcBorders>
              <w:top w:val="nil"/>
              <w:left w:val="nil"/>
              <w:bottom w:val="nil"/>
              <w:right w:val="nil"/>
            </w:tcBorders>
            <w:shd w:val="clear" w:color="auto" w:fill="auto"/>
            <w:noWrap/>
            <w:vAlign w:val="bottom"/>
            <w:hideMark/>
          </w:tcPr>
          <w:p w:rsidR="0001091E" w:rsidRPr="0001091E" w:rsidRDefault="0001091E" w:rsidP="001D32BA">
            <w:pPr>
              <w:jc w:val="right"/>
              <w:rPr>
                <w:rFonts w:ascii="Calibri" w:hAnsi="Calibri" w:cs="Times New Roman"/>
                <w:b/>
                <w:bCs/>
                <w:color w:val="000000"/>
                <w:sz w:val="22"/>
                <w:szCs w:val="22"/>
              </w:rPr>
            </w:pPr>
            <w:r w:rsidRPr="0001091E">
              <w:rPr>
                <w:rFonts w:ascii="Calibri" w:hAnsi="Calibri" w:cs="Times New Roman"/>
                <w:b/>
                <w:bCs/>
                <w:color w:val="000000"/>
                <w:sz w:val="22"/>
                <w:szCs w:val="22"/>
              </w:rPr>
              <w:t xml:space="preserve">          12,004 </w:t>
            </w:r>
          </w:p>
        </w:tc>
      </w:tr>
      <w:tr w:rsidR="0001091E" w:rsidRPr="0001091E" w:rsidTr="001D32BA">
        <w:trPr>
          <w:trHeight w:val="600"/>
        </w:trPr>
        <w:tc>
          <w:tcPr>
            <w:tcW w:w="9513" w:type="dxa"/>
            <w:gridSpan w:val="5"/>
            <w:tcBorders>
              <w:top w:val="nil"/>
              <w:left w:val="nil"/>
              <w:bottom w:val="nil"/>
              <w:right w:val="nil"/>
            </w:tcBorders>
            <w:shd w:val="clear" w:color="auto" w:fill="auto"/>
            <w:hideMark/>
          </w:tcPr>
          <w:p w:rsidR="0001091E" w:rsidRPr="00264633" w:rsidRDefault="0001091E" w:rsidP="0001091E">
            <w:pPr>
              <w:rPr>
                <w:color w:val="000000"/>
                <w:sz w:val="22"/>
                <w:szCs w:val="22"/>
              </w:rPr>
            </w:pPr>
            <w:r w:rsidRPr="00264633">
              <w:rPr>
                <w:color w:val="000000"/>
                <w:sz w:val="22"/>
                <w:szCs w:val="22"/>
              </w:rPr>
              <w:t>These earmarked reserves consist of amounts carried forward for specifically agreed projects within directorates.</w:t>
            </w:r>
          </w:p>
        </w:tc>
        <w:tc>
          <w:tcPr>
            <w:tcW w:w="942" w:type="dxa"/>
            <w:tcBorders>
              <w:top w:val="nil"/>
              <w:left w:val="nil"/>
              <w:bottom w:val="nil"/>
              <w:right w:val="nil"/>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p>
        </w:tc>
      </w:tr>
      <w:tr w:rsidR="0001091E" w:rsidRPr="0001091E" w:rsidTr="001D32BA">
        <w:trPr>
          <w:trHeight w:val="280"/>
        </w:trPr>
        <w:tc>
          <w:tcPr>
            <w:tcW w:w="3880" w:type="dxa"/>
            <w:gridSpan w:val="4"/>
            <w:tcBorders>
              <w:top w:val="nil"/>
              <w:left w:val="nil"/>
              <w:bottom w:val="nil"/>
              <w:right w:val="nil"/>
            </w:tcBorders>
            <w:shd w:val="clear" w:color="auto" w:fill="auto"/>
            <w:noWrap/>
            <w:vAlign w:val="bottom"/>
            <w:hideMark/>
          </w:tcPr>
          <w:p w:rsidR="0001091E" w:rsidRPr="00264633" w:rsidRDefault="0001091E" w:rsidP="0001091E">
            <w:pPr>
              <w:rPr>
                <w:b/>
                <w:bCs/>
                <w:color w:val="000000"/>
                <w:sz w:val="22"/>
                <w:szCs w:val="22"/>
              </w:rPr>
            </w:pPr>
            <w:r w:rsidRPr="00264633">
              <w:rPr>
                <w:b/>
                <w:bCs/>
                <w:color w:val="000000"/>
                <w:sz w:val="22"/>
                <w:szCs w:val="22"/>
              </w:rPr>
              <w:t>Service Transformation Reserve</w:t>
            </w:r>
          </w:p>
        </w:tc>
        <w:tc>
          <w:tcPr>
            <w:tcW w:w="5633" w:type="dxa"/>
            <w:tcBorders>
              <w:top w:val="nil"/>
              <w:left w:val="nil"/>
              <w:bottom w:val="nil"/>
              <w:right w:val="nil"/>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p>
        </w:tc>
        <w:tc>
          <w:tcPr>
            <w:tcW w:w="942" w:type="dxa"/>
            <w:tcBorders>
              <w:top w:val="nil"/>
              <w:left w:val="nil"/>
              <w:bottom w:val="nil"/>
              <w:right w:val="nil"/>
            </w:tcBorders>
            <w:shd w:val="clear" w:color="auto" w:fill="auto"/>
            <w:noWrap/>
            <w:vAlign w:val="bottom"/>
            <w:hideMark/>
          </w:tcPr>
          <w:p w:rsidR="0001091E" w:rsidRPr="0001091E" w:rsidRDefault="0001091E" w:rsidP="001D32BA">
            <w:pPr>
              <w:jc w:val="right"/>
              <w:rPr>
                <w:rFonts w:ascii="Calibri" w:hAnsi="Calibri" w:cs="Times New Roman"/>
                <w:b/>
                <w:bCs/>
                <w:color w:val="000000"/>
                <w:sz w:val="22"/>
                <w:szCs w:val="22"/>
              </w:rPr>
            </w:pPr>
            <w:r w:rsidRPr="0001091E">
              <w:rPr>
                <w:rFonts w:ascii="Calibri" w:hAnsi="Calibri" w:cs="Times New Roman"/>
                <w:b/>
                <w:bCs/>
                <w:color w:val="000000"/>
                <w:sz w:val="22"/>
                <w:szCs w:val="22"/>
              </w:rPr>
              <w:t xml:space="preserve">          18,667 </w:t>
            </w:r>
          </w:p>
        </w:tc>
      </w:tr>
      <w:tr w:rsidR="0001091E" w:rsidRPr="0001091E" w:rsidTr="001D32BA">
        <w:trPr>
          <w:trHeight w:val="600"/>
        </w:trPr>
        <w:tc>
          <w:tcPr>
            <w:tcW w:w="9513" w:type="dxa"/>
            <w:gridSpan w:val="5"/>
            <w:tcBorders>
              <w:top w:val="nil"/>
              <w:left w:val="nil"/>
              <w:bottom w:val="nil"/>
              <w:right w:val="nil"/>
            </w:tcBorders>
            <w:shd w:val="clear" w:color="auto" w:fill="auto"/>
            <w:hideMark/>
          </w:tcPr>
          <w:p w:rsidR="0001091E" w:rsidRPr="001D32BA" w:rsidRDefault="0001091E" w:rsidP="0001091E">
            <w:pPr>
              <w:rPr>
                <w:color w:val="000000"/>
                <w:sz w:val="22"/>
                <w:szCs w:val="22"/>
              </w:rPr>
            </w:pPr>
            <w:r w:rsidRPr="001D32BA">
              <w:rPr>
                <w:color w:val="000000"/>
                <w:sz w:val="22"/>
                <w:szCs w:val="22"/>
              </w:rPr>
              <w:t xml:space="preserve">This reserve consists of amounts set aside for </w:t>
            </w:r>
            <w:r w:rsidR="009D499F" w:rsidRPr="001D32BA">
              <w:rPr>
                <w:color w:val="000000"/>
                <w:sz w:val="22"/>
                <w:szCs w:val="22"/>
              </w:rPr>
              <w:t>upfront</w:t>
            </w:r>
            <w:r w:rsidRPr="001D32BA">
              <w:rPr>
                <w:color w:val="000000"/>
                <w:sz w:val="22"/>
                <w:szCs w:val="22"/>
              </w:rPr>
              <w:t xml:space="preserve"> investment that will enable ongoing improvement in efficiency and deliver future savings.</w:t>
            </w:r>
          </w:p>
        </w:tc>
        <w:tc>
          <w:tcPr>
            <w:tcW w:w="942" w:type="dxa"/>
            <w:tcBorders>
              <w:top w:val="nil"/>
              <w:left w:val="nil"/>
              <w:bottom w:val="nil"/>
              <w:right w:val="nil"/>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p>
        </w:tc>
      </w:tr>
      <w:tr w:rsidR="001D32BA" w:rsidRPr="0001091E" w:rsidTr="001D32BA">
        <w:trPr>
          <w:trHeight w:val="294"/>
        </w:trPr>
        <w:tc>
          <w:tcPr>
            <w:tcW w:w="3880" w:type="dxa"/>
            <w:gridSpan w:val="4"/>
            <w:tcBorders>
              <w:top w:val="nil"/>
              <w:left w:val="nil"/>
              <w:bottom w:val="nil"/>
              <w:right w:val="nil"/>
            </w:tcBorders>
            <w:shd w:val="clear" w:color="auto" w:fill="auto"/>
            <w:noWrap/>
            <w:vAlign w:val="bottom"/>
            <w:hideMark/>
          </w:tcPr>
          <w:p w:rsidR="001D32BA" w:rsidRPr="001D32BA" w:rsidRDefault="001D32BA" w:rsidP="0001091E">
            <w:pPr>
              <w:rPr>
                <w:b/>
                <w:bCs/>
                <w:color w:val="000000"/>
                <w:sz w:val="22"/>
                <w:szCs w:val="22"/>
              </w:rPr>
            </w:pPr>
            <w:r w:rsidRPr="001D32BA">
              <w:rPr>
                <w:b/>
                <w:bCs/>
                <w:color w:val="000000"/>
                <w:sz w:val="22"/>
                <w:szCs w:val="22"/>
              </w:rPr>
              <w:t>Schools DSG Central Items</w:t>
            </w:r>
          </w:p>
        </w:tc>
        <w:tc>
          <w:tcPr>
            <w:tcW w:w="5633" w:type="dxa"/>
            <w:tcBorders>
              <w:top w:val="nil"/>
              <w:left w:val="nil"/>
              <w:bottom w:val="nil"/>
              <w:right w:val="nil"/>
            </w:tcBorders>
            <w:shd w:val="clear" w:color="auto" w:fill="auto"/>
            <w:noWrap/>
            <w:vAlign w:val="bottom"/>
            <w:hideMark/>
          </w:tcPr>
          <w:p w:rsidR="001D32BA" w:rsidRPr="0001091E" w:rsidRDefault="001D32BA" w:rsidP="0001091E">
            <w:pPr>
              <w:rPr>
                <w:rFonts w:ascii="Calibri" w:hAnsi="Calibri" w:cs="Times New Roman"/>
                <w:b/>
                <w:bCs/>
                <w:color w:val="000000"/>
                <w:sz w:val="22"/>
                <w:szCs w:val="22"/>
              </w:rPr>
            </w:pPr>
          </w:p>
        </w:tc>
        <w:tc>
          <w:tcPr>
            <w:tcW w:w="942" w:type="dxa"/>
            <w:tcBorders>
              <w:top w:val="nil"/>
              <w:left w:val="nil"/>
              <w:bottom w:val="nil"/>
              <w:right w:val="nil"/>
            </w:tcBorders>
            <w:shd w:val="clear" w:color="auto" w:fill="auto"/>
            <w:noWrap/>
            <w:vAlign w:val="bottom"/>
            <w:hideMark/>
          </w:tcPr>
          <w:p w:rsidR="001D32BA" w:rsidRPr="0001091E" w:rsidRDefault="001D32BA" w:rsidP="001D32BA">
            <w:pPr>
              <w:jc w:val="right"/>
              <w:rPr>
                <w:rFonts w:ascii="Calibri" w:hAnsi="Calibri" w:cs="Times New Roman"/>
                <w:b/>
                <w:bCs/>
                <w:color w:val="000000"/>
                <w:sz w:val="22"/>
                <w:szCs w:val="22"/>
              </w:rPr>
            </w:pPr>
            <w:r w:rsidRPr="0001091E">
              <w:rPr>
                <w:rFonts w:ascii="Calibri" w:hAnsi="Calibri" w:cs="Times New Roman"/>
                <w:b/>
                <w:bCs/>
                <w:color w:val="000000"/>
                <w:sz w:val="22"/>
                <w:szCs w:val="22"/>
              </w:rPr>
              <w:t xml:space="preserve">          16,512 </w:t>
            </w:r>
          </w:p>
        </w:tc>
      </w:tr>
      <w:tr w:rsidR="0001091E" w:rsidRPr="0001091E" w:rsidTr="001D32BA">
        <w:trPr>
          <w:trHeight w:val="636"/>
        </w:trPr>
        <w:tc>
          <w:tcPr>
            <w:tcW w:w="9513" w:type="dxa"/>
            <w:gridSpan w:val="5"/>
            <w:tcBorders>
              <w:top w:val="nil"/>
              <w:left w:val="nil"/>
              <w:bottom w:val="nil"/>
              <w:right w:val="nil"/>
            </w:tcBorders>
            <w:shd w:val="clear" w:color="auto" w:fill="auto"/>
            <w:hideMark/>
          </w:tcPr>
          <w:p w:rsidR="0001091E" w:rsidRPr="001D32BA" w:rsidRDefault="0001091E" w:rsidP="0001091E">
            <w:pPr>
              <w:rPr>
                <w:color w:val="000000"/>
                <w:sz w:val="22"/>
                <w:szCs w:val="22"/>
              </w:rPr>
            </w:pPr>
            <w:r w:rsidRPr="001D32BA">
              <w:rPr>
                <w:color w:val="000000"/>
                <w:sz w:val="22"/>
                <w:szCs w:val="22"/>
              </w:rPr>
              <w:t>This is the amount carried forward from the schools budget for central items, to be used in support of the Schools Budget in future years</w:t>
            </w:r>
          </w:p>
        </w:tc>
        <w:tc>
          <w:tcPr>
            <w:tcW w:w="942" w:type="dxa"/>
            <w:tcBorders>
              <w:top w:val="nil"/>
              <w:left w:val="nil"/>
              <w:bottom w:val="nil"/>
              <w:right w:val="nil"/>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p>
        </w:tc>
      </w:tr>
      <w:tr w:rsidR="0001091E" w:rsidRPr="0001091E" w:rsidTr="001D32BA">
        <w:trPr>
          <w:trHeight w:val="280"/>
        </w:trPr>
        <w:tc>
          <w:tcPr>
            <w:tcW w:w="2910" w:type="dxa"/>
            <w:gridSpan w:val="2"/>
            <w:tcBorders>
              <w:top w:val="nil"/>
              <w:left w:val="nil"/>
              <w:bottom w:val="nil"/>
              <w:right w:val="nil"/>
            </w:tcBorders>
            <w:shd w:val="clear" w:color="auto" w:fill="auto"/>
            <w:noWrap/>
            <w:vAlign w:val="bottom"/>
            <w:hideMark/>
          </w:tcPr>
          <w:p w:rsidR="0001091E" w:rsidRPr="001D32BA" w:rsidRDefault="0001091E" w:rsidP="0001091E">
            <w:pPr>
              <w:rPr>
                <w:b/>
                <w:bCs/>
                <w:color w:val="000000"/>
                <w:sz w:val="22"/>
                <w:szCs w:val="22"/>
              </w:rPr>
            </w:pPr>
            <w:r w:rsidRPr="001D32BA">
              <w:rPr>
                <w:b/>
                <w:bCs/>
                <w:color w:val="000000"/>
                <w:sz w:val="22"/>
                <w:szCs w:val="22"/>
              </w:rPr>
              <w:t>Restructure Reserve</w:t>
            </w:r>
          </w:p>
        </w:tc>
        <w:tc>
          <w:tcPr>
            <w:tcW w:w="970" w:type="dxa"/>
            <w:gridSpan w:val="2"/>
            <w:tcBorders>
              <w:top w:val="nil"/>
              <w:left w:val="nil"/>
              <w:bottom w:val="nil"/>
              <w:right w:val="nil"/>
            </w:tcBorders>
            <w:shd w:val="clear" w:color="auto" w:fill="auto"/>
            <w:noWrap/>
            <w:vAlign w:val="bottom"/>
            <w:hideMark/>
          </w:tcPr>
          <w:p w:rsidR="0001091E" w:rsidRPr="001D32BA" w:rsidRDefault="0001091E" w:rsidP="0001091E">
            <w:pPr>
              <w:rPr>
                <w:b/>
                <w:bCs/>
                <w:color w:val="000000"/>
                <w:sz w:val="22"/>
                <w:szCs w:val="22"/>
              </w:rPr>
            </w:pPr>
          </w:p>
        </w:tc>
        <w:tc>
          <w:tcPr>
            <w:tcW w:w="5633" w:type="dxa"/>
            <w:tcBorders>
              <w:top w:val="nil"/>
              <w:left w:val="nil"/>
              <w:bottom w:val="nil"/>
              <w:right w:val="nil"/>
            </w:tcBorders>
            <w:shd w:val="clear" w:color="auto" w:fill="auto"/>
            <w:noWrap/>
            <w:vAlign w:val="bottom"/>
            <w:hideMark/>
          </w:tcPr>
          <w:p w:rsidR="0001091E" w:rsidRPr="0001091E" w:rsidRDefault="0001091E" w:rsidP="0001091E">
            <w:pPr>
              <w:rPr>
                <w:rFonts w:ascii="Calibri" w:hAnsi="Calibri" w:cs="Times New Roman"/>
                <w:b/>
                <w:bCs/>
                <w:color w:val="000000"/>
                <w:sz w:val="22"/>
                <w:szCs w:val="22"/>
              </w:rPr>
            </w:pPr>
          </w:p>
        </w:tc>
        <w:tc>
          <w:tcPr>
            <w:tcW w:w="942" w:type="dxa"/>
            <w:tcBorders>
              <w:top w:val="nil"/>
              <w:left w:val="nil"/>
              <w:bottom w:val="nil"/>
              <w:right w:val="nil"/>
            </w:tcBorders>
            <w:shd w:val="clear" w:color="auto" w:fill="auto"/>
            <w:noWrap/>
            <w:vAlign w:val="bottom"/>
            <w:hideMark/>
          </w:tcPr>
          <w:p w:rsidR="0001091E" w:rsidRPr="0001091E" w:rsidRDefault="0001091E" w:rsidP="001D32BA">
            <w:pPr>
              <w:jc w:val="right"/>
              <w:rPr>
                <w:rFonts w:ascii="Calibri" w:hAnsi="Calibri" w:cs="Times New Roman"/>
                <w:b/>
                <w:bCs/>
                <w:color w:val="000000"/>
                <w:sz w:val="22"/>
                <w:szCs w:val="22"/>
              </w:rPr>
            </w:pPr>
            <w:r w:rsidRPr="0001091E">
              <w:rPr>
                <w:rFonts w:ascii="Calibri" w:hAnsi="Calibri" w:cs="Times New Roman"/>
                <w:b/>
                <w:bCs/>
                <w:color w:val="000000"/>
                <w:sz w:val="22"/>
                <w:szCs w:val="22"/>
              </w:rPr>
              <w:t xml:space="preserve">          11,267 </w:t>
            </w:r>
          </w:p>
        </w:tc>
      </w:tr>
      <w:tr w:rsidR="0001091E" w:rsidRPr="0001091E" w:rsidTr="001D32BA">
        <w:trPr>
          <w:trHeight w:val="562"/>
        </w:trPr>
        <w:tc>
          <w:tcPr>
            <w:tcW w:w="9513" w:type="dxa"/>
            <w:gridSpan w:val="5"/>
            <w:tcBorders>
              <w:top w:val="nil"/>
              <w:left w:val="nil"/>
              <w:bottom w:val="nil"/>
              <w:right w:val="nil"/>
            </w:tcBorders>
            <w:shd w:val="clear" w:color="auto" w:fill="auto"/>
            <w:hideMark/>
          </w:tcPr>
          <w:p w:rsidR="0001091E" w:rsidRPr="001D32BA" w:rsidRDefault="0001091E" w:rsidP="0001091E">
            <w:pPr>
              <w:rPr>
                <w:color w:val="000000"/>
                <w:sz w:val="22"/>
                <w:szCs w:val="22"/>
              </w:rPr>
            </w:pPr>
            <w:r w:rsidRPr="001D32BA">
              <w:rPr>
                <w:color w:val="000000"/>
                <w:sz w:val="22"/>
                <w:szCs w:val="22"/>
              </w:rPr>
              <w:t>This reserve has been set up to provide for future costs that will arise from the restructuring of the organisation</w:t>
            </w:r>
          </w:p>
        </w:tc>
        <w:tc>
          <w:tcPr>
            <w:tcW w:w="942" w:type="dxa"/>
            <w:tcBorders>
              <w:top w:val="nil"/>
              <w:left w:val="nil"/>
              <w:bottom w:val="nil"/>
              <w:right w:val="nil"/>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p>
        </w:tc>
      </w:tr>
      <w:tr w:rsidR="0001091E" w:rsidRPr="0001091E" w:rsidTr="001D32BA">
        <w:trPr>
          <w:trHeight w:val="280"/>
        </w:trPr>
        <w:tc>
          <w:tcPr>
            <w:tcW w:w="2910" w:type="dxa"/>
            <w:gridSpan w:val="2"/>
            <w:tcBorders>
              <w:top w:val="nil"/>
              <w:left w:val="nil"/>
              <w:bottom w:val="nil"/>
              <w:right w:val="nil"/>
            </w:tcBorders>
            <w:shd w:val="clear" w:color="auto" w:fill="auto"/>
            <w:noWrap/>
            <w:vAlign w:val="bottom"/>
            <w:hideMark/>
          </w:tcPr>
          <w:p w:rsidR="0001091E" w:rsidRPr="001D32BA" w:rsidRDefault="0001091E" w:rsidP="0001091E">
            <w:pPr>
              <w:rPr>
                <w:b/>
                <w:bCs/>
                <w:color w:val="000000"/>
                <w:sz w:val="22"/>
                <w:szCs w:val="22"/>
              </w:rPr>
            </w:pPr>
            <w:r w:rsidRPr="001D32BA">
              <w:rPr>
                <w:b/>
                <w:bCs/>
                <w:color w:val="000000"/>
                <w:sz w:val="22"/>
                <w:szCs w:val="22"/>
              </w:rPr>
              <w:t>Other Revenue Reserves</w:t>
            </w:r>
          </w:p>
        </w:tc>
        <w:tc>
          <w:tcPr>
            <w:tcW w:w="970" w:type="dxa"/>
            <w:gridSpan w:val="2"/>
            <w:tcBorders>
              <w:top w:val="nil"/>
              <w:left w:val="nil"/>
              <w:bottom w:val="nil"/>
              <w:right w:val="nil"/>
            </w:tcBorders>
            <w:shd w:val="clear" w:color="auto" w:fill="auto"/>
            <w:noWrap/>
            <w:vAlign w:val="bottom"/>
            <w:hideMark/>
          </w:tcPr>
          <w:p w:rsidR="0001091E" w:rsidRPr="001D32BA" w:rsidRDefault="0001091E" w:rsidP="0001091E">
            <w:pPr>
              <w:rPr>
                <w:b/>
                <w:bCs/>
                <w:color w:val="000000"/>
                <w:sz w:val="22"/>
                <w:szCs w:val="22"/>
              </w:rPr>
            </w:pPr>
          </w:p>
        </w:tc>
        <w:tc>
          <w:tcPr>
            <w:tcW w:w="5633" w:type="dxa"/>
            <w:tcBorders>
              <w:top w:val="nil"/>
              <w:left w:val="nil"/>
              <w:bottom w:val="nil"/>
              <w:right w:val="nil"/>
            </w:tcBorders>
            <w:shd w:val="clear" w:color="auto" w:fill="auto"/>
            <w:noWrap/>
            <w:vAlign w:val="bottom"/>
            <w:hideMark/>
          </w:tcPr>
          <w:p w:rsidR="0001091E" w:rsidRPr="0001091E" w:rsidRDefault="0001091E" w:rsidP="0001091E">
            <w:pPr>
              <w:rPr>
                <w:rFonts w:ascii="Calibri" w:hAnsi="Calibri" w:cs="Times New Roman"/>
                <w:b/>
                <w:bCs/>
                <w:color w:val="000000"/>
                <w:sz w:val="22"/>
                <w:szCs w:val="22"/>
              </w:rPr>
            </w:pPr>
          </w:p>
        </w:tc>
        <w:tc>
          <w:tcPr>
            <w:tcW w:w="942" w:type="dxa"/>
            <w:tcBorders>
              <w:top w:val="nil"/>
              <w:left w:val="nil"/>
              <w:bottom w:val="nil"/>
              <w:right w:val="nil"/>
            </w:tcBorders>
            <w:shd w:val="clear" w:color="auto" w:fill="auto"/>
            <w:noWrap/>
            <w:vAlign w:val="bottom"/>
            <w:hideMark/>
          </w:tcPr>
          <w:p w:rsidR="0001091E" w:rsidRPr="0001091E" w:rsidRDefault="0001091E" w:rsidP="001D32BA">
            <w:pPr>
              <w:jc w:val="right"/>
              <w:rPr>
                <w:rFonts w:ascii="Calibri" w:hAnsi="Calibri" w:cs="Times New Roman"/>
                <w:b/>
                <w:bCs/>
                <w:color w:val="000000"/>
                <w:sz w:val="22"/>
                <w:szCs w:val="22"/>
              </w:rPr>
            </w:pPr>
            <w:r w:rsidRPr="0001091E">
              <w:rPr>
                <w:rFonts w:ascii="Calibri" w:hAnsi="Calibri" w:cs="Times New Roman"/>
                <w:b/>
                <w:bCs/>
                <w:color w:val="000000"/>
                <w:sz w:val="22"/>
                <w:szCs w:val="22"/>
              </w:rPr>
              <w:t xml:space="preserve">          68,542 </w:t>
            </w:r>
          </w:p>
        </w:tc>
      </w:tr>
      <w:tr w:rsidR="0001091E" w:rsidRPr="0001091E" w:rsidTr="001D32BA">
        <w:trPr>
          <w:trHeight w:val="905"/>
        </w:trPr>
        <w:tc>
          <w:tcPr>
            <w:tcW w:w="9513" w:type="dxa"/>
            <w:gridSpan w:val="5"/>
            <w:tcBorders>
              <w:top w:val="nil"/>
              <w:left w:val="nil"/>
              <w:bottom w:val="nil"/>
              <w:right w:val="nil"/>
            </w:tcBorders>
            <w:shd w:val="clear" w:color="auto" w:fill="auto"/>
            <w:hideMark/>
          </w:tcPr>
          <w:p w:rsidR="0001091E" w:rsidRPr="001D32BA" w:rsidRDefault="0001091E" w:rsidP="0001091E">
            <w:pPr>
              <w:rPr>
                <w:color w:val="000000"/>
                <w:sz w:val="22"/>
                <w:szCs w:val="22"/>
              </w:rPr>
            </w:pPr>
            <w:r w:rsidRPr="001D32BA">
              <w:rPr>
                <w:color w:val="000000"/>
                <w:sz w:val="22"/>
                <w:szCs w:val="22"/>
              </w:rPr>
              <w:t>We have a number of other reserves held for future policy purposes or to cover contingencies, including adult social care transition and early intervention, children's social care, buildings repair and maintenance and business rate volatility.</w:t>
            </w:r>
          </w:p>
        </w:tc>
        <w:tc>
          <w:tcPr>
            <w:tcW w:w="942" w:type="dxa"/>
            <w:tcBorders>
              <w:top w:val="nil"/>
              <w:left w:val="nil"/>
              <w:bottom w:val="nil"/>
              <w:right w:val="nil"/>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p>
        </w:tc>
      </w:tr>
      <w:tr w:rsidR="0001091E" w:rsidRPr="0001091E" w:rsidTr="001D32BA">
        <w:trPr>
          <w:trHeight w:val="294"/>
        </w:trPr>
        <w:tc>
          <w:tcPr>
            <w:tcW w:w="2910" w:type="dxa"/>
            <w:gridSpan w:val="2"/>
            <w:tcBorders>
              <w:top w:val="single" w:sz="4" w:space="0" w:color="auto"/>
              <w:left w:val="nil"/>
              <w:bottom w:val="single" w:sz="8" w:space="0" w:color="auto"/>
              <w:right w:val="nil"/>
            </w:tcBorders>
            <w:shd w:val="clear" w:color="auto" w:fill="auto"/>
            <w:noWrap/>
            <w:vAlign w:val="bottom"/>
            <w:hideMark/>
          </w:tcPr>
          <w:p w:rsidR="0001091E" w:rsidRPr="001D32BA" w:rsidRDefault="0001091E" w:rsidP="0001091E">
            <w:pPr>
              <w:rPr>
                <w:rFonts w:ascii="Calibri" w:hAnsi="Calibri" w:cs="Times New Roman"/>
                <w:b/>
                <w:bCs/>
                <w:color w:val="000000"/>
                <w:sz w:val="22"/>
                <w:szCs w:val="22"/>
              </w:rPr>
            </w:pPr>
            <w:r w:rsidRPr="001D32BA">
              <w:rPr>
                <w:rFonts w:ascii="Calibri" w:hAnsi="Calibri" w:cs="Times New Roman"/>
                <w:b/>
                <w:bCs/>
                <w:color w:val="000000"/>
                <w:sz w:val="22"/>
                <w:szCs w:val="22"/>
              </w:rPr>
              <w:t>Total Revenue Reserves</w:t>
            </w:r>
          </w:p>
        </w:tc>
        <w:tc>
          <w:tcPr>
            <w:tcW w:w="970" w:type="dxa"/>
            <w:gridSpan w:val="2"/>
            <w:tcBorders>
              <w:top w:val="single" w:sz="4" w:space="0" w:color="auto"/>
              <w:left w:val="nil"/>
              <w:bottom w:val="single" w:sz="8" w:space="0" w:color="auto"/>
              <w:right w:val="nil"/>
            </w:tcBorders>
            <w:shd w:val="clear" w:color="auto" w:fill="auto"/>
            <w:noWrap/>
            <w:vAlign w:val="bottom"/>
            <w:hideMark/>
          </w:tcPr>
          <w:p w:rsidR="0001091E" w:rsidRPr="001D32BA" w:rsidRDefault="0001091E" w:rsidP="0001091E">
            <w:pPr>
              <w:rPr>
                <w:rFonts w:ascii="Calibri" w:hAnsi="Calibri" w:cs="Times New Roman"/>
                <w:color w:val="000000"/>
                <w:sz w:val="22"/>
                <w:szCs w:val="22"/>
              </w:rPr>
            </w:pPr>
            <w:r w:rsidRPr="001D32BA">
              <w:rPr>
                <w:rFonts w:ascii="Calibri" w:hAnsi="Calibri" w:cs="Times New Roman"/>
                <w:color w:val="000000"/>
                <w:sz w:val="22"/>
                <w:szCs w:val="22"/>
              </w:rPr>
              <w:t> </w:t>
            </w:r>
          </w:p>
        </w:tc>
        <w:tc>
          <w:tcPr>
            <w:tcW w:w="5633" w:type="dxa"/>
            <w:tcBorders>
              <w:top w:val="single" w:sz="4" w:space="0" w:color="auto"/>
              <w:left w:val="nil"/>
              <w:bottom w:val="single" w:sz="8" w:space="0" w:color="auto"/>
              <w:right w:val="nil"/>
            </w:tcBorders>
            <w:shd w:val="clear" w:color="auto" w:fill="auto"/>
            <w:noWrap/>
            <w:vAlign w:val="bottom"/>
            <w:hideMark/>
          </w:tcPr>
          <w:p w:rsidR="0001091E" w:rsidRPr="0001091E" w:rsidRDefault="0001091E" w:rsidP="0001091E">
            <w:pPr>
              <w:rPr>
                <w:rFonts w:ascii="Calibri" w:hAnsi="Calibri" w:cs="Times New Roman"/>
                <w:color w:val="000000"/>
                <w:sz w:val="22"/>
                <w:szCs w:val="22"/>
              </w:rPr>
            </w:pPr>
            <w:r w:rsidRPr="0001091E">
              <w:rPr>
                <w:rFonts w:ascii="Calibri" w:hAnsi="Calibri" w:cs="Times New Roman"/>
                <w:color w:val="000000"/>
                <w:sz w:val="22"/>
                <w:szCs w:val="22"/>
              </w:rPr>
              <w:t> </w:t>
            </w:r>
          </w:p>
        </w:tc>
        <w:tc>
          <w:tcPr>
            <w:tcW w:w="942" w:type="dxa"/>
            <w:tcBorders>
              <w:top w:val="single" w:sz="4" w:space="0" w:color="auto"/>
              <w:left w:val="nil"/>
              <w:bottom w:val="single" w:sz="8" w:space="0" w:color="auto"/>
              <w:right w:val="nil"/>
            </w:tcBorders>
            <w:shd w:val="clear" w:color="auto" w:fill="auto"/>
            <w:noWrap/>
            <w:vAlign w:val="bottom"/>
            <w:hideMark/>
          </w:tcPr>
          <w:p w:rsidR="0001091E" w:rsidRPr="0001091E" w:rsidRDefault="0001091E" w:rsidP="001D32BA">
            <w:pPr>
              <w:jc w:val="right"/>
              <w:rPr>
                <w:rFonts w:ascii="Calibri" w:hAnsi="Calibri" w:cs="Times New Roman"/>
                <w:b/>
                <w:bCs/>
                <w:color w:val="000000"/>
                <w:sz w:val="22"/>
                <w:szCs w:val="22"/>
              </w:rPr>
            </w:pPr>
            <w:r w:rsidRPr="0001091E">
              <w:rPr>
                <w:rFonts w:ascii="Calibri" w:hAnsi="Calibri" w:cs="Times New Roman"/>
                <w:b/>
                <w:bCs/>
                <w:color w:val="000000"/>
                <w:sz w:val="22"/>
                <w:szCs w:val="22"/>
              </w:rPr>
              <w:t xml:space="preserve">        239,951 </w:t>
            </w:r>
          </w:p>
        </w:tc>
      </w:tr>
    </w:tbl>
    <w:p w:rsidR="00384EDD" w:rsidRDefault="00384EDD" w:rsidP="006E7696">
      <w:pPr>
        <w:spacing w:after="240"/>
        <w:rPr>
          <w:b/>
          <w:highlight w:val="yellow"/>
        </w:rPr>
      </w:pPr>
    </w:p>
    <w:p w:rsidR="001D32BA" w:rsidRDefault="001D32BA" w:rsidP="006E7696">
      <w:pPr>
        <w:spacing w:after="240"/>
        <w:rPr>
          <w:b/>
          <w:highlight w:val="yellow"/>
        </w:rPr>
      </w:pPr>
    </w:p>
    <w:p w:rsidR="001D32BA" w:rsidRDefault="001D32BA" w:rsidP="006E7696">
      <w:pPr>
        <w:spacing w:after="240"/>
        <w:rPr>
          <w:b/>
          <w:highlight w:val="yellow"/>
        </w:rPr>
      </w:pPr>
    </w:p>
    <w:p w:rsidR="001D32BA" w:rsidRDefault="001D32BA" w:rsidP="006E7696">
      <w:pPr>
        <w:spacing w:after="240"/>
        <w:rPr>
          <w:b/>
          <w:highlight w:val="yellow"/>
        </w:rPr>
      </w:pPr>
    </w:p>
    <w:p w:rsidR="001D32BA" w:rsidRDefault="001D32BA" w:rsidP="006E7696">
      <w:pPr>
        <w:spacing w:after="240"/>
        <w:rPr>
          <w:b/>
          <w:highlight w:val="yellow"/>
        </w:rPr>
      </w:pPr>
    </w:p>
    <w:p w:rsidR="006E7696" w:rsidRPr="00286C0E" w:rsidRDefault="006E7696" w:rsidP="00A1169B">
      <w:pPr>
        <w:rPr>
          <w:b/>
          <w:i/>
          <w:szCs w:val="18"/>
          <w:highlight w:val="yellow"/>
        </w:rPr>
      </w:pPr>
    </w:p>
    <w:p w:rsidR="00A1169B" w:rsidRPr="0089728B" w:rsidRDefault="00C3664D" w:rsidP="00A1169B">
      <w:pPr>
        <w:rPr>
          <w:b/>
          <w:i/>
          <w:szCs w:val="18"/>
        </w:rPr>
      </w:pPr>
      <w:r w:rsidRPr="0089728B">
        <w:rPr>
          <w:b/>
          <w:i/>
          <w:szCs w:val="18"/>
        </w:rPr>
        <w:lastRenderedPageBreak/>
        <w:t>Notes to the Comprehensive Income and Expenditure Statement</w:t>
      </w:r>
    </w:p>
    <w:p w:rsidR="00C3664D" w:rsidRPr="0089728B" w:rsidRDefault="00C3664D" w:rsidP="00A1169B">
      <w:pPr>
        <w:rPr>
          <w:b/>
          <w:i/>
          <w:sz w:val="18"/>
          <w:szCs w:val="18"/>
        </w:rPr>
      </w:pPr>
    </w:p>
    <w:p w:rsidR="00A1169B" w:rsidRPr="0089728B" w:rsidRDefault="00A1169B" w:rsidP="00A1169B">
      <w:pPr>
        <w:ind w:left="720"/>
      </w:pPr>
    </w:p>
    <w:p w:rsidR="00083A55" w:rsidRPr="0089728B" w:rsidRDefault="00083A55" w:rsidP="00BD07E4">
      <w:pPr>
        <w:numPr>
          <w:ilvl w:val="0"/>
          <w:numId w:val="21"/>
        </w:numPr>
        <w:spacing w:after="240"/>
      </w:pPr>
      <w:r w:rsidRPr="0089728B">
        <w:rPr>
          <w:b/>
        </w:rPr>
        <w:t>Material items of income and expenditure</w:t>
      </w:r>
      <w:r w:rsidR="00F34549" w:rsidRPr="0089728B">
        <w:rPr>
          <w:b/>
        </w:rPr>
        <w:t xml:space="preserve"> </w:t>
      </w:r>
    </w:p>
    <w:p w:rsidR="0089728B" w:rsidRPr="0089728B" w:rsidRDefault="0089728B" w:rsidP="0089728B">
      <w:pPr>
        <w:ind w:left="720"/>
        <w:jc w:val="both"/>
        <w:rPr>
          <w:color w:val="000000"/>
        </w:rPr>
      </w:pPr>
      <w:r w:rsidRPr="0089728B">
        <w:rPr>
          <w:color w:val="000000"/>
        </w:rPr>
        <w:t xml:space="preserve">The guidance requires that where items are not disclosed on the face of the Comprehensive I&amp;E statement, the nature and amount of material items should be set in a note. In 2011/12 there </w:t>
      </w:r>
      <w:r w:rsidR="009D499F" w:rsidRPr="0089728B">
        <w:rPr>
          <w:color w:val="000000"/>
        </w:rPr>
        <w:t>were</w:t>
      </w:r>
      <w:r w:rsidRPr="0089728B">
        <w:rPr>
          <w:color w:val="000000"/>
        </w:rPr>
        <w:t xml:space="preserve"> n</w:t>
      </w:r>
      <w:r w:rsidR="00121E3C">
        <w:rPr>
          <w:color w:val="000000"/>
        </w:rPr>
        <w:t>o material items of income and e</w:t>
      </w:r>
      <w:r w:rsidRPr="0089728B">
        <w:rPr>
          <w:color w:val="000000"/>
        </w:rPr>
        <w:t xml:space="preserve">xpenditure for Lancashire </w:t>
      </w:r>
      <w:r w:rsidR="001F1A1A">
        <w:rPr>
          <w:color w:val="000000"/>
        </w:rPr>
        <w:t>County Council</w:t>
      </w:r>
      <w:r w:rsidRPr="0089728B">
        <w:rPr>
          <w:color w:val="000000"/>
        </w:rPr>
        <w:t xml:space="preserve"> which have not been disclosed on the face of the Comprehensive I&amp;E.</w:t>
      </w:r>
    </w:p>
    <w:p w:rsidR="0089728B" w:rsidRDefault="0089728B" w:rsidP="00BC6A99">
      <w:pPr>
        <w:spacing w:after="240"/>
        <w:ind w:left="720"/>
        <w:jc w:val="both"/>
        <w:rPr>
          <w:highlight w:val="yellow"/>
        </w:rPr>
      </w:pPr>
    </w:p>
    <w:p w:rsidR="008F72C1" w:rsidRPr="0089728B" w:rsidRDefault="008F72C1" w:rsidP="00165099">
      <w:pPr>
        <w:spacing w:after="240"/>
      </w:pPr>
    </w:p>
    <w:p w:rsidR="000C09DD" w:rsidRPr="0089728B" w:rsidRDefault="004F5BE4" w:rsidP="00BD07E4">
      <w:pPr>
        <w:numPr>
          <w:ilvl w:val="0"/>
          <w:numId w:val="21"/>
        </w:numPr>
        <w:rPr>
          <w:b/>
          <w:bCs/>
          <w:color w:val="000000"/>
          <w:szCs w:val="18"/>
        </w:rPr>
      </w:pPr>
      <w:r w:rsidRPr="0089728B">
        <w:rPr>
          <w:b/>
          <w:bCs/>
          <w:color w:val="000000"/>
          <w:szCs w:val="18"/>
        </w:rPr>
        <w:t>Other Operating Expenditure</w:t>
      </w:r>
    </w:p>
    <w:p w:rsidR="004F5BE4" w:rsidRPr="0089728B" w:rsidRDefault="004F5BE4" w:rsidP="004F5BE4">
      <w:pPr>
        <w:rPr>
          <w:rFonts w:ascii="Calibri" w:hAnsi="Calibri"/>
          <w:b/>
          <w:bCs/>
          <w:color w:val="000000"/>
        </w:rPr>
      </w:pPr>
    </w:p>
    <w:tbl>
      <w:tblPr>
        <w:tblpPr w:leftFromText="180" w:rightFromText="180" w:vertAnchor="text" w:horzAnchor="page" w:tblpX="1333" w:tblpY="-23"/>
        <w:tblW w:w="8031" w:type="dxa"/>
        <w:tblLook w:val="04A0"/>
      </w:tblPr>
      <w:tblGrid>
        <w:gridCol w:w="1201"/>
        <w:gridCol w:w="1201"/>
        <w:gridCol w:w="2527"/>
        <w:gridCol w:w="1551"/>
        <w:gridCol w:w="1551"/>
      </w:tblGrid>
      <w:tr w:rsidR="00F228DC" w:rsidRPr="0089728B" w:rsidTr="00F93D64">
        <w:trPr>
          <w:trHeight w:val="322"/>
        </w:trPr>
        <w:tc>
          <w:tcPr>
            <w:tcW w:w="1201" w:type="dxa"/>
            <w:shd w:val="clear" w:color="auto" w:fill="auto"/>
            <w:noWrap/>
            <w:vAlign w:val="bottom"/>
            <w:hideMark/>
          </w:tcPr>
          <w:p w:rsidR="00F228DC" w:rsidRPr="0089728B" w:rsidRDefault="00F228DC" w:rsidP="00F228DC">
            <w:pPr>
              <w:rPr>
                <w:b/>
                <w:bCs/>
              </w:rPr>
            </w:pPr>
          </w:p>
        </w:tc>
        <w:tc>
          <w:tcPr>
            <w:tcW w:w="1201" w:type="dxa"/>
            <w:shd w:val="clear" w:color="auto" w:fill="auto"/>
            <w:noWrap/>
            <w:vAlign w:val="bottom"/>
            <w:hideMark/>
          </w:tcPr>
          <w:p w:rsidR="00F228DC" w:rsidRPr="0089728B" w:rsidRDefault="00F228DC" w:rsidP="00F228DC">
            <w:pPr>
              <w:rPr>
                <w:b/>
                <w:bCs/>
              </w:rPr>
            </w:pPr>
          </w:p>
        </w:tc>
        <w:tc>
          <w:tcPr>
            <w:tcW w:w="2527" w:type="dxa"/>
            <w:shd w:val="clear" w:color="auto" w:fill="auto"/>
            <w:noWrap/>
            <w:vAlign w:val="bottom"/>
            <w:hideMark/>
          </w:tcPr>
          <w:p w:rsidR="00F228DC" w:rsidRPr="0089728B" w:rsidRDefault="00F228DC" w:rsidP="00F228DC">
            <w:pPr>
              <w:rPr>
                <w:b/>
                <w:bCs/>
              </w:rPr>
            </w:pPr>
          </w:p>
        </w:tc>
        <w:tc>
          <w:tcPr>
            <w:tcW w:w="1551" w:type="dxa"/>
            <w:vAlign w:val="bottom"/>
          </w:tcPr>
          <w:p w:rsidR="00F228DC" w:rsidRPr="0089728B" w:rsidRDefault="004F5292" w:rsidP="004F5292">
            <w:pPr>
              <w:jc w:val="right"/>
              <w:rPr>
                <w:b/>
                <w:bCs/>
              </w:rPr>
            </w:pPr>
            <w:r w:rsidRPr="0089728B">
              <w:rPr>
                <w:b/>
                <w:bCs/>
              </w:rPr>
              <w:t>2011</w:t>
            </w:r>
            <w:r w:rsidR="00F228DC" w:rsidRPr="0089728B">
              <w:rPr>
                <w:b/>
                <w:bCs/>
              </w:rPr>
              <w:t>/1</w:t>
            </w:r>
            <w:r w:rsidRPr="0089728B">
              <w:rPr>
                <w:b/>
                <w:bCs/>
              </w:rPr>
              <w:t>2</w:t>
            </w:r>
          </w:p>
        </w:tc>
        <w:tc>
          <w:tcPr>
            <w:tcW w:w="1551" w:type="dxa"/>
            <w:shd w:val="clear" w:color="auto" w:fill="auto"/>
            <w:vAlign w:val="bottom"/>
          </w:tcPr>
          <w:p w:rsidR="00F228DC" w:rsidRPr="0089728B" w:rsidRDefault="00F228DC" w:rsidP="004F5292">
            <w:pPr>
              <w:jc w:val="right"/>
              <w:rPr>
                <w:b/>
                <w:bCs/>
              </w:rPr>
            </w:pPr>
            <w:r w:rsidRPr="0089728B">
              <w:rPr>
                <w:b/>
                <w:bCs/>
              </w:rPr>
              <w:t>20</w:t>
            </w:r>
            <w:r w:rsidR="004F5292" w:rsidRPr="0089728B">
              <w:rPr>
                <w:b/>
                <w:bCs/>
              </w:rPr>
              <w:t>10</w:t>
            </w:r>
            <w:r w:rsidRPr="0089728B">
              <w:rPr>
                <w:b/>
                <w:bCs/>
              </w:rPr>
              <w:t>/1</w:t>
            </w:r>
            <w:r w:rsidR="004F5292" w:rsidRPr="0089728B">
              <w:rPr>
                <w:b/>
                <w:bCs/>
              </w:rPr>
              <w:t>1</w:t>
            </w:r>
          </w:p>
        </w:tc>
      </w:tr>
      <w:tr w:rsidR="00F228DC" w:rsidRPr="0089728B" w:rsidTr="00F93D64">
        <w:trPr>
          <w:trHeight w:val="322"/>
        </w:trPr>
        <w:tc>
          <w:tcPr>
            <w:tcW w:w="1201" w:type="dxa"/>
            <w:shd w:val="clear" w:color="auto" w:fill="auto"/>
            <w:noWrap/>
            <w:vAlign w:val="bottom"/>
            <w:hideMark/>
          </w:tcPr>
          <w:p w:rsidR="00F228DC" w:rsidRPr="0089728B" w:rsidRDefault="00F228DC" w:rsidP="00F228DC">
            <w:pPr>
              <w:rPr>
                <w:b/>
                <w:bCs/>
              </w:rPr>
            </w:pPr>
          </w:p>
        </w:tc>
        <w:tc>
          <w:tcPr>
            <w:tcW w:w="1201" w:type="dxa"/>
            <w:shd w:val="clear" w:color="auto" w:fill="auto"/>
            <w:noWrap/>
            <w:vAlign w:val="bottom"/>
            <w:hideMark/>
          </w:tcPr>
          <w:p w:rsidR="00F228DC" w:rsidRPr="0089728B" w:rsidRDefault="00F228DC" w:rsidP="00F228DC">
            <w:pPr>
              <w:rPr>
                <w:b/>
                <w:bCs/>
              </w:rPr>
            </w:pPr>
          </w:p>
        </w:tc>
        <w:tc>
          <w:tcPr>
            <w:tcW w:w="2527" w:type="dxa"/>
            <w:shd w:val="clear" w:color="auto" w:fill="auto"/>
            <w:noWrap/>
            <w:vAlign w:val="bottom"/>
            <w:hideMark/>
          </w:tcPr>
          <w:p w:rsidR="00F228DC" w:rsidRPr="0089728B" w:rsidRDefault="00F228DC" w:rsidP="00F228DC">
            <w:pPr>
              <w:rPr>
                <w:b/>
                <w:bCs/>
              </w:rPr>
            </w:pPr>
          </w:p>
        </w:tc>
        <w:tc>
          <w:tcPr>
            <w:tcW w:w="1551" w:type="dxa"/>
            <w:vAlign w:val="bottom"/>
          </w:tcPr>
          <w:p w:rsidR="00F228DC" w:rsidRPr="0089728B" w:rsidRDefault="00F228DC" w:rsidP="00E66BB9">
            <w:pPr>
              <w:jc w:val="right"/>
              <w:rPr>
                <w:b/>
                <w:bCs/>
              </w:rPr>
            </w:pPr>
            <w:r w:rsidRPr="0089728B">
              <w:rPr>
                <w:b/>
                <w:bCs/>
              </w:rPr>
              <w:t>£000</w:t>
            </w:r>
          </w:p>
        </w:tc>
        <w:tc>
          <w:tcPr>
            <w:tcW w:w="1551" w:type="dxa"/>
            <w:shd w:val="clear" w:color="auto" w:fill="auto"/>
            <w:vAlign w:val="bottom"/>
          </w:tcPr>
          <w:p w:rsidR="00F228DC" w:rsidRPr="0089728B" w:rsidRDefault="00F228DC" w:rsidP="00E66BB9">
            <w:pPr>
              <w:jc w:val="right"/>
              <w:rPr>
                <w:b/>
                <w:bCs/>
              </w:rPr>
            </w:pPr>
            <w:r w:rsidRPr="0089728B">
              <w:rPr>
                <w:b/>
                <w:bCs/>
              </w:rPr>
              <w:t>£000</w:t>
            </w:r>
          </w:p>
        </w:tc>
      </w:tr>
      <w:tr w:rsidR="00F228DC" w:rsidRPr="0089728B" w:rsidTr="00F93D64">
        <w:trPr>
          <w:trHeight w:val="322"/>
        </w:trPr>
        <w:tc>
          <w:tcPr>
            <w:tcW w:w="1201" w:type="dxa"/>
            <w:shd w:val="clear" w:color="auto" w:fill="auto"/>
            <w:noWrap/>
            <w:vAlign w:val="bottom"/>
            <w:hideMark/>
          </w:tcPr>
          <w:p w:rsidR="00F228DC" w:rsidRPr="0089728B" w:rsidRDefault="00F228DC" w:rsidP="00F228DC">
            <w:r w:rsidRPr="0089728B">
              <w:t>Levies</w:t>
            </w:r>
          </w:p>
        </w:tc>
        <w:tc>
          <w:tcPr>
            <w:tcW w:w="1201" w:type="dxa"/>
            <w:shd w:val="clear" w:color="auto" w:fill="auto"/>
            <w:noWrap/>
            <w:vAlign w:val="bottom"/>
            <w:hideMark/>
          </w:tcPr>
          <w:p w:rsidR="00F228DC" w:rsidRPr="0089728B" w:rsidRDefault="00F228DC" w:rsidP="00F228DC"/>
        </w:tc>
        <w:tc>
          <w:tcPr>
            <w:tcW w:w="2527" w:type="dxa"/>
            <w:shd w:val="clear" w:color="auto" w:fill="auto"/>
            <w:noWrap/>
            <w:vAlign w:val="bottom"/>
            <w:hideMark/>
          </w:tcPr>
          <w:p w:rsidR="00F228DC" w:rsidRPr="0089728B" w:rsidRDefault="00F228DC" w:rsidP="00F228DC"/>
        </w:tc>
        <w:tc>
          <w:tcPr>
            <w:tcW w:w="1551" w:type="dxa"/>
            <w:vAlign w:val="bottom"/>
          </w:tcPr>
          <w:p w:rsidR="00F228DC" w:rsidRPr="0089728B" w:rsidRDefault="0089728B" w:rsidP="00F93D64">
            <w:pPr>
              <w:jc w:val="right"/>
            </w:pPr>
            <w:r w:rsidRPr="0089728B">
              <w:t>786</w:t>
            </w:r>
          </w:p>
        </w:tc>
        <w:tc>
          <w:tcPr>
            <w:tcW w:w="1551" w:type="dxa"/>
            <w:shd w:val="clear" w:color="auto" w:fill="auto"/>
            <w:vAlign w:val="bottom"/>
          </w:tcPr>
          <w:p w:rsidR="00F228DC" w:rsidRPr="0089728B" w:rsidRDefault="004F5292" w:rsidP="00F93D64">
            <w:pPr>
              <w:jc w:val="right"/>
            </w:pPr>
            <w:r w:rsidRPr="0089728B">
              <w:t>790</w:t>
            </w:r>
          </w:p>
        </w:tc>
      </w:tr>
      <w:tr w:rsidR="004E2311" w:rsidRPr="0089728B" w:rsidTr="0072077D">
        <w:trPr>
          <w:trHeight w:val="322"/>
        </w:trPr>
        <w:tc>
          <w:tcPr>
            <w:tcW w:w="4929" w:type="dxa"/>
            <w:gridSpan w:val="3"/>
            <w:shd w:val="clear" w:color="auto" w:fill="auto"/>
            <w:noWrap/>
            <w:vAlign w:val="bottom"/>
            <w:hideMark/>
          </w:tcPr>
          <w:p w:rsidR="004E2311" w:rsidRPr="0089728B" w:rsidRDefault="004E2311" w:rsidP="00F228DC">
            <w:r>
              <w:t>(Gains)/losses on the disposal of non current assets</w:t>
            </w:r>
          </w:p>
        </w:tc>
        <w:tc>
          <w:tcPr>
            <w:tcW w:w="1551" w:type="dxa"/>
            <w:vAlign w:val="bottom"/>
          </w:tcPr>
          <w:p w:rsidR="004E2311" w:rsidRPr="0089728B" w:rsidRDefault="00CD4F20" w:rsidP="00F93D64">
            <w:pPr>
              <w:jc w:val="right"/>
            </w:pPr>
            <w:r>
              <w:t>106,074</w:t>
            </w:r>
          </w:p>
        </w:tc>
        <w:tc>
          <w:tcPr>
            <w:tcW w:w="1551" w:type="dxa"/>
            <w:shd w:val="clear" w:color="auto" w:fill="auto"/>
            <w:vAlign w:val="bottom"/>
          </w:tcPr>
          <w:p w:rsidR="004E2311" w:rsidRPr="0089728B" w:rsidRDefault="00CD4F20" w:rsidP="00F93D64">
            <w:pPr>
              <w:jc w:val="right"/>
            </w:pPr>
            <w:r>
              <w:t>21,210</w:t>
            </w:r>
          </w:p>
        </w:tc>
      </w:tr>
      <w:tr w:rsidR="00F228DC" w:rsidRPr="0089728B" w:rsidTr="00F55BF5">
        <w:trPr>
          <w:trHeight w:val="337"/>
        </w:trPr>
        <w:tc>
          <w:tcPr>
            <w:tcW w:w="1201" w:type="dxa"/>
            <w:shd w:val="clear" w:color="auto" w:fill="auto"/>
            <w:noWrap/>
            <w:vAlign w:val="bottom"/>
            <w:hideMark/>
          </w:tcPr>
          <w:p w:rsidR="00F228DC" w:rsidRPr="0089728B" w:rsidRDefault="00F228DC" w:rsidP="00F228DC">
            <w:pPr>
              <w:rPr>
                <w:b/>
                <w:bCs/>
              </w:rPr>
            </w:pPr>
            <w:r w:rsidRPr="0089728B">
              <w:rPr>
                <w:b/>
                <w:bCs/>
              </w:rPr>
              <w:t>Total</w:t>
            </w:r>
          </w:p>
        </w:tc>
        <w:tc>
          <w:tcPr>
            <w:tcW w:w="1201" w:type="dxa"/>
            <w:shd w:val="clear" w:color="auto" w:fill="auto"/>
            <w:noWrap/>
            <w:vAlign w:val="bottom"/>
            <w:hideMark/>
          </w:tcPr>
          <w:p w:rsidR="00F228DC" w:rsidRPr="0089728B" w:rsidRDefault="00F228DC" w:rsidP="00F228DC"/>
        </w:tc>
        <w:tc>
          <w:tcPr>
            <w:tcW w:w="2527" w:type="dxa"/>
            <w:shd w:val="clear" w:color="auto" w:fill="auto"/>
            <w:noWrap/>
            <w:vAlign w:val="bottom"/>
            <w:hideMark/>
          </w:tcPr>
          <w:p w:rsidR="00F228DC" w:rsidRPr="0089728B" w:rsidRDefault="00F228DC" w:rsidP="00F228DC"/>
        </w:tc>
        <w:tc>
          <w:tcPr>
            <w:tcW w:w="1551" w:type="dxa"/>
            <w:tcBorders>
              <w:top w:val="single" w:sz="4" w:space="0" w:color="auto"/>
              <w:bottom w:val="double" w:sz="6" w:space="0" w:color="auto"/>
            </w:tcBorders>
            <w:vAlign w:val="bottom"/>
          </w:tcPr>
          <w:p w:rsidR="00F228DC" w:rsidRPr="0089728B" w:rsidRDefault="0089728B" w:rsidP="00F93D64">
            <w:pPr>
              <w:jc w:val="right"/>
              <w:rPr>
                <w:b/>
              </w:rPr>
            </w:pPr>
            <w:r w:rsidRPr="0089728B">
              <w:rPr>
                <w:b/>
              </w:rPr>
              <w:t>106,860</w:t>
            </w:r>
          </w:p>
        </w:tc>
        <w:tc>
          <w:tcPr>
            <w:tcW w:w="1551" w:type="dxa"/>
            <w:tcBorders>
              <w:top w:val="single" w:sz="4" w:space="0" w:color="auto"/>
              <w:bottom w:val="double" w:sz="6" w:space="0" w:color="auto"/>
            </w:tcBorders>
            <w:shd w:val="clear" w:color="auto" w:fill="auto"/>
            <w:vAlign w:val="bottom"/>
          </w:tcPr>
          <w:p w:rsidR="00F228DC" w:rsidRPr="0089728B" w:rsidRDefault="004F5292" w:rsidP="00F93D64">
            <w:pPr>
              <w:jc w:val="right"/>
              <w:rPr>
                <w:b/>
              </w:rPr>
            </w:pPr>
            <w:r w:rsidRPr="0089728B">
              <w:rPr>
                <w:b/>
              </w:rPr>
              <w:t>22,000</w:t>
            </w:r>
          </w:p>
        </w:tc>
      </w:tr>
    </w:tbl>
    <w:p w:rsidR="000C09DD" w:rsidRPr="0089728B" w:rsidRDefault="000C09DD" w:rsidP="000C09DD">
      <w:pPr>
        <w:spacing w:after="240"/>
      </w:pPr>
    </w:p>
    <w:p w:rsidR="000C09DD" w:rsidRPr="0089728B" w:rsidRDefault="000C09DD" w:rsidP="000C09DD">
      <w:pPr>
        <w:spacing w:after="240"/>
      </w:pPr>
    </w:p>
    <w:p w:rsidR="000C09DD" w:rsidRPr="0089728B" w:rsidRDefault="000C09DD" w:rsidP="000C09DD">
      <w:pPr>
        <w:spacing w:after="240"/>
      </w:pPr>
    </w:p>
    <w:p w:rsidR="000C09DD" w:rsidRPr="0089728B" w:rsidRDefault="000C09DD" w:rsidP="000C09DD">
      <w:pPr>
        <w:spacing w:after="240"/>
      </w:pPr>
    </w:p>
    <w:p w:rsidR="004F5BE4" w:rsidRDefault="004F5BE4" w:rsidP="000C09DD">
      <w:pPr>
        <w:spacing w:after="240"/>
        <w:rPr>
          <w:highlight w:val="yellow"/>
        </w:rPr>
      </w:pPr>
    </w:p>
    <w:p w:rsidR="00A7020D" w:rsidRPr="00286C0E" w:rsidRDefault="00A7020D" w:rsidP="000C09DD">
      <w:pPr>
        <w:spacing w:after="240"/>
        <w:rPr>
          <w:highlight w:val="yellow"/>
        </w:rPr>
      </w:pPr>
    </w:p>
    <w:p w:rsidR="008F72C1" w:rsidRPr="00184076" w:rsidRDefault="008F72C1" w:rsidP="000C09DD">
      <w:pPr>
        <w:spacing w:after="240"/>
      </w:pPr>
    </w:p>
    <w:p w:rsidR="000C09DD" w:rsidRPr="00184076" w:rsidRDefault="004A6996" w:rsidP="00BD07E4">
      <w:pPr>
        <w:numPr>
          <w:ilvl w:val="0"/>
          <w:numId w:val="21"/>
        </w:numPr>
        <w:rPr>
          <w:b/>
          <w:bCs/>
          <w:color w:val="000000"/>
          <w:szCs w:val="18"/>
        </w:rPr>
      </w:pPr>
      <w:r w:rsidRPr="00184076">
        <w:rPr>
          <w:b/>
          <w:bCs/>
          <w:color w:val="000000"/>
          <w:szCs w:val="18"/>
        </w:rPr>
        <w:t>Financing and Investment Income and Expenditure</w:t>
      </w:r>
      <w:r w:rsidR="00F34549" w:rsidRPr="00184076">
        <w:rPr>
          <w:b/>
          <w:bCs/>
          <w:color w:val="000000"/>
          <w:szCs w:val="18"/>
        </w:rPr>
        <w:t xml:space="preserve"> </w:t>
      </w:r>
    </w:p>
    <w:p w:rsidR="006C2528" w:rsidRPr="00184076" w:rsidRDefault="006C2528" w:rsidP="004A6996">
      <w:pPr>
        <w:rPr>
          <w:rFonts w:ascii="Calibri" w:hAnsi="Calibri"/>
          <w:b/>
          <w:bCs/>
          <w:color w:val="000000"/>
          <w:sz w:val="18"/>
          <w:szCs w:val="18"/>
        </w:rPr>
      </w:pPr>
    </w:p>
    <w:tbl>
      <w:tblPr>
        <w:tblpPr w:leftFromText="180" w:rightFromText="180" w:vertAnchor="text" w:horzAnchor="page" w:tblpX="1133" w:tblpY="85"/>
        <w:tblW w:w="8272" w:type="dxa"/>
        <w:tblLook w:val="04A0"/>
      </w:tblPr>
      <w:tblGrid>
        <w:gridCol w:w="1237"/>
        <w:gridCol w:w="1237"/>
        <w:gridCol w:w="2602"/>
        <w:gridCol w:w="1598"/>
        <w:gridCol w:w="1598"/>
      </w:tblGrid>
      <w:tr w:rsidR="00F228DC" w:rsidRPr="00184076" w:rsidTr="00FC6B96">
        <w:trPr>
          <w:trHeight w:val="320"/>
        </w:trPr>
        <w:tc>
          <w:tcPr>
            <w:tcW w:w="1237" w:type="dxa"/>
            <w:shd w:val="clear" w:color="auto" w:fill="auto"/>
            <w:noWrap/>
            <w:vAlign w:val="bottom"/>
            <w:hideMark/>
          </w:tcPr>
          <w:p w:rsidR="00F228DC" w:rsidRPr="00184076" w:rsidRDefault="00F228DC" w:rsidP="00E66BB9">
            <w:pPr>
              <w:jc w:val="right"/>
            </w:pPr>
          </w:p>
        </w:tc>
        <w:tc>
          <w:tcPr>
            <w:tcW w:w="1237" w:type="dxa"/>
            <w:shd w:val="clear" w:color="auto" w:fill="auto"/>
            <w:noWrap/>
            <w:vAlign w:val="bottom"/>
            <w:hideMark/>
          </w:tcPr>
          <w:p w:rsidR="00F228DC" w:rsidRPr="00184076" w:rsidRDefault="00F228DC" w:rsidP="00E66BB9">
            <w:pPr>
              <w:jc w:val="right"/>
            </w:pPr>
          </w:p>
        </w:tc>
        <w:tc>
          <w:tcPr>
            <w:tcW w:w="2602" w:type="dxa"/>
            <w:shd w:val="clear" w:color="auto" w:fill="auto"/>
            <w:noWrap/>
            <w:vAlign w:val="bottom"/>
            <w:hideMark/>
          </w:tcPr>
          <w:p w:rsidR="00F228DC" w:rsidRPr="00184076" w:rsidRDefault="00F228DC" w:rsidP="00E66BB9">
            <w:pPr>
              <w:jc w:val="right"/>
            </w:pPr>
          </w:p>
        </w:tc>
        <w:tc>
          <w:tcPr>
            <w:tcW w:w="1598" w:type="dxa"/>
            <w:vAlign w:val="bottom"/>
          </w:tcPr>
          <w:p w:rsidR="00F228DC" w:rsidRPr="00184076" w:rsidRDefault="004F5292" w:rsidP="00E66BB9">
            <w:pPr>
              <w:jc w:val="right"/>
              <w:rPr>
                <w:b/>
                <w:bCs/>
              </w:rPr>
            </w:pPr>
            <w:r w:rsidRPr="00184076">
              <w:rPr>
                <w:b/>
                <w:bCs/>
              </w:rPr>
              <w:t>2011/12</w:t>
            </w:r>
          </w:p>
        </w:tc>
        <w:tc>
          <w:tcPr>
            <w:tcW w:w="1598" w:type="dxa"/>
            <w:vAlign w:val="bottom"/>
          </w:tcPr>
          <w:p w:rsidR="00F228DC" w:rsidRPr="00184076" w:rsidRDefault="004F5292" w:rsidP="004F5292">
            <w:pPr>
              <w:jc w:val="right"/>
              <w:rPr>
                <w:b/>
                <w:bCs/>
              </w:rPr>
            </w:pPr>
            <w:r w:rsidRPr="00184076">
              <w:rPr>
                <w:b/>
                <w:bCs/>
              </w:rPr>
              <w:t>2010</w:t>
            </w:r>
            <w:r w:rsidR="00F228DC" w:rsidRPr="00184076">
              <w:rPr>
                <w:b/>
                <w:bCs/>
              </w:rPr>
              <w:t>/1</w:t>
            </w:r>
            <w:r w:rsidRPr="00184076">
              <w:rPr>
                <w:b/>
                <w:bCs/>
              </w:rPr>
              <w:t>1</w:t>
            </w:r>
          </w:p>
        </w:tc>
      </w:tr>
    </w:tbl>
    <w:p w:rsidR="00D443E6" w:rsidRPr="00184076" w:rsidRDefault="00D443E6" w:rsidP="00E66BB9">
      <w:pPr>
        <w:jc w:val="right"/>
      </w:pPr>
    </w:p>
    <w:tbl>
      <w:tblPr>
        <w:tblpPr w:leftFromText="180" w:rightFromText="180" w:vertAnchor="text" w:horzAnchor="page" w:tblpX="1133" w:tblpY="85"/>
        <w:tblW w:w="8272" w:type="dxa"/>
        <w:tblLook w:val="04A0"/>
      </w:tblPr>
      <w:tblGrid>
        <w:gridCol w:w="1237"/>
        <w:gridCol w:w="1237"/>
        <w:gridCol w:w="2602"/>
        <w:gridCol w:w="1598"/>
        <w:gridCol w:w="1598"/>
      </w:tblGrid>
      <w:tr w:rsidR="00F228DC" w:rsidRPr="00184076" w:rsidTr="00184076">
        <w:trPr>
          <w:trHeight w:val="431"/>
        </w:trPr>
        <w:tc>
          <w:tcPr>
            <w:tcW w:w="1237" w:type="dxa"/>
            <w:shd w:val="clear" w:color="auto" w:fill="auto"/>
            <w:noWrap/>
            <w:vAlign w:val="bottom"/>
            <w:hideMark/>
          </w:tcPr>
          <w:p w:rsidR="00F228DC" w:rsidRPr="00184076" w:rsidRDefault="00F228DC" w:rsidP="00184076">
            <w:pPr>
              <w:jc w:val="right"/>
            </w:pPr>
          </w:p>
        </w:tc>
        <w:tc>
          <w:tcPr>
            <w:tcW w:w="1237" w:type="dxa"/>
            <w:shd w:val="clear" w:color="auto" w:fill="auto"/>
            <w:noWrap/>
            <w:vAlign w:val="bottom"/>
            <w:hideMark/>
          </w:tcPr>
          <w:p w:rsidR="00F228DC" w:rsidRPr="00184076" w:rsidRDefault="00F228DC" w:rsidP="00184076">
            <w:pPr>
              <w:jc w:val="right"/>
            </w:pPr>
          </w:p>
        </w:tc>
        <w:tc>
          <w:tcPr>
            <w:tcW w:w="2602" w:type="dxa"/>
            <w:shd w:val="clear" w:color="auto" w:fill="auto"/>
            <w:noWrap/>
            <w:vAlign w:val="bottom"/>
            <w:hideMark/>
          </w:tcPr>
          <w:p w:rsidR="00F228DC" w:rsidRPr="00184076" w:rsidRDefault="00F228DC" w:rsidP="00184076">
            <w:pPr>
              <w:jc w:val="right"/>
            </w:pPr>
          </w:p>
        </w:tc>
        <w:tc>
          <w:tcPr>
            <w:tcW w:w="1598" w:type="dxa"/>
            <w:vAlign w:val="bottom"/>
          </w:tcPr>
          <w:p w:rsidR="00F228DC" w:rsidRPr="00184076" w:rsidRDefault="00F228DC" w:rsidP="00184076">
            <w:pPr>
              <w:jc w:val="right"/>
              <w:rPr>
                <w:b/>
                <w:bCs/>
              </w:rPr>
            </w:pPr>
            <w:r w:rsidRPr="00184076">
              <w:rPr>
                <w:b/>
                <w:bCs/>
              </w:rPr>
              <w:t>£000</w:t>
            </w:r>
          </w:p>
        </w:tc>
        <w:tc>
          <w:tcPr>
            <w:tcW w:w="1598" w:type="dxa"/>
            <w:vAlign w:val="bottom"/>
          </w:tcPr>
          <w:p w:rsidR="00F228DC" w:rsidRPr="00184076" w:rsidRDefault="00F228DC" w:rsidP="00184076">
            <w:pPr>
              <w:jc w:val="right"/>
              <w:rPr>
                <w:b/>
                <w:bCs/>
              </w:rPr>
            </w:pPr>
            <w:r w:rsidRPr="00184076">
              <w:rPr>
                <w:b/>
                <w:bCs/>
              </w:rPr>
              <w:t>£000</w:t>
            </w:r>
          </w:p>
        </w:tc>
      </w:tr>
      <w:tr w:rsidR="00F228DC" w:rsidRPr="00184076" w:rsidTr="000F6D80">
        <w:trPr>
          <w:trHeight w:val="411"/>
        </w:trPr>
        <w:tc>
          <w:tcPr>
            <w:tcW w:w="5076" w:type="dxa"/>
            <w:gridSpan w:val="3"/>
            <w:shd w:val="clear" w:color="auto" w:fill="auto"/>
            <w:noWrap/>
            <w:vAlign w:val="bottom"/>
            <w:hideMark/>
          </w:tcPr>
          <w:p w:rsidR="00D443E6" w:rsidRPr="00184076" w:rsidRDefault="00F228DC" w:rsidP="00184076">
            <w:r w:rsidRPr="00184076">
              <w:t xml:space="preserve">Interest payable </w:t>
            </w:r>
            <w:r w:rsidR="00184076" w:rsidRPr="00184076">
              <w:t>on debt</w:t>
            </w:r>
          </w:p>
          <w:p w:rsidR="00D443E6" w:rsidRPr="00184076" w:rsidRDefault="00D443E6" w:rsidP="00184076"/>
        </w:tc>
        <w:tc>
          <w:tcPr>
            <w:tcW w:w="1598" w:type="dxa"/>
          </w:tcPr>
          <w:p w:rsidR="00D443E6" w:rsidRPr="00184076" w:rsidRDefault="00184076" w:rsidP="00184076">
            <w:pPr>
              <w:jc w:val="right"/>
            </w:pPr>
            <w:r w:rsidRPr="00184076">
              <w:t>16,987</w:t>
            </w:r>
          </w:p>
          <w:p w:rsidR="00184076" w:rsidRPr="00184076" w:rsidRDefault="00184076" w:rsidP="00184076">
            <w:pPr>
              <w:jc w:val="right"/>
            </w:pPr>
          </w:p>
        </w:tc>
        <w:tc>
          <w:tcPr>
            <w:tcW w:w="1598" w:type="dxa"/>
            <w:vAlign w:val="bottom"/>
          </w:tcPr>
          <w:p w:rsidR="00D443E6" w:rsidRPr="00184076" w:rsidRDefault="004F5292" w:rsidP="00184076">
            <w:pPr>
              <w:jc w:val="right"/>
            </w:pPr>
            <w:r w:rsidRPr="00184076">
              <w:t>18,907</w:t>
            </w:r>
          </w:p>
          <w:p w:rsidR="00F228DC" w:rsidRPr="00184076" w:rsidRDefault="00F228DC" w:rsidP="00184076">
            <w:pPr>
              <w:jc w:val="right"/>
            </w:pPr>
          </w:p>
        </w:tc>
      </w:tr>
      <w:tr w:rsidR="0089728B" w:rsidRPr="00184076" w:rsidTr="00184076">
        <w:trPr>
          <w:trHeight w:val="170"/>
        </w:trPr>
        <w:tc>
          <w:tcPr>
            <w:tcW w:w="5076" w:type="dxa"/>
            <w:gridSpan w:val="3"/>
            <w:shd w:val="clear" w:color="auto" w:fill="auto"/>
            <w:vAlign w:val="bottom"/>
            <w:hideMark/>
          </w:tcPr>
          <w:p w:rsidR="0089728B" w:rsidRPr="00184076" w:rsidRDefault="0089728B" w:rsidP="00184076">
            <w:r w:rsidRPr="00184076">
              <w:t>Interest payable on PFI unitary payments</w:t>
            </w:r>
          </w:p>
          <w:p w:rsidR="00184076" w:rsidRPr="00184076" w:rsidRDefault="00184076" w:rsidP="00184076"/>
        </w:tc>
        <w:tc>
          <w:tcPr>
            <w:tcW w:w="1598" w:type="dxa"/>
          </w:tcPr>
          <w:p w:rsidR="0089728B" w:rsidRPr="00184076" w:rsidRDefault="00184076" w:rsidP="00184076">
            <w:pPr>
              <w:jc w:val="right"/>
            </w:pPr>
            <w:r w:rsidRPr="00184076">
              <w:t>55,523</w:t>
            </w:r>
          </w:p>
        </w:tc>
        <w:tc>
          <w:tcPr>
            <w:tcW w:w="1598" w:type="dxa"/>
          </w:tcPr>
          <w:p w:rsidR="0089728B" w:rsidRPr="00184076" w:rsidRDefault="0089728B" w:rsidP="00184076">
            <w:pPr>
              <w:jc w:val="right"/>
            </w:pPr>
            <w:r w:rsidRPr="00184076">
              <w:t>14,452</w:t>
            </w:r>
          </w:p>
        </w:tc>
      </w:tr>
      <w:tr w:rsidR="00D443E6" w:rsidRPr="00184076" w:rsidTr="00184076">
        <w:trPr>
          <w:trHeight w:val="610"/>
        </w:trPr>
        <w:tc>
          <w:tcPr>
            <w:tcW w:w="5076" w:type="dxa"/>
            <w:gridSpan w:val="3"/>
            <w:shd w:val="clear" w:color="auto" w:fill="auto"/>
            <w:hideMark/>
          </w:tcPr>
          <w:p w:rsidR="00D443E6" w:rsidRPr="00184076" w:rsidRDefault="00D443E6" w:rsidP="00184076">
            <w:r w:rsidRPr="00184076">
              <w:t>Payment on early repayment of debt</w:t>
            </w:r>
          </w:p>
        </w:tc>
        <w:tc>
          <w:tcPr>
            <w:tcW w:w="1598" w:type="dxa"/>
          </w:tcPr>
          <w:p w:rsidR="00D443E6" w:rsidRPr="00184076" w:rsidRDefault="00184076" w:rsidP="00184076">
            <w:pPr>
              <w:jc w:val="right"/>
            </w:pPr>
            <w:r w:rsidRPr="00184076">
              <w:t>-</w:t>
            </w:r>
          </w:p>
        </w:tc>
        <w:tc>
          <w:tcPr>
            <w:tcW w:w="1598" w:type="dxa"/>
          </w:tcPr>
          <w:p w:rsidR="00D443E6" w:rsidRPr="00184076" w:rsidRDefault="004F5292" w:rsidP="00184076">
            <w:pPr>
              <w:jc w:val="right"/>
            </w:pPr>
            <w:r w:rsidRPr="00184076">
              <w:t>30,115</w:t>
            </w:r>
          </w:p>
        </w:tc>
      </w:tr>
      <w:tr w:rsidR="00AE3E5E" w:rsidRPr="00184076" w:rsidTr="00184076">
        <w:trPr>
          <w:trHeight w:val="610"/>
        </w:trPr>
        <w:tc>
          <w:tcPr>
            <w:tcW w:w="5076" w:type="dxa"/>
            <w:gridSpan w:val="3"/>
            <w:shd w:val="clear" w:color="auto" w:fill="auto"/>
            <w:hideMark/>
          </w:tcPr>
          <w:p w:rsidR="00AE3E5E" w:rsidRPr="00184076" w:rsidRDefault="00AE3E5E" w:rsidP="00184076">
            <w:r w:rsidRPr="00184076">
              <w:t>Impairment of Financial instruments</w:t>
            </w:r>
          </w:p>
          <w:p w:rsidR="00AE3E5E" w:rsidRPr="00184076" w:rsidRDefault="00AE3E5E" w:rsidP="00184076"/>
        </w:tc>
        <w:tc>
          <w:tcPr>
            <w:tcW w:w="1598" w:type="dxa"/>
          </w:tcPr>
          <w:p w:rsidR="00AE3E5E" w:rsidRPr="00184076" w:rsidRDefault="00184076" w:rsidP="00184076">
            <w:pPr>
              <w:jc w:val="right"/>
            </w:pPr>
            <w:r w:rsidRPr="00184076">
              <w:t>-</w:t>
            </w:r>
          </w:p>
        </w:tc>
        <w:tc>
          <w:tcPr>
            <w:tcW w:w="1598" w:type="dxa"/>
          </w:tcPr>
          <w:p w:rsidR="00AE3E5E" w:rsidRPr="00184076" w:rsidRDefault="004F5292" w:rsidP="00184076">
            <w:pPr>
              <w:jc w:val="right"/>
            </w:pPr>
            <w:r w:rsidRPr="00184076">
              <w:t>977</w:t>
            </w:r>
          </w:p>
        </w:tc>
      </w:tr>
      <w:tr w:rsidR="00F228DC" w:rsidRPr="00184076" w:rsidTr="00184076">
        <w:trPr>
          <w:trHeight w:val="610"/>
        </w:trPr>
        <w:tc>
          <w:tcPr>
            <w:tcW w:w="5076" w:type="dxa"/>
            <w:gridSpan w:val="3"/>
            <w:shd w:val="clear" w:color="auto" w:fill="auto"/>
            <w:hideMark/>
          </w:tcPr>
          <w:p w:rsidR="00F228DC" w:rsidRPr="00184076" w:rsidRDefault="00AE3E5E" w:rsidP="00184076">
            <w:pPr>
              <w:rPr>
                <w:color w:val="000000"/>
              </w:rPr>
            </w:pPr>
            <w:r w:rsidRPr="00184076">
              <w:rPr>
                <w:color w:val="000000"/>
              </w:rPr>
              <w:t>Expected return on pension assets</w:t>
            </w:r>
          </w:p>
        </w:tc>
        <w:tc>
          <w:tcPr>
            <w:tcW w:w="1598" w:type="dxa"/>
          </w:tcPr>
          <w:p w:rsidR="00F228DC" w:rsidRPr="00184076" w:rsidRDefault="00184076" w:rsidP="00184076">
            <w:pPr>
              <w:jc w:val="right"/>
            </w:pPr>
            <w:r w:rsidRPr="00184076">
              <w:t>23,200</w:t>
            </w:r>
          </w:p>
        </w:tc>
        <w:tc>
          <w:tcPr>
            <w:tcW w:w="1598" w:type="dxa"/>
          </w:tcPr>
          <w:p w:rsidR="00F228DC" w:rsidRPr="00184076" w:rsidRDefault="004F5292" w:rsidP="00184076">
            <w:pPr>
              <w:jc w:val="right"/>
            </w:pPr>
            <w:r w:rsidRPr="00184076">
              <w:t>45,432</w:t>
            </w:r>
          </w:p>
        </w:tc>
      </w:tr>
      <w:tr w:rsidR="00F228DC" w:rsidRPr="00184076" w:rsidTr="00184076">
        <w:trPr>
          <w:trHeight w:val="564"/>
        </w:trPr>
        <w:tc>
          <w:tcPr>
            <w:tcW w:w="5076" w:type="dxa"/>
            <w:gridSpan w:val="3"/>
            <w:shd w:val="clear" w:color="auto" w:fill="auto"/>
            <w:vAlign w:val="bottom"/>
            <w:hideMark/>
          </w:tcPr>
          <w:p w:rsidR="00AE3E5E" w:rsidRPr="00184076" w:rsidRDefault="00AE3E5E" w:rsidP="00184076">
            <w:r w:rsidRPr="00184076">
              <w:t xml:space="preserve">Investment interest income </w:t>
            </w:r>
          </w:p>
          <w:p w:rsidR="00F228DC" w:rsidRPr="00184076" w:rsidRDefault="00F228DC" w:rsidP="00184076"/>
        </w:tc>
        <w:tc>
          <w:tcPr>
            <w:tcW w:w="1598" w:type="dxa"/>
          </w:tcPr>
          <w:p w:rsidR="00F228DC" w:rsidRPr="00184076" w:rsidRDefault="00184076" w:rsidP="00184076">
            <w:pPr>
              <w:jc w:val="right"/>
            </w:pPr>
            <w:r w:rsidRPr="00184076">
              <w:t>(47,459)</w:t>
            </w:r>
          </w:p>
        </w:tc>
        <w:tc>
          <w:tcPr>
            <w:tcW w:w="1598" w:type="dxa"/>
          </w:tcPr>
          <w:p w:rsidR="00F228DC" w:rsidRPr="00184076" w:rsidRDefault="00AE3E5E" w:rsidP="00184076">
            <w:pPr>
              <w:jc w:val="right"/>
            </w:pPr>
            <w:r w:rsidRPr="00184076">
              <w:t>(</w:t>
            </w:r>
            <w:r w:rsidR="004F5292" w:rsidRPr="00184076">
              <w:t>17,777)</w:t>
            </w:r>
          </w:p>
        </w:tc>
      </w:tr>
      <w:tr w:rsidR="00AE3E5E" w:rsidRPr="00184076" w:rsidTr="00184076">
        <w:trPr>
          <w:trHeight w:val="335"/>
        </w:trPr>
        <w:tc>
          <w:tcPr>
            <w:tcW w:w="5076" w:type="dxa"/>
            <w:gridSpan w:val="3"/>
            <w:shd w:val="clear" w:color="auto" w:fill="auto"/>
            <w:noWrap/>
            <w:hideMark/>
          </w:tcPr>
          <w:p w:rsidR="00AE3E5E" w:rsidRPr="00184076" w:rsidRDefault="00AE3E5E" w:rsidP="00184076">
            <w:r w:rsidRPr="00184076">
              <w:t>Discount on early repayment of debt</w:t>
            </w:r>
          </w:p>
        </w:tc>
        <w:tc>
          <w:tcPr>
            <w:tcW w:w="1598" w:type="dxa"/>
          </w:tcPr>
          <w:p w:rsidR="00AE3E5E" w:rsidRPr="00184076" w:rsidRDefault="00184076" w:rsidP="00184076">
            <w:pPr>
              <w:jc w:val="right"/>
            </w:pPr>
            <w:r w:rsidRPr="00184076">
              <w:t>-</w:t>
            </w:r>
          </w:p>
        </w:tc>
        <w:tc>
          <w:tcPr>
            <w:tcW w:w="1598" w:type="dxa"/>
          </w:tcPr>
          <w:p w:rsidR="00AE3E5E" w:rsidRPr="00184076" w:rsidRDefault="004F5292" w:rsidP="00184076">
            <w:pPr>
              <w:jc w:val="right"/>
            </w:pPr>
            <w:r w:rsidRPr="00184076">
              <w:t>(452)</w:t>
            </w:r>
          </w:p>
        </w:tc>
      </w:tr>
      <w:tr w:rsidR="00D0425F" w:rsidRPr="00184076" w:rsidTr="00184076">
        <w:trPr>
          <w:trHeight w:val="335"/>
        </w:trPr>
        <w:tc>
          <w:tcPr>
            <w:tcW w:w="5076" w:type="dxa"/>
            <w:gridSpan w:val="3"/>
            <w:shd w:val="clear" w:color="auto" w:fill="auto"/>
            <w:noWrap/>
            <w:vAlign w:val="bottom"/>
            <w:hideMark/>
          </w:tcPr>
          <w:p w:rsidR="00D0425F" w:rsidRPr="00184076" w:rsidRDefault="00D0425F" w:rsidP="00184076">
            <w:r w:rsidRPr="00184076">
              <w:t>Changes in fair value of investment properties</w:t>
            </w:r>
          </w:p>
        </w:tc>
        <w:tc>
          <w:tcPr>
            <w:tcW w:w="1598" w:type="dxa"/>
          </w:tcPr>
          <w:p w:rsidR="00D0425F" w:rsidRPr="00184076" w:rsidRDefault="00184076" w:rsidP="00184076">
            <w:pPr>
              <w:jc w:val="right"/>
            </w:pPr>
            <w:r w:rsidRPr="00184076">
              <w:t>(37)</w:t>
            </w:r>
          </w:p>
        </w:tc>
        <w:tc>
          <w:tcPr>
            <w:tcW w:w="1598" w:type="dxa"/>
          </w:tcPr>
          <w:p w:rsidR="00D0425F" w:rsidRPr="00184076" w:rsidRDefault="004F5292" w:rsidP="00184076">
            <w:pPr>
              <w:jc w:val="right"/>
            </w:pPr>
            <w:r w:rsidRPr="00184076">
              <w:t>52</w:t>
            </w:r>
          </w:p>
        </w:tc>
      </w:tr>
      <w:tr w:rsidR="00D0425F" w:rsidRPr="00184076" w:rsidTr="00184076">
        <w:trPr>
          <w:trHeight w:val="335"/>
        </w:trPr>
        <w:tc>
          <w:tcPr>
            <w:tcW w:w="5076" w:type="dxa"/>
            <w:gridSpan w:val="3"/>
            <w:shd w:val="clear" w:color="auto" w:fill="auto"/>
            <w:noWrap/>
            <w:vAlign w:val="bottom"/>
            <w:hideMark/>
          </w:tcPr>
          <w:p w:rsidR="00D0425F" w:rsidRPr="00184076" w:rsidRDefault="00D0425F" w:rsidP="00184076">
            <w:r w:rsidRPr="00184076">
              <w:t>Gain/loss on trading accounts (not applicable to services)</w:t>
            </w:r>
          </w:p>
        </w:tc>
        <w:tc>
          <w:tcPr>
            <w:tcW w:w="1598" w:type="dxa"/>
            <w:tcBorders>
              <w:bottom w:val="single" w:sz="4" w:space="0" w:color="auto"/>
            </w:tcBorders>
          </w:tcPr>
          <w:p w:rsidR="00D0425F" w:rsidRPr="00184076" w:rsidRDefault="00184076" w:rsidP="00184076">
            <w:pPr>
              <w:jc w:val="right"/>
            </w:pPr>
            <w:r w:rsidRPr="00184076">
              <w:t>(2,680)</w:t>
            </w:r>
          </w:p>
        </w:tc>
        <w:tc>
          <w:tcPr>
            <w:tcW w:w="1598" w:type="dxa"/>
            <w:tcBorders>
              <w:bottom w:val="single" w:sz="4" w:space="0" w:color="auto"/>
            </w:tcBorders>
          </w:tcPr>
          <w:p w:rsidR="00D0425F" w:rsidRPr="00184076" w:rsidRDefault="004F5292" w:rsidP="00184076">
            <w:pPr>
              <w:jc w:val="right"/>
            </w:pPr>
            <w:r w:rsidRPr="00184076">
              <w:t>(6,967)</w:t>
            </w:r>
          </w:p>
        </w:tc>
      </w:tr>
      <w:tr w:rsidR="00F228DC" w:rsidRPr="00286C0E" w:rsidTr="00184076">
        <w:trPr>
          <w:trHeight w:val="335"/>
        </w:trPr>
        <w:tc>
          <w:tcPr>
            <w:tcW w:w="1237" w:type="dxa"/>
            <w:shd w:val="clear" w:color="auto" w:fill="auto"/>
            <w:noWrap/>
            <w:vAlign w:val="bottom"/>
            <w:hideMark/>
          </w:tcPr>
          <w:p w:rsidR="00F228DC" w:rsidRPr="00184076" w:rsidRDefault="00F228DC" w:rsidP="00184076">
            <w:pPr>
              <w:rPr>
                <w:b/>
              </w:rPr>
            </w:pPr>
            <w:r w:rsidRPr="00184076">
              <w:rPr>
                <w:b/>
              </w:rPr>
              <w:lastRenderedPageBreak/>
              <w:t>Total</w:t>
            </w:r>
          </w:p>
        </w:tc>
        <w:tc>
          <w:tcPr>
            <w:tcW w:w="1237" w:type="dxa"/>
            <w:shd w:val="clear" w:color="auto" w:fill="auto"/>
            <w:noWrap/>
            <w:vAlign w:val="bottom"/>
            <w:hideMark/>
          </w:tcPr>
          <w:p w:rsidR="00F228DC" w:rsidRPr="00184076" w:rsidRDefault="00F228DC" w:rsidP="00184076">
            <w:pPr>
              <w:rPr>
                <w:b/>
              </w:rPr>
            </w:pPr>
          </w:p>
        </w:tc>
        <w:tc>
          <w:tcPr>
            <w:tcW w:w="2602" w:type="dxa"/>
            <w:shd w:val="clear" w:color="auto" w:fill="auto"/>
            <w:noWrap/>
            <w:vAlign w:val="bottom"/>
            <w:hideMark/>
          </w:tcPr>
          <w:p w:rsidR="00F228DC" w:rsidRPr="00184076" w:rsidRDefault="00F228DC" w:rsidP="00184076">
            <w:pPr>
              <w:rPr>
                <w:b/>
              </w:rPr>
            </w:pPr>
          </w:p>
        </w:tc>
        <w:tc>
          <w:tcPr>
            <w:tcW w:w="1598" w:type="dxa"/>
            <w:tcBorders>
              <w:top w:val="single" w:sz="4" w:space="0" w:color="auto"/>
              <w:bottom w:val="double" w:sz="6" w:space="0" w:color="auto"/>
            </w:tcBorders>
            <w:vAlign w:val="bottom"/>
          </w:tcPr>
          <w:p w:rsidR="00F228DC" w:rsidRPr="00184076" w:rsidRDefault="00184076" w:rsidP="00184076">
            <w:pPr>
              <w:jc w:val="right"/>
              <w:rPr>
                <w:b/>
              </w:rPr>
            </w:pPr>
            <w:r w:rsidRPr="00184076">
              <w:rPr>
                <w:b/>
              </w:rPr>
              <w:t>45,535</w:t>
            </w:r>
          </w:p>
        </w:tc>
        <w:tc>
          <w:tcPr>
            <w:tcW w:w="1598" w:type="dxa"/>
            <w:tcBorders>
              <w:top w:val="single" w:sz="4" w:space="0" w:color="auto"/>
              <w:bottom w:val="double" w:sz="6" w:space="0" w:color="auto"/>
            </w:tcBorders>
            <w:vAlign w:val="bottom"/>
          </w:tcPr>
          <w:p w:rsidR="00F228DC" w:rsidRPr="00184076" w:rsidRDefault="004F5292" w:rsidP="00184076">
            <w:pPr>
              <w:jc w:val="right"/>
              <w:rPr>
                <w:b/>
              </w:rPr>
            </w:pPr>
            <w:r w:rsidRPr="00184076">
              <w:rPr>
                <w:b/>
              </w:rPr>
              <w:t>84,739</w:t>
            </w:r>
          </w:p>
        </w:tc>
      </w:tr>
    </w:tbl>
    <w:p w:rsidR="004A6996" w:rsidRPr="00286C0E" w:rsidRDefault="004A6996" w:rsidP="000C09DD">
      <w:pPr>
        <w:spacing w:after="240"/>
        <w:rPr>
          <w:highlight w:val="yellow"/>
        </w:rPr>
      </w:pPr>
    </w:p>
    <w:p w:rsidR="00D0425F" w:rsidRDefault="00D0425F" w:rsidP="00D0425F">
      <w:pPr>
        <w:rPr>
          <w:b/>
          <w:bCs/>
          <w:color w:val="000000"/>
          <w:szCs w:val="18"/>
          <w:highlight w:val="yellow"/>
        </w:rPr>
      </w:pPr>
    </w:p>
    <w:p w:rsidR="000F6D80" w:rsidRDefault="000F6D80" w:rsidP="00D0425F">
      <w:pPr>
        <w:rPr>
          <w:b/>
          <w:bCs/>
          <w:color w:val="000000"/>
          <w:szCs w:val="18"/>
          <w:highlight w:val="yellow"/>
        </w:rPr>
      </w:pPr>
    </w:p>
    <w:p w:rsidR="000F6D80" w:rsidRDefault="000F6D80" w:rsidP="00D0425F">
      <w:pPr>
        <w:rPr>
          <w:b/>
          <w:bCs/>
          <w:color w:val="000000"/>
          <w:szCs w:val="18"/>
          <w:highlight w:val="yellow"/>
        </w:rPr>
      </w:pPr>
    </w:p>
    <w:p w:rsidR="000F6D80" w:rsidRDefault="000F6D80" w:rsidP="00D0425F">
      <w:pPr>
        <w:rPr>
          <w:b/>
          <w:bCs/>
          <w:color w:val="000000"/>
          <w:szCs w:val="18"/>
          <w:highlight w:val="yellow"/>
        </w:rPr>
      </w:pPr>
    </w:p>
    <w:p w:rsidR="000F6D80" w:rsidRPr="00286C0E" w:rsidRDefault="000F6D80" w:rsidP="00D0425F">
      <w:pPr>
        <w:rPr>
          <w:b/>
          <w:bCs/>
          <w:color w:val="000000"/>
          <w:szCs w:val="18"/>
          <w:highlight w:val="yellow"/>
        </w:rPr>
      </w:pPr>
    </w:p>
    <w:p w:rsidR="00284C6F" w:rsidRPr="004C7E84" w:rsidRDefault="00284C6F" w:rsidP="00284C6F">
      <w:pPr>
        <w:ind w:left="720"/>
        <w:rPr>
          <w:b/>
          <w:bCs/>
          <w:color w:val="000000"/>
          <w:szCs w:val="18"/>
        </w:rPr>
      </w:pPr>
    </w:p>
    <w:p w:rsidR="004A6996" w:rsidRPr="004C7E84" w:rsidRDefault="006C2528" w:rsidP="00BD07E4">
      <w:pPr>
        <w:numPr>
          <w:ilvl w:val="0"/>
          <w:numId w:val="21"/>
        </w:numPr>
        <w:rPr>
          <w:b/>
          <w:bCs/>
          <w:color w:val="000000"/>
          <w:szCs w:val="18"/>
        </w:rPr>
      </w:pPr>
      <w:r w:rsidRPr="004C7E84">
        <w:rPr>
          <w:b/>
          <w:bCs/>
          <w:color w:val="000000"/>
          <w:szCs w:val="18"/>
        </w:rPr>
        <w:t>Taxation and Non Spec</w:t>
      </w:r>
      <w:r w:rsidR="000E38A7" w:rsidRPr="004C7E84">
        <w:rPr>
          <w:b/>
          <w:bCs/>
          <w:color w:val="000000"/>
          <w:szCs w:val="18"/>
        </w:rPr>
        <w:t>i</w:t>
      </w:r>
      <w:r w:rsidRPr="004C7E84">
        <w:rPr>
          <w:b/>
          <w:bCs/>
          <w:color w:val="000000"/>
          <w:szCs w:val="18"/>
        </w:rPr>
        <w:t>fic Grants Incomes</w:t>
      </w:r>
      <w:r w:rsidR="00F34549" w:rsidRPr="004C7E84">
        <w:rPr>
          <w:b/>
          <w:bCs/>
          <w:color w:val="000000"/>
          <w:szCs w:val="18"/>
        </w:rPr>
        <w:t xml:space="preserve"> </w:t>
      </w:r>
    </w:p>
    <w:tbl>
      <w:tblPr>
        <w:tblpPr w:leftFromText="180" w:rightFromText="180" w:vertAnchor="text" w:horzAnchor="page" w:tblpX="1033" w:tblpY="274"/>
        <w:tblW w:w="8453" w:type="dxa"/>
        <w:tblLook w:val="04A0"/>
      </w:tblPr>
      <w:tblGrid>
        <w:gridCol w:w="1264"/>
        <w:gridCol w:w="1264"/>
        <w:gridCol w:w="2659"/>
        <w:gridCol w:w="1633"/>
        <w:gridCol w:w="1633"/>
      </w:tblGrid>
      <w:tr w:rsidR="00F228DC" w:rsidRPr="004C7E84" w:rsidTr="00F228DC">
        <w:trPr>
          <w:trHeight w:val="315"/>
        </w:trPr>
        <w:tc>
          <w:tcPr>
            <w:tcW w:w="1264" w:type="dxa"/>
            <w:tcBorders>
              <w:top w:val="nil"/>
              <w:left w:val="nil"/>
              <w:bottom w:val="nil"/>
              <w:right w:val="nil"/>
            </w:tcBorders>
            <w:shd w:val="clear" w:color="auto" w:fill="auto"/>
            <w:noWrap/>
            <w:vAlign w:val="bottom"/>
            <w:hideMark/>
          </w:tcPr>
          <w:p w:rsidR="00F228DC" w:rsidRPr="004C7E84" w:rsidRDefault="00F228DC" w:rsidP="00F228DC">
            <w:pPr>
              <w:rPr>
                <w:szCs w:val="18"/>
              </w:rPr>
            </w:pPr>
          </w:p>
        </w:tc>
        <w:tc>
          <w:tcPr>
            <w:tcW w:w="1264" w:type="dxa"/>
            <w:tcBorders>
              <w:top w:val="nil"/>
              <w:left w:val="nil"/>
              <w:bottom w:val="nil"/>
              <w:right w:val="nil"/>
            </w:tcBorders>
            <w:shd w:val="clear" w:color="auto" w:fill="auto"/>
            <w:noWrap/>
            <w:vAlign w:val="bottom"/>
            <w:hideMark/>
          </w:tcPr>
          <w:p w:rsidR="00F228DC" w:rsidRPr="004C7E84" w:rsidRDefault="00F228DC" w:rsidP="00F228DC">
            <w:pPr>
              <w:rPr>
                <w:szCs w:val="18"/>
              </w:rPr>
            </w:pPr>
          </w:p>
        </w:tc>
        <w:tc>
          <w:tcPr>
            <w:tcW w:w="2659" w:type="dxa"/>
            <w:tcBorders>
              <w:top w:val="nil"/>
              <w:left w:val="nil"/>
              <w:bottom w:val="nil"/>
              <w:right w:val="nil"/>
            </w:tcBorders>
            <w:shd w:val="clear" w:color="auto" w:fill="auto"/>
            <w:noWrap/>
            <w:vAlign w:val="bottom"/>
            <w:hideMark/>
          </w:tcPr>
          <w:p w:rsidR="00F228DC" w:rsidRPr="004C7E84" w:rsidRDefault="00F228DC" w:rsidP="00F228DC">
            <w:pPr>
              <w:rPr>
                <w:rFonts w:ascii="Calibri" w:hAnsi="Calibri" w:cs="Times New Roman"/>
                <w:color w:val="000000"/>
                <w:szCs w:val="18"/>
              </w:rPr>
            </w:pPr>
          </w:p>
        </w:tc>
        <w:tc>
          <w:tcPr>
            <w:tcW w:w="1633" w:type="dxa"/>
            <w:tcBorders>
              <w:top w:val="nil"/>
              <w:left w:val="nil"/>
              <w:bottom w:val="nil"/>
              <w:right w:val="nil"/>
            </w:tcBorders>
            <w:vAlign w:val="bottom"/>
          </w:tcPr>
          <w:p w:rsidR="00F228DC" w:rsidRPr="004C7E84" w:rsidRDefault="004F5292" w:rsidP="00E66BB9">
            <w:pPr>
              <w:jc w:val="right"/>
              <w:rPr>
                <w:b/>
                <w:bCs/>
                <w:szCs w:val="18"/>
              </w:rPr>
            </w:pPr>
            <w:r w:rsidRPr="004C7E84">
              <w:rPr>
                <w:b/>
                <w:bCs/>
                <w:szCs w:val="18"/>
              </w:rPr>
              <w:t>2011</w:t>
            </w:r>
            <w:r w:rsidR="00F228DC" w:rsidRPr="004C7E84">
              <w:rPr>
                <w:b/>
                <w:bCs/>
                <w:szCs w:val="18"/>
              </w:rPr>
              <w:t>/1</w:t>
            </w:r>
            <w:r w:rsidRPr="004C7E84">
              <w:rPr>
                <w:b/>
                <w:bCs/>
                <w:szCs w:val="18"/>
              </w:rPr>
              <w:t>2</w:t>
            </w:r>
          </w:p>
        </w:tc>
        <w:tc>
          <w:tcPr>
            <w:tcW w:w="1633" w:type="dxa"/>
            <w:tcBorders>
              <w:top w:val="nil"/>
              <w:left w:val="nil"/>
              <w:bottom w:val="nil"/>
              <w:right w:val="nil"/>
            </w:tcBorders>
            <w:vAlign w:val="bottom"/>
          </w:tcPr>
          <w:p w:rsidR="00F228DC" w:rsidRPr="004C7E84" w:rsidRDefault="004F5292" w:rsidP="004F5292">
            <w:pPr>
              <w:jc w:val="right"/>
              <w:rPr>
                <w:b/>
                <w:bCs/>
                <w:szCs w:val="18"/>
              </w:rPr>
            </w:pPr>
            <w:r w:rsidRPr="004C7E84">
              <w:rPr>
                <w:b/>
                <w:bCs/>
                <w:szCs w:val="18"/>
              </w:rPr>
              <w:t>2010</w:t>
            </w:r>
            <w:r w:rsidR="00F228DC" w:rsidRPr="004C7E84">
              <w:rPr>
                <w:b/>
                <w:bCs/>
                <w:szCs w:val="18"/>
              </w:rPr>
              <w:t>/1</w:t>
            </w:r>
            <w:r w:rsidRPr="004C7E84">
              <w:rPr>
                <w:b/>
                <w:bCs/>
                <w:szCs w:val="18"/>
              </w:rPr>
              <w:t>1</w:t>
            </w:r>
          </w:p>
        </w:tc>
      </w:tr>
      <w:tr w:rsidR="00F228DC" w:rsidRPr="004C7E84" w:rsidTr="00F228DC">
        <w:trPr>
          <w:trHeight w:val="315"/>
        </w:trPr>
        <w:tc>
          <w:tcPr>
            <w:tcW w:w="1264" w:type="dxa"/>
            <w:tcBorders>
              <w:top w:val="nil"/>
              <w:left w:val="nil"/>
              <w:bottom w:val="nil"/>
              <w:right w:val="nil"/>
            </w:tcBorders>
            <w:shd w:val="clear" w:color="auto" w:fill="auto"/>
            <w:noWrap/>
            <w:vAlign w:val="bottom"/>
            <w:hideMark/>
          </w:tcPr>
          <w:p w:rsidR="00F228DC" w:rsidRPr="004C7E84" w:rsidRDefault="00F228DC" w:rsidP="00F228DC">
            <w:pPr>
              <w:rPr>
                <w:szCs w:val="18"/>
              </w:rPr>
            </w:pPr>
          </w:p>
        </w:tc>
        <w:tc>
          <w:tcPr>
            <w:tcW w:w="1264" w:type="dxa"/>
            <w:tcBorders>
              <w:top w:val="nil"/>
              <w:left w:val="nil"/>
              <w:bottom w:val="nil"/>
              <w:right w:val="nil"/>
            </w:tcBorders>
            <w:shd w:val="clear" w:color="auto" w:fill="auto"/>
            <w:noWrap/>
            <w:vAlign w:val="bottom"/>
            <w:hideMark/>
          </w:tcPr>
          <w:p w:rsidR="00F228DC" w:rsidRPr="004C7E84" w:rsidRDefault="00F228DC" w:rsidP="00F228DC">
            <w:pPr>
              <w:rPr>
                <w:szCs w:val="18"/>
              </w:rPr>
            </w:pPr>
          </w:p>
        </w:tc>
        <w:tc>
          <w:tcPr>
            <w:tcW w:w="2659" w:type="dxa"/>
            <w:tcBorders>
              <w:top w:val="nil"/>
              <w:left w:val="nil"/>
              <w:bottom w:val="nil"/>
              <w:right w:val="nil"/>
            </w:tcBorders>
            <w:shd w:val="clear" w:color="auto" w:fill="auto"/>
            <w:noWrap/>
            <w:vAlign w:val="bottom"/>
            <w:hideMark/>
          </w:tcPr>
          <w:p w:rsidR="00F228DC" w:rsidRPr="004C7E84" w:rsidRDefault="00F228DC" w:rsidP="00F228DC">
            <w:pPr>
              <w:rPr>
                <w:rFonts w:ascii="Calibri" w:hAnsi="Calibri" w:cs="Times New Roman"/>
                <w:color w:val="000000"/>
                <w:szCs w:val="18"/>
              </w:rPr>
            </w:pPr>
          </w:p>
        </w:tc>
        <w:tc>
          <w:tcPr>
            <w:tcW w:w="1633" w:type="dxa"/>
            <w:tcBorders>
              <w:top w:val="nil"/>
              <w:left w:val="nil"/>
              <w:right w:val="nil"/>
            </w:tcBorders>
            <w:vAlign w:val="bottom"/>
          </w:tcPr>
          <w:p w:rsidR="00F228DC" w:rsidRPr="004C7E84" w:rsidRDefault="00F228DC" w:rsidP="00E66BB9">
            <w:pPr>
              <w:jc w:val="right"/>
              <w:rPr>
                <w:b/>
                <w:bCs/>
                <w:szCs w:val="18"/>
              </w:rPr>
            </w:pPr>
            <w:r w:rsidRPr="004C7E84">
              <w:rPr>
                <w:b/>
                <w:bCs/>
                <w:szCs w:val="18"/>
              </w:rPr>
              <w:t>£000</w:t>
            </w:r>
          </w:p>
        </w:tc>
        <w:tc>
          <w:tcPr>
            <w:tcW w:w="1633" w:type="dxa"/>
            <w:tcBorders>
              <w:top w:val="nil"/>
              <w:left w:val="nil"/>
              <w:right w:val="nil"/>
            </w:tcBorders>
            <w:vAlign w:val="bottom"/>
          </w:tcPr>
          <w:p w:rsidR="00F228DC" w:rsidRPr="004C7E84" w:rsidRDefault="00F228DC" w:rsidP="00E66BB9">
            <w:pPr>
              <w:jc w:val="right"/>
              <w:rPr>
                <w:b/>
                <w:bCs/>
                <w:szCs w:val="18"/>
              </w:rPr>
            </w:pPr>
            <w:r w:rsidRPr="004C7E84">
              <w:rPr>
                <w:b/>
                <w:bCs/>
                <w:szCs w:val="18"/>
              </w:rPr>
              <w:t>£000</w:t>
            </w:r>
          </w:p>
        </w:tc>
      </w:tr>
      <w:tr w:rsidR="004F5292" w:rsidRPr="004C7E84" w:rsidTr="00F228DC">
        <w:trPr>
          <w:trHeight w:val="315"/>
        </w:trPr>
        <w:tc>
          <w:tcPr>
            <w:tcW w:w="5187" w:type="dxa"/>
            <w:gridSpan w:val="3"/>
            <w:tcBorders>
              <w:top w:val="nil"/>
              <w:left w:val="nil"/>
              <w:bottom w:val="nil"/>
              <w:right w:val="nil"/>
            </w:tcBorders>
            <w:shd w:val="clear" w:color="auto" w:fill="auto"/>
            <w:noWrap/>
            <w:vAlign w:val="bottom"/>
            <w:hideMark/>
          </w:tcPr>
          <w:p w:rsidR="004F5292" w:rsidRPr="004C7E84" w:rsidRDefault="004F5292" w:rsidP="004F5292">
            <w:pPr>
              <w:rPr>
                <w:szCs w:val="18"/>
              </w:rPr>
            </w:pPr>
            <w:r w:rsidRPr="004C7E84">
              <w:rPr>
                <w:szCs w:val="18"/>
              </w:rPr>
              <w:t>Council Tax Income</w:t>
            </w:r>
          </w:p>
        </w:tc>
        <w:tc>
          <w:tcPr>
            <w:tcW w:w="1633" w:type="dxa"/>
            <w:tcBorders>
              <w:top w:val="nil"/>
              <w:left w:val="nil"/>
              <w:bottom w:val="nil"/>
              <w:right w:val="nil"/>
            </w:tcBorders>
          </w:tcPr>
          <w:p w:rsidR="004F5292" w:rsidRPr="004C7E84" w:rsidRDefault="00184076" w:rsidP="004F5292">
            <w:pPr>
              <w:jc w:val="right"/>
              <w:rPr>
                <w:szCs w:val="18"/>
              </w:rPr>
            </w:pPr>
            <w:r w:rsidRPr="004C7E84">
              <w:rPr>
                <w:szCs w:val="18"/>
              </w:rPr>
              <w:t>(425,179)</w:t>
            </w:r>
          </w:p>
        </w:tc>
        <w:tc>
          <w:tcPr>
            <w:tcW w:w="1633" w:type="dxa"/>
            <w:tcBorders>
              <w:top w:val="nil"/>
              <w:left w:val="nil"/>
              <w:bottom w:val="nil"/>
              <w:right w:val="nil"/>
            </w:tcBorders>
            <w:shd w:val="clear" w:color="000000" w:fill="auto"/>
          </w:tcPr>
          <w:p w:rsidR="004F5292" w:rsidRPr="004C7E84" w:rsidRDefault="004F5292" w:rsidP="004F5292">
            <w:pPr>
              <w:jc w:val="right"/>
              <w:rPr>
                <w:szCs w:val="18"/>
              </w:rPr>
            </w:pPr>
            <w:r w:rsidRPr="004C7E84">
              <w:rPr>
                <w:szCs w:val="18"/>
              </w:rPr>
              <w:t>(424,878)</w:t>
            </w:r>
          </w:p>
        </w:tc>
      </w:tr>
      <w:tr w:rsidR="004F5292" w:rsidRPr="004C7E84" w:rsidTr="00F228DC">
        <w:trPr>
          <w:trHeight w:val="315"/>
        </w:trPr>
        <w:tc>
          <w:tcPr>
            <w:tcW w:w="5187" w:type="dxa"/>
            <w:gridSpan w:val="3"/>
            <w:tcBorders>
              <w:top w:val="nil"/>
              <w:left w:val="nil"/>
              <w:bottom w:val="nil"/>
              <w:right w:val="nil"/>
            </w:tcBorders>
            <w:shd w:val="clear" w:color="auto" w:fill="auto"/>
            <w:vAlign w:val="bottom"/>
            <w:hideMark/>
          </w:tcPr>
          <w:p w:rsidR="004F5292" w:rsidRPr="004C7E84" w:rsidRDefault="004F5292" w:rsidP="004F5292">
            <w:pPr>
              <w:rPr>
                <w:szCs w:val="18"/>
              </w:rPr>
            </w:pPr>
            <w:r w:rsidRPr="004C7E84">
              <w:rPr>
                <w:szCs w:val="18"/>
              </w:rPr>
              <w:t>Non Domestic Rates</w:t>
            </w:r>
          </w:p>
        </w:tc>
        <w:tc>
          <w:tcPr>
            <w:tcW w:w="1633" w:type="dxa"/>
            <w:tcBorders>
              <w:top w:val="nil"/>
              <w:left w:val="nil"/>
              <w:bottom w:val="nil"/>
              <w:right w:val="nil"/>
            </w:tcBorders>
          </w:tcPr>
          <w:p w:rsidR="004F5292" w:rsidRPr="004C7E84" w:rsidRDefault="00184076" w:rsidP="004F5292">
            <w:pPr>
              <w:jc w:val="right"/>
              <w:rPr>
                <w:szCs w:val="18"/>
              </w:rPr>
            </w:pPr>
            <w:r w:rsidRPr="004C7E84">
              <w:rPr>
                <w:szCs w:val="18"/>
              </w:rPr>
              <w:t>(254,894)</w:t>
            </w:r>
          </w:p>
        </w:tc>
        <w:tc>
          <w:tcPr>
            <w:tcW w:w="1633" w:type="dxa"/>
            <w:tcBorders>
              <w:top w:val="nil"/>
              <w:left w:val="nil"/>
              <w:bottom w:val="nil"/>
              <w:right w:val="nil"/>
            </w:tcBorders>
            <w:shd w:val="clear" w:color="000000" w:fill="auto"/>
          </w:tcPr>
          <w:p w:rsidR="004F5292" w:rsidRPr="004C7E84" w:rsidRDefault="004F5292" w:rsidP="004F5292">
            <w:pPr>
              <w:jc w:val="right"/>
              <w:rPr>
                <w:szCs w:val="18"/>
              </w:rPr>
            </w:pPr>
            <w:r w:rsidRPr="004C7E84">
              <w:rPr>
                <w:szCs w:val="18"/>
              </w:rPr>
              <w:t>(263,797)</w:t>
            </w:r>
          </w:p>
        </w:tc>
      </w:tr>
      <w:tr w:rsidR="004F5292" w:rsidRPr="004C7E84" w:rsidTr="00F228DC">
        <w:trPr>
          <w:trHeight w:val="315"/>
        </w:trPr>
        <w:tc>
          <w:tcPr>
            <w:tcW w:w="5187" w:type="dxa"/>
            <w:gridSpan w:val="3"/>
            <w:tcBorders>
              <w:top w:val="nil"/>
              <w:left w:val="nil"/>
              <w:bottom w:val="nil"/>
              <w:right w:val="nil"/>
            </w:tcBorders>
            <w:shd w:val="clear" w:color="auto" w:fill="auto"/>
            <w:noWrap/>
            <w:vAlign w:val="bottom"/>
            <w:hideMark/>
          </w:tcPr>
          <w:p w:rsidR="004F5292" w:rsidRPr="004C7E84" w:rsidRDefault="004F5292" w:rsidP="004F5292">
            <w:pPr>
              <w:rPr>
                <w:szCs w:val="18"/>
              </w:rPr>
            </w:pPr>
            <w:r w:rsidRPr="004C7E84">
              <w:rPr>
                <w:szCs w:val="18"/>
              </w:rPr>
              <w:t>Revenue Support Grant</w:t>
            </w:r>
          </w:p>
        </w:tc>
        <w:tc>
          <w:tcPr>
            <w:tcW w:w="1633" w:type="dxa"/>
            <w:tcBorders>
              <w:top w:val="nil"/>
              <w:left w:val="nil"/>
              <w:bottom w:val="nil"/>
              <w:right w:val="nil"/>
            </w:tcBorders>
          </w:tcPr>
          <w:p w:rsidR="004F5292" w:rsidRPr="004C7E84" w:rsidRDefault="00184076" w:rsidP="004F5292">
            <w:pPr>
              <w:jc w:val="right"/>
              <w:rPr>
                <w:szCs w:val="18"/>
              </w:rPr>
            </w:pPr>
            <w:r w:rsidRPr="004C7E84">
              <w:rPr>
                <w:szCs w:val="18"/>
              </w:rPr>
              <w:t>(78,789)</w:t>
            </w:r>
          </w:p>
        </w:tc>
        <w:tc>
          <w:tcPr>
            <w:tcW w:w="1633" w:type="dxa"/>
            <w:tcBorders>
              <w:top w:val="nil"/>
              <w:left w:val="nil"/>
              <w:bottom w:val="nil"/>
              <w:right w:val="nil"/>
            </w:tcBorders>
            <w:shd w:val="clear" w:color="000000" w:fill="auto"/>
          </w:tcPr>
          <w:p w:rsidR="004F5292" w:rsidRPr="004C7E84" w:rsidRDefault="004F5292" w:rsidP="004F5292">
            <w:pPr>
              <w:jc w:val="right"/>
              <w:rPr>
                <w:szCs w:val="18"/>
              </w:rPr>
            </w:pPr>
            <w:r w:rsidRPr="004C7E84">
              <w:rPr>
                <w:szCs w:val="18"/>
              </w:rPr>
              <w:t>(38,306)</w:t>
            </w:r>
          </w:p>
        </w:tc>
      </w:tr>
      <w:tr w:rsidR="004F5292" w:rsidRPr="004C7E84" w:rsidTr="00F228DC">
        <w:trPr>
          <w:trHeight w:val="315"/>
        </w:trPr>
        <w:tc>
          <w:tcPr>
            <w:tcW w:w="5187" w:type="dxa"/>
            <w:gridSpan w:val="3"/>
            <w:tcBorders>
              <w:top w:val="nil"/>
              <w:left w:val="nil"/>
              <w:bottom w:val="nil"/>
              <w:right w:val="nil"/>
            </w:tcBorders>
            <w:shd w:val="clear" w:color="auto" w:fill="auto"/>
            <w:noWrap/>
            <w:vAlign w:val="bottom"/>
            <w:hideMark/>
          </w:tcPr>
          <w:p w:rsidR="004F5292" w:rsidRPr="004C7E84" w:rsidRDefault="004F5292" w:rsidP="004F5292">
            <w:pPr>
              <w:rPr>
                <w:szCs w:val="18"/>
              </w:rPr>
            </w:pPr>
            <w:r w:rsidRPr="004C7E84">
              <w:rPr>
                <w:szCs w:val="18"/>
              </w:rPr>
              <w:t>Non Service related Government Grants</w:t>
            </w:r>
          </w:p>
        </w:tc>
        <w:tc>
          <w:tcPr>
            <w:tcW w:w="1633" w:type="dxa"/>
            <w:tcBorders>
              <w:top w:val="nil"/>
              <w:left w:val="nil"/>
              <w:bottom w:val="nil"/>
              <w:right w:val="nil"/>
            </w:tcBorders>
          </w:tcPr>
          <w:p w:rsidR="004F5292" w:rsidRPr="004C7E84" w:rsidRDefault="00184076" w:rsidP="004F5292">
            <w:pPr>
              <w:jc w:val="right"/>
              <w:rPr>
                <w:szCs w:val="18"/>
              </w:rPr>
            </w:pPr>
            <w:r w:rsidRPr="004C7E84">
              <w:rPr>
                <w:szCs w:val="18"/>
              </w:rPr>
              <w:t>-</w:t>
            </w:r>
          </w:p>
        </w:tc>
        <w:tc>
          <w:tcPr>
            <w:tcW w:w="1633" w:type="dxa"/>
            <w:tcBorders>
              <w:top w:val="nil"/>
              <w:left w:val="nil"/>
              <w:bottom w:val="nil"/>
              <w:right w:val="nil"/>
            </w:tcBorders>
            <w:shd w:val="clear" w:color="000000" w:fill="auto"/>
          </w:tcPr>
          <w:p w:rsidR="004F5292" w:rsidRPr="004C7E84" w:rsidRDefault="004F5292" w:rsidP="004F5292">
            <w:pPr>
              <w:jc w:val="right"/>
              <w:rPr>
                <w:szCs w:val="18"/>
              </w:rPr>
            </w:pPr>
            <w:r w:rsidRPr="004C7E84">
              <w:rPr>
                <w:szCs w:val="18"/>
              </w:rPr>
              <w:t>(78,784)</w:t>
            </w:r>
          </w:p>
        </w:tc>
      </w:tr>
      <w:tr w:rsidR="00184076" w:rsidRPr="004C7E84" w:rsidTr="00184076">
        <w:trPr>
          <w:trHeight w:val="315"/>
        </w:trPr>
        <w:tc>
          <w:tcPr>
            <w:tcW w:w="5187" w:type="dxa"/>
            <w:gridSpan w:val="3"/>
            <w:tcBorders>
              <w:top w:val="nil"/>
              <w:left w:val="nil"/>
              <w:bottom w:val="nil"/>
              <w:right w:val="nil"/>
            </w:tcBorders>
            <w:shd w:val="clear" w:color="auto" w:fill="auto"/>
            <w:hideMark/>
          </w:tcPr>
          <w:p w:rsidR="00184076" w:rsidRPr="004C7E84" w:rsidRDefault="00184076" w:rsidP="004F5292">
            <w:pPr>
              <w:rPr>
                <w:szCs w:val="18"/>
              </w:rPr>
            </w:pPr>
            <w:r w:rsidRPr="004C7E84">
              <w:rPr>
                <w:szCs w:val="18"/>
              </w:rPr>
              <w:t>Council Tax Freeze Grant</w:t>
            </w:r>
          </w:p>
        </w:tc>
        <w:tc>
          <w:tcPr>
            <w:tcW w:w="1633" w:type="dxa"/>
            <w:tcBorders>
              <w:top w:val="nil"/>
              <w:left w:val="nil"/>
              <w:right w:val="nil"/>
            </w:tcBorders>
          </w:tcPr>
          <w:p w:rsidR="00184076" w:rsidRPr="004C7E84" w:rsidRDefault="00184076" w:rsidP="004F5292">
            <w:pPr>
              <w:jc w:val="right"/>
              <w:rPr>
                <w:szCs w:val="18"/>
              </w:rPr>
            </w:pPr>
            <w:r w:rsidRPr="004C7E84">
              <w:rPr>
                <w:szCs w:val="18"/>
              </w:rPr>
              <w:t>(10,618)</w:t>
            </w:r>
          </w:p>
        </w:tc>
        <w:tc>
          <w:tcPr>
            <w:tcW w:w="1633" w:type="dxa"/>
            <w:tcBorders>
              <w:top w:val="nil"/>
              <w:left w:val="nil"/>
              <w:right w:val="nil"/>
            </w:tcBorders>
            <w:shd w:val="clear" w:color="000000" w:fill="auto"/>
          </w:tcPr>
          <w:p w:rsidR="00184076" w:rsidRPr="004C7E84" w:rsidRDefault="00184076" w:rsidP="004F5292">
            <w:pPr>
              <w:jc w:val="right"/>
              <w:rPr>
                <w:szCs w:val="18"/>
              </w:rPr>
            </w:pPr>
            <w:r w:rsidRPr="004C7E84">
              <w:rPr>
                <w:szCs w:val="18"/>
              </w:rPr>
              <w:t>-</w:t>
            </w:r>
          </w:p>
        </w:tc>
      </w:tr>
      <w:tr w:rsidR="004F5292" w:rsidRPr="004C7E84" w:rsidTr="002E5A94">
        <w:trPr>
          <w:trHeight w:val="315"/>
        </w:trPr>
        <w:tc>
          <w:tcPr>
            <w:tcW w:w="5187" w:type="dxa"/>
            <w:gridSpan w:val="3"/>
            <w:tcBorders>
              <w:top w:val="nil"/>
              <w:left w:val="nil"/>
              <w:bottom w:val="nil"/>
              <w:right w:val="nil"/>
            </w:tcBorders>
            <w:shd w:val="clear" w:color="auto" w:fill="auto"/>
            <w:hideMark/>
          </w:tcPr>
          <w:p w:rsidR="004F5292" w:rsidRPr="004C7E84" w:rsidRDefault="004F5292" w:rsidP="004F5292">
            <w:pPr>
              <w:rPr>
                <w:szCs w:val="18"/>
              </w:rPr>
            </w:pPr>
            <w:r w:rsidRPr="004C7E84">
              <w:rPr>
                <w:szCs w:val="18"/>
              </w:rPr>
              <w:t>Recognised Capital grants and contributions</w:t>
            </w:r>
          </w:p>
        </w:tc>
        <w:tc>
          <w:tcPr>
            <w:tcW w:w="1633" w:type="dxa"/>
            <w:tcBorders>
              <w:top w:val="nil"/>
              <w:left w:val="nil"/>
              <w:bottom w:val="single" w:sz="4" w:space="0" w:color="auto"/>
              <w:right w:val="nil"/>
            </w:tcBorders>
          </w:tcPr>
          <w:p w:rsidR="004F5292" w:rsidRPr="004C7E84" w:rsidRDefault="00184076" w:rsidP="004F5292">
            <w:pPr>
              <w:jc w:val="right"/>
              <w:rPr>
                <w:szCs w:val="18"/>
              </w:rPr>
            </w:pPr>
            <w:r w:rsidRPr="004C7E84">
              <w:rPr>
                <w:szCs w:val="18"/>
              </w:rPr>
              <w:t>(126,565)</w:t>
            </w:r>
          </w:p>
        </w:tc>
        <w:tc>
          <w:tcPr>
            <w:tcW w:w="1633" w:type="dxa"/>
            <w:tcBorders>
              <w:top w:val="nil"/>
              <w:left w:val="nil"/>
              <w:bottom w:val="single" w:sz="4" w:space="0" w:color="auto"/>
              <w:right w:val="nil"/>
            </w:tcBorders>
            <w:shd w:val="clear" w:color="000000" w:fill="auto"/>
          </w:tcPr>
          <w:p w:rsidR="004F5292" w:rsidRPr="004C7E84" w:rsidRDefault="004F5292" w:rsidP="004F5292">
            <w:pPr>
              <w:jc w:val="right"/>
              <w:rPr>
                <w:szCs w:val="18"/>
              </w:rPr>
            </w:pPr>
            <w:r w:rsidRPr="004C7E84">
              <w:rPr>
                <w:szCs w:val="18"/>
              </w:rPr>
              <w:t>(100,173)</w:t>
            </w:r>
          </w:p>
        </w:tc>
      </w:tr>
      <w:tr w:rsidR="004F5292" w:rsidRPr="004C7E84" w:rsidTr="002E5A94">
        <w:trPr>
          <w:trHeight w:val="330"/>
        </w:trPr>
        <w:tc>
          <w:tcPr>
            <w:tcW w:w="1264" w:type="dxa"/>
            <w:tcBorders>
              <w:top w:val="nil"/>
              <w:left w:val="nil"/>
              <w:bottom w:val="nil"/>
              <w:right w:val="nil"/>
            </w:tcBorders>
            <w:shd w:val="clear" w:color="auto" w:fill="auto"/>
            <w:noWrap/>
            <w:vAlign w:val="bottom"/>
            <w:hideMark/>
          </w:tcPr>
          <w:p w:rsidR="004F5292" w:rsidRPr="004C7E84" w:rsidRDefault="004F5292" w:rsidP="004F5292">
            <w:pPr>
              <w:rPr>
                <w:b/>
                <w:szCs w:val="18"/>
              </w:rPr>
            </w:pPr>
            <w:r w:rsidRPr="004C7E84">
              <w:rPr>
                <w:b/>
                <w:szCs w:val="18"/>
              </w:rPr>
              <w:t>Total</w:t>
            </w:r>
          </w:p>
        </w:tc>
        <w:tc>
          <w:tcPr>
            <w:tcW w:w="1264" w:type="dxa"/>
            <w:tcBorders>
              <w:top w:val="nil"/>
              <w:left w:val="nil"/>
              <w:bottom w:val="nil"/>
              <w:right w:val="nil"/>
            </w:tcBorders>
            <w:shd w:val="clear" w:color="auto" w:fill="auto"/>
            <w:noWrap/>
            <w:vAlign w:val="bottom"/>
            <w:hideMark/>
          </w:tcPr>
          <w:p w:rsidR="004F5292" w:rsidRPr="004C7E84" w:rsidRDefault="004F5292" w:rsidP="004F5292">
            <w:pPr>
              <w:rPr>
                <w:b/>
                <w:szCs w:val="18"/>
              </w:rPr>
            </w:pPr>
          </w:p>
        </w:tc>
        <w:tc>
          <w:tcPr>
            <w:tcW w:w="2659" w:type="dxa"/>
            <w:tcBorders>
              <w:top w:val="nil"/>
              <w:left w:val="nil"/>
              <w:bottom w:val="nil"/>
              <w:right w:val="nil"/>
            </w:tcBorders>
            <w:shd w:val="clear" w:color="auto" w:fill="auto"/>
            <w:noWrap/>
            <w:hideMark/>
          </w:tcPr>
          <w:p w:rsidR="004F5292" w:rsidRPr="004C7E84" w:rsidRDefault="004F5292" w:rsidP="004F5292">
            <w:pPr>
              <w:jc w:val="right"/>
              <w:rPr>
                <w:szCs w:val="18"/>
              </w:rPr>
            </w:pPr>
          </w:p>
        </w:tc>
        <w:tc>
          <w:tcPr>
            <w:tcW w:w="1633" w:type="dxa"/>
            <w:tcBorders>
              <w:top w:val="single" w:sz="4" w:space="0" w:color="auto"/>
              <w:left w:val="nil"/>
              <w:bottom w:val="double" w:sz="6" w:space="0" w:color="auto"/>
              <w:right w:val="nil"/>
            </w:tcBorders>
            <w:vAlign w:val="bottom"/>
          </w:tcPr>
          <w:p w:rsidR="004F5292" w:rsidRPr="004C7E84" w:rsidRDefault="00184076" w:rsidP="004F5292">
            <w:pPr>
              <w:jc w:val="right"/>
              <w:rPr>
                <w:b/>
                <w:szCs w:val="18"/>
              </w:rPr>
            </w:pPr>
            <w:r w:rsidRPr="004C7E84">
              <w:rPr>
                <w:b/>
                <w:szCs w:val="18"/>
              </w:rPr>
              <w:t>(896,045)</w:t>
            </w:r>
          </w:p>
        </w:tc>
        <w:tc>
          <w:tcPr>
            <w:tcW w:w="1633" w:type="dxa"/>
            <w:tcBorders>
              <w:top w:val="single" w:sz="4" w:space="0" w:color="auto"/>
              <w:left w:val="nil"/>
              <w:bottom w:val="double" w:sz="6" w:space="0" w:color="auto"/>
              <w:right w:val="nil"/>
            </w:tcBorders>
            <w:vAlign w:val="bottom"/>
          </w:tcPr>
          <w:p w:rsidR="004F5292" w:rsidRPr="004C7E84" w:rsidRDefault="004F5292" w:rsidP="004F5292">
            <w:pPr>
              <w:jc w:val="right"/>
              <w:rPr>
                <w:b/>
                <w:szCs w:val="18"/>
              </w:rPr>
            </w:pPr>
            <w:r w:rsidRPr="004C7E84">
              <w:rPr>
                <w:b/>
                <w:szCs w:val="18"/>
              </w:rPr>
              <w:t>(905,938)</w:t>
            </w:r>
          </w:p>
        </w:tc>
      </w:tr>
    </w:tbl>
    <w:p w:rsidR="004A6996" w:rsidRPr="004C7E84" w:rsidRDefault="004A6996" w:rsidP="000C09DD">
      <w:pPr>
        <w:spacing w:after="240"/>
      </w:pPr>
    </w:p>
    <w:p w:rsidR="004A6996" w:rsidRPr="004C7E84" w:rsidRDefault="004A6996" w:rsidP="000C09DD">
      <w:pPr>
        <w:spacing w:after="240"/>
      </w:pPr>
    </w:p>
    <w:p w:rsidR="004A6996" w:rsidRPr="004C7E84" w:rsidRDefault="004A6996" w:rsidP="000C09DD">
      <w:pPr>
        <w:spacing w:after="240"/>
      </w:pPr>
    </w:p>
    <w:p w:rsidR="006C2528" w:rsidRPr="004C7E84" w:rsidRDefault="006C2528" w:rsidP="000C09DD">
      <w:pPr>
        <w:spacing w:after="240"/>
      </w:pPr>
    </w:p>
    <w:p w:rsidR="006C2528" w:rsidRPr="004C7E84" w:rsidRDefault="006C2528" w:rsidP="000C09DD">
      <w:pPr>
        <w:spacing w:after="240"/>
      </w:pPr>
    </w:p>
    <w:p w:rsidR="006C2528" w:rsidRPr="00286C0E" w:rsidRDefault="006C2528" w:rsidP="000C09DD">
      <w:pPr>
        <w:spacing w:after="240"/>
        <w:rPr>
          <w:highlight w:val="yellow"/>
        </w:rPr>
      </w:pPr>
    </w:p>
    <w:p w:rsidR="004A6996" w:rsidRPr="00286C0E" w:rsidRDefault="004A6996" w:rsidP="000C09DD">
      <w:pPr>
        <w:spacing w:after="240"/>
        <w:rPr>
          <w:highlight w:val="yellow"/>
        </w:rPr>
      </w:pPr>
    </w:p>
    <w:p w:rsidR="007A7FDA" w:rsidRPr="00286C0E" w:rsidRDefault="007A7FDA" w:rsidP="000C09DD">
      <w:pPr>
        <w:spacing w:after="240"/>
        <w:rPr>
          <w:highlight w:val="yellow"/>
        </w:rPr>
      </w:pPr>
    </w:p>
    <w:p w:rsidR="007A7FDA" w:rsidRPr="00286C0E" w:rsidRDefault="007A7FDA" w:rsidP="000C09DD">
      <w:pPr>
        <w:spacing w:after="240"/>
        <w:rPr>
          <w:highlight w:val="yellow"/>
        </w:rPr>
      </w:pPr>
    </w:p>
    <w:p w:rsidR="00D9146A" w:rsidRPr="00286C0E" w:rsidRDefault="00D9146A" w:rsidP="000C09DD">
      <w:pPr>
        <w:spacing w:after="240"/>
        <w:rPr>
          <w:highlight w:val="yellow"/>
        </w:rPr>
      </w:pPr>
    </w:p>
    <w:p w:rsidR="00D9146A" w:rsidRPr="00286C0E" w:rsidRDefault="00D9146A" w:rsidP="000C09DD">
      <w:pPr>
        <w:spacing w:after="240"/>
        <w:rPr>
          <w:highlight w:val="yellow"/>
        </w:rPr>
      </w:pPr>
    </w:p>
    <w:p w:rsidR="00D9146A" w:rsidRPr="00286C0E" w:rsidRDefault="00D9146A" w:rsidP="000C09DD">
      <w:pPr>
        <w:spacing w:after="240"/>
        <w:rPr>
          <w:highlight w:val="yellow"/>
        </w:rPr>
      </w:pPr>
    </w:p>
    <w:p w:rsidR="00D9146A" w:rsidRPr="00286C0E" w:rsidRDefault="00D9146A" w:rsidP="000C09DD">
      <w:pPr>
        <w:spacing w:after="240"/>
        <w:rPr>
          <w:highlight w:val="yellow"/>
        </w:rPr>
      </w:pPr>
    </w:p>
    <w:p w:rsidR="00D9146A" w:rsidRPr="00286C0E" w:rsidRDefault="00D9146A" w:rsidP="00D9146A">
      <w:pPr>
        <w:jc w:val="center"/>
        <w:rPr>
          <w:b/>
          <w:bCs/>
          <w:sz w:val="32"/>
          <w:szCs w:val="32"/>
          <w:highlight w:val="yellow"/>
        </w:rPr>
        <w:sectPr w:rsidR="00D9146A" w:rsidRPr="00286C0E" w:rsidSect="003018D5">
          <w:pgSz w:w="11906" w:h="16838" w:code="9"/>
          <w:pgMar w:top="720" w:right="720" w:bottom="720" w:left="720" w:header="706" w:footer="706" w:gutter="0"/>
          <w:cols w:space="708"/>
          <w:docGrid w:linePitch="360"/>
        </w:sectPr>
      </w:pPr>
    </w:p>
    <w:tbl>
      <w:tblPr>
        <w:tblpPr w:leftFromText="180" w:rightFromText="180" w:horzAnchor="margin" w:tblpY="420"/>
        <w:tblW w:w="16882" w:type="dxa"/>
        <w:tblLook w:val="04A0"/>
      </w:tblPr>
      <w:tblGrid>
        <w:gridCol w:w="15915"/>
        <w:gridCol w:w="967"/>
      </w:tblGrid>
      <w:tr w:rsidR="0077192D" w:rsidRPr="00286C0E" w:rsidTr="000820BE">
        <w:trPr>
          <w:trHeight w:val="3404"/>
        </w:trPr>
        <w:tc>
          <w:tcPr>
            <w:tcW w:w="15915" w:type="dxa"/>
            <w:tcBorders>
              <w:top w:val="nil"/>
              <w:left w:val="nil"/>
              <w:bottom w:val="nil"/>
              <w:right w:val="nil"/>
            </w:tcBorders>
            <w:shd w:val="clear" w:color="auto" w:fill="auto"/>
            <w:noWrap/>
            <w:vAlign w:val="bottom"/>
            <w:hideMark/>
          </w:tcPr>
          <w:p w:rsidR="0077192D" w:rsidRPr="00B736DE" w:rsidRDefault="0077192D" w:rsidP="00BD07E4">
            <w:pPr>
              <w:numPr>
                <w:ilvl w:val="0"/>
                <w:numId w:val="21"/>
              </w:numPr>
              <w:rPr>
                <w:b/>
                <w:bCs/>
              </w:rPr>
            </w:pPr>
            <w:r w:rsidRPr="00B736DE">
              <w:rPr>
                <w:b/>
                <w:bCs/>
                <w:szCs w:val="32"/>
              </w:rPr>
              <w:lastRenderedPageBreak/>
              <w:t>Amounts Reported for Resource Allocation Decisions</w:t>
            </w:r>
          </w:p>
          <w:p w:rsidR="00713799" w:rsidRPr="00B736DE" w:rsidRDefault="00713799" w:rsidP="00713799">
            <w:pPr>
              <w:ind w:left="720"/>
              <w:rPr>
                <w:b/>
                <w:bCs/>
                <w:szCs w:val="32"/>
              </w:rPr>
            </w:pPr>
          </w:p>
          <w:p w:rsidR="00713799" w:rsidRPr="00B736DE" w:rsidRDefault="00713799" w:rsidP="00BC6A99">
            <w:pPr>
              <w:ind w:left="720"/>
              <w:jc w:val="both"/>
              <w:rPr>
                <w:bCs/>
              </w:rPr>
            </w:pPr>
            <w:r w:rsidRPr="00B736DE">
              <w:rPr>
                <w:bCs/>
              </w:rPr>
              <w:t>The analysis of income and expenditure by service on the face of the Comprehensive Income and Expenditure</w:t>
            </w:r>
            <w:r w:rsidR="00B736DE">
              <w:rPr>
                <w:bCs/>
              </w:rPr>
              <w:t xml:space="preserve"> Statement is that specified by</w:t>
            </w:r>
            <w:r w:rsidR="003E55D7" w:rsidRPr="00B736DE">
              <w:t xml:space="preserve"> Service Reporting Code of </w:t>
            </w:r>
            <w:r w:rsidR="00B736DE" w:rsidRPr="00B736DE">
              <w:t>Practice.</w:t>
            </w:r>
            <w:r w:rsidRPr="00B736DE">
              <w:rPr>
                <w:bCs/>
              </w:rPr>
              <w:t xml:space="preserve">  However, decisions about resource allocation are taken on the basis of budget reports analysed across directorates.  These reports are prepared on a different basis from the accounting policies used in the financial statements</w:t>
            </w:r>
            <w:r w:rsidR="00694AE5" w:rsidRPr="00B736DE">
              <w:rPr>
                <w:bCs/>
              </w:rPr>
              <w:t>.</w:t>
            </w:r>
          </w:p>
          <w:p w:rsidR="00713799" w:rsidRPr="00286C0E" w:rsidRDefault="00713799" w:rsidP="00713799">
            <w:pPr>
              <w:ind w:left="720"/>
              <w:rPr>
                <w:bCs/>
                <w:highlight w:val="yellow"/>
              </w:rPr>
            </w:pPr>
          </w:p>
          <w:p w:rsidR="00713799" w:rsidRPr="00286C0E" w:rsidRDefault="00713799" w:rsidP="00713799">
            <w:pPr>
              <w:rPr>
                <w:b/>
                <w:bCs/>
                <w:highlight w:val="yellow"/>
              </w:rPr>
            </w:pPr>
          </w:p>
          <w:p w:rsidR="00713799" w:rsidRDefault="00713799" w:rsidP="00713799">
            <w:pPr>
              <w:rPr>
                <w:bCs/>
              </w:rPr>
            </w:pPr>
            <w:r w:rsidRPr="00B736DE">
              <w:rPr>
                <w:bCs/>
              </w:rPr>
              <w:t>The income and expenditure of the authority's principal Directorates recorded in the budget reports for the year is as follows:</w:t>
            </w:r>
          </w:p>
          <w:p w:rsidR="00B736DE" w:rsidRDefault="00B736DE" w:rsidP="00713799">
            <w:pPr>
              <w:rPr>
                <w:bCs/>
              </w:rPr>
            </w:pPr>
          </w:p>
          <w:p w:rsidR="00B736DE" w:rsidRDefault="00B736DE" w:rsidP="00713799">
            <w:pPr>
              <w:rPr>
                <w:bCs/>
              </w:rPr>
            </w:pPr>
          </w:p>
          <w:p w:rsidR="00F772A7" w:rsidRPr="00B736DE" w:rsidRDefault="00B736DE" w:rsidP="00713799">
            <w:pPr>
              <w:rPr>
                <w:b/>
              </w:rPr>
            </w:pPr>
            <w:r w:rsidRPr="00B736DE">
              <w:rPr>
                <w:b/>
              </w:rPr>
              <w:t>Y</w:t>
            </w:r>
            <w:r w:rsidR="00F772A7" w:rsidRPr="00B736DE">
              <w:rPr>
                <w:b/>
              </w:rPr>
              <w:t>ear Ended 31 March 201</w:t>
            </w:r>
            <w:r w:rsidR="008D4582" w:rsidRPr="00B736DE">
              <w:rPr>
                <w:b/>
              </w:rPr>
              <w:t>2</w:t>
            </w:r>
          </w:p>
          <w:p w:rsidR="00B736DE" w:rsidRPr="00B736DE" w:rsidRDefault="00B736DE" w:rsidP="00713799">
            <w:pPr>
              <w:rPr>
                <w:b/>
                <w:highlight w:val="yellow"/>
              </w:rPr>
            </w:pPr>
          </w:p>
          <w:p w:rsidR="00B736DE" w:rsidRPr="00B736DE" w:rsidRDefault="00B736DE" w:rsidP="00713799">
            <w:pPr>
              <w:rPr>
                <w:b/>
                <w:highlight w:val="yellow"/>
              </w:rPr>
            </w:pPr>
          </w:p>
          <w:tbl>
            <w:tblPr>
              <w:tblW w:w="14409" w:type="dxa"/>
              <w:tblLook w:val="04A0"/>
            </w:tblPr>
            <w:tblGrid>
              <w:gridCol w:w="7097"/>
              <w:gridCol w:w="1536"/>
              <w:gridCol w:w="1284"/>
              <w:gridCol w:w="1683"/>
              <w:gridCol w:w="1617"/>
              <w:gridCol w:w="1444"/>
            </w:tblGrid>
            <w:tr w:rsidR="00901903" w:rsidRPr="00B736DE" w:rsidTr="00901903">
              <w:trPr>
                <w:trHeight w:val="945"/>
              </w:trPr>
              <w:tc>
                <w:tcPr>
                  <w:tcW w:w="7097"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pPr>
                </w:p>
              </w:tc>
              <w:tc>
                <w:tcPr>
                  <w:tcW w:w="1284" w:type="dxa"/>
                  <w:tcBorders>
                    <w:top w:val="nil"/>
                    <w:left w:val="nil"/>
                    <w:bottom w:val="nil"/>
                    <w:right w:val="nil"/>
                  </w:tcBorders>
                  <w:vAlign w:val="center"/>
                </w:tcPr>
                <w:p w:rsidR="00901903" w:rsidRPr="00B736DE" w:rsidRDefault="00901903" w:rsidP="00042D21">
                  <w:pPr>
                    <w:framePr w:hSpace="180" w:wrap="around" w:hAnchor="margin" w:y="420"/>
                    <w:jc w:val="center"/>
                    <w:rPr>
                      <w:b/>
                      <w:bCs/>
                    </w:rPr>
                  </w:pPr>
                  <w:r w:rsidRPr="00B736DE">
                    <w:rPr>
                      <w:b/>
                      <w:bCs/>
                    </w:rPr>
                    <w:t>A</w:t>
                  </w:r>
                  <w:r w:rsidR="00DC7184">
                    <w:rPr>
                      <w:b/>
                      <w:bCs/>
                    </w:rPr>
                    <w:t xml:space="preserve">dult &amp; </w:t>
                  </w:r>
                  <w:r w:rsidRPr="00B736DE">
                    <w:rPr>
                      <w:b/>
                      <w:bCs/>
                    </w:rPr>
                    <w:t>C</w:t>
                  </w:r>
                  <w:r w:rsidR="00DC7184">
                    <w:rPr>
                      <w:b/>
                      <w:bCs/>
                    </w:rPr>
                    <w:t xml:space="preserve">ommunity </w:t>
                  </w:r>
                  <w:r w:rsidRPr="00B736DE">
                    <w:rPr>
                      <w:b/>
                      <w:bCs/>
                    </w:rPr>
                    <w:t>S</w:t>
                  </w:r>
                  <w:r w:rsidR="00DC7184">
                    <w:rPr>
                      <w:b/>
                      <w:bCs/>
                    </w:rPr>
                    <w:t>ervices</w:t>
                  </w:r>
                </w:p>
              </w:tc>
              <w:tc>
                <w:tcPr>
                  <w:tcW w:w="1284" w:type="dxa"/>
                  <w:tcBorders>
                    <w:top w:val="nil"/>
                    <w:left w:val="nil"/>
                    <w:bottom w:val="nil"/>
                    <w:right w:val="nil"/>
                  </w:tcBorders>
                  <w:shd w:val="clear" w:color="auto" w:fill="auto"/>
                  <w:vAlign w:val="center"/>
                  <w:hideMark/>
                </w:tcPr>
                <w:p w:rsidR="00901903" w:rsidRPr="00B736DE" w:rsidRDefault="00DC7184" w:rsidP="00042D21">
                  <w:pPr>
                    <w:framePr w:hSpace="180" w:wrap="around" w:hAnchor="margin" w:y="420"/>
                    <w:jc w:val="center"/>
                    <w:rPr>
                      <w:b/>
                      <w:bCs/>
                    </w:rPr>
                  </w:pPr>
                  <w:r>
                    <w:rPr>
                      <w:b/>
                      <w:bCs/>
                    </w:rPr>
                    <w:t xml:space="preserve">Children &amp; </w:t>
                  </w:r>
                  <w:r w:rsidR="00901903" w:rsidRPr="00B736DE">
                    <w:rPr>
                      <w:b/>
                      <w:bCs/>
                    </w:rPr>
                    <w:t>Y</w:t>
                  </w:r>
                  <w:r>
                    <w:rPr>
                      <w:b/>
                      <w:bCs/>
                    </w:rPr>
                    <w:t xml:space="preserve">oung </w:t>
                  </w:r>
                  <w:r w:rsidR="00901903" w:rsidRPr="00B736DE">
                    <w:rPr>
                      <w:b/>
                      <w:bCs/>
                    </w:rPr>
                    <w:t>P</w:t>
                  </w:r>
                  <w:r>
                    <w:rPr>
                      <w:b/>
                      <w:bCs/>
                    </w:rPr>
                    <w:t>eople</w:t>
                  </w:r>
                </w:p>
              </w:tc>
              <w:tc>
                <w:tcPr>
                  <w:tcW w:w="1683" w:type="dxa"/>
                  <w:tcBorders>
                    <w:top w:val="nil"/>
                    <w:left w:val="nil"/>
                    <w:bottom w:val="nil"/>
                    <w:right w:val="nil"/>
                  </w:tcBorders>
                  <w:shd w:val="clear" w:color="auto" w:fill="auto"/>
                  <w:vAlign w:val="center"/>
                  <w:hideMark/>
                </w:tcPr>
                <w:p w:rsidR="00901903" w:rsidRPr="00B736DE" w:rsidRDefault="00901903" w:rsidP="00042D21">
                  <w:pPr>
                    <w:framePr w:hSpace="180" w:wrap="around" w:hAnchor="margin" w:y="420"/>
                    <w:jc w:val="center"/>
                    <w:rPr>
                      <w:b/>
                      <w:bCs/>
                    </w:rPr>
                  </w:pPr>
                  <w:r w:rsidRPr="00B736DE">
                    <w:rPr>
                      <w:b/>
                      <w:bCs/>
                    </w:rPr>
                    <w:t xml:space="preserve">Environment </w:t>
                  </w:r>
                </w:p>
              </w:tc>
              <w:tc>
                <w:tcPr>
                  <w:tcW w:w="1617" w:type="dxa"/>
                  <w:tcBorders>
                    <w:top w:val="nil"/>
                    <w:left w:val="nil"/>
                    <w:bottom w:val="nil"/>
                    <w:right w:val="nil"/>
                  </w:tcBorders>
                  <w:shd w:val="clear" w:color="auto" w:fill="auto"/>
                  <w:vAlign w:val="center"/>
                  <w:hideMark/>
                </w:tcPr>
                <w:p w:rsidR="00901903" w:rsidRPr="00B736DE" w:rsidRDefault="00901903" w:rsidP="00042D21">
                  <w:pPr>
                    <w:framePr w:hSpace="180" w:wrap="around" w:hAnchor="margin" w:y="420"/>
                    <w:jc w:val="center"/>
                    <w:rPr>
                      <w:b/>
                      <w:bCs/>
                    </w:rPr>
                  </w:pPr>
                  <w:r w:rsidRPr="00B736DE">
                    <w:rPr>
                      <w:b/>
                      <w:bCs/>
                    </w:rPr>
                    <w:t>Other Directorates</w:t>
                  </w:r>
                </w:p>
              </w:tc>
              <w:tc>
                <w:tcPr>
                  <w:tcW w:w="1444" w:type="dxa"/>
                  <w:tcBorders>
                    <w:top w:val="nil"/>
                    <w:left w:val="nil"/>
                    <w:bottom w:val="nil"/>
                    <w:right w:val="nil"/>
                  </w:tcBorders>
                  <w:shd w:val="clear" w:color="auto" w:fill="auto"/>
                  <w:vAlign w:val="center"/>
                  <w:hideMark/>
                </w:tcPr>
                <w:p w:rsidR="00901903" w:rsidRPr="00B736DE" w:rsidRDefault="00901903" w:rsidP="00042D21">
                  <w:pPr>
                    <w:framePr w:hSpace="180" w:wrap="around" w:hAnchor="margin" w:y="420"/>
                    <w:jc w:val="center"/>
                    <w:rPr>
                      <w:b/>
                      <w:bCs/>
                    </w:rPr>
                  </w:pPr>
                  <w:r w:rsidRPr="00B736DE">
                    <w:rPr>
                      <w:b/>
                      <w:bCs/>
                    </w:rPr>
                    <w:t>Total</w:t>
                  </w:r>
                </w:p>
              </w:tc>
            </w:tr>
            <w:tr w:rsidR="00901903" w:rsidRPr="00B736DE" w:rsidTr="00901903">
              <w:trPr>
                <w:trHeight w:val="315"/>
              </w:trPr>
              <w:tc>
                <w:tcPr>
                  <w:tcW w:w="7097"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rPr>
                      <w:b/>
                      <w:bCs/>
                      <w:u w:val="single"/>
                    </w:rPr>
                  </w:pPr>
                  <w:r w:rsidRPr="00B736DE">
                    <w:rPr>
                      <w:b/>
                      <w:bCs/>
                      <w:u w:val="single"/>
                    </w:rPr>
                    <w:t>2011/12</w:t>
                  </w:r>
                </w:p>
              </w:tc>
              <w:tc>
                <w:tcPr>
                  <w:tcW w:w="1284" w:type="dxa"/>
                  <w:tcBorders>
                    <w:top w:val="nil"/>
                    <w:left w:val="nil"/>
                    <w:bottom w:val="nil"/>
                    <w:right w:val="nil"/>
                  </w:tcBorders>
                  <w:vAlign w:val="center"/>
                </w:tcPr>
                <w:p w:rsidR="00901903" w:rsidRPr="00B736DE" w:rsidRDefault="00901903" w:rsidP="00042D21">
                  <w:pPr>
                    <w:framePr w:hSpace="180" w:wrap="around" w:hAnchor="margin" w:y="420"/>
                    <w:jc w:val="center"/>
                    <w:rPr>
                      <w:b/>
                      <w:bCs/>
                    </w:rPr>
                  </w:pPr>
                  <w:r w:rsidRPr="00B736DE">
                    <w:rPr>
                      <w:b/>
                      <w:bCs/>
                    </w:rPr>
                    <w:t>£000</w:t>
                  </w:r>
                </w:p>
              </w:tc>
              <w:tc>
                <w:tcPr>
                  <w:tcW w:w="1284" w:type="dxa"/>
                  <w:tcBorders>
                    <w:top w:val="nil"/>
                    <w:left w:val="nil"/>
                    <w:bottom w:val="nil"/>
                    <w:right w:val="nil"/>
                  </w:tcBorders>
                  <w:shd w:val="clear" w:color="auto" w:fill="auto"/>
                  <w:noWrap/>
                  <w:vAlign w:val="center"/>
                  <w:hideMark/>
                </w:tcPr>
                <w:p w:rsidR="00901903" w:rsidRPr="00B736DE" w:rsidRDefault="00901903" w:rsidP="00042D21">
                  <w:pPr>
                    <w:framePr w:hSpace="180" w:wrap="around" w:hAnchor="margin" w:y="420"/>
                    <w:jc w:val="center"/>
                    <w:rPr>
                      <w:b/>
                      <w:bCs/>
                    </w:rPr>
                  </w:pPr>
                  <w:r w:rsidRPr="00B736DE">
                    <w:rPr>
                      <w:b/>
                      <w:bCs/>
                    </w:rPr>
                    <w:t>£000</w:t>
                  </w:r>
                </w:p>
              </w:tc>
              <w:tc>
                <w:tcPr>
                  <w:tcW w:w="1683" w:type="dxa"/>
                  <w:tcBorders>
                    <w:top w:val="nil"/>
                    <w:left w:val="nil"/>
                    <w:bottom w:val="nil"/>
                    <w:right w:val="nil"/>
                  </w:tcBorders>
                  <w:shd w:val="clear" w:color="auto" w:fill="auto"/>
                  <w:noWrap/>
                  <w:vAlign w:val="center"/>
                  <w:hideMark/>
                </w:tcPr>
                <w:p w:rsidR="00901903" w:rsidRPr="00B736DE" w:rsidRDefault="00901903" w:rsidP="00042D21">
                  <w:pPr>
                    <w:framePr w:hSpace="180" w:wrap="around" w:hAnchor="margin" w:y="420"/>
                    <w:jc w:val="center"/>
                    <w:rPr>
                      <w:b/>
                      <w:bCs/>
                    </w:rPr>
                  </w:pPr>
                  <w:r w:rsidRPr="00B736DE">
                    <w:rPr>
                      <w:b/>
                      <w:bCs/>
                    </w:rPr>
                    <w:t>£000</w:t>
                  </w:r>
                </w:p>
              </w:tc>
              <w:tc>
                <w:tcPr>
                  <w:tcW w:w="1617" w:type="dxa"/>
                  <w:tcBorders>
                    <w:top w:val="nil"/>
                    <w:left w:val="nil"/>
                    <w:bottom w:val="nil"/>
                    <w:right w:val="nil"/>
                  </w:tcBorders>
                  <w:shd w:val="clear" w:color="auto" w:fill="auto"/>
                  <w:noWrap/>
                  <w:vAlign w:val="center"/>
                  <w:hideMark/>
                </w:tcPr>
                <w:p w:rsidR="00901903" w:rsidRPr="00B736DE" w:rsidRDefault="00901903" w:rsidP="00042D21">
                  <w:pPr>
                    <w:framePr w:hSpace="180" w:wrap="around" w:hAnchor="margin" w:y="420"/>
                    <w:jc w:val="center"/>
                    <w:rPr>
                      <w:b/>
                      <w:bCs/>
                    </w:rPr>
                  </w:pPr>
                  <w:r w:rsidRPr="00B736DE">
                    <w:rPr>
                      <w:b/>
                      <w:bCs/>
                    </w:rPr>
                    <w:t>£000</w:t>
                  </w:r>
                </w:p>
              </w:tc>
              <w:tc>
                <w:tcPr>
                  <w:tcW w:w="1444"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rPr>
                      <w:color w:val="000000"/>
                      <w:sz w:val="22"/>
                      <w:szCs w:val="22"/>
                    </w:rPr>
                  </w:pPr>
                </w:p>
              </w:tc>
            </w:tr>
            <w:tr w:rsidR="00901903" w:rsidRPr="00B736DE" w:rsidTr="00901903">
              <w:trPr>
                <w:trHeight w:val="315"/>
              </w:trPr>
              <w:tc>
                <w:tcPr>
                  <w:tcW w:w="7097"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pPr>
                </w:p>
              </w:tc>
              <w:tc>
                <w:tcPr>
                  <w:tcW w:w="1284" w:type="dxa"/>
                  <w:tcBorders>
                    <w:top w:val="nil"/>
                    <w:left w:val="nil"/>
                    <w:bottom w:val="nil"/>
                    <w:right w:val="nil"/>
                  </w:tcBorders>
                  <w:vAlign w:val="bottom"/>
                </w:tcPr>
                <w:p w:rsidR="00901903" w:rsidRPr="00B736DE" w:rsidRDefault="00901903" w:rsidP="00042D21">
                  <w:pPr>
                    <w:framePr w:hSpace="180" w:wrap="around" w:hAnchor="margin" w:y="420"/>
                  </w:pPr>
                </w:p>
              </w:tc>
              <w:tc>
                <w:tcPr>
                  <w:tcW w:w="1284"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pPr>
                </w:p>
              </w:tc>
              <w:tc>
                <w:tcPr>
                  <w:tcW w:w="1683"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pPr>
                </w:p>
              </w:tc>
              <w:tc>
                <w:tcPr>
                  <w:tcW w:w="1617"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pPr>
                </w:p>
              </w:tc>
              <w:tc>
                <w:tcPr>
                  <w:tcW w:w="1444"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rPr>
                      <w:color w:val="000000"/>
                      <w:sz w:val="22"/>
                      <w:szCs w:val="22"/>
                    </w:rPr>
                  </w:pPr>
                </w:p>
              </w:tc>
            </w:tr>
            <w:tr w:rsidR="00901903" w:rsidRPr="00B736DE" w:rsidTr="00901903">
              <w:trPr>
                <w:trHeight w:val="315"/>
              </w:trPr>
              <w:tc>
                <w:tcPr>
                  <w:tcW w:w="7097"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pPr>
                  <w:r w:rsidRPr="00B736DE">
                    <w:t>Fees, charges &amp; other service income</w:t>
                  </w:r>
                </w:p>
              </w:tc>
              <w:tc>
                <w:tcPr>
                  <w:tcW w:w="1284" w:type="dxa"/>
                  <w:tcBorders>
                    <w:top w:val="nil"/>
                    <w:left w:val="nil"/>
                    <w:bottom w:val="nil"/>
                    <w:right w:val="nil"/>
                  </w:tcBorders>
                  <w:vAlign w:val="bottom"/>
                </w:tcPr>
                <w:p w:rsidR="00901903" w:rsidRPr="00B736DE" w:rsidRDefault="00901903" w:rsidP="00042D21">
                  <w:pPr>
                    <w:framePr w:hSpace="180" w:wrap="around" w:hAnchor="margin" w:y="420"/>
                    <w:jc w:val="right"/>
                  </w:pPr>
                  <w:r w:rsidRPr="00B736DE">
                    <w:t>76</w:t>
                  </w:r>
                  <w:r>
                    <w:t>,</w:t>
                  </w:r>
                  <w:r w:rsidRPr="00B736DE">
                    <w:t>575</w:t>
                  </w:r>
                </w:p>
              </w:tc>
              <w:tc>
                <w:tcPr>
                  <w:tcW w:w="1284"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jc w:val="right"/>
                  </w:pPr>
                  <w:r w:rsidRPr="00B736DE">
                    <w:t>58,412</w:t>
                  </w:r>
                </w:p>
              </w:tc>
              <w:tc>
                <w:tcPr>
                  <w:tcW w:w="1683"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jc w:val="right"/>
                  </w:pPr>
                  <w:r w:rsidRPr="00B736DE">
                    <w:t>30</w:t>
                  </w:r>
                  <w:r>
                    <w:t>,</w:t>
                  </w:r>
                  <w:r w:rsidRPr="00B736DE">
                    <w:t>122</w:t>
                  </w:r>
                </w:p>
              </w:tc>
              <w:tc>
                <w:tcPr>
                  <w:tcW w:w="1617"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jc w:val="right"/>
                  </w:pPr>
                  <w:r w:rsidRPr="00B736DE">
                    <w:t>98,917</w:t>
                  </w:r>
                </w:p>
              </w:tc>
              <w:tc>
                <w:tcPr>
                  <w:tcW w:w="1444"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jc w:val="right"/>
                    <w:rPr>
                      <w:color w:val="000000"/>
                    </w:rPr>
                  </w:pPr>
                  <w:r w:rsidRPr="00B736DE">
                    <w:rPr>
                      <w:color w:val="000000"/>
                    </w:rPr>
                    <w:t>264,026</w:t>
                  </w:r>
                </w:p>
              </w:tc>
            </w:tr>
            <w:tr w:rsidR="00901903" w:rsidRPr="00B736DE" w:rsidTr="00901903">
              <w:trPr>
                <w:trHeight w:val="315"/>
              </w:trPr>
              <w:tc>
                <w:tcPr>
                  <w:tcW w:w="7097"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pPr>
                  <w:r w:rsidRPr="00B736DE">
                    <w:t>Government grants</w:t>
                  </w:r>
                </w:p>
              </w:tc>
              <w:tc>
                <w:tcPr>
                  <w:tcW w:w="1284" w:type="dxa"/>
                  <w:tcBorders>
                    <w:top w:val="nil"/>
                    <w:left w:val="nil"/>
                    <w:bottom w:val="nil"/>
                    <w:right w:val="nil"/>
                  </w:tcBorders>
                  <w:vAlign w:val="bottom"/>
                </w:tcPr>
                <w:p w:rsidR="00901903" w:rsidRPr="00B736DE" w:rsidRDefault="00901903" w:rsidP="00042D21">
                  <w:pPr>
                    <w:framePr w:hSpace="180" w:wrap="around" w:hAnchor="margin" w:y="420"/>
                    <w:jc w:val="right"/>
                  </w:pPr>
                  <w:r w:rsidRPr="00B736DE">
                    <w:t>76</w:t>
                  </w:r>
                  <w:r>
                    <w:t>,</w:t>
                  </w:r>
                  <w:r w:rsidRPr="00B736DE">
                    <w:t>244</w:t>
                  </w:r>
                </w:p>
              </w:tc>
              <w:tc>
                <w:tcPr>
                  <w:tcW w:w="1284"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jc w:val="right"/>
                  </w:pPr>
                  <w:r w:rsidRPr="00B736DE">
                    <w:t>876,510</w:t>
                  </w:r>
                </w:p>
              </w:tc>
              <w:tc>
                <w:tcPr>
                  <w:tcW w:w="1683"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jc w:val="right"/>
                  </w:pPr>
                  <w:r w:rsidRPr="00B736DE">
                    <w:t>7</w:t>
                  </w:r>
                  <w:r>
                    <w:t>,</w:t>
                  </w:r>
                  <w:r w:rsidRPr="00B736DE">
                    <w:t>571</w:t>
                  </w:r>
                </w:p>
              </w:tc>
              <w:tc>
                <w:tcPr>
                  <w:tcW w:w="1617"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jc w:val="right"/>
                  </w:pPr>
                  <w:r w:rsidRPr="00B736DE">
                    <w:t>505</w:t>
                  </w:r>
                </w:p>
              </w:tc>
              <w:tc>
                <w:tcPr>
                  <w:tcW w:w="1444"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jc w:val="right"/>
                    <w:rPr>
                      <w:color w:val="000000"/>
                    </w:rPr>
                  </w:pPr>
                  <w:r w:rsidRPr="00B736DE">
                    <w:rPr>
                      <w:color w:val="000000"/>
                    </w:rPr>
                    <w:t>960,830</w:t>
                  </w:r>
                </w:p>
              </w:tc>
            </w:tr>
            <w:tr w:rsidR="00901903" w:rsidRPr="00B736DE" w:rsidTr="00901903">
              <w:trPr>
                <w:trHeight w:val="315"/>
              </w:trPr>
              <w:tc>
                <w:tcPr>
                  <w:tcW w:w="7097"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rPr>
                      <w:b/>
                      <w:bCs/>
                    </w:rPr>
                  </w:pPr>
                  <w:r w:rsidRPr="00B736DE">
                    <w:rPr>
                      <w:b/>
                      <w:bCs/>
                    </w:rPr>
                    <w:t>Total Income</w:t>
                  </w:r>
                </w:p>
              </w:tc>
              <w:tc>
                <w:tcPr>
                  <w:tcW w:w="1284" w:type="dxa"/>
                  <w:tcBorders>
                    <w:top w:val="single" w:sz="4" w:space="0" w:color="auto"/>
                    <w:left w:val="nil"/>
                    <w:bottom w:val="nil"/>
                    <w:right w:val="nil"/>
                  </w:tcBorders>
                  <w:vAlign w:val="bottom"/>
                </w:tcPr>
                <w:p w:rsidR="00901903" w:rsidRPr="00B736DE" w:rsidRDefault="00901903" w:rsidP="00042D21">
                  <w:pPr>
                    <w:framePr w:hSpace="180" w:wrap="around" w:hAnchor="margin" w:y="420"/>
                    <w:jc w:val="right"/>
                  </w:pPr>
                  <w:r w:rsidRPr="00B736DE">
                    <w:t>152,819</w:t>
                  </w:r>
                </w:p>
              </w:tc>
              <w:tc>
                <w:tcPr>
                  <w:tcW w:w="1284" w:type="dxa"/>
                  <w:tcBorders>
                    <w:top w:val="single" w:sz="4" w:space="0" w:color="auto"/>
                    <w:left w:val="nil"/>
                    <w:bottom w:val="nil"/>
                    <w:right w:val="nil"/>
                  </w:tcBorders>
                  <w:shd w:val="clear" w:color="auto" w:fill="auto"/>
                  <w:noWrap/>
                  <w:vAlign w:val="bottom"/>
                  <w:hideMark/>
                </w:tcPr>
                <w:p w:rsidR="00901903" w:rsidRPr="00B736DE" w:rsidRDefault="00901903" w:rsidP="00042D21">
                  <w:pPr>
                    <w:framePr w:hSpace="180" w:wrap="around" w:hAnchor="margin" w:y="420"/>
                    <w:jc w:val="right"/>
                  </w:pPr>
                  <w:r w:rsidRPr="00B736DE">
                    <w:t>934,922</w:t>
                  </w:r>
                </w:p>
              </w:tc>
              <w:tc>
                <w:tcPr>
                  <w:tcW w:w="1683" w:type="dxa"/>
                  <w:tcBorders>
                    <w:top w:val="single" w:sz="4" w:space="0" w:color="auto"/>
                    <w:left w:val="nil"/>
                    <w:bottom w:val="nil"/>
                    <w:right w:val="nil"/>
                  </w:tcBorders>
                  <w:shd w:val="clear" w:color="auto" w:fill="auto"/>
                  <w:noWrap/>
                  <w:vAlign w:val="bottom"/>
                  <w:hideMark/>
                </w:tcPr>
                <w:p w:rsidR="00901903" w:rsidRPr="00B736DE" w:rsidRDefault="00901903" w:rsidP="00042D21">
                  <w:pPr>
                    <w:framePr w:hSpace="180" w:wrap="around" w:hAnchor="margin" w:y="420"/>
                    <w:jc w:val="right"/>
                  </w:pPr>
                  <w:r w:rsidRPr="00B736DE">
                    <w:t>37,693</w:t>
                  </w:r>
                </w:p>
              </w:tc>
              <w:tc>
                <w:tcPr>
                  <w:tcW w:w="1617" w:type="dxa"/>
                  <w:tcBorders>
                    <w:top w:val="single" w:sz="4" w:space="0" w:color="auto"/>
                    <w:left w:val="nil"/>
                    <w:bottom w:val="nil"/>
                    <w:right w:val="nil"/>
                  </w:tcBorders>
                  <w:shd w:val="clear" w:color="auto" w:fill="auto"/>
                  <w:noWrap/>
                  <w:vAlign w:val="bottom"/>
                  <w:hideMark/>
                </w:tcPr>
                <w:p w:rsidR="00901903" w:rsidRPr="00B736DE" w:rsidRDefault="00901903" w:rsidP="00042D21">
                  <w:pPr>
                    <w:framePr w:hSpace="180" w:wrap="around" w:hAnchor="margin" w:y="420"/>
                    <w:jc w:val="right"/>
                  </w:pPr>
                  <w:r w:rsidRPr="00B736DE">
                    <w:t>99,422</w:t>
                  </w:r>
                </w:p>
              </w:tc>
              <w:tc>
                <w:tcPr>
                  <w:tcW w:w="1444" w:type="dxa"/>
                  <w:tcBorders>
                    <w:top w:val="single" w:sz="4" w:space="0" w:color="auto"/>
                    <w:left w:val="nil"/>
                    <w:bottom w:val="nil"/>
                    <w:right w:val="nil"/>
                  </w:tcBorders>
                  <w:shd w:val="clear" w:color="auto" w:fill="auto"/>
                  <w:noWrap/>
                  <w:vAlign w:val="bottom"/>
                  <w:hideMark/>
                </w:tcPr>
                <w:p w:rsidR="00901903" w:rsidRPr="00B736DE" w:rsidRDefault="00901903" w:rsidP="00042D21">
                  <w:pPr>
                    <w:framePr w:hSpace="180" w:wrap="around" w:hAnchor="margin" w:y="420"/>
                    <w:jc w:val="right"/>
                    <w:rPr>
                      <w:color w:val="000000"/>
                    </w:rPr>
                  </w:pPr>
                  <w:r w:rsidRPr="00B736DE">
                    <w:rPr>
                      <w:color w:val="000000"/>
                    </w:rPr>
                    <w:t>1,224,856</w:t>
                  </w:r>
                </w:p>
              </w:tc>
            </w:tr>
            <w:tr w:rsidR="00901903" w:rsidRPr="00B736DE" w:rsidTr="00901903">
              <w:trPr>
                <w:trHeight w:val="315"/>
              </w:trPr>
              <w:tc>
                <w:tcPr>
                  <w:tcW w:w="7097"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rPr>
                      <w:b/>
                      <w:bCs/>
                    </w:rPr>
                  </w:pPr>
                </w:p>
              </w:tc>
              <w:tc>
                <w:tcPr>
                  <w:tcW w:w="1284" w:type="dxa"/>
                  <w:tcBorders>
                    <w:top w:val="nil"/>
                    <w:left w:val="nil"/>
                    <w:bottom w:val="nil"/>
                    <w:right w:val="nil"/>
                  </w:tcBorders>
                  <w:vAlign w:val="bottom"/>
                </w:tcPr>
                <w:p w:rsidR="00901903" w:rsidRPr="00B736DE" w:rsidRDefault="00901903" w:rsidP="00042D21">
                  <w:pPr>
                    <w:framePr w:hSpace="180" w:wrap="around" w:hAnchor="margin" w:y="420"/>
                  </w:pPr>
                </w:p>
              </w:tc>
              <w:tc>
                <w:tcPr>
                  <w:tcW w:w="1284"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pPr>
                </w:p>
              </w:tc>
              <w:tc>
                <w:tcPr>
                  <w:tcW w:w="1683"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pPr>
                </w:p>
              </w:tc>
              <w:tc>
                <w:tcPr>
                  <w:tcW w:w="1617"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pPr>
                </w:p>
              </w:tc>
              <w:tc>
                <w:tcPr>
                  <w:tcW w:w="1444"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rPr>
                      <w:color w:val="000000"/>
                    </w:rPr>
                  </w:pPr>
                </w:p>
              </w:tc>
            </w:tr>
            <w:tr w:rsidR="00901903" w:rsidRPr="00B736DE" w:rsidTr="00901903">
              <w:trPr>
                <w:trHeight w:val="315"/>
              </w:trPr>
              <w:tc>
                <w:tcPr>
                  <w:tcW w:w="7097"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pPr>
                  <w:r w:rsidRPr="00B736DE">
                    <w:t>Employee expenses</w:t>
                  </w:r>
                </w:p>
              </w:tc>
              <w:tc>
                <w:tcPr>
                  <w:tcW w:w="1284" w:type="dxa"/>
                  <w:tcBorders>
                    <w:top w:val="nil"/>
                    <w:left w:val="nil"/>
                    <w:bottom w:val="nil"/>
                    <w:right w:val="nil"/>
                  </w:tcBorders>
                  <w:vAlign w:val="bottom"/>
                </w:tcPr>
                <w:p w:rsidR="00901903" w:rsidRPr="00B736DE" w:rsidRDefault="00901903" w:rsidP="00042D21">
                  <w:pPr>
                    <w:framePr w:hSpace="180" w:wrap="around" w:hAnchor="margin" w:y="420"/>
                    <w:jc w:val="right"/>
                  </w:pPr>
                  <w:r w:rsidRPr="00B736DE">
                    <w:t>101</w:t>
                  </w:r>
                  <w:r>
                    <w:t>,</w:t>
                  </w:r>
                  <w:r w:rsidRPr="00B736DE">
                    <w:t>611</w:t>
                  </w:r>
                </w:p>
              </w:tc>
              <w:tc>
                <w:tcPr>
                  <w:tcW w:w="1284"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jc w:val="right"/>
                  </w:pPr>
                  <w:r w:rsidRPr="00B736DE">
                    <w:t>690,072</w:t>
                  </w:r>
                </w:p>
              </w:tc>
              <w:tc>
                <w:tcPr>
                  <w:tcW w:w="1683"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jc w:val="right"/>
                  </w:pPr>
                  <w:r w:rsidRPr="00B736DE">
                    <w:t>26</w:t>
                  </w:r>
                  <w:r>
                    <w:t>,</w:t>
                  </w:r>
                  <w:r w:rsidRPr="00B736DE">
                    <w:t>603</w:t>
                  </w:r>
                </w:p>
              </w:tc>
              <w:tc>
                <w:tcPr>
                  <w:tcW w:w="1617"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jc w:val="right"/>
                  </w:pPr>
                  <w:r w:rsidRPr="00B736DE">
                    <w:t>59,276</w:t>
                  </w:r>
                </w:p>
              </w:tc>
              <w:tc>
                <w:tcPr>
                  <w:tcW w:w="1444"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jc w:val="right"/>
                    <w:rPr>
                      <w:color w:val="000000"/>
                    </w:rPr>
                  </w:pPr>
                  <w:r w:rsidRPr="00B736DE">
                    <w:rPr>
                      <w:color w:val="000000"/>
                    </w:rPr>
                    <w:t>877,562</w:t>
                  </w:r>
                </w:p>
              </w:tc>
            </w:tr>
            <w:tr w:rsidR="00901903" w:rsidRPr="00B736DE" w:rsidTr="00901903">
              <w:trPr>
                <w:trHeight w:val="315"/>
              </w:trPr>
              <w:tc>
                <w:tcPr>
                  <w:tcW w:w="7097"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pPr>
                  <w:r w:rsidRPr="00B736DE">
                    <w:t>Other service expenses</w:t>
                  </w:r>
                </w:p>
              </w:tc>
              <w:tc>
                <w:tcPr>
                  <w:tcW w:w="1284" w:type="dxa"/>
                  <w:tcBorders>
                    <w:top w:val="nil"/>
                    <w:left w:val="nil"/>
                    <w:bottom w:val="nil"/>
                    <w:right w:val="nil"/>
                  </w:tcBorders>
                  <w:vAlign w:val="bottom"/>
                </w:tcPr>
                <w:p w:rsidR="00901903" w:rsidRPr="00B736DE" w:rsidRDefault="00901903" w:rsidP="00042D21">
                  <w:pPr>
                    <w:framePr w:hSpace="180" w:wrap="around" w:hAnchor="margin" w:y="420"/>
                    <w:jc w:val="right"/>
                  </w:pPr>
                  <w:r w:rsidRPr="00B736DE">
                    <w:t>380</w:t>
                  </w:r>
                  <w:r>
                    <w:t>,</w:t>
                  </w:r>
                  <w:r w:rsidRPr="00B736DE">
                    <w:t>067</w:t>
                  </w:r>
                </w:p>
              </w:tc>
              <w:tc>
                <w:tcPr>
                  <w:tcW w:w="1284"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jc w:val="right"/>
                  </w:pPr>
                  <w:r w:rsidRPr="00B736DE">
                    <w:t>377,912</w:t>
                  </w:r>
                </w:p>
              </w:tc>
              <w:tc>
                <w:tcPr>
                  <w:tcW w:w="1683"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jc w:val="right"/>
                  </w:pPr>
                  <w:r w:rsidRPr="00B736DE">
                    <w:t>164</w:t>
                  </w:r>
                  <w:r>
                    <w:t>,</w:t>
                  </w:r>
                  <w:r w:rsidRPr="00B736DE">
                    <w:t>055</w:t>
                  </w:r>
                </w:p>
              </w:tc>
              <w:tc>
                <w:tcPr>
                  <w:tcW w:w="1617"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jc w:val="right"/>
                  </w:pPr>
                  <w:r w:rsidRPr="00B736DE">
                    <w:t>79,216</w:t>
                  </w:r>
                </w:p>
              </w:tc>
              <w:tc>
                <w:tcPr>
                  <w:tcW w:w="1444"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jc w:val="right"/>
                    <w:rPr>
                      <w:color w:val="000000"/>
                    </w:rPr>
                  </w:pPr>
                  <w:r w:rsidRPr="00B736DE">
                    <w:rPr>
                      <w:color w:val="000000"/>
                    </w:rPr>
                    <w:t>1,001,250</w:t>
                  </w:r>
                </w:p>
              </w:tc>
            </w:tr>
            <w:tr w:rsidR="00901903" w:rsidRPr="00B736DE" w:rsidTr="00901903">
              <w:trPr>
                <w:trHeight w:val="315"/>
              </w:trPr>
              <w:tc>
                <w:tcPr>
                  <w:tcW w:w="7097"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pPr>
                  <w:r w:rsidRPr="00B736DE">
                    <w:t>Support service recharges</w:t>
                  </w:r>
                </w:p>
              </w:tc>
              <w:tc>
                <w:tcPr>
                  <w:tcW w:w="1284" w:type="dxa"/>
                  <w:tcBorders>
                    <w:top w:val="nil"/>
                    <w:left w:val="nil"/>
                    <w:bottom w:val="nil"/>
                    <w:right w:val="nil"/>
                  </w:tcBorders>
                  <w:vAlign w:val="bottom"/>
                </w:tcPr>
                <w:p w:rsidR="00901903" w:rsidRPr="00B736DE" w:rsidRDefault="00901903" w:rsidP="00042D21">
                  <w:pPr>
                    <w:framePr w:hSpace="180" w:wrap="around" w:hAnchor="margin" w:y="420"/>
                    <w:jc w:val="right"/>
                  </w:pPr>
                  <w:r w:rsidRPr="00B736DE">
                    <w:t>16</w:t>
                  </w:r>
                  <w:r>
                    <w:t>,</w:t>
                  </w:r>
                  <w:r w:rsidRPr="00B736DE">
                    <w:t>446</w:t>
                  </w:r>
                </w:p>
              </w:tc>
              <w:tc>
                <w:tcPr>
                  <w:tcW w:w="1284"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jc w:val="right"/>
                  </w:pPr>
                  <w:r w:rsidRPr="00B736DE">
                    <w:t>15,144</w:t>
                  </w:r>
                </w:p>
              </w:tc>
              <w:tc>
                <w:tcPr>
                  <w:tcW w:w="1683"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jc w:val="right"/>
                  </w:pPr>
                  <w:r w:rsidRPr="00B736DE">
                    <w:t>5</w:t>
                  </w:r>
                  <w:r>
                    <w:t>,</w:t>
                  </w:r>
                  <w:r w:rsidRPr="00B736DE">
                    <w:t>633</w:t>
                  </w:r>
                </w:p>
              </w:tc>
              <w:tc>
                <w:tcPr>
                  <w:tcW w:w="1617"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jc w:val="right"/>
                  </w:pPr>
                  <w:r w:rsidRPr="00B736DE">
                    <w:t>-13,896</w:t>
                  </w:r>
                </w:p>
              </w:tc>
              <w:tc>
                <w:tcPr>
                  <w:tcW w:w="1444"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jc w:val="right"/>
                    <w:rPr>
                      <w:color w:val="000000"/>
                    </w:rPr>
                  </w:pPr>
                  <w:r w:rsidRPr="00B736DE">
                    <w:rPr>
                      <w:color w:val="000000"/>
                    </w:rPr>
                    <w:t>23,327</w:t>
                  </w:r>
                </w:p>
              </w:tc>
            </w:tr>
            <w:tr w:rsidR="00901903" w:rsidRPr="00B736DE" w:rsidTr="00901903">
              <w:trPr>
                <w:trHeight w:val="315"/>
              </w:trPr>
              <w:tc>
                <w:tcPr>
                  <w:tcW w:w="7097"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rPr>
                      <w:b/>
                      <w:bCs/>
                    </w:rPr>
                  </w:pPr>
                  <w:r w:rsidRPr="00B736DE">
                    <w:rPr>
                      <w:b/>
                      <w:bCs/>
                    </w:rPr>
                    <w:t>Total Expenditure</w:t>
                  </w:r>
                </w:p>
              </w:tc>
              <w:tc>
                <w:tcPr>
                  <w:tcW w:w="1284" w:type="dxa"/>
                  <w:tcBorders>
                    <w:top w:val="single" w:sz="4" w:space="0" w:color="auto"/>
                    <w:left w:val="nil"/>
                    <w:bottom w:val="nil"/>
                    <w:right w:val="nil"/>
                  </w:tcBorders>
                  <w:vAlign w:val="bottom"/>
                </w:tcPr>
                <w:p w:rsidR="00901903" w:rsidRPr="00B736DE" w:rsidRDefault="00901903" w:rsidP="00042D21">
                  <w:pPr>
                    <w:framePr w:hSpace="180" w:wrap="around" w:hAnchor="margin" w:y="420"/>
                    <w:jc w:val="right"/>
                  </w:pPr>
                  <w:r w:rsidRPr="00B736DE">
                    <w:t>498,124</w:t>
                  </w:r>
                </w:p>
              </w:tc>
              <w:tc>
                <w:tcPr>
                  <w:tcW w:w="1284" w:type="dxa"/>
                  <w:tcBorders>
                    <w:top w:val="single" w:sz="4" w:space="0" w:color="auto"/>
                    <w:left w:val="nil"/>
                    <w:bottom w:val="nil"/>
                    <w:right w:val="nil"/>
                  </w:tcBorders>
                  <w:shd w:val="clear" w:color="auto" w:fill="auto"/>
                  <w:noWrap/>
                  <w:vAlign w:val="bottom"/>
                  <w:hideMark/>
                </w:tcPr>
                <w:p w:rsidR="00901903" w:rsidRPr="00B736DE" w:rsidRDefault="00901903" w:rsidP="00042D21">
                  <w:pPr>
                    <w:framePr w:hSpace="180" w:wrap="around" w:hAnchor="margin" w:y="420"/>
                    <w:jc w:val="right"/>
                  </w:pPr>
                  <w:r w:rsidRPr="00B736DE">
                    <w:t>1,083,128</w:t>
                  </w:r>
                </w:p>
              </w:tc>
              <w:tc>
                <w:tcPr>
                  <w:tcW w:w="1683" w:type="dxa"/>
                  <w:tcBorders>
                    <w:top w:val="single" w:sz="4" w:space="0" w:color="auto"/>
                    <w:left w:val="nil"/>
                    <w:bottom w:val="nil"/>
                    <w:right w:val="nil"/>
                  </w:tcBorders>
                  <w:shd w:val="clear" w:color="auto" w:fill="auto"/>
                  <w:noWrap/>
                  <w:vAlign w:val="bottom"/>
                  <w:hideMark/>
                </w:tcPr>
                <w:p w:rsidR="00901903" w:rsidRPr="00B736DE" w:rsidRDefault="00901903" w:rsidP="00042D21">
                  <w:pPr>
                    <w:framePr w:hSpace="180" w:wrap="around" w:hAnchor="margin" w:y="420"/>
                    <w:jc w:val="right"/>
                  </w:pPr>
                  <w:r w:rsidRPr="00B736DE">
                    <w:t>196,290</w:t>
                  </w:r>
                </w:p>
              </w:tc>
              <w:tc>
                <w:tcPr>
                  <w:tcW w:w="1617" w:type="dxa"/>
                  <w:tcBorders>
                    <w:top w:val="single" w:sz="4" w:space="0" w:color="auto"/>
                    <w:left w:val="nil"/>
                    <w:bottom w:val="nil"/>
                    <w:right w:val="nil"/>
                  </w:tcBorders>
                  <w:shd w:val="clear" w:color="auto" w:fill="auto"/>
                  <w:noWrap/>
                  <w:vAlign w:val="bottom"/>
                  <w:hideMark/>
                </w:tcPr>
                <w:p w:rsidR="00901903" w:rsidRPr="00B736DE" w:rsidRDefault="00901903" w:rsidP="00042D21">
                  <w:pPr>
                    <w:framePr w:hSpace="180" w:wrap="around" w:hAnchor="margin" w:y="420"/>
                    <w:jc w:val="right"/>
                  </w:pPr>
                  <w:r w:rsidRPr="00B736DE">
                    <w:t>124,596</w:t>
                  </w:r>
                </w:p>
              </w:tc>
              <w:tc>
                <w:tcPr>
                  <w:tcW w:w="1444" w:type="dxa"/>
                  <w:tcBorders>
                    <w:top w:val="single" w:sz="4" w:space="0" w:color="auto"/>
                    <w:left w:val="nil"/>
                    <w:bottom w:val="nil"/>
                    <w:right w:val="nil"/>
                  </w:tcBorders>
                  <w:shd w:val="clear" w:color="auto" w:fill="auto"/>
                  <w:noWrap/>
                  <w:vAlign w:val="bottom"/>
                  <w:hideMark/>
                </w:tcPr>
                <w:p w:rsidR="00901903" w:rsidRPr="00B736DE" w:rsidRDefault="00901903" w:rsidP="00042D21">
                  <w:pPr>
                    <w:framePr w:hSpace="180" w:wrap="around" w:hAnchor="margin" w:y="420"/>
                    <w:jc w:val="right"/>
                    <w:rPr>
                      <w:color w:val="000000"/>
                    </w:rPr>
                  </w:pPr>
                  <w:r w:rsidRPr="00B736DE">
                    <w:rPr>
                      <w:color w:val="000000"/>
                    </w:rPr>
                    <w:t>1,902,139</w:t>
                  </w:r>
                </w:p>
              </w:tc>
            </w:tr>
            <w:tr w:rsidR="00901903" w:rsidRPr="00B736DE" w:rsidTr="00901903">
              <w:trPr>
                <w:trHeight w:val="315"/>
              </w:trPr>
              <w:tc>
                <w:tcPr>
                  <w:tcW w:w="7097"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pPr>
                </w:p>
              </w:tc>
              <w:tc>
                <w:tcPr>
                  <w:tcW w:w="1284" w:type="dxa"/>
                  <w:tcBorders>
                    <w:top w:val="nil"/>
                    <w:left w:val="nil"/>
                    <w:bottom w:val="nil"/>
                    <w:right w:val="nil"/>
                  </w:tcBorders>
                  <w:vAlign w:val="bottom"/>
                </w:tcPr>
                <w:p w:rsidR="00901903" w:rsidRPr="00B736DE" w:rsidRDefault="00901903" w:rsidP="00042D21">
                  <w:pPr>
                    <w:framePr w:hSpace="180" w:wrap="around" w:hAnchor="margin" w:y="420"/>
                  </w:pPr>
                </w:p>
              </w:tc>
              <w:tc>
                <w:tcPr>
                  <w:tcW w:w="1284"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pPr>
                </w:p>
              </w:tc>
              <w:tc>
                <w:tcPr>
                  <w:tcW w:w="1683"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pPr>
                </w:p>
              </w:tc>
              <w:tc>
                <w:tcPr>
                  <w:tcW w:w="1617"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pPr>
                </w:p>
              </w:tc>
              <w:tc>
                <w:tcPr>
                  <w:tcW w:w="1444"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rPr>
                      <w:color w:val="000000"/>
                    </w:rPr>
                  </w:pPr>
                </w:p>
              </w:tc>
            </w:tr>
            <w:tr w:rsidR="00901903" w:rsidRPr="00B736DE" w:rsidTr="00901903">
              <w:trPr>
                <w:trHeight w:val="330"/>
              </w:trPr>
              <w:tc>
                <w:tcPr>
                  <w:tcW w:w="7097" w:type="dxa"/>
                  <w:tcBorders>
                    <w:top w:val="nil"/>
                    <w:left w:val="nil"/>
                    <w:bottom w:val="nil"/>
                    <w:right w:val="nil"/>
                  </w:tcBorders>
                  <w:shd w:val="clear" w:color="auto" w:fill="auto"/>
                  <w:noWrap/>
                  <w:vAlign w:val="bottom"/>
                  <w:hideMark/>
                </w:tcPr>
                <w:p w:rsidR="00901903" w:rsidRPr="00B736DE" w:rsidRDefault="00901903" w:rsidP="00042D21">
                  <w:pPr>
                    <w:framePr w:hSpace="180" w:wrap="around" w:hAnchor="margin" w:y="420"/>
                    <w:rPr>
                      <w:b/>
                      <w:bCs/>
                    </w:rPr>
                  </w:pPr>
                  <w:r w:rsidRPr="00B736DE">
                    <w:rPr>
                      <w:b/>
                      <w:bCs/>
                    </w:rPr>
                    <w:t>Net Expenditure</w:t>
                  </w:r>
                </w:p>
              </w:tc>
              <w:tc>
                <w:tcPr>
                  <w:tcW w:w="1284" w:type="dxa"/>
                  <w:tcBorders>
                    <w:top w:val="single" w:sz="4" w:space="0" w:color="auto"/>
                    <w:left w:val="nil"/>
                    <w:bottom w:val="double" w:sz="6" w:space="0" w:color="auto"/>
                    <w:right w:val="nil"/>
                  </w:tcBorders>
                  <w:vAlign w:val="bottom"/>
                </w:tcPr>
                <w:p w:rsidR="00901903" w:rsidRPr="00B736DE" w:rsidRDefault="00901903" w:rsidP="00042D21">
                  <w:pPr>
                    <w:framePr w:hSpace="180" w:wrap="around" w:hAnchor="margin" w:y="420"/>
                    <w:jc w:val="right"/>
                    <w:rPr>
                      <w:b/>
                      <w:bCs/>
                    </w:rPr>
                  </w:pPr>
                  <w:r w:rsidRPr="00B736DE">
                    <w:rPr>
                      <w:b/>
                      <w:bCs/>
                    </w:rPr>
                    <w:t>345,305</w:t>
                  </w:r>
                </w:p>
              </w:tc>
              <w:tc>
                <w:tcPr>
                  <w:tcW w:w="1284" w:type="dxa"/>
                  <w:tcBorders>
                    <w:top w:val="single" w:sz="4" w:space="0" w:color="auto"/>
                    <w:left w:val="nil"/>
                    <w:bottom w:val="double" w:sz="6" w:space="0" w:color="auto"/>
                    <w:right w:val="nil"/>
                  </w:tcBorders>
                  <w:shd w:val="clear" w:color="auto" w:fill="auto"/>
                  <w:noWrap/>
                  <w:vAlign w:val="bottom"/>
                  <w:hideMark/>
                </w:tcPr>
                <w:p w:rsidR="00901903" w:rsidRPr="00B736DE" w:rsidRDefault="00901903" w:rsidP="00042D21">
                  <w:pPr>
                    <w:framePr w:hSpace="180" w:wrap="around" w:hAnchor="margin" w:y="420"/>
                    <w:jc w:val="right"/>
                    <w:rPr>
                      <w:b/>
                      <w:bCs/>
                    </w:rPr>
                  </w:pPr>
                  <w:r w:rsidRPr="00B736DE">
                    <w:rPr>
                      <w:b/>
                      <w:bCs/>
                    </w:rPr>
                    <w:t>148,206</w:t>
                  </w:r>
                </w:p>
              </w:tc>
              <w:tc>
                <w:tcPr>
                  <w:tcW w:w="1683" w:type="dxa"/>
                  <w:tcBorders>
                    <w:top w:val="single" w:sz="4" w:space="0" w:color="auto"/>
                    <w:left w:val="nil"/>
                    <w:bottom w:val="double" w:sz="6" w:space="0" w:color="auto"/>
                    <w:right w:val="nil"/>
                  </w:tcBorders>
                  <w:shd w:val="clear" w:color="auto" w:fill="auto"/>
                  <w:noWrap/>
                  <w:vAlign w:val="bottom"/>
                  <w:hideMark/>
                </w:tcPr>
                <w:p w:rsidR="00901903" w:rsidRPr="00B736DE" w:rsidRDefault="00901903" w:rsidP="00042D21">
                  <w:pPr>
                    <w:framePr w:hSpace="180" w:wrap="around" w:hAnchor="margin" w:y="420"/>
                    <w:jc w:val="right"/>
                    <w:rPr>
                      <w:b/>
                      <w:bCs/>
                    </w:rPr>
                  </w:pPr>
                  <w:r w:rsidRPr="00B736DE">
                    <w:rPr>
                      <w:b/>
                      <w:bCs/>
                    </w:rPr>
                    <w:t>158,597</w:t>
                  </w:r>
                </w:p>
              </w:tc>
              <w:tc>
                <w:tcPr>
                  <w:tcW w:w="1617" w:type="dxa"/>
                  <w:tcBorders>
                    <w:top w:val="single" w:sz="4" w:space="0" w:color="auto"/>
                    <w:left w:val="nil"/>
                    <w:bottom w:val="double" w:sz="6" w:space="0" w:color="auto"/>
                    <w:right w:val="nil"/>
                  </w:tcBorders>
                  <w:shd w:val="clear" w:color="auto" w:fill="auto"/>
                  <w:noWrap/>
                  <w:vAlign w:val="bottom"/>
                  <w:hideMark/>
                </w:tcPr>
                <w:p w:rsidR="00901903" w:rsidRPr="00B736DE" w:rsidRDefault="00901903" w:rsidP="00042D21">
                  <w:pPr>
                    <w:framePr w:hSpace="180" w:wrap="around" w:hAnchor="margin" w:y="420"/>
                    <w:jc w:val="right"/>
                    <w:rPr>
                      <w:b/>
                      <w:bCs/>
                    </w:rPr>
                  </w:pPr>
                  <w:r w:rsidRPr="00B736DE">
                    <w:rPr>
                      <w:b/>
                      <w:bCs/>
                    </w:rPr>
                    <w:t>25,175</w:t>
                  </w:r>
                </w:p>
              </w:tc>
              <w:tc>
                <w:tcPr>
                  <w:tcW w:w="1444" w:type="dxa"/>
                  <w:tcBorders>
                    <w:top w:val="single" w:sz="4" w:space="0" w:color="auto"/>
                    <w:left w:val="nil"/>
                    <w:bottom w:val="double" w:sz="6" w:space="0" w:color="auto"/>
                    <w:right w:val="nil"/>
                  </w:tcBorders>
                  <w:shd w:val="clear" w:color="auto" w:fill="auto"/>
                  <w:noWrap/>
                  <w:vAlign w:val="bottom"/>
                  <w:hideMark/>
                </w:tcPr>
                <w:p w:rsidR="00901903" w:rsidRPr="00B736DE" w:rsidRDefault="00901903" w:rsidP="00042D21">
                  <w:pPr>
                    <w:framePr w:hSpace="180" w:wrap="around" w:hAnchor="margin" w:y="420"/>
                    <w:jc w:val="right"/>
                    <w:rPr>
                      <w:b/>
                      <w:bCs/>
                    </w:rPr>
                  </w:pPr>
                  <w:r w:rsidRPr="00B736DE">
                    <w:rPr>
                      <w:b/>
                      <w:bCs/>
                    </w:rPr>
                    <w:t>677,283</w:t>
                  </w:r>
                </w:p>
              </w:tc>
            </w:tr>
          </w:tbl>
          <w:p w:rsidR="00B736DE" w:rsidRDefault="00B736DE" w:rsidP="00713799">
            <w:pPr>
              <w:rPr>
                <w:b/>
                <w:highlight w:val="yellow"/>
              </w:rPr>
            </w:pPr>
          </w:p>
          <w:p w:rsidR="000F6D80" w:rsidRPr="00B736DE" w:rsidRDefault="000F6D80" w:rsidP="00713799">
            <w:pPr>
              <w:rPr>
                <w:b/>
                <w:highlight w:val="yellow"/>
              </w:rPr>
            </w:pPr>
          </w:p>
          <w:tbl>
            <w:tblPr>
              <w:tblW w:w="13764" w:type="dxa"/>
              <w:tblLook w:val="04A0"/>
            </w:tblPr>
            <w:tblGrid>
              <w:gridCol w:w="9366"/>
              <w:gridCol w:w="222"/>
              <w:gridCol w:w="222"/>
              <w:gridCol w:w="1196"/>
              <w:gridCol w:w="1556"/>
              <w:gridCol w:w="1616"/>
            </w:tblGrid>
            <w:tr w:rsidR="00B736DE" w:rsidRPr="00B736DE" w:rsidTr="00B736DE">
              <w:trPr>
                <w:trHeight w:val="300"/>
              </w:trPr>
              <w:tc>
                <w:tcPr>
                  <w:tcW w:w="9396" w:type="dxa"/>
                  <w:gridSpan w:val="3"/>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rPr>
                      <w:b/>
                      <w:bCs/>
                    </w:rPr>
                  </w:pPr>
                  <w:r w:rsidRPr="00B736DE">
                    <w:rPr>
                      <w:b/>
                      <w:bCs/>
                    </w:rPr>
                    <w:lastRenderedPageBreak/>
                    <w:t>Reconciliation to Net Cost of Services in Comprehensive Income and Expenditure Statement</w:t>
                  </w:r>
                </w:p>
              </w:tc>
              <w:tc>
                <w:tcPr>
                  <w:tcW w:w="1196"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556"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616"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r>
            <w:tr w:rsidR="00B736DE" w:rsidRPr="00B736DE" w:rsidTr="00B736DE">
              <w:trPr>
                <w:trHeight w:val="300"/>
              </w:trPr>
              <w:tc>
                <w:tcPr>
                  <w:tcW w:w="9366"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5"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5"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196"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556"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616" w:type="dxa"/>
                  <w:tcBorders>
                    <w:top w:val="nil"/>
                    <w:left w:val="nil"/>
                    <w:bottom w:val="nil"/>
                    <w:right w:val="nil"/>
                  </w:tcBorders>
                  <w:shd w:val="clear" w:color="auto" w:fill="auto"/>
                  <w:noWrap/>
                  <w:hideMark/>
                </w:tcPr>
                <w:p w:rsidR="00B736DE" w:rsidRPr="00B736DE" w:rsidRDefault="00B736DE" w:rsidP="00042D21">
                  <w:pPr>
                    <w:framePr w:hSpace="180" w:wrap="around" w:hAnchor="margin" w:y="420"/>
                    <w:jc w:val="right"/>
                    <w:rPr>
                      <w:b/>
                      <w:bCs/>
                    </w:rPr>
                  </w:pPr>
                  <w:r w:rsidRPr="00B736DE">
                    <w:rPr>
                      <w:b/>
                      <w:bCs/>
                    </w:rPr>
                    <w:t>£000s</w:t>
                  </w:r>
                </w:p>
              </w:tc>
            </w:tr>
            <w:tr w:rsidR="00B736DE" w:rsidRPr="00B736DE" w:rsidTr="00B736DE">
              <w:trPr>
                <w:trHeight w:val="300"/>
              </w:trPr>
              <w:tc>
                <w:tcPr>
                  <w:tcW w:w="9366"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r w:rsidRPr="00B736DE">
                    <w:t>Cost of Services in Service Analysis</w:t>
                  </w:r>
                </w:p>
              </w:tc>
              <w:tc>
                <w:tcPr>
                  <w:tcW w:w="15"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5"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196"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556"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616"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jc w:val="right"/>
                    <w:rPr>
                      <w:b/>
                      <w:bCs/>
                    </w:rPr>
                  </w:pPr>
                  <w:r w:rsidRPr="00B736DE">
                    <w:rPr>
                      <w:b/>
                      <w:bCs/>
                    </w:rPr>
                    <w:t>677,283</w:t>
                  </w:r>
                </w:p>
              </w:tc>
            </w:tr>
            <w:tr w:rsidR="00B736DE" w:rsidRPr="00B736DE" w:rsidTr="00B736DE">
              <w:trPr>
                <w:trHeight w:val="300"/>
              </w:trPr>
              <w:tc>
                <w:tcPr>
                  <w:tcW w:w="9366"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5"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5"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196"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556"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616"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r>
            <w:tr w:rsidR="00B736DE" w:rsidRPr="00B736DE" w:rsidTr="00B736DE">
              <w:trPr>
                <w:trHeight w:val="300"/>
              </w:trPr>
              <w:tc>
                <w:tcPr>
                  <w:tcW w:w="9366"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r w:rsidRPr="00B736DE">
                    <w:t>Add services not included in main analysis</w:t>
                  </w:r>
                </w:p>
              </w:tc>
              <w:tc>
                <w:tcPr>
                  <w:tcW w:w="15"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5"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196"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556"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616"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jc w:val="right"/>
                  </w:pPr>
                  <w:r w:rsidRPr="00B736DE">
                    <w:t>(34)</w:t>
                  </w:r>
                </w:p>
              </w:tc>
            </w:tr>
            <w:tr w:rsidR="00B736DE" w:rsidRPr="00B736DE" w:rsidTr="00B736DE">
              <w:trPr>
                <w:trHeight w:val="300"/>
              </w:trPr>
              <w:tc>
                <w:tcPr>
                  <w:tcW w:w="9366"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r w:rsidRPr="00B736DE">
                    <w:t>Add amounts not reported to management</w:t>
                  </w:r>
                </w:p>
              </w:tc>
              <w:tc>
                <w:tcPr>
                  <w:tcW w:w="15"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5"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196"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556"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616"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jc w:val="right"/>
                  </w:pPr>
                  <w:r w:rsidRPr="00B736DE">
                    <w:t>(3,872)</w:t>
                  </w:r>
                </w:p>
              </w:tc>
            </w:tr>
            <w:tr w:rsidR="00B736DE" w:rsidRPr="00B736DE" w:rsidTr="00B736DE">
              <w:trPr>
                <w:trHeight w:val="300"/>
              </w:trPr>
              <w:tc>
                <w:tcPr>
                  <w:tcW w:w="9396" w:type="dxa"/>
                  <w:gridSpan w:val="3"/>
                  <w:tcBorders>
                    <w:top w:val="nil"/>
                    <w:left w:val="nil"/>
                    <w:bottom w:val="nil"/>
                    <w:right w:val="nil"/>
                  </w:tcBorders>
                  <w:shd w:val="clear" w:color="auto" w:fill="auto"/>
                  <w:vAlign w:val="bottom"/>
                  <w:hideMark/>
                </w:tcPr>
                <w:p w:rsidR="00B736DE" w:rsidRPr="00B736DE" w:rsidRDefault="00B736DE" w:rsidP="00042D21">
                  <w:pPr>
                    <w:framePr w:hSpace="180" w:wrap="around" w:hAnchor="margin" w:y="420"/>
                  </w:pPr>
                  <w:r w:rsidRPr="00B736DE">
                    <w:t>Remove amounts reported to management not included in Comprehensive Income and Expenditure Statement</w:t>
                  </w:r>
                </w:p>
              </w:tc>
              <w:tc>
                <w:tcPr>
                  <w:tcW w:w="1196"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556"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616" w:type="dxa"/>
                  <w:tcBorders>
                    <w:top w:val="nil"/>
                    <w:left w:val="nil"/>
                    <w:bottom w:val="single" w:sz="4" w:space="0" w:color="auto"/>
                    <w:right w:val="nil"/>
                  </w:tcBorders>
                  <w:shd w:val="clear" w:color="auto" w:fill="auto"/>
                  <w:noWrap/>
                  <w:vAlign w:val="bottom"/>
                  <w:hideMark/>
                </w:tcPr>
                <w:p w:rsidR="00B736DE" w:rsidRPr="00B736DE" w:rsidRDefault="00001A63" w:rsidP="00042D21">
                  <w:pPr>
                    <w:framePr w:hSpace="180" w:wrap="around" w:hAnchor="margin" w:y="420"/>
                    <w:jc w:val="right"/>
                  </w:pPr>
                  <w:r>
                    <w:t>-</w:t>
                  </w:r>
                </w:p>
              </w:tc>
            </w:tr>
            <w:tr w:rsidR="00B736DE" w:rsidRPr="00B736DE" w:rsidTr="00B736DE">
              <w:trPr>
                <w:trHeight w:val="300"/>
              </w:trPr>
              <w:tc>
                <w:tcPr>
                  <w:tcW w:w="9366"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5"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5"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196"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556"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616"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r>
            <w:tr w:rsidR="00B736DE" w:rsidRPr="00B736DE" w:rsidTr="00B736DE">
              <w:trPr>
                <w:trHeight w:val="300"/>
              </w:trPr>
              <w:tc>
                <w:tcPr>
                  <w:tcW w:w="9396" w:type="dxa"/>
                  <w:gridSpan w:val="3"/>
                  <w:tcBorders>
                    <w:top w:val="nil"/>
                    <w:left w:val="nil"/>
                    <w:bottom w:val="nil"/>
                    <w:right w:val="nil"/>
                  </w:tcBorders>
                  <w:shd w:val="clear" w:color="auto" w:fill="auto"/>
                  <w:vAlign w:val="bottom"/>
                  <w:hideMark/>
                </w:tcPr>
                <w:p w:rsidR="00B736DE" w:rsidRPr="00B736DE" w:rsidRDefault="00B736DE" w:rsidP="00042D21">
                  <w:pPr>
                    <w:framePr w:hSpace="180" w:wrap="around" w:hAnchor="margin" w:y="420"/>
                    <w:rPr>
                      <w:b/>
                      <w:bCs/>
                    </w:rPr>
                  </w:pPr>
                  <w:r w:rsidRPr="00B736DE">
                    <w:rPr>
                      <w:b/>
                      <w:bCs/>
                    </w:rPr>
                    <w:t>Net Cost of Services in Comprehensive Income and Expenditure Statement</w:t>
                  </w:r>
                </w:p>
              </w:tc>
              <w:tc>
                <w:tcPr>
                  <w:tcW w:w="1196"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556"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616"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jc w:val="right"/>
                    <w:rPr>
                      <w:b/>
                      <w:bCs/>
                    </w:rPr>
                  </w:pPr>
                  <w:r w:rsidRPr="00B736DE">
                    <w:rPr>
                      <w:b/>
                      <w:bCs/>
                    </w:rPr>
                    <w:t xml:space="preserve">673,377 </w:t>
                  </w:r>
                </w:p>
              </w:tc>
            </w:tr>
          </w:tbl>
          <w:p w:rsidR="00B736DE" w:rsidRDefault="00B736DE" w:rsidP="00713799">
            <w:pPr>
              <w:rPr>
                <w:b/>
                <w:highlight w:val="yellow"/>
              </w:rPr>
            </w:pPr>
          </w:p>
          <w:p w:rsidR="00B736DE" w:rsidRDefault="00B736DE" w:rsidP="00713799">
            <w:pPr>
              <w:rPr>
                <w:b/>
                <w:highlight w:val="yellow"/>
              </w:rPr>
            </w:pPr>
          </w:p>
          <w:p w:rsidR="00787016" w:rsidRDefault="00787016" w:rsidP="00713799">
            <w:pPr>
              <w:rPr>
                <w:b/>
                <w:highlight w:val="yellow"/>
              </w:rPr>
            </w:pPr>
          </w:p>
          <w:p w:rsidR="00787016" w:rsidRDefault="00787016" w:rsidP="00713799">
            <w:pPr>
              <w:rPr>
                <w:b/>
                <w:highlight w:val="yellow"/>
              </w:rPr>
            </w:pPr>
          </w:p>
          <w:p w:rsidR="00787016" w:rsidRDefault="00787016" w:rsidP="00713799">
            <w:pPr>
              <w:rPr>
                <w:b/>
                <w:highlight w:val="yellow"/>
              </w:rPr>
            </w:pPr>
          </w:p>
          <w:p w:rsidR="00787016" w:rsidRDefault="00787016" w:rsidP="00713799">
            <w:pPr>
              <w:rPr>
                <w:b/>
                <w:highlight w:val="yellow"/>
              </w:rPr>
            </w:pPr>
          </w:p>
          <w:p w:rsidR="00787016" w:rsidRDefault="00787016" w:rsidP="00713799">
            <w:pPr>
              <w:rPr>
                <w:b/>
                <w:highlight w:val="yellow"/>
              </w:rPr>
            </w:pPr>
          </w:p>
          <w:p w:rsidR="00787016" w:rsidRDefault="00787016" w:rsidP="00713799">
            <w:pPr>
              <w:rPr>
                <w:b/>
                <w:highlight w:val="yellow"/>
              </w:rPr>
            </w:pPr>
          </w:p>
          <w:p w:rsidR="00787016" w:rsidRDefault="00787016" w:rsidP="00713799">
            <w:pPr>
              <w:rPr>
                <w:b/>
                <w:highlight w:val="yellow"/>
              </w:rPr>
            </w:pPr>
          </w:p>
          <w:p w:rsidR="00787016" w:rsidRDefault="00787016" w:rsidP="00713799">
            <w:pPr>
              <w:rPr>
                <w:b/>
                <w:highlight w:val="yellow"/>
              </w:rPr>
            </w:pPr>
          </w:p>
          <w:p w:rsidR="00787016" w:rsidRDefault="00787016" w:rsidP="00713799">
            <w:pPr>
              <w:rPr>
                <w:b/>
                <w:highlight w:val="yellow"/>
              </w:rPr>
            </w:pPr>
          </w:p>
          <w:p w:rsidR="00787016" w:rsidRDefault="00787016" w:rsidP="00713799">
            <w:pPr>
              <w:rPr>
                <w:b/>
                <w:highlight w:val="yellow"/>
              </w:rPr>
            </w:pPr>
          </w:p>
          <w:p w:rsidR="00787016" w:rsidRDefault="00787016" w:rsidP="00713799">
            <w:pPr>
              <w:rPr>
                <w:b/>
                <w:highlight w:val="yellow"/>
              </w:rPr>
            </w:pPr>
          </w:p>
          <w:p w:rsidR="00787016" w:rsidRDefault="00787016" w:rsidP="00713799">
            <w:pPr>
              <w:rPr>
                <w:b/>
                <w:highlight w:val="yellow"/>
              </w:rPr>
            </w:pPr>
          </w:p>
          <w:p w:rsidR="00787016" w:rsidRDefault="00787016" w:rsidP="00713799">
            <w:pPr>
              <w:rPr>
                <w:b/>
                <w:highlight w:val="yellow"/>
              </w:rPr>
            </w:pPr>
          </w:p>
          <w:p w:rsidR="00787016" w:rsidRDefault="00787016" w:rsidP="00713799">
            <w:pPr>
              <w:rPr>
                <w:b/>
                <w:highlight w:val="yellow"/>
              </w:rPr>
            </w:pPr>
          </w:p>
          <w:p w:rsidR="00787016" w:rsidRDefault="00787016" w:rsidP="00713799">
            <w:pPr>
              <w:rPr>
                <w:b/>
                <w:highlight w:val="yellow"/>
              </w:rPr>
            </w:pPr>
          </w:p>
          <w:p w:rsidR="00787016" w:rsidRDefault="00787016" w:rsidP="00713799">
            <w:pPr>
              <w:rPr>
                <w:b/>
                <w:highlight w:val="yellow"/>
              </w:rPr>
            </w:pPr>
          </w:p>
          <w:p w:rsidR="00787016" w:rsidRDefault="00787016" w:rsidP="00713799">
            <w:pPr>
              <w:rPr>
                <w:b/>
                <w:highlight w:val="yellow"/>
              </w:rPr>
            </w:pPr>
          </w:p>
          <w:p w:rsidR="00787016" w:rsidRDefault="00787016" w:rsidP="00713799">
            <w:pPr>
              <w:rPr>
                <w:b/>
                <w:highlight w:val="yellow"/>
              </w:rPr>
            </w:pPr>
          </w:p>
          <w:p w:rsidR="00787016" w:rsidRDefault="00787016" w:rsidP="00713799">
            <w:pPr>
              <w:rPr>
                <w:b/>
                <w:highlight w:val="yellow"/>
              </w:rPr>
            </w:pPr>
          </w:p>
          <w:tbl>
            <w:tblPr>
              <w:tblW w:w="15698" w:type="dxa"/>
              <w:tblLook w:val="04A0"/>
            </w:tblPr>
            <w:tblGrid>
              <w:gridCol w:w="3967"/>
              <w:gridCol w:w="1488"/>
              <w:gridCol w:w="1282"/>
              <w:gridCol w:w="1701"/>
              <w:gridCol w:w="1602"/>
              <w:gridCol w:w="1702"/>
              <w:gridCol w:w="1287"/>
              <w:gridCol w:w="1382"/>
              <w:gridCol w:w="1287"/>
            </w:tblGrid>
            <w:tr w:rsidR="00B736DE" w:rsidRPr="00B736DE" w:rsidTr="00787016">
              <w:trPr>
                <w:trHeight w:val="1565"/>
              </w:trPr>
              <w:tc>
                <w:tcPr>
                  <w:tcW w:w="3967" w:type="dxa"/>
                  <w:tcBorders>
                    <w:top w:val="nil"/>
                    <w:left w:val="nil"/>
                    <w:bottom w:val="nil"/>
                    <w:right w:val="nil"/>
                  </w:tcBorders>
                  <w:shd w:val="clear" w:color="auto" w:fill="auto"/>
                  <w:vAlign w:val="center"/>
                  <w:hideMark/>
                </w:tcPr>
                <w:p w:rsidR="00B736DE" w:rsidRPr="00B736DE" w:rsidRDefault="00B736DE" w:rsidP="00042D21">
                  <w:pPr>
                    <w:framePr w:hSpace="180" w:wrap="around" w:hAnchor="margin" w:y="420"/>
                    <w:jc w:val="center"/>
                    <w:rPr>
                      <w:b/>
                      <w:bCs/>
                      <w:u w:val="single"/>
                    </w:rPr>
                  </w:pPr>
                  <w:r w:rsidRPr="00B736DE">
                    <w:rPr>
                      <w:b/>
                      <w:bCs/>
                      <w:u w:val="single"/>
                    </w:rPr>
                    <w:lastRenderedPageBreak/>
                    <w:t>2011/12</w:t>
                  </w:r>
                </w:p>
              </w:tc>
              <w:tc>
                <w:tcPr>
                  <w:tcW w:w="1488" w:type="dxa"/>
                  <w:tcBorders>
                    <w:top w:val="nil"/>
                    <w:left w:val="nil"/>
                    <w:bottom w:val="nil"/>
                    <w:right w:val="nil"/>
                  </w:tcBorders>
                  <w:shd w:val="clear" w:color="auto" w:fill="auto"/>
                  <w:vAlign w:val="center"/>
                  <w:hideMark/>
                </w:tcPr>
                <w:p w:rsidR="00B736DE" w:rsidRPr="00B736DE" w:rsidRDefault="00B736DE" w:rsidP="00042D21">
                  <w:pPr>
                    <w:framePr w:hSpace="180" w:wrap="around" w:hAnchor="margin" w:y="420"/>
                    <w:jc w:val="center"/>
                    <w:rPr>
                      <w:b/>
                      <w:bCs/>
                    </w:rPr>
                  </w:pPr>
                  <w:r w:rsidRPr="00B736DE">
                    <w:rPr>
                      <w:b/>
                      <w:bCs/>
                    </w:rPr>
                    <w:t>Directorate Analysis</w:t>
                  </w:r>
                </w:p>
              </w:tc>
              <w:tc>
                <w:tcPr>
                  <w:tcW w:w="1282" w:type="dxa"/>
                  <w:tcBorders>
                    <w:top w:val="nil"/>
                    <w:left w:val="nil"/>
                    <w:bottom w:val="nil"/>
                    <w:right w:val="nil"/>
                  </w:tcBorders>
                  <w:shd w:val="clear" w:color="auto" w:fill="auto"/>
                  <w:vAlign w:val="center"/>
                  <w:hideMark/>
                </w:tcPr>
                <w:p w:rsidR="00B736DE" w:rsidRPr="00B736DE" w:rsidRDefault="00B736DE" w:rsidP="00042D21">
                  <w:pPr>
                    <w:framePr w:hSpace="180" w:wrap="around" w:hAnchor="margin" w:y="420"/>
                    <w:jc w:val="center"/>
                    <w:rPr>
                      <w:b/>
                      <w:bCs/>
                    </w:rPr>
                  </w:pPr>
                  <w:r w:rsidRPr="00B736DE">
                    <w:rPr>
                      <w:b/>
                      <w:bCs/>
                    </w:rPr>
                    <w:t>Services &amp; Support</w:t>
                  </w:r>
                </w:p>
              </w:tc>
              <w:tc>
                <w:tcPr>
                  <w:tcW w:w="1701" w:type="dxa"/>
                  <w:tcBorders>
                    <w:top w:val="nil"/>
                    <w:left w:val="nil"/>
                    <w:bottom w:val="nil"/>
                    <w:right w:val="nil"/>
                  </w:tcBorders>
                  <w:shd w:val="clear" w:color="auto" w:fill="auto"/>
                  <w:vAlign w:val="center"/>
                  <w:hideMark/>
                </w:tcPr>
                <w:p w:rsidR="00B736DE" w:rsidRPr="00B736DE" w:rsidRDefault="00B736DE" w:rsidP="00042D21">
                  <w:pPr>
                    <w:framePr w:hSpace="180" w:wrap="around" w:hAnchor="margin" w:y="420"/>
                    <w:jc w:val="center"/>
                    <w:rPr>
                      <w:b/>
                      <w:bCs/>
                    </w:rPr>
                  </w:pPr>
                  <w:r w:rsidRPr="00B736DE">
                    <w:rPr>
                      <w:b/>
                      <w:bCs/>
                    </w:rPr>
                    <w:t xml:space="preserve">Amounts reported to management for decision making </w:t>
                  </w:r>
                </w:p>
              </w:tc>
              <w:tc>
                <w:tcPr>
                  <w:tcW w:w="1602" w:type="dxa"/>
                  <w:tcBorders>
                    <w:top w:val="nil"/>
                    <w:left w:val="nil"/>
                    <w:bottom w:val="nil"/>
                    <w:right w:val="nil"/>
                  </w:tcBorders>
                  <w:shd w:val="clear" w:color="auto" w:fill="auto"/>
                  <w:vAlign w:val="center"/>
                  <w:hideMark/>
                </w:tcPr>
                <w:p w:rsidR="00B736DE" w:rsidRPr="00B736DE" w:rsidRDefault="00B736DE" w:rsidP="00042D21">
                  <w:pPr>
                    <w:framePr w:hSpace="180" w:wrap="around" w:hAnchor="margin" w:y="420"/>
                    <w:jc w:val="center"/>
                    <w:rPr>
                      <w:b/>
                      <w:bCs/>
                    </w:rPr>
                  </w:pPr>
                  <w:r w:rsidRPr="00B736DE">
                    <w:rPr>
                      <w:b/>
                      <w:bCs/>
                    </w:rPr>
                    <w:t>Amounts not included in the I&amp;E</w:t>
                  </w:r>
                </w:p>
              </w:tc>
              <w:tc>
                <w:tcPr>
                  <w:tcW w:w="1702" w:type="dxa"/>
                  <w:tcBorders>
                    <w:top w:val="nil"/>
                    <w:left w:val="nil"/>
                    <w:bottom w:val="nil"/>
                    <w:right w:val="nil"/>
                  </w:tcBorders>
                  <w:shd w:val="clear" w:color="auto" w:fill="auto"/>
                  <w:vAlign w:val="center"/>
                  <w:hideMark/>
                </w:tcPr>
                <w:p w:rsidR="00B736DE" w:rsidRPr="00B736DE" w:rsidRDefault="00B736DE" w:rsidP="00042D21">
                  <w:pPr>
                    <w:framePr w:hSpace="180" w:wrap="around" w:hAnchor="margin" w:y="420"/>
                    <w:jc w:val="center"/>
                    <w:rPr>
                      <w:b/>
                      <w:bCs/>
                    </w:rPr>
                  </w:pPr>
                  <w:r w:rsidRPr="00B736DE">
                    <w:rPr>
                      <w:b/>
                      <w:bCs/>
                    </w:rPr>
                    <w:t>Allocation of Recharges</w:t>
                  </w:r>
                </w:p>
              </w:tc>
              <w:tc>
                <w:tcPr>
                  <w:tcW w:w="1287" w:type="dxa"/>
                  <w:tcBorders>
                    <w:top w:val="nil"/>
                    <w:left w:val="nil"/>
                    <w:bottom w:val="nil"/>
                    <w:right w:val="nil"/>
                  </w:tcBorders>
                  <w:shd w:val="clear" w:color="auto" w:fill="auto"/>
                  <w:vAlign w:val="center"/>
                  <w:hideMark/>
                </w:tcPr>
                <w:p w:rsidR="00B736DE" w:rsidRPr="00B736DE" w:rsidRDefault="00B736DE" w:rsidP="00042D21">
                  <w:pPr>
                    <w:framePr w:hSpace="180" w:wrap="around" w:hAnchor="margin" w:y="420"/>
                    <w:jc w:val="center"/>
                    <w:rPr>
                      <w:b/>
                      <w:bCs/>
                    </w:rPr>
                  </w:pPr>
                  <w:r w:rsidRPr="00B736DE">
                    <w:rPr>
                      <w:b/>
                      <w:bCs/>
                    </w:rPr>
                    <w:t>Cost of Services</w:t>
                  </w:r>
                </w:p>
              </w:tc>
              <w:tc>
                <w:tcPr>
                  <w:tcW w:w="1382" w:type="dxa"/>
                  <w:tcBorders>
                    <w:top w:val="nil"/>
                    <w:left w:val="nil"/>
                    <w:bottom w:val="nil"/>
                    <w:right w:val="nil"/>
                  </w:tcBorders>
                  <w:shd w:val="clear" w:color="auto" w:fill="auto"/>
                  <w:vAlign w:val="center"/>
                  <w:hideMark/>
                </w:tcPr>
                <w:p w:rsidR="00B736DE" w:rsidRPr="00B736DE" w:rsidRDefault="00B736DE" w:rsidP="00042D21">
                  <w:pPr>
                    <w:framePr w:hSpace="180" w:wrap="around" w:hAnchor="margin" w:y="420"/>
                    <w:jc w:val="center"/>
                    <w:rPr>
                      <w:b/>
                      <w:bCs/>
                    </w:rPr>
                  </w:pPr>
                  <w:r w:rsidRPr="00B736DE">
                    <w:rPr>
                      <w:b/>
                      <w:bCs/>
                    </w:rPr>
                    <w:t>Corporate Amounts</w:t>
                  </w:r>
                </w:p>
              </w:tc>
              <w:tc>
                <w:tcPr>
                  <w:tcW w:w="1287" w:type="dxa"/>
                  <w:tcBorders>
                    <w:top w:val="nil"/>
                    <w:left w:val="nil"/>
                    <w:bottom w:val="nil"/>
                    <w:right w:val="nil"/>
                  </w:tcBorders>
                  <w:shd w:val="clear" w:color="auto" w:fill="auto"/>
                  <w:vAlign w:val="center"/>
                  <w:hideMark/>
                </w:tcPr>
                <w:p w:rsidR="00B736DE" w:rsidRPr="00B736DE" w:rsidRDefault="00B736DE" w:rsidP="00042D21">
                  <w:pPr>
                    <w:framePr w:hSpace="180" w:wrap="around" w:hAnchor="margin" w:y="420"/>
                    <w:jc w:val="center"/>
                    <w:rPr>
                      <w:b/>
                      <w:bCs/>
                    </w:rPr>
                  </w:pPr>
                  <w:r w:rsidRPr="00B736DE">
                    <w:rPr>
                      <w:b/>
                      <w:bCs/>
                    </w:rPr>
                    <w:t>Total</w:t>
                  </w:r>
                </w:p>
              </w:tc>
            </w:tr>
            <w:tr w:rsidR="00B736DE" w:rsidRPr="00B736DE" w:rsidTr="00787016">
              <w:trPr>
                <w:trHeight w:val="261"/>
              </w:trPr>
              <w:tc>
                <w:tcPr>
                  <w:tcW w:w="3967" w:type="dxa"/>
                  <w:tcBorders>
                    <w:top w:val="nil"/>
                    <w:left w:val="nil"/>
                    <w:bottom w:val="nil"/>
                    <w:right w:val="nil"/>
                  </w:tcBorders>
                  <w:shd w:val="clear" w:color="auto" w:fill="auto"/>
                  <w:vAlign w:val="bottom"/>
                  <w:hideMark/>
                </w:tcPr>
                <w:p w:rsidR="00B736DE" w:rsidRPr="00B736DE" w:rsidRDefault="00B736DE" w:rsidP="00042D21">
                  <w:pPr>
                    <w:framePr w:hSpace="180" w:wrap="around" w:hAnchor="margin" w:y="420"/>
                  </w:pPr>
                </w:p>
              </w:tc>
              <w:tc>
                <w:tcPr>
                  <w:tcW w:w="1488"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jc w:val="center"/>
                    <w:rPr>
                      <w:b/>
                      <w:bCs/>
                    </w:rPr>
                  </w:pPr>
                  <w:r w:rsidRPr="00B736DE">
                    <w:rPr>
                      <w:b/>
                      <w:bCs/>
                    </w:rPr>
                    <w:t>£000</w:t>
                  </w:r>
                </w:p>
              </w:tc>
              <w:tc>
                <w:tcPr>
                  <w:tcW w:w="1282"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jc w:val="center"/>
                    <w:rPr>
                      <w:b/>
                      <w:bCs/>
                    </w:rPr>
                  </w:pPr>
                  <w:r w:rsidRPr="00B736DE">
                    <w:rPr>
                      <w:b/>
                      <w:bCs/>
                    </w:rPr>
                    <w:t>£000</w:t>
                  </w:r>
                </w:p>
              </w:tc>
              <w:tc>
                <w:tcPr>
                  <w:tcW w:w="1701"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jc w:val="center"/>
                    <w:rPr>
                      <w:b/>
                      <w:bCs/>
                    </w:rPr>
                  </w:pPr>
                  <w:r w:rsidRPr="00B736DE">
                    <w:rPr>
                      <w:b/>
                      <w:bCs/>
                    </w:rPr>
                    <w:t>£000</w:t>
                  </w:r>
                </w:p>
              </w:tc>
              <w:tc>
                <w:tcPr>
                  <w:tcW w:w="1602"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jc w:val="center"/>
                    <w:rPr>
                      <w:b/>
                      <w:bCs/>
                    </w:rPr>
                  </w:pPr>
                  <w:r w:rsidRPr="00B736DE">
                    <w:rPr>
                      <w:b/>
                      <w:bCs/>
                    </w:rPr>
                    <w:t>£000</w:t>
                  </w:r>
                </w:p>
              </w:tc>
              <w:tc>
                <w:tcPr>
                  <w:tcW w:w="1702"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jc w:val="center"/>
                    <w:rPr>
                      <w:b/>
                      <w:bCs/>
                    </w:rPr>
                  </w:pPr>
                  <w:r w:rsidRPr="00B736DE">
                    <w:rPr>
                      <w:b/>
                      <w:bCs/>
                    </w:rPr>
                    <w:t>£000</w:t>
                  </w:r>
                </w:p>
              </w:tc>
              <w:tc>
                <w:tcPr>
                  <w:tcW w:w="1287"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jc w:val="center"/>
                    <w:rPr>
                      <w:b/>
                      <w:bCs/>
                    </w:rPr>
                  </w:pPr>
                  <w:r w:rsidRPr="00B736DE">
                    <w:rPr>
                      <w:b/>
                      <w:bCs/>
                    </w:rPr>
                    <w:t>£000</w:t>
                  </w:r>
                </w:p>
              </w:tc>
              <w:tc>
                <w:tcPr>
                  <w:tcW w:w="1382"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jc w:val="center"/>
                    <w:rPr>
                      <w:b/>
                      <w:bCs/>
                    </w:rPr>
                  </w:pPr>
                  <w:r w:rsidRPr="00B736DE">
                    <w:rPr>
                      <w:b/>
                      <w:bCs/>
                    </w:rPr>
                    <w:t>£000</w:t>
                  </w:r>
                </w:p>
              </w:tc>
              <w:tc>
                <w:tcPr>
                  <w:tcW w:w="1287"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jc w:val="center"/>
                    <w:rPr>
                      <w:b/>
                      <w:bCs/>
                    </w:rPr>
                  </w:pPr>
                  <w:r w:rsidRPr="00B736DE">
                    <w:rPr>
                      <w:b/>
                      <w:bCs/>
                    </w:rPr>
                    <w:t>£000</w:t>
                  </w:r>
                </w:p>
              </w:tc>
            </w:tr>
            <w:tr w:rsidR="00B736DE" w:rsidRPr="00B736DE" w:rsidTr="00787016">
              <w:trPr>
                <w:trHeight w:val="261"/>
              </w:trPr>
              <w:tc>
                <w:tcPr>
                  <w:tcW w:w="3967" w:type="dxa"/>
                  <w:tcBorders>
                    <w:top w:val="nil"/>
                    <w:left w:val="nil"/>
                    <w:bottom w:val="nil"/>
                    <w:right w:val="nil"/>
                  </w:tcBorders>
                  <w:shd w:val="clear" w:color="auto" w:fill="auto"/>
                  <w:vAlign w:val="bottom"/>
                  <w:hideMark/>
                </w:tcPr>
                <w:p w:rsidR="00B736DE" w:rsidRPr="00B736DE" w:rsidRDefault="00B736DE" w:rsidP="00042D21">
                  <w:pPr>
                    <w:framePr w:hSpace="180" w:wrap="around" w:hAnchor="margin" w:y="420"/>
                  </w:pPr>
                </w:p>
              </w:tc>
              <w:tc>
                <w:tcPr>
                  <w:tcW w:w="1488"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282"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701"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jc w:val="right"/>
                  </w:pPr>
                </w:p>
              </w:tc>
              <w:tc>
                <w:tcPr>
                  <w:tcW w:w="1602"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jc w:val="right"/>
                  </w:pPr>
                </w:p>
              </w:tc>
              <w:tc>
                <w:tcPr>
                  <w:tcW w:w="1702"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287"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c>
                <w:tcPr>
                  <w:tcW w:w="1382"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jc w:val="right"/>
                  </w:pPr>
                </w:p>
              </w:tc>
              <w:tc>
                <w:tcPr>
                  <w:tcW w:w="1287"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pPr>
                </w:p>
              </w:tc>
            </w:tr>
            <w:tr w:rsidR="00B736DE" w:rsidRPr="00B736DE" w:rsidTr="00001A63">
              <w:trPr>
                <w:trHeight w:val="261"/>
              </w:trPr>
              <w:tc>
                <w:tcPr>
                  <w:tcW w:w="3967" w:type="dxa"/>
                  <w:tcBorders>
                    <w:top w:val="nil"/>
                    <w:left w:val="nil"/>
                    <w:bottom w:val="nil"/>
                    <w:right w:val="nil"/>
                  </w:tcBorders>
                  <w:shd w:val="clear" w:color="auto" w:fill="auto"/>
                  <w:vAlign w:val="bottom"/>
                  <w:hideMark/>
                </w:tcPr>
                <w:p w:rsidR="00B736DE" w:rsidRPr="00B736DE" w:rsidRDefault="00B736DE" w:rsidP="00042D21">
                  <w:pPr>
                    <w:framePr w:hSpace="180" w:wrap="around" w:hAnchor="margin" w:y="420"/>
                  </w:pPr>
                  <w:r w:rsidRPr="00B736DE">
                    <w:t>Fees, charges and other service income</w:t>
                  </w:r>
                </w:p>
              </w:tc>
              <w:tc>
                <w:tcPr>
                  <w:tcW w:w="1488"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jc w:val="right"/>
                  </w:pPr>
                  <w:r w:rsidRPr="00B736DE">
                    <w:t>291,214</w:t>
                  </w:r>
                </w:p>
              </w:tc>
              <w:tc>
                <w:tcPr>
                  <w:tcW w:w="1282" w:type="dxa"/>
                  <w:tcBorders>
                    <w:top w:val="nil"/>
                    <w:left w:val="nil"/>
                    <w:bottom w:val="nil"/>
                    <w:right w:val="nil"/>
                  </w:tcBorders>
                  <w:shd w:val="clear" w:color="auto" w:fill="auto"/>
                  <w:noWrap/>
                  <w:vAlign w:val="bottom"/>
                  <w:hideMark/>
                </w:tcPr>
                <w:p w:rsidR="00B736DE" w:rsidRPr="00B736DE" w:rsidRDefault="00001A63" w:rsidP="00042D21">
                  <w:pPr>
                    <w:framePr w:hSpace="180" w:wrap="around" w:hAnchor="margin" w:y="420"/>
                    <w:jc w:val="right"/>
                  </w:pPr>
                  <w:r>
                    <w:t>-</w:t>
                  </w:r>
                </w:p>
              </w:tc>
              <w:tc>
                <w:tcPr>
                  <w:tcW w:w="1701"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jc w:val="right"/>
                  </w:pPr>
                  <w:r w:rsidRPr="00B736DE">
                    <w:t>7,508</w:t>
                  </w:r>
                </w:p>
              </w:tc>
              <w:tc>
                <w:tcPr>
                  <w:tcW w:w="1602"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jc w:val="right"/>
                  </w:pPr>
                  <w:r w:rsidRPr="00B736DE">
                    <w:t>(2,946)</w:t>
                  </w:r>
                </w:p>
              </w:tc>
              <w:tc>
                <w:tcPr>
                  <w:tcW w:w="1702"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jc w:val="right"/>
                  </w:pPr>
                  <w:r w:rsidRPr="00B736DE">
                    <w:t>(32,102)</w:t>
                  </w:r>
                </w:p>
              </w:tc>
              <w:tc>
                <w:tcPr>
                  <w:tcW w:w="1287"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jc w:val="right"/>
                  </w:pPr>
                  <w:r w:rsidRPr="00B736DE">
                    <w:t>263,674</w:t>
                  </w:r>
                </w:p>
              </w:tc>
              <w:tc>
                <w:tcPr>
                  <w:tcW w:w="1382"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jc w:val="right"/>
                  </w:pPr>
                  <w:r w:rsidRPr="00B736DE">
                    <w:t>6,874</w:t>
                  </w:r>
                </w:p>
              </w:tc>
              <w:tc>
                <w:tcPr>
                  <w:tcW w:w="1287"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jc w:val="right"/>
                  </w:pPr>
                  <w:r w:rsidRPr="00B736DE">
                    <w:t>270,548</w:t>
                  </w:r>
                </w:p>
              </w:tc>
            </w:tr>
            <w:tr w:rsidR="00B736DE" w:rsidRPr="00B736DE" w:rsidTr="00001A63">
              <w:trPr>
                <w:trHeight w:val="509"/>
              </w:trPr>
              <w:tc>
                <w:tcPr>
                  <w:tcW w:w="3967" w:type="dxa"/>
                  <w:tcBorders>
                    <w:top w:val="nil"/>
                    <w:left w:val="nil"/>
                    <w:bottom w:val="nil"/>
                    <w:right w:val="nil"/>
                  </w:tcBorders>
                  <w:shd w:val="clear" w:color="auto" w:fill="auto"/>
                  <w:vAlign w:val="bottom"/>
                  <w:hideMark/>
                </w:tcPr>
                <w:p w:rsidR="00B736DE" w:rsidRPr="00B736DE" w:rsidRDefault="00B736DE" w:rsidP="00042D21">
                  <w:pPr>
                    <w:framePr w:hSpace="180" w:wrap="around" w:hAnchor="margin" w:y="420"/>
                  </w:pPr>
                  <w:r w:rsidRPr="00B736DE">
                    <w:t>Surplus or deficit on associates and joint ventures</w:t>
                  </w:r>
                </w:p>
              </w:tc>
              <w:tc>
                <w:tcPr>
                  <w:tcW w:w="1488" w:type="dxa"/>
                  <w:tcBorders>
                    <w:top w:val="nil"/>
                    <w:left w:val="nil"/>
                    <w:bottom w:val="nil"/>
                    <w:right w:val="nil"/>
                  </w:tcBorders>
                  <w:shd w:val="clear" w:color="auto" w:fill="auto"/>
                  <w:noWrap/>
                  <w:vAlign w:val="bottom"/>
                  <w:hideMark/>
                </w:tcPr>
                <w:p w:rsidR="00B736DE" w:rsidRPr="00B736DE" w:rsidRDefault="00001A63" w:rsidP="00042D21">
                  <w:pPr>
                    <w:framePr w:hSpace="180" w:wrap="around" w:hAnchor="margin" w:y="420"/>
                    <w:jc w:val="right"/>
                  </w:pPr>
                  <w:r>
                    <w:t>-</w:t>
                  </w:r>
                </w:p>
              </w:tc>
              <w:tc>
                <w:tcPr>
                  <w:tcW w:w="1282" w:type="dxa"/>
                  <w:tcBorders>
                    <w:top w:val="nil"/>
                    <w:left w:val="nil"/>
                    <w:bottom w:val="nil"/>
                    <w:right w:val="nil"/>
                  </w:tcBorders>
                  <w:shd w:val="clear" w:color="auto" w:fill="auto"/>
                  <w:noWrap/>
                  <w:vAlign w:val="bottom"/>
                  <w:hideMark/>
                </w:tcPr>
                <w:p w:rsidR="00B736DE" w:rsidRPr="00B736DE" w:rsidRDefault="00001A63" w:rsidP="00042D21">
                  <w:pPr>
                    <w:framePr w:hSpace="180" w:wrap="around" w:hAnchor="margin" w:y="420"/>
                    <w:jc w:val="right"/>
                  </w:pPr>
                  <w:r>
                    <w:t>-</w:t>
                  </w:r>
                </w:p>
              </w:tc>
              <w:tc>
                <w:tcPr>
                  <w:tcW w:w="1701" w:type="dxa"/>
                  <w:tcBorders>
                    <w:top w:val="nil"/>
                    <w:left w:val="nil"/>
                    <w:bottom w:val="nil"/>
                    <w:right w:val="nil"/>
                  </w:tcBorders>
                  <w:shd w:val="clear" w:color="auto" w:fill="auto"/>
                  <w:noWrap/>
                  <w:vAlign w:val="bottom"/>
                  <w:hideMark/>
                </w:tcPr>
                <w:p w:rsidR="00B736DE" w:rsidRPr="00B736DE" w:rsidRDefault="00001A63" w:rsidP="00042D21">
                  <w:pPr>
                    <w:framePr w:hSpace="180" w:wrap="around" w:hAnchor="margin" w:y="420"/>
                    <w:jc w:val="right"/>
                  </w:pPr>
                  <w:r>
                    <w:t>-</w:t>
                  </w:r>
                </w:p>
              </w:tc>
              <w:tc>
                <w:tcPr>
                  <w:tcW w:w="1602" w:type="dxa"/>
                  <w:tcBorders>
                    <w:top w:val="nil"/>
                    <w:left w:val="nil"/>
                    <w:bottom w:val="nil"/>
                    <w:right w:val="nil"/>
                  </w:tcBorders>
                  <w:shd w:val="clear" w:color="auto" w:fill="auto"/>
                  <w:noWrap/>
                  <w:vAlign w:val="bottom"/>
                  <w:hideMark/>
                </w:tcPr>
                <w:p w:rsidR="00B736DE" w:rsidRPr="00B736DE" w:rsidRDefault="00001A63" w:rsidP="00042D21">
                  <w:pPr>
                    <w:framePr w:hSpace="180" w:wrap="around" w:hAnchor="margin" w:y="420"/>
                    <w:jc w:val="right"/>
                  </w:pPr>
                  <w:r>
                    <w:t>-</w:t>
                  </w:r>
                </w:p>
              </w:tc>
              <w:tc>
                <w:tcPr>
                  <w:tcW w:w="1702" w:type="dxa"/>
                  <w:tcBorders>
                    <w:top w:val="nil"/>
                    <w:left w:val="nil"/>
                    <w:bottom w:val="nil"/>
                    <w:right w:val="nil"/>
                  </w:tcBorders>
                  <w:shd w:val="clear" w:color="auto" w:fill="auto"/>
                  <w:noWrap/>
                  <w:vAlign w:val="bottom"/>
                  <w:hideMark/>
                </w:tcPr>
                <w:p w:rsidR="00B736DE" w:rsidRPr="00B736DE" w:rsidRDefault="00001A63" w:rsidP="00042D21">
                  <w:pPr>
                    <w:framePr w:hSpace="180" w:wrap="around" w:hAnchor="margin" w:y="420"/>
                    <w:jc w:val="right"/>
                  </w:pPr>
                  <w:r>
                    <w:t>-</w:t>
                  </w:r>
                </w:p>
              </w:tc>
              <w:tc>
                <w:tcPr>
                  <w:tcW w:w="1287"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jc w:val="right"/>
                  </w:pPr>
                  <w:r w:rsidRPr="00B736DE">
                    <w:t>-</w:t>
                  </w:r>
                </w:p>
              </w:tc>
              <w:tc>
                <w:tcPr>
                  <w:tcW w:w="1382"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jc w:val="right"/>
                  </w:pPr>
                </w:p>
              </w:tc>
              <w:tc>
                <w:tcPr>
                  <w:tcW w:w="1287" w:type="dxa"/>
                  <w:tcBorders>
                    <w:top w:val="nil"/>
                    <w:left w:val="nil"/>
                    <w:bottom w:val="nil"/>
                    <w:right w:val="nil"/>
                  </w:tcBorders>
                  <w:shd w:val="clear" w:color="auto" w:fill="auto"/>
                  <w:noWrap/>
                  <w:vAlign w:val="bottom"/>
                  <w:hideMark/>
                </w:tcPr>
                <w:p w:rsidR="00B736DE" w:rsidRPr="00B736DE" w:rsidRDefault="00B736DE" w:rsidP="00042D21">
                  <w:pPr>
                    <w:framePr w:hSpace="180" w:wrap="around" w:hAnchor="margin" w:y="420"/>
                    <w:jc w:val="right"/>
                  </w:pPr>
                  <w:r w:rsidRPr="00B736DE">
                    <w:t>-</w:t>
                  </w:r>
                </w:p>
              </w:tc>
            </w:tr>
            <w:tr w:rsidR="00001A63" w:rsidRPr="00B736DE" w:rsidTr="00001A63">
              <w:trPr>
                <w:trHeight w:val="261"/>
              </w:trPr>
              <w:tc>
                <w:tcPr>
                  <w:tcW w:w="3967" w:type="dxa"/>
                  <w:tcBorders>
                    <w:top w:val="nil"/>
                    <w:left w:val="nil"/>
                    <w:bottom w:val="nil"/>
                    <w:right w:val="nil"/>
                  </w:tcBorders>
                  <w:shd w:val="clear" w:color="auto" w:fill="auto"/>
                  <w:vAlign w:val="bottom"/>
                  <w:hideMark/>
                </w:tcPr>
                <w:p w:rsidR="00001A63" w:rsidRPr="00B736DE" w:rsidRDefault="00001A63" w:rsidP="00042D21">
                  <w:pPr>
                    <w:framePr w:hSpace="180" w:wrap="around" w:hAnchor="margin" w:y="420"/>
                  </w:pPr>
                  <w:r w:rsidRPr="00B736DE">
                    <w:t>interest and investment income</w:t>
                  </w:r>
                </w:p>
              </w:tc>
              <w:tc>
                <w:tcPr>
                  <w:tcW w:w="1488"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t>-</w:t>
                  </w:r>
                </w:p>
              </w:tc>
              <w:tc>
                <w:tcPr>
                  <w:tcW w:w="128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t>-</w:t>
                  </w:r>
                </w:p>
              </w:tc>
              <w:tc>
                <w:tcPr>
                  <w:tcW w:w="1701"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t>-</w:t>
                  </w:r>
                </w:p>
              </w:tc>
              <w:tc>
                <w:tcPr>
                  <w:tcW w:w="160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t>-</w:t>
                  </w:r>
                </w:p>
              </w:tc>
              <w:tc>
                <w:tcPr>
                  <w:tcW w:w="170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t>-</w:t>
                  </w:r>
                </w:p>
              </w:tc>
              <w:tc>
                <w:tcPr>
                  <w:tcW w:w="1287"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w:t>
                  </w:r>
                </w:p>
              </w:tc>
              <w:tc>
                <w:tcPr>
                  <w:tcW w:w="138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160,681</w:t>
                  </w:r>
                </w:p>
              </w:tc>
              <w:tc>
                <w:tcPr>
                  <w:tcW w:w="1287"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160,681</w:t>
                  </w:r>
                </w:p>
              </w:tc>
            </w:tr>
            <w:tr w:rsidR="00001A63" w:rsidRPr="00B736DE" w:rsidTr="00001A63">
              <w:trPr>
                <w:trHeight w:val="261"/>
              </w:trPr>
              <w:tc>
                <w:tcPr>
                  <w:tcW w:w="3967" w:type="dxa"/>
                  <w:tcBorders>
                    <w:top w:val="nil"/>
                    <w:left w:val="nil"/>
                    <w:bottom w:val="nil"/>
                    <w:right w:val="nil"/>
                  </w:tcBorders>
                  <w:shd w:val="clear" w:color="auto" w:fill="auto"/>
                  <w:vAlign w:val="bottom"/>
                  <w:hideMark/>
                </w:tcPr>
                <w:p w:rsidR="00001A63" w:rsidRPr="00B736DE" w:rsidRDefault="00001A63" w:rsidP="00042D21">
                  <w:pPr>
                    <w:framePr w:hSpace="180" w:wrap="around" w:hAnchor="margin" w:y="420"/>
                  </w:pPr>
                  <w:r w:rsidRPr="00B736DE">
                    <w:t>Income from council tax</w:t>
                  </w:r>
                </w:p>
              </w:tc>
              <w:tc>
                <w:tcPr>
                  <w:tcW w:w="1488"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t>-</w:t>
                  </w:r>
                </w:p>
              </w:tc>
              <w:tc>
                <w:tcPr>
                  <w:tcW w:w="128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t>-</w:t>
                  </w:r>
                </w:p>
              </w:tc>
              <w:tc>
                <w:tcPr>
                  <w:tcW w:w="1701"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t>-</w:t>
                  </w:r>
                </w:p>
              </w:tc>
              <w:tc>
                <w:tcPr>
                  <w:tcW w:w="160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t>-</w:t>
                  </w:r>
                </w:p>
              </w:tc>
              <w:tc>
                <w:tcPr>
                  <w:tcW w:w="170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t>-</w:t>
                  </w:r>
                </w:p>
              </w:tc>
              <w:tc>
                <w:tcPr>
                  <w:tcW w:w="1287"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w:t>
                  </w:r>
                </w:p>
              </w:tc>
              <w:tc>
                <w:tcPr>
                  <w:tcW w:w="138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425,179</w:t>
                  </w:r>
                </w:p>
              </w:tc>
              <w:tc>
                <w:tcPr>
                  <w:tcW w:w="1287"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425,179</w:t>
                  </w:r>
                </w:p>
              </w:tc>
            </w:tr>
            <w:tr w:rsidR="00001A63" w:rsidRPr="00B736DE" w:rsidTr="00001A63">
              <w:trPr>
                <w:trHeight w:val="261"/>
              </w:trPr>
              <w:tc>
                <w:tcPr>
                  <w:tcW w:w="3967" w:type="dxa"/>
                  <w:tcBorders>
                    <w:top w:val="nil"/>
                    <w:left w:val="nil"/>
                    <w:bottom w:val="nil"/>
                    <w:right w:val="nil"/>
                  </w:tcBorders>
                  <w:shd w:val="clear" w:color="auto" w:fill="auto"/>
                  <w:vAlign w:val="bottom"/>
                  <w:hideMark/>
                </w:tcPr>
                <w:p w:rsidR="00001A63" w:rsidRPr="00B736DE" w:rsidRDefault="00001A63" w:rsidP="00042D21">
                  <w:pPr>
                    <w:framePr w:hSpace="180" w:wrap="around" w:hAnchor="margin" w:y="420"/>
                  </w:pPr>
                  <w:r w:rsidRPr="00B736DE">
                    <w:t>Government grants and contributions</w:t>
                  </w:r>
                </w:p>
              </w:tc>
              <w:tc>
                <w:tcPr>
                  <w:tcW w:w="1488"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961,474</w:t>
                  </w:r>
                </w:p>
              </w:tc>
              <w:tc>
                <w:tcPr>
                  <w:tcW w:w="128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t>-</w:t>
                  </w:r>
                </w:p>
              </w:tc>
              <w:tc>
                <w:tcPr>
                  <w:tcW w:w="1701"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t>-</w:t>
                  </w:r>
                </w:p>
              </w:tc>
              <w:tc>
                <w:tcPr>
                  <w:tcW w:w="160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t>-</w:t>
                  </w:r>
                </w:p>
              </w:tc>
              <w:tc>
                <w:tcPr>
                  <w:tcW w:w="170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(14)</w:t>
                  </w:r>
                </w:p>
              </w:tc>
              <w:tc>
                <w:tcPr>
                  <w:tcW w:w="1287"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961,460</w:t>
                  </w:r>
                </w:p>
              </w:tc>
              <w:tc>
                <w:tcPr>
                  <w:tcW w:w="138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470,866</w:t>
                  </w:r>
                </w:p>
              </w:tc>
              <w:tc>
                <w:tcPr>
                  <w:tcW w:w="1287"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1,432,326</w:t>
                  </w:r>
                </w:p>
              </w:tc>
            </w:tr>
            <w:tr w:rsidR="00001A63" w:rsidRPr="00B736DE" w:rsidTr="00787016">
              <w:trPr>
                <w:trHeight w:val="261"/>
              </w:trPr>
              <w:tc>
                <w:tcPr>
                  <w:tcW w:w="3967" w:type="dxa"/>
                  <w:tcBorders>
                    <w:top w:val="nil"/>
                    <w:left w:val="nil"/>
                    <w:bottom w:val="nil"/>
                    <w:right w:val="nil"/>
                  </w:tcBorders>
                  <w:shd w:val="clear" w:color="auto" w:fill="auto"/>
                  <w:vAlign w:val="bottom"/>
                  <w:hideMark/>
                </w:tcPr>
                <w:p w:rsidR="00001A63" w:rsidRPr="00B736DE" w:rsidRDefault="00001A63" w:rsidP="00042D21">
                  <w:pPr>
                    <w:framePr w:hSpace="180" w:wrap="around" w:hAnchor="margin" w:y="420"/>
                    <w:rPr>
                      <w:b/>
                      <w:bCs/>
                    </w:rPr>
                  </w:pPr>
                  <w:r w:rsidRPr="00B736DE">
                    <w:rPr>
                      <w:b/>
                      <w:bCs/>
                    </w:rPr>
                    <w:t>Total Income</w:t>
                  </w:r>
                </w:p>
              </w:tc>
              <w:tc>
                <w:tcPr>
                  <w:tcW w:w="1488" w:type="dxa"/>
                  <w:tcBorders>
                    <w:top w:val="single" w:sz="4" w:space="0" w:color="auto"/>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1,252,688</w:t>
                  </w:r>
                </w:p>
              </w:tc>
              <w:tc>
                <w:tcPr>
                  <w:tcW w:w="1282" w:type="dxa"/>
                  <w:tcBorders>
                    <w:top w:val="single" w:sz="4" w:space="0" w:color="auto"/>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w:t>
                  </w:r>
                </w:p>
              </w:tc>
              <w:tc>
                <w:tcPr>
                  <w:tcW w:w="1701" w:type="dxa"/>
                  <w:tcBorders>
                    <w:top w:val="single" w:sz="4" w:space="0" w:color="auto"/>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7,508</w:t>
                  </w:r>
                </w:p>
              </w:tc>
              <w:tc>
                <w:tcPr>
                  <w:tcW w:w="1602" w:type="dxa"/>
                  <w:tcBorders>
                    <w:top w:val="single" w:sz="4" w:space="0" w:color="auto"/>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(2,946)</w:t>
                  </w:r>
                </w:p>
              </w:tc>
              <w:tc>
                <w:tcPr>
                  <w:tcW w:w="1702" w:type="dxa"/>
                  <w:tcBorders>
                    <w:top w:val="single" w:sz="4" w:space="0" w:color="auto"/>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(32,116)</w:t>
                  </w:r>
                </w:p>
              </w:tc>
              <w:tc>
                <w:tcPr>
                  <w:tcW w:w="1287" w:type="dxa"/>
                  <w:tcBorders>
                    <w:top w:val="single" w:sz="4" w:space="0" w:color="auto"/>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1,225,134</w:t>
                  </w:r>
                </w:p>
              </w:tc>
              <w:tc>
                <w:tcPr>
                  <w:tcW w:w="1382" w:type="dxa"/>
                  <w:tcBorders>
                    <w:top w:val="single" w:sz="4" w:space="0" w:color="auto"/>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1,063,601</w:t>
                  </w:r>
                </w:p>
              </w:tc>
              <w:tc>
                <w:tcPr>
                  <w:tcW w:w="1287" w:type="dxa"/>
                  <w:tcBorders>
                    <w:top w:val="single" w:sz="4" w:space="0" w:color="auto"/>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2,288,734</w:t>
                  </w:r>
                </w:p>
              </w:tc>
            </w:tr>
            <w:tr w:rsidR="00001A63" w:rsidRPr="00B736DE" w:rsidTr="00787016">
              <w:trPr>
                <w:trHeight w:val="261"/>
              </w:trPr>
              <w:tc>
                <w:tcPr>
                  <w:tcW w:w="3967" w:type="dxa"/>
                  <w:tcBorders>
                    <w:top w:val="nil"/>
                    <w:left w:val="nil"/>
                    <w:bottom w:val="nil"/>
                    <w:right w:val="nil"/>
                  </w:tcBorders>
                  <w:shd w:val="clear" w:color="auto" w:fill="auto"/>
                  <w:vAlign w:val="bottom"/>
                  <w:hideMark/>
                </w:tcPr>
                <w:p w:rsidR="00001A63" w:rsidRPr="00B736DE" w:rsidRDefault="00001A63" w:rsidP="00042D21">
                  <w:pPr>
                    <w:framePr w:hSpace="180" w:wrap="around" w:hAnchor="margin" w:y="420"/>
                  </w:pPr>
                </w:p>
              </w:tc>
              <w:tc>
                <w:tcPr>
                  <w:tcW w:w="1488"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pPr>
                </w:p>
              </w:tc>
              <w:tc>
                <w:tcPr>
                  <w:tcW w:w="128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pPr>
                </w:p>
              </w:tc>
              <w:tc>
                <w:tcPr>
                  <w:tcW w:w="1701"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pPr>
                </w:p>
              </w:tc>
              <w:tc>
                <w:tcPr>
                  <w:tcW w:w="160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pPr>
                </w:p>
              </w:tc>
              <w:tc>
                <w:tcPr>
                  <w:tcW w:w="170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pPr>
                </w:p>
              </w:tc>
              <w:tc>
                <w:tcPr>
                  <w:tcW w:w="1287"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pPr>
                </w:p>
              </w:tc>
              <w:tc>
                <w:tcPr>
                  <w:tcW w:w="138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pPr>
                </w:p>
              </w:tc>
              <w:tc>
                <w:tcPr>
                  <w:tcW w:w="1287"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pPr>
                </w:p>
              </w:tc>
            </w:tr>
            <w:tr w:rsidR="00001A63" w:rsidRPr="00B736DE" w:rsidTr="00787016">
              <w:trPr>
                <w:trHeight w:val="261"/>
              </w:trPr>
              <w:tc>
                <w:tcPr>
                  <w:tcW w:w="3967" w:type="dxa"/>
                  <w:tcBorders>
                    <w:top w:val="nil"/>
                    <w:left w:val="nil"/>
                    <w:bottom w:val="nil"/>
                    <w:right w:val="nil"/>
                  </w:tcBorders>
                  <w:shd w:val="clear" w:color="auto" w:fill="auto"/>
                  <w:vAlign w:val="bottom"/>
                  <w:hideMark/>
                </w:tcPr>
                <w:p w:rsidR="00001A63" w:rsidRPr="00B736DE" w:rsidRDefault="00001A63" w:rsidP="00042D21">
                  <w:pPr>
                    <w:framePr w:hSpace="180" w:wrap="around" w:hAnchor="margin" w:y="420"/>
                  </w:pPr>
                  <w:r w:rsidRPr="00B736DE">
                    <w:t>Employee Expenses</w:t>
                  </w:r>
                </w:p>
              </w:tc>
              <w:tc>
                <w:tcPr>
                  <w:tcW w:w="1488"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876,629</w:t>
                  </w:r>
                </w:p>
              </w:tc>
              <w:tc>
                <w:tcPr>
                  <w:tcW w:w="128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pPr>
                </w:p>
              </w:tc>
              <w:tc>
                <w:tcPr>
                  <w:tcW w:w="1701"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28,878</w:t>
                  </w:r>
                </w:p>
              </w:tc>
              <w:tc>
                <w:tcPr>
                  <w:tcW w:w="160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pPr>
                </w:p>
              </w:tc>
              <w:tc>
                <w:tcPr>
                  <w:tcW w:w="170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(27,478)</w:t>
                  </w:r>
                </w:p>
              </w:tc>
              <w:tc>
                <w:tcPr>
                  <w:tcW w:w="1287"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878,029</w:t>
                  </w:r>
                </w:p>
              </w:tc>
              <w:tc>
                <w:tcPr>
                  <w:tcW w:w="138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pPr>
                </w:p>
              </w:tc>
              <w:tc>
                <w:tcPr>
                  <w:tcW w:w="1287"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878,029</w:t>
                  </w:r>
                </w:p>
              </w:tc>
            </w:tr>
            <w:tr w:rsidR="00001A63" w:rsidRPr="00B736DE" w:rsidTr="00787016">
              <w:trPr>
                <w:trHeight w:val="261"/>
              </w:trPr>
              <w:tc>
                <w:tcPr>
                  <w:tcW w:w="3967" w:type="dxa"/>
                  <w:tcBorders>
                    <w:top w:val="nil"/>
                    <w:left w:val="nil"/>
                    <w:bottom w:val="nil"/>
                    <w:right w:val="nil"/>
                  </w:tcBorders>
                  <w:shd w:val="clear" w:color="auto" w:fill="auto"/>
                  <w:vAlign w:val="bottom"/>
                  <w:hideMark/>
                </w:tcPr>
                <w:p w:rsidR="00001A63" w:rsidRPr="00B736DE" w:rsidRDefault="00001A63" w:rsidP="00042D21">
                  <w:pPr>
                    <w:framePr w:hSpace="180" w:wrap="around" w:hAnchor="margin" w:y="420"/>
                  </w:pPr>
                  <w:r w:rsidRPr="00B736DE">
                    <w:t>Other operating expenses</w:t>
                  </w:r>
                </w:p>
              </w:tc>
              <w:tc>
                <w:tcPr>
                  <w:tcW w:w="1488"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970,432</w:t>
                  </w:r>
                </w:p>
              </w:tc>
              <w:tc>
                <w:tcPr>
                  <w:tcW w:w="128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w:t>
                  </w:r>
                </w:p>
              </w:tc>
              <w:tc>
                <w:tcPr>
                  <w:tcW w:w="1701"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pPr>
                </w:p>
              </w:tc>
              <w:tc>
                <w:tcPr>
                  <w:tcW w:w="160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(9,214)</w:t>
                  </w:r>
                </w:p>
              </w:tc>
              <w:tc>
                <w:tcPr>
                  <w:tcW w:w="170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(25,392)</w:t>
                  </w:r>
                </w:p>
              </w:tc>
              <w:tc>
                <w:tcPr>
                  <w:tcW w:w="1287"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935,826</w:t>
                  </w:r>
                </w:p>
              </w:tc>
              <w:tc>
                <w:tcPr>
                  <w:tcW w:w="138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4,158</w:t>
                  </w:r>
                </w:p>
              </w:tc>
              <w:tc>
                <w:tcPr>
                  <w:tcW w:w="1287"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939,984</w:t>
                  </w:r>
                </w:p>
              </w:tc>
            </w:tr>
            <w:tr w:rsidR="00001A63" w:rsidRPr="00B736DE" w:rsidTr="00787016">
              <w:trPr>
                <w:trHeight w:val="261"/>
              </w:trPr>
              <w:tc>
                <w:tcPr>
                  <w:tcW w:w="3967" w:type="dxa"/>
                  <w:tcBorders>
                    <w:top w:val="nil"/>
                    <w:left w:val="nil"/>
                    <w:bottom w:val="nil"/>
                    <w:right w:val="nil"/>
                  </w:tcBorders>
                  <w:shd w:val="clear" w:color="auto" w:fill="auto"/>
                  <w:vAlign w:val="bottom"/>
                  <w:hideMark/>
                </w:tcPr>
                <w:p w:rsidR="00001A63" w:rsidRPr="00B736DE" w:rsidRDefault="00001A63" w:rsidP="00042D21">
                  <w:pPr>
                    <w:framePr w:hSpace="180" w:wrap="around" w:hAnchor="margin" w:y="420"/>
                  </w:pPr>
                  <w:r w:rsidRPr="00B736DE">
                    <w:t>Support service recharges</w:t>
                  </w:r>
                </w:p>
              </w:tc>
              <w:tc>
                <w:tcPr>
                  <w:tcW w:w="1488"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(5,358)</w:t>
                  </w:r>
                </w:p>
              </w:tc>
              <w:tc>
                <w:tcPr>
                  <w:tcW w:w="128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pPr>
                </w:p>
              </w:tc>
              <w:tc>
                <w:tcPr>
                  <w:tcW w:w="1701"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pPr>
                </w:p>
              </w:tc>
              <w:tc>
                <w:tcPr>
                  <w:tcW w:w="160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1</w:t>
                  </w:r>
                </w:p>
              </w:tc>
              <w:tc>
                <w:tcPr>
                  <w:tcW w:w="170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24,535</w:t>
                  </w:r>
                </w:p>
              </w:tc>
              <w:tc>
                <w:tcPr>
                  <w:tcW w:w="1287"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19,178</w:t>
                  </w:r>
                </w:p>
              </w:tc>
              <w:tc>
                <w:tcPr>
                  <w:tcW w:w="138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pPr>
                </w:p>
              </w:tc>
              <w:tc>
                <w:tcPr>
                  <w:tcW w:w="1287"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19,178</w:t>
                  </w:r>
                </w:p>
              </w:tc>
            </w:tr>
            <w:tr w:rsidR="00001A63" w:rsidRPr="00B736DE" w:rsidTr="00787016">
              <w:trPr>
                <w:trHeight w:val="509"/>
              </w:trPr>
              <w:tc>
                <w:tcPr>
                  <w:tcW w:w="3967" w:type="dxa"/>
                  <w:tcBorders>
                    <w:top w:val="nil"/>
                    <w:left w:val="nil"/>
                    <w:bottom w:val="nil"/>
                    <w:right w:val="nil"/>
                  </w:tcBorders>
                  <w:shd w:val="clear" w:color="auto" w:fill="auto"/>
                  <w:vAlign w:val="bottom"/>
                  <w:hideMark/>
                </w:tcPr>
                <w:p w:rsidR="00001A63" w:rsidRPr="00B736DE" w:rsidRDefault="00001A63" w:rsidP="00042D21">
                  <w:pPr>
                    <w:framePr w:hSpace="180" w:wrap="around" w:hAnchor="margin" w:y="420"/>
                  </w:pPr>
                  <w:r w:rsidRPr="00B736DE">
                    <w:t>Depreciation, amortisation and impairment</w:t>
                  </w:r>
                </w:p>
              </w:tc>
              <w:tc>
                <w:tcPr>
                  <w:tcW w:w="1488"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pPr>
                </w:p>
              </w:tc>
              <w:tc>
                <w:tcPr>
                  <w:tcW w:w="128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pPr>
                </w:p>
              </w:tc>
              <w:tc>
                <w:tcPr>
                  <w:tcW w:w="1701"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1,346</w:t>
                  </w:r>
                </w:p>
              </w:tc>
              <w:tc>
                <w:tcPr>
                  <w:tcW w:w="160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65,451</w:t>
                  </w:r>
                </w:p>
              </w:tc>
              <w:tc>
                <w:tcPr>
                  <w:tcW w:w="170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(1,321)</w:t>
                  </w:r>
                </w:p>
              </w:tc>
              <w:tc>
                <w:tcPr>
                  <w:tcW w:w="1287"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65,476</w:t>
                  </w:r>
                </w:p>
              </w:tc>
              <w:tc>
                <w:tcPr>
                  <w:tcW w:w="138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w:t>
                  </w:r>
                </w:p>
              </w:tc>
              <w:tc>
                <w:tcPr>
                  <w:tcW w:w="1287"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65,476</w:t>
                  </w:r>
                </w:p>
              </w:tc>
            </w:tr>
            <w:tr w:rsidR="00001A63" w:rsidRPr="00B736DE" w:rsidTr="00787016">
              <w:trPr>
                <w:trHeight w:val="261"/>
              </w:trPr>
              <w:tc>
                <w:tcPr>
                  <w:tcW w:w="3967" w:type="dxa"/>
                  <w:tcBorders>
                    <w:top w:val="nil"/>
                    <w:left w:val="nil"/>
                    <w:bottom w:val="nil"/>
                    <w:right w:val="nil"/>
                  </w:tcBorders>
                  <w:shd w:val="clear" w:color="auto" w:fill="auto"/>
                  <w:vAlign w:val="bottom"/>
                  <w:hideMark/>
                </w:tcPr>
                <w:p w:rsidR="00001A63" w:rsidRPr="00B736DE" w:rsidRDefault="00001A63" w:rsidP="00042D21">
                  <w:pPr>
                    <w:framePr w:hSpace="180" w:wrap="around" w:hAnchor="margin" w:y="420"/>
                  </w:pPr>
                  <w:r w:rsidRPr="00B736DE">
                    <w:t>Interest Payments</w:t>
                  </w:r>
                </w:p>
              </w:tc>
              <w:tc>
                <w:tcPr>
                  <w:tcW w:w="1488"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t>-</w:t>
                  </w:r>
                </w:p>
              </w:tc>
              <w:tc>
                <w:tcPr>
                  <w:tcW w:w="128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t>-</w:t>
                  </w:r>
                </w:p>
              </w:tc>
              <w:tc>
                <w:tcPr>
                  <w:tcW w:w="1701"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t>-</w:t>
                  </w:r>
                </w:p>
              </w:tc>
              <w:tc>
                <w:tcPr>
                  <w:tcW w:w="160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t>-</w:t>
                  </w:r>
                </w:p>
              </w:tc>
              <w:tc>
                <w:tcPr>
                  <w:tcW w:w="170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t>-</w:t>
                  </w:r>
                </w:p>
              </w:tc>
              <w:tc>
                <w:tcPr>
                  <w:tcW w:w="1287"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w:t>
                  </w:r>
                </w:p>
              </w:tc>
              <w:tc>
                <w:tcPr>
                  <w:tcW w:w="138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72,512</w:t>
                  </w:r>
                </w:p>
              </w:tc>
              <w:tc>
                <w:tcPr>
                  <w:tcW w:w="1287"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72,512</w:t>
                  </w:r>
                </w:p>
              </w:tc>
            </w:tr>
            <w:tr w:rsidR="00001A63" w:rsidRPr="00B736DE" w:rsidTr="00787016">
              <w:trPr>
                <w:trHeight w:val="261"/>
              </w:trPr>
              <w:tc>
                <w:tcPr>
                  <w:tcW w:w="3967" w:type="dxa"/>
                  <w:tcBorders>
                    <w:top w:val="nil"/>
                    <w:left w:val="nil"/>
                    <w:bottom w:val="nil"/>
                    <w:right w:val="nil"/>
                  </w:tcBorders>
                  <w:shd w:val="clear" w:color="auto" w:fill="auto"/>
                  <w:vAlign w:val="bottom"/>
                  <w:hideMark/>
                </w:tcPr>
                <w:p w:rsidR="00001A63" w:rsidRPr="00B736DE" w:rsidRDefault="00001A63" w:rsidP="00042D21">
                  <w:pPr>
                    <w:framePr w:hSpace="180" w:wrap="around" w:hAnchor="margin" w:y="420"/>
                  </w:pPr>
                  <w:r w:rsidRPr="00B736DE">
                    <w:t>Precepts and levies</w:t>
                  </w:r>
                </w:p>
              </w:tc>
              <w:tc>
                <w:tcPr>
                  <w:tcW w:w="1488"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t>-</w:t>
                  </w:r>
                </w:p>
              </w:tc>
              <w:tc>
                <w:tcPr>
                  <w:tcW w:w="128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t>-</w:t>
                  </w:r>
                </w:p>
              </w:tc>
              <w:tc>
                <w:tcPr>
                  <w:tcW w:w="1701"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t>-</w:t>
                  </w:r>
                </w:p>
              </w:tc>
              <w:tc>
                <w:tcPr>
                  <w:tcW w:w="160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t>-</w:t>
                  </w:r>
                </w:p>
              </w:tc>
              <w:tc>
                <w:tcPr>
                  <w:tcW w:w="170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t>-</w:t>
                  </w:r>
                </w:p>
              </w:tc>
              <w:tc>
                <w:tcPr>
                  <w:tcW w:w="1287"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w:t>
                  </w:r>
                </w:p>
              </w:tc>
              <w:tc>
                <w:tcPr>
                  <w:tcW w:w="138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137,207</w:t>
                  </w:r>
                </w:p>
              </w:tc>
              <w:tc>
                <w:tcPr>
                  <w:tcW w:w="1287"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137,207</w:t>
                  </w:r>
                </w:p>
              </w:tc>
            </w:tr>
            <w:tr w:rsidR="00001A63" w:rsidRPr="00B736DE" w:rsidTr="00787016">
              <w:trPr>
                <w:trHeight w:val="261"/>
              </w:trPr>
              <w:tc>
                <w:tcPr>
                  <w:tcW w:w="3967" w:type="dxa"/>
                  <w:tcBorders>
                    <w:top w:val="nil"/>
                    <w:left w:val="nil"/>
                    <w:bottom w:val="nil"/>
                    <w:right w:val="nil"/>
                  </w:tcBorders>
                  <w:shd w:val="clear" w:color="auto" w:fill="auto"/>
                  <w:vAlign w:val="bottom"/>
                  <w:hideMark/>
                </w:tcPr>
                <w:p w:rsidR="00001A63" w:rsidRPr="00B736DE" w:rsidRDefault="00001A63" w:rsidP="00042D21">
                  <w:pPr>
                    <w:framePr w:hSpace="180" w:wrap="around" w:hAnchor="margin" w:y="420"/>
                  </w:pPr>
                  <w:r w:rsidRPr="00B736DE">
                    <w:t>Payment to Housing Capital receipts pool</w:t>
                  </w:r>
                </w:p>
              </w:tc>
              <w:tc>
                <w:tcPr>
                  <w:tcW w:w="1488"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t>-</w:t>
                  </w:r>
                </w:p>
              </w:tc>
              <w:tc>
                <w:tcPr>
                  <w:tcW w:w="128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t>-</w:t>
                  </w:r>
                </w:p>
              </w:tc>
              <w:tc>
                <w:tcPr>
                  <w:tcW w:w="1701"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t>-</w:t>
                  </w:r>
                </w:p>
              </w:tc>
              <w:tc>
                <w:tcPr>
                  <w:tcW w:w="160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t>-</w:t>
                  </w:r>
                </w:p>
              </w:tc>
              <w:tc>
                <w:tcPr>
                  <w:tcW w:w="170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t>-</w:t>
                  </w:r>
                </w:p>
              </w:tc>
              <w:tc>
                <w:tcPr>
                  <w:tcW w:w="1287"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w:t>
                  </w:r>
                </w:p>
              </w:tc>
              <w:tc>
                <w:tcPr>
                  <w:tcW w:w="138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pPr>
                </w:p>
              </w:tc>
              <w:tc>
                <w:tcPr>
                  <w:tcW w:w="1287"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w:t>
                  </w:r>
                </w:p>
              </w:tc>
            </w:tr>
            <w:tr w:rsidR="00001A63" w:rsidRPr="00B736DE" w:rsidTr="00787016">
              <w:trPr>
                <w:trHeight w:val="509"/>
              </w:trPr>
              <w:tc>
                <w:tcPr>
                  <w:tcW w:w="3967" w:type="dxa"/>
                  <w:tcBorders>
                    <w:top w:val="nil"/>
                    <w:left w:val="nil"/>
                    <w:bottom w:val="nil"/>
                    <w:right w:val="nil"/>
                  </w:tcBorders>
                  <w:shd w:val="clear" w:color="auto" w:fill="auto"/>
                  <w:vAlign w:val="bottom"/>
                  <w:hideMark/>
                </w:tcPr>
                <w:p w:rsidR="00001A63" w:rsidRPr="00B736DE" w:rsidRDefault="00001A63" w:rsidP="00042D21">
                  <w:pPr>
                    <w:framePr w:hSpace="180" w:wrap="around" w:hAnchor="margin" w:y="420"/>
                  </w:pPr>
                  <w:r w:rsidRPr="00B736DE">
                    <w:t xml:space="preserve">Gain or loss on Disposal of Fixed Assets </w:t>
                  </w:r>
                </w:p>
              </w:tc>
              <w:tc>
                <w:tcPr>
                  <w:tcW w:w="1488"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t>-</w:t>
                  </w:r>
                </w:p>
              </w:tc>
              <w:tc>
                <w:tcPr>
                  <w:tcW w:w="128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t>-</w:t>
                  </w:r>
                </w:p>
              </w:tc>
              <w:tc>
                <w:tcPr>
                  <w:tcW w:w="1701"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t>-</w:t>
                  </w:r>
                </w:p>
              </w:tc>
              <w:tc>
                <w:tcPr>
                  <w:tcW w:w="160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t>-</w:t>
                  </w:r>
                </w:p>
              </w:tc>
              <w:tc>
                <w:tcPr>
                  <w:tcW w:w="170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t>-</w:t>
                  </w:r>
                </w:p>
              </w:tc>
              <w:tc>
                <w:tcPr>
                  <w:tcW w:w="1287"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w:t>
                  </w:r>
                </w:p>
              </w:tc>
              <w:tc>
                <w:tcPr>
                  <w:tcW w:w="1382" w:type="dxa"/>
                  <w:tcBorders>
                    <w:top w:val="nil"/>
                    <w:left w:val="nil"/>
                    <w:bottom w:val="single" w:sz="4" w:space="0" w:color="auto"/>
                    <w:right w:val="nil"/>
                  </w:tcBorders>
                  <w:shd w:val="clear" w:color="auto" w:fill="auto"/>
                  <w:noWrap/>
                  <w:vAlign w:val="bottom"/>
                  <w:hideMark/>
                </w:tcPr>
                <w:p w:rsidR="00001A63" w:rsidRPr="00B736DE" w:rsidRDefault="00001A63" w:rsidP="00042D21">
                  <w:pPr>
                    <w:framePr w:hSpace="180" w:wrap="around" w:hAnchor="margin" w:y="420"/>
                    <w:jc w:val="right"/>
                  </w:pPr>
                  <w:r w:rsidRPr="00B736DE">
                    <w:t>106,074</w:t>
                  </w:r>
                </w:p>
              </w:tc>
              <w:tc>
                <w:tcPr>
                  <w:tcW w:w="1287"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jc w:val="right"/>
                  </w:pPr>
                  <w:r w:rsidRPr="00B736DE">
                    <w:t>106,074</w:t>
                  </w:r>
                </w:p>
              </w:tc>
            </w:tr>
            <w:tr w:rsidR="00001A63" w:rsidRPr="00B736DE" w:rsidTr="00787016">
              <w:trPr>
                <w:trHeight w:val="261"/>
              </w:trPr>
              <w:tc>
                <w:tcPr>
                  <w:tcW w:w="3967" w:type="dxa"/>
                  <w:tcBorders>
                    <w:top w:val="nil"/>
                    <w:left w:val="nil"/>
                    <w:bottom w:val="nil"/>
                    <w:right w:val="nil"/>
                  </w:tcBorders>
                  <w:shd w:val="clear" w:color="auto" w:fill="auto"/>
                  <w:vAlign w:val="bottom"/>
                  <w:hideMark/>
                </w:tcPr>
                <w:p w:rsidR="00001A63" w:rsidRPr="00B736DE" w:rsidRDefault="00001A63" w:rsidP="00042D21">
                  <w:pPr>
                    <w:framePr w:hSpace="180" w:wrap="around" w:hAnchor="margin" w:y="420"/>
                    <w:rPr>
                      <w:b/>
                      <w:bCs/>
                    </w:rPr>
                  </w:pPr>
                  <w:r w:rsidRPr="00B736DE">
                    <w:rPr>
                      <w:b/>
                      <w:bCs/>
                    </w:rPr>
                    <w:t>Total Expenditure</w:t>
                  </w:r>
                </w:p>
              </w:tc>
              <w:tc>
                <w:tcPr>
                  <w:tcW w:w="1488" w:type="dxa"/>
                  <w:tcBorders>
                    <w:top w:val="single" w:sz="4" w:space="0" w:color="auto"/>
                    <w:left w:val="nil"/>
                    <w:bottom w:val="single" w:sz="4" w:space="0" w:color="auto"/>
                    <w:right w:val="nil"/>
                  </w:tcBorders>
                  <w:shd w:val="clear" w:color="auto" w:fill="auto"/>
                  <w:noWrap/>
                  <w:vAlign w:val="bottom"/>
                  <w:hideMark/>
                </w:tcPr>
                <w:p w:rsidR="00001A63" w:rsidRPr="00B736DE" w:rsidRDefault="00001A63" w:rsidP="00042D21">
                  <w:pPr>
                    <w:framePr w:hSpace="180" w:wrap="around" w:hAnchor="margin" w:y="420"/>
                    <w:jc w:val="right"/>
                  </w:pPr>
                  <w:r w:rsidRPr="00B736DE">
                    <w:t>1,841,703</w:t>
                  </w:r>
                </w:p>
              </w:tc>
              <w:tc>
                <w:tcPr>
                  <w:tcW w:w="1282" w:type="dxa"/>
                  <w:tcBorders>
                    <w:top w:val="single" w:sz="4" w:space="0" w:color="auto"/>
                    <w:left w:val="nil"/>
                    <w:bottom w:val="single" w:sz="4" w:space="0" w:color="auto"/>
                    <w:right w:val="nil"/>
                  </w:tcBorders>
                  <w:shd w:val="clear" w:color="auto" w:fill="auto"/>
                  <w:noWrap/>
                  <w:vAlign w:val="bottom"/>
                  <w:hideMark/>
                </w:tcPr>
                <w:p w:rsidR="00001A63" w:rsidRPr="00B736DE" w:rsidRDefault="00001A63" w:rsidP="00042D21">
                  <w:pPr>
                    <w:framePr w:hSpace="180" w:wrap="around" w:hAnchor="margin" w:y="420"/>
                    <w:jc w:val="right"/>
                  </w:pPr>
                  <w:r w:rsidRPr="00B736DE">
                    <w:t>-</w:t>
                  </w:r>
                </w:p>
              </w:tc>
              <w:tc>
                <w:tcPr>
                  <w:tcW w:w="1701" w:type="dxa"/>
                  <w:tcBorders>
                    <w:top w:val="single" w:sz="4" w:space="0" w:color="auto"/>
                    <w:left w:val="nil"/>
                    <w:bottom w:val="single" w:sz="4" w:space="0" w:color="auto"/>
                    <w:right w:val="nil"/>
                  </w:tcBorders>
                  <w:shd w:val="clear" w:color="auto" w:fill="auto"/>
                  <w:noWrap/>
                  <w:vAlign w:val="bottom"/>
                  <w:hideMark/>
                </w:tcPr>
                <w:p w:rsidR="00001A63" w:rsidRPr="00B736DE" w:rsidRDefault="00001A63" w:rsidP="00042D21">
                  <w:pPr>
                    <w:framePr w:hSpace="180" w:wrap="around" w:hAnchor="margin" w:y="420"/>
                    <w:jc w:val="right"/>
                  </w:pPr>
                  <w:r w:rsidRPr="00B736DE">
                    <w:t>30,224</w:t>
                  </w:r>
                </w:p>
              </w:tc>
              <w:tc>
                <w:tcPr>
                  <w:tcW w:w="1602" w:type="dxa"/>
                  <w:tcBorders>
                    <w:top w:val="single" w:sz="4" w:space="0" w:color="auto"/>
                    <w:left w:val="nil"/>
                    <w:bottom w:val="single" w:sz="4" w:space="0" w:color="auto"/>
                    <w:right w:val="nil"/>
                  </w:tcBorders>
                  <w:shd w:val="clear" w:color="auto" w:fill="auto"/>
                  <w:noWrap/>
                  <w:vAlign w:val="bottom"/>
                  <w:hideMark/>
                </w:tcPr>
                <w:p w:rsidR="00001A63" w:rsidRPr="00B736DE" w:rsidRDefault="00001A63" w:rsidP="00042D21">
                  <w:pPr>
                    <w:framePr w:hSpace="180" w:wrap="around" w:hAnchor="margin" w:y="420"/>
                    <w:jc w:val="right"/>
                  </w:pPr>
                  <w:r w:rsidRPr="00B736DE">
                    <w:t>56,238</w:t>
                  </w:r>
                </w:p>
              </w:tc>
              <w:tc>
                <w:tcPr>
                  <w:tcW w:w="1702" w:type="dxa"/>
                  <w:tcBorders>
                    <w:top w:val="single" w:sz="4" w:space="0" w:color="auto"/>
                    <w:left w:val="nil"/>
                    <w:bottom w:val="single" w:sz="4" w:space="0" w:color="auto"/>
                    <w:right w:val="nil"/>
                  </w:tcBorders>
                  <w:shd w:val="clear" w:color="auto" w:fill="auto"/>
                  <w:noWrap/>
                  <w:vAlign w:val="bottom"/>
                  <w:hideMark/>
                </w:tcPr>
                <w:p w:rsidR="00001A63" w:rsidRPr="00B736DE" w:rsidRDefault="00001A63" w:rsidP="00042D21">
                  <w:pPr>
                    <w:framePr w:hSpace="180" w:wrap="around" w:hAnchor="margin" w:y="420"/>
                    <w:jc w:val="right"/>
                  </w:pPr>
                  <w:r w:rsidRPr="00B736DE">
                    <w:t>(29,656)</w:t>
                  </w:r>
                </w:p>
              </w:tc>
              <w:tc>
                <w:tcPr>
                  <w:tcW w:w="1287" w:type="dxa"/>
                  <w:tcBorders>
                    <w:top w:val="single" w:sz="4" w:space="0" w:color="auto"/>
                    <w:left w:val="nil"/>
                    <w:bottom w:val="single" w:sz="4" w:space="0" w:color="auto"/>
                    <w:right w:val="nil"/>
                  </w:tcBorders>
                  <w:shd w:val="clear" w:color="auto" w:fill="auto"/>
                  <w:noWrap/>
                  <w:vAlign w:val="bottom"/>
                  <w:hideMark/>
                </w:tcPr>
                <w:p w:rsidR="00001A63" w:rsidRPr="00B736DE" w:rsidRDefault="00001A63" w:rsidP="00042D21">
                  <w:pPr>
                    <w:framePr w:hSpace="180" w:wrap="around" w:hAnchor="margin" w:y="420"/>
                    <w:jc w:val="right"/>
                  </w:pPr>
                  <w:r w:rsidRPr="00B736DE">
                    <w:t>1,898,509</w:t>
                  </w:r>
                </w:p>
              </w:tc>
              <w:tc>
                <w:tcPr>
                  <w:tcW w:w="1382" w:type="dxa"/>
                  <w:tcBorders>
                    <w:top w:val="nil"/>
                    <w:left w:val="nil"/>
                    <w:bottom w:val="single" w:sz="4" w:space="0" w:color="auto"/>
                    <w:right w:val="nil"/>
                  </w:tcBorders>
                  <w:shd w:val="clear" w:color="auto" w:fill="auto"/>
                  <w:noWrap/>
                  <w:vAlign w:val="bottom"/>
                  <w:hideMark/>
                </w:tcPr>
                <w:p w:rsidR="00001A63" w:rsidRPr="00B736DE" w:rsidRDefault="00001A63" w:rsidP="00042D21">
                  <w:pPr>
                    <w:framePr w:hSpace="180" w:wrap="around" w:hAnchor="margin" w:y="420"/>
                    <w:jc w:val="right"/>
                  </w:pPr>
                  <w:r w:rsidRPr="00B736DE">
                    <w:t>319,950</w:t>
                  </w:r>
                </w:p>
              </w:tc>
              <w:tc>
                <w:tcPr>
                  <w:tcW w:w="1287" w:type="dxa"/>
                  <w:tcBorders>
                    <w:top w:val="single" w:sz="4" w:space="0" w:color="auto"/>
                    <w:left w:val="nil"/>
                    <w:bottom w:val="single" w:sz="4" w:space="0" w:color="auto"/>
                    <w:right w:val="nil"/>
                  </w:tcBorders>
                  <w:shd w:val="clear" w:color="auto" w:fill="auto"/>
                  <w:noWrap/>
                  <w:vAlign w:val="bottom"/>
                  <w:hideMark/>
                </w:tcPr>
                <w:p w:rsidR="00001A63" w:rsidRPr="00B736DE" w:rsidRDefault="00001A63" w:rsidP="00042D21">
                  <w:pPr>
                    <w:framePr w:hSpace="180" w:wrap="around" w:hAnchor="margin" w:y="420"/>
                    <w:jc w:val="right"/>
                  </w:pPr>
                  <w:r w:rsidRPr="00B736DE">
                    <w:t>2,218,460</w:t>
                  </w:r>
                </w:p>
              </w:tc>
            </w:tr>
            <w:tr w:rsidR="00001A63" w:rsidRPr="00B736DE" w:rsidTr="00787016">
              <w:trPr>
                <w:trHeight w:val="261"/>
              </w:trPr>
              <w:tc>
                <w:tcPr>
                  <w:tcW w:w="3967" w:type="dxa"/>
                  <w:tcBorders>
                    <w:top w:val="nil"/>
                    <w:left w:val="nil"/>
                    <w:bottom w:val="nil"/>
                    <w:right w:val="nil"/>
                  </w:tcBorders>
                  <w:shd w:val="clear" w:color="auto" w:fill="auto"/>
                  <w:vAlign w:val="bottom"/>
                  <w:hideMark/>
                </w:tcPr>
                <w:p w:rsidR="00001A63" w:rsidRPr="00B736DE" w:rsidRDefault="00001A63" w:rsidP="00042D21">
                  <w:pPr>
                    <w:framePr w:hSpace="180" w:wrap="around" w:hAnchor="margin" w:y="420"/>
                  </w:pPr>
                </w:p>
              </w:tc>
              <w:tc>
                <w:tcPr>
                  <w:tcW w:w="1488"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pPr>
                </w:p>
              </w:tc>
              <w:tc>
                <w:tcPr>
                  <w:tcW w:w="128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pPr>
                </w:p>
              </w:tc>
              <w:tc>
                <w:tcPr>
                  <w:tcW w:w="1701"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pPr>
                </w:p>
              </w:tc>
              <w:tc>
                <w:tcPr>
                  <w:tcW w:w="160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pPr>
                </w:p>
              </w:tc>
              <w:tc>
                <w:tcPr>
                  <w:tcW w:w="170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pPr>
                </w:p>
              </w:tc>
              <w:tc>
                <w:tcPr>
                  <w:tcW w:w="1287"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pPr>
                </w:p>
              </w:tc>
              <w:tc>
                <w:tcPr>
                  <w:tcW w:w="1382"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pPr>
                </w:p>
              </w:tc>
              <w:tc>
                <w:tcPr>
                  <w:tcW w:w="1287" w:type="dxa"/>
                  <w:tcBorders>
                    <w:top w:val="nil"/>
                    <w:left w:val="nil"/>
                    <w:bottom w:val="nil"/>
                    <w:right w:val="nil"/>
                  </w:tcBorders>
                  <w:shd w:val="clear" w:color="auto" w:fill="auto"/>
                  <w:noWrap/>
                  <w:vAlign w:val="bottom"/>
                  <w:hideMark/>
                </w:tcPr>
                <w:p w:rsidR="00001A63" w:rsidRPr="00B736DE" w:rsidRDefault="00001A63" w:rsidP="00042D21">
                  <w:pPr>
                    <w:framePr w:hSpace="180" w:wrap="around" w:hAnchor="margin" w:y="420"/>
                  </w:pPr>
                </w:p>
              </w:tc>
            </w:tr>
            <w:tr w:rsidR="00001A63" w:rsidRPr="00B736DE" w:rsidTr="00787016">
              <w:trPr>
                <w:trHeight w:val="534"/>
              </w:trPr>
              <w:tc>
                <w:tcPr>
                  <w:tcW w:w="3967" w:type="dxa"/>
                  <w:tcBorders>
                    <w:top w:val="nil"/>
                    <w:left w:val="nil"/>
                    <w:bottom w:val="nil"/>
                    <w:right w:val="nil"/>
                  </w:tcBorders>
                  <w:shd w:val="clear" w:color="auto" w:fill="auto"/>
                  <w:vAlign w:val="bottom"/>
                  <w:hideMark/>
                </w:tcPr>
                <w:p w:rsidR="00001A63" w:rsidRPr="00B736DE" w:rsidRDefault="00001A63" w:rsidP="00042D21">
                  <w:pPr>
                    <w:framePr w:hSpace="180" w:wrap="around" w:hAnchor="margin" w:y="420"/>
                    <w:rPr>
                      <w:b/>
                      <w:bCs/>
                    </w:rPr>
                  </w:pPr>
                  <w:r w:rsidRPr="00B736DE">
                    <w:rPr>
                      <w:b/>
                      <w:bCs/>
                    </w:rPr>
                    <w:t>Surplus or Deficit on the provision of services</w:t>
                  </w:r>
                </w:p>
              </w:tc>
              <w:tc>
                <w:tcPr>
                  <w:tcW w:w="1488" w:type="dxa"/>
                  <w:tcBorders>
                    <w:top w:val="nil"/>
                    <w:left w:val="nil"/>
                    <w:bottom w:val="double" w:sz="6" w:space="0" w:color="auto"/>
                    <w:right w:val="nil"/>
                  </w:tcBorders>
                  <w:shd w:val="clear" w:color="auto" w:fill="auto"/>
                  <w:noWrap/>
                  <w:vAlign w:val="bottom"/>
                  <w:hideMark/>
                </w:tcPr>
                <w:p w:rsidR="00001A63" w:rsidRPr="00B736DE" w:rsidRDefault="00001A63" w:rsidP="00042D21">
                  <w:pPr>
                    <w:framePr w:hSpace="180" w:wrap="around" w:hAnchor="margin" w:y="420"/>
                    <w:jc w:val="right"/>
                  </w:pPr>
                  <w:r w:rsidRPr="00B736DE">
                    <w:t>589,016</w:t>
                  </w:r>
                </w:p>
              </w:tc>
              <w:tc>
                <w:tcPr>
                  <w:tcW w:w="1282" w:type="dxa"/>
                  <w:tcBorders>
                    <w:top w:val="nil"/>
                    <w:left w:val="nil"/>
                    <w:bottom w:val="double" w:sz="6" w:space="0" w:color="auto"/>
                    <w:right w:val="nil"/>
                  </w:tcBorders>
                  <w:shd w:val="clear" w:color="auto" w:fill="auto"/>
                  <w:noWrap/>
                  <w:vAlign w:val="bottom"/>
                  <w:hideMark/>
                </w:tcPr>
                <w:p w:rsidR="00001A63" w:rsidRPr="00B736DE" w:rsidRDefault="00001A63" w:rsidP="00042D21">
                  <w:pPr>
                    <w:framePr w:hSpace="180" w:wrap="around" w:hAnchor="margin" w:y="420"/>
                    <w:jc w:val="right"/>
                  </w:pPr>
                  <w:r w:rsidRPr="00B736DE">
                    <w:t>-</w:t>
                  </w:r>
                </w:p>
              </w:tc>
              <w:tc>
                <w:tcPr>
                  <w:tcW w:w="1701" w:type="dxa"/>
                  <w:tcBorders>
                    <w:top w:val="nil"/>
                    <w:left w:val="nil"/>
                    <w:bottom w:val="double" w:sz="6" w:space="0" w:color="auto"/>
                    <w:right w:val="nil"/>
                  </w:tcBorders>
                  <w:shd w:val="clear" w:color="auto" w:fill="auto"/>
                  <w:noWrap/>
                  <w:vAlign w:val="bottom"/>
                  <w:hideMark/>
                </w:tcPr>
                <w:p w:rsidR="00001A63" w:rsidRPr="00B736DE" w:rsidRDefault="00001A63" w:rsidP="00042D21">
                  <w:pPr>
                    <w:framePr w:hSpace="180" w:wrap="around" w:hAnchor="margin" w:y="420"/>
                    <w:jc w:val="right"/>
                  </w:pPr>
                  <w:r w:rsidRPr="00B736DE">
                    <w:t>22,716</w:t>
                  </w:r>
                </w:p>
              </w:tc>
              <w:tc>
                <w:tcPr>
                  <w:tcW w:w="1602" w:type="dxa"/>
                  <w:tcBorders>
                    <w:top w:val="nil"/>
                    <w:left w:val="nil"/>
                    <w:bottom w:val="double" w:sz="6" w:space="0" w:color="auto"/>
                    <w:right w:val="nil"/>
                  </w:tcBorders>
                  <w:shd w:val="clear" w:color="auto" w:fill="auto"/>
                  <w:noWrap/>
                  <w:vAlign w:val="bottom"/>
                  <w:hideMark/>
                </w:tcPr>
                <w:p w:rsidR="00001A63" w:rsidRPr="00B736DE" w:rsidRDefault="00001A63" w:rsidP="00042D21">
                  <w:pPr>
                    <w:framePr w:hSpace="180" w:wrap="around" w:hAnchor="margin" w:y="420"/>
                    <w:jc w:val="right"/>
                  </w:pPr>
                  <w:r w:rsidRPr="00B736DE">
                    <w:t>59,184</w:t>
                  </w:r>
                </w:p>
              </w:tc>
              <w:tc>
                <w:tcPr>
                  <w:tcW w:w="1702" w:type="dxa"/>
                  <w:tcBorders>
                    <w:top w:val="nil"/>
                    <w:left w:val="nil"/>
                    <w:bottom w:val="double" w:sz="6" w:space="0" w:color="auto"/>
                    <w:right w:val="nil"/>
                  </w:tcBorders>
                  <w:shd w:val="clear" w:color="auto" w:fill="auto"/>
                  <w:noWrap/>
                  <w:vAlign w:val="bottom"/>
                  <w:hideMark/>
                </w:tcPr>
                <w:p w:rsidR="00001A63" w:rsidRPr="00B736DE" w:rsidRDefault="00001A63" w:rsidP="00042D21">
                  <w:pPr>
                    <w:framePr w:hSpace="180" w:wrap="around" w:hAnchor="margin" w:y="420"/>
                    <w:jc w:val="right"/>
                  </w:pPr>
                  <w:r w:rsidRPr="00B736DE">
                    <w:t>2,460</w:t>
                  </w:r>
                </w:p>
              </w:tc>
              <w:tc>
                <w:tcPr>
                  <w:tcW w:w="1287" w:type="dxa"/>
                  <w:tcBorders>
                    <w:top w:val="nil"/>
                    <w:left w:val="nil"/>
                    <w:bottom w:val="double" w:sz="6" w:space="0" w:color="auto"/>
                    <w:right w:val="nil"/>
                  </w:tcBorders>
                  <w:shd w:val="clear" w:color="auto" w:fill="auto"/>
                  <w:noWrap/>
                  <w:vAlign w:val="bottom"/>
                  <w:hideMark/>
                </w:tcPr>
                <w:p w:rsidR="00001A63" w:rsidRPr="00B736DE" w:rsidRDefault="00001A63" w:rsidP="00042D21">
                  <w:pPr>
                    <w:framePr w:hSpace="180" w:wrap="around" w:hAnchor="margin" w:y="420"/>
                    <w:jc w:val="right"/>
                  </w:pPr>
                  <w:r w:rsidRPr="00B736DE">
                    <w:t>673,376</w:t>
                  </w:r>
                </w:p>
              </w:tc>
              <w:tc>
                <w:tcPr>
                  <w:tcW w:w="1382" w:type="dxa"/>
                  <w:tcBorders>
                    <w:top w:val="nil"/>
                    <w:left w:val="nil"/>
                    <w:bottom w:val="double" w:sz="6" w:space="0" w:color="auto"/>
                    <w:right w:val="nil"/>
                  </w:tcBorders>
                  <w:shd w:val="clear" w:color="auto" w:fill="auto"/>
                  <w:noWrap/>
                  <w:vAlign w:val="bottom"/>
                  <w:hideMark/>
                </w:tcPr>
                <w:p w:rsidR="00001A63" w:rsidRPr="00B736DE" w:rsidRDefault="00001A63" w:rsidP="00042D21">
                  <w:pPr>
                    <w:framePr w:hSpace="180" w:wrap="around" w:hAnchor="margin" w:y="420"/>
                    <w:jc w:val="right"/>
                  </w:pPr>
                  <w:r w:rsidRPr="00B736DE">
                    <w:t>(743,651)</w:t>
                  </w:r>
                </w:p>
              </w:tc>
              <w:tc>
                <w:tcPr>
                  <w:tcW w:w="1287" w:type="dxa"/>
                  <w:tcBorders>
                    <w:top w:val="nil"/>
                    <w:left w:val="nil"/>
                    <w:bottom w:val="double" w:sz="6" w:space="0" w:color="auto"/>
                    <w:right w:val="nil"/>
                  </w:tcBorders>
                  <w:shd w:val="clear" w:color="auto" w:fill="auto"/>
                  <w:noWrap/>
                  <w:vAlign w:val="bottom"/>
                  <w:hideMark/>
                </w:tcPr>
                <w:p w:rsidR="00001A63" w:rsidRPr="00B736DE" w:rsidRDefault="00001A63" w:rsidP="00042D21">
                  <w:pPr>
                    <w:framePr w:hSpace="180" w:wrap="around" w:hAnchor="margin" w:y="420"/>
                    <w:jc w:val="right"/>
                  </w:pPr>
                  <w:r w:rsidRPr="00B736DE">
                    <w:t>(70,275)</w:t>
                  </w:r>
                </w:p>
              </w:tc>
            </w:tr>
          </w:tbl>
          <w:tbl>
            <w:tblPr>
              <w:tblpPr w:leftFromText="180" w:rightFromText="180" w:vertAnchor="text" w:horzAnchor="margin" w:tblpY="1046"/>
              <w:tblOverlap w:val="never"/>
              <w:tblW w:w="12295" w:type="dxa"/>
              <w:tblLook w:val="04A0"/>
            </w:tblPr>
            <w:tblGrid>
              <w:gridCol w:w="4468"/>
              <w:gridCol w:w="1696"/>
              <w:gridCol w:w="1456"/>
              <w:gridCol w:w="1683"/>
              <w:gridCol w:w="1617"/>
              <w:gridCol w:w="1693"/>
            </w:tblGrid>
            <w:tr w:rsidR="009E7D84" w:rsidRPr="00787016" w:rsidTr="009E7D84">
              <w:trPr>
                <w:trHeight w:val="630"/>
              </w:trPr>
              <w:tc>
                <w:tcPr>
                  <w:tcW w:w="4468" w:type="dxa"/>
                  <w:tcBorders>
                    <w:top w:val="nil"/>
                    <w:left w:val="nil"/>
                    <w:bottom w:val="nil"/>
                    <w:right w:val="nil"/>
                  </w:tcBorders>
                  <w:shd w:val="clear" w:color="auto" w:fill="auto"/>
                  <w:noWrap/>
                  <w:vAlign w:val="bottom"/>
                  <w:hideMark/>
                </w:tcPr>
                <w:p w:rsidR="009E7D84" w:rsidRPr="00787016" w:rsidRDefault="009E7D84" w:rsidP="009E7D84"/>
              </w:tc>
              <w:tc>
                <w:tcPr>
                  <w:tcW w:w="1417" w:type="dxa"/>
                  <w:tcBorders>
                    <w:top w:val="nil"/>
                    <w:left w:val="nil"/>
                    <w:bottom w:val="nil"/>
                    <w:right w:val="nil"/>
                  </w:tcBorders>
                  <w:vAlign w:val="center"/>
                </w:tcPr>
                <w:p w:rsidR="009E7D84" w:rsidRPr="00787016" w:rsidRDefault="00DC7184" w:rsidP="009E7D84">
                  <w:pPr>
                    <w:jc w:val="center"/>
                    <w:rPr>
                      <w:b/>
                      <w:bCs/>
                    </w:rPr>
                  </w:pPr>
                  <w:r>
                    <w:rPr>
                      <w:b/>
                      <w:bCs/>
                    </w:rPr>
                    <w:t>ADULT &amp; COMMUNITY SERVICES</w:t>
                  </w:r>
                </w:p>
              </w:tc>
              <w:tc>
                <w:tcPr>
                  <w:tcW w:w="1417" w:type="dxa"/>
                  <w:tcBorders>
                    <w:top w:val="nil"/>
                    <w:left w:val="nil"/>
                    <w:bottom w:val="nil"/>
                    <w:right w:val="nil"/>
                  </w:tcBorders>
                  <w:shd w:val="clear" w:color="auto" w:fill="auto"/>
                  <w:vAlign w:val="center"/>
                  <w:hideMark/>
                </w:tcPr>
                <w:p w:rsidR="009E7D84" w:rsidRPr="00787016" w:rsidRDefault="00DC7184" w:rsidP="009E7D84">
                  <w:pPr>
                    <w:jc w:val="center"/>
                    <w:rPr>
                      <w:b/>
                      <w:bCs/>
                    </w:rPr>
                  </w:pPr>
                  <w:r>
                    <w:rPr>
                      <w:b/>
                      <w:bCs/>
                    </w:rPr>
                    <w:t>CHILDREN &amp; YOUNG PEOPLE</w:t>
                  </w:r>
                </w:p>
              </w:tc>
              <w:tc>
                <w:tcPr>
                  <w:tcW w:w="1683" w:type="dxa"/>
                  <w:tcBorders>
                    <w:top w:val="nil"/>
                    <w:left w:val="nil"/>
                    <w:bottom w:val="nil"/>
                    <w:right w:val="nil"/>
                  </w:tcBorders>
                  <w:shd w:val="clear" w:color="auto" w:fill="auto"/>
                  <w:vAlign w:val="center"/>
                  <w:hideMark/>
                </w:tcPr>
                <w:p w:rsidR="009E7D84" w:rsidRPr="00787016" w:rsidRDefault="009E7D84" w:rsidP="009E7D84">
                  <w:pPr>
                    <w:jc w:val="center"/>
                    <w:rPr>
                      <w:b/>
                      <w:bCs/>
                    </w:rPr>
                  </w:pPr>
                  <w:r w:rsidRPr="00787016">
                    <w:rPr>
                      <w:b/>
                      <w:bCs/>
                    </w:rPr>
                    <w:t xml:space="preserve">Environment </w:t>
                  </w:r>
                </w:p>
              </w:tc>
              <w:tc>
                <w:tcPr>
                  <w:tcW w:w="1617" w:type="dxa"/>
                  <w:tcBorders>
                    <w:top w:val="nil"/>
                    <w:left w:val="nil"/>
                    <w:bottom w:val="nil"/>
                    <w:right w:val="nil"/>
                  </w:tcBorders>
                  <w:shd w:val="clear" w:color="auto" w:fill="auto"/>
                  <w:vAlign w:val="center"/>
                  <w:hideMark/>
                </w:tcPr>
                <w:p w:rsidR="009E7D84" w:rsidRPr="00787016" w:rsidRDefault="009E7D84" w:rsidP="009E7D84">
                  <w:pPr>
                    <w:jc w:val="center"/>
                    <w:rPr>
                      <w:b/>
                      <w:bCs/>
                    </w:rPr>
                  </w:pPr>
                  <w:r w:rsidRPr="00787016">
                    <w:rPr>
                      <w:b/>
                      <w:bCs/>
                    </w:rPr>
                    <w:t>Other Directorates</w:t>
                  </w:r>
                </w:p>
              </w:tc>
              <w:tc>
                <w:tcPr>
                  <w:tcW w:w="1693" w:type="dxa"/>
                  <w:tcBorders>
                    <w:top w:val="nil"/>
                    <w:left w:val="nil"/>
                    <w:bottom w:val="nil"/>
                    <w:right w:val="nil"/>
                  </w:tcBorders>
                  <w:shd w:val="clear" w:color="auto" w:fill="auto"/>
                  <w:vAlign w:val="bottom"/>
                  <w:hideMark/>
                </w:tcPr>
                <w:p w:rsidR="009E7D84" w:rsidRPr="000820BE" w:rsidRDefault="009E7D84" w:rsidP="009E7D84">
                  <w:pPr>
                    <w:jc w:val="center"/>
                    <w:rPr>
                      <w:b/>
                      <w:bCs/>
                      <w:color w:val="000000"/>
                    </w:rPr>
                  </w:pPr>
                  <w:r w:rsidRPr="000820BE">
                    <w:rPr>
                      <w:b/>
                      <w:bCs/>
                      <w:color w:val="000000"/>
                    </w:rPr>
                    <w:t>Total</w:t>
                  </w:r>
                </w:p>
              </w:tc>
            </w:tr>
            <w:tr w:rsidR="009E7D84" w:rsidRPr="00787016" w:rsidTr="009E7D84">
              <w:trPr>
                <w:trHeight w:val="315"/>
              </w:trPr>
              <w:tc>
                <w:tcPr>
                  <w:tcW w:w="4468" w:type="dxa"/>
                  <w:tcBorders>
                    <w:top w:val="nil"/>
                    <w:left w:val="nil"/>
                    <w:bottom w:val="nil"/>
                    <w:right w:val="nil"/>
                  </w:tcBorders>
                  <w:shd w:val="clear" w:color="auto" w:fill="auto"/>
                  <w:noWrap/>
                  <w:vAlign w:val="bottom"/>
                  <w:hideMark/>
                </w:tcPr>
                <w:p w:rsidR="009E7D84" w:rsidRPr="00787016" w:rsidRDefault="009E7D84" w:rsidP="009E7D84">
                  <w:pPr>
                    <w:rPr>
                      <w:b/>
                      <w:bCs/>
                      <w:u w:val="single"/>
                    </w:rPr>
                  </w:pPr>
                  <w:r w:rsidRPr="00787016">
                    <w:rPr>
                      <w:b/>
                      <w:bCs/>
                      <w:u w:val="single"/>
                    </w:rPr>
                    <w:t>2010/11</w:t>
                  </w:r>
                </w:p>
              </w:tc>
              <w:tc>
                <w:tcPr>
                  <w:tcW w:w="1417" w:type="dxa"/>
                  <w:tcBorders>
                    <w:top w:val="nil"/>
                    <w:left w:val="nil"/>
                    <w:bottom w:val="nil"/>
                    <w:right w:val="nil"/>
                  </w:tcBorders>
                  <w:vAlign w:val="center"/>
                </w:tcPr>
                <w:p w:rsidR="009E7D84" w:rsidRPr="00787016" w:rsidRDefault="009E7D84" w:rsidP="009E7D84">
                  <w:pPr>
                    <w:jc w:val="center"/>
                    <w:rPr>
                      <w:b/>
                      <w:bCs/>
                    </w:rPr>
                  </w:pPr>
                  <w:r w:rsidRPr="00787016">
                    <w:rPr>
                      <w:b/>
                      <w:bCs/>
                    </w:rPr>
                    <w:t>£000</w:t>
                  </w:r>
                </w:p>
              </w:tc>
              <w:tc>
                <w:tcPr>
                  <w:tcW w:w="1417" w:type="dxa"/>
                  <w:tcBorders>
                    <w:top w:val="nil"/>
                    <w:left w:val="nil"/>
                    <w:bottom w:val="nil"/>
                    <w:right w:val="nil"/>
                  </w:tcBorders>
                  <w:shd w:val="clear" w:color="auto" w:fill="auto"/>
                  <w:noWrap/>
                  <w:vAlign w:val="center"/>
                  <w:hideMark/>
                </w:tcPr>
                <w:p w:rsidR="009E7D84" w:rsidRPr="00787016" w:rsidRDefault="009E7D84" w:rsidP="009E7D84">
                  <w:pPr>
                    <w:jc w:val="center"/>
                    <w:rPr>
                      <w:b/>
                      <w:bCs/>
                    </w:rPr>
                  </w:pPr>
                  <w:r w:rsidRPr="00787016">
                    <w:rPr>
                      <w:b/>
                      <w:bCs/>
                    </w:rPr>
                    <w:t>£000</w:t>
                  </w:r>
                </w:p>
              </w:tc>
              <w:tc>
                <w:tcPr>
                  <w:tcW w:w="1683" w:type="dxa"/>
                  <w:tcBorders>
                    <w:top w:val="nil"/>
                    <w:left w:val="nil"/>
                    <w:bottom w:val="nil"/>
                    <w:right w:val="nil"/>
                  </w:tcBorders>
                  <w:shd w:val="clear" w:color="auto" w:fill="auto"/>
                  <w:noWrap/>
                  <w:vAlign w:val="center"/>
                  <w:hideMark/>
                </w:tcPr>
                <w:p w:rsidR="009E7D84" w:rsidRPr="00787016" w:rsidRDefault="009E7D84" w:rsidP="009E7D84">
                  <w:pPr>
                    <w:jc w:val="center"/>
                    <w:rPr>
                      <w:b/>
                      <w:bCs/>
                    </w:rPr>
                  </w:pPr>
                  <w:r w:rsidRPr="00787016">
                    <w:rPr>
                      <w:b/>
                      <w:bCs/>
                    </w:rPr>
                    <w:t>£000</w:t>
                  </w:r>
                </w:p>
              </w:tc>
              <w:tc>
                <w:tcPr>
                  <w:tcW w:w="1617" w:type="dxa"/>
                  <w:tcBorders>
                    <w:top w:val="nil"/>
                    <w:left w:val="nil"/>
                    <w:bottom w:val="nil"/>
                    <w:right w:val="nil"/>
                  </w:tcBorders>
                  <w:shd w:val="clear" w:color="auto" w:fill="auto"/>
                  <w:noWrap/>
                  <w:vAlign w:val="center"/>
                  <w:hideMark/>
                </w:tcPr>
                <w:p w:rsidR="009E7D84" w:rsidRPr="00787016" w:rsidRDefault="009E7D84" w:rsidP="009E7D84">
                  <w:pPr>
                    <w:jc w:val="center"/>
                    <w:rPr>
                      <w:b/>
                      <w:bCs/>
                    </w:rPr>
                  </w:pPr>
                  <w:r w:rsidRPr="00787016">
                    <w:rPr>
                      <w:b/>
                      <w:bCs/>
                    </w:rPr>
                    <w:t>£000</w:t>
                  </w:r>
                </w:p>
              </w:tc>
              <w:tc>
                <w:tcPr>
                  <w:tcW w:w="1693" w:type="dxa"/>
                  <w:tcBorders>
                    <w:top w:val="nil"/>
                    <w:left w:val="nil"/>
                    <w:bottom w:val="nil"/>
                    <w:right w:val="nil"/>
                  </w:tcBorders>
                  <w:shd w:val="clear" w:color="auto" w:fill="auto"/>
                  <w:noWrap/>
                  <w:vAlign w:val="bottom"/>
                  <w:hideMark/>
                </w:tcPr>
                <w:p w:rsidR="009E7D84" w:rsidRPr="000820BE" w:rsidRDefault="009E7D84" w:rsidP="009E7D84">
                  <w:pPr>
                    <w:jc w:val="center"/>
                    <w:rPr>
                      <w:b/>
                      <w:bCs/>
                      <w:color w:val="000000"/>
                    </w:rPr>
                  </w:pPr>
                  <w:r w:rsidRPr="000820BE">
                    <w:rPr>
                      <w:b/>
                      <w:bCs/>
                      <w:color w:val="000000"/>
                    </w:rPr>
                    <w:t>£000</w:t>
                  </w:r>
                </w:p>
              </w:tc>
            </w:tr>
            <w:tr w:rsidR="009E7D84" w:rsidRPr="00787016" w:rsidTr="009E7D84">
              <w:trPr>
                <w:trHeight w:val="315"/>
              </w:trPr>
              <w:tc>
                <w:tcPr>
                  <w:tcW w:w="4468" w:type="dxa"/>
                  <w:tcBorders>
                    <w:top w:val="nil"/>
                    <w:left w:val="nil"/>
                    <w:bottom w:val="nil"/>
                    <w:right w:val="nil"/>
                  </w:tcBorders>
                  <w:shd w:val="clear" w:color="auto" w:fill="auto"/>
                  <w:noWrap/>
                  <w:vAlign w:val="bottom"/>
                  <w:hideMark/>
                </w:tcPr>
                <w:p w:rsidR="009E7D84" w:rsidRPr="00787016" w:rsidRDefault="009E7D84" w:rsidP="009E7D84"/>
              </w:tc>
              <w:tc>
                <w:tcPr>
                  <w:tcW w:w="1417" w:type="dxa"/>
                  <w:tcBorders>
                    <w:top w:val="nil"/>
                    <w:left w:val="nil"/>
                    <w:bottom w:val="nil"/>
                    <w:right w:val="nil"/>
                  </w:tcBorders>
                  <w:vAlign w:val="bottom"/>
                </w:tcPr>
                <w:p w:rsidR="009E7D84" w:rsidRPr="00787016" w:rsidRDefault="009E7D84" w:rsidP="009E7D84"/>
              </w:tc>
              <w:tc>
                <w:tcPr>
                  <w:tcW w:w="1417" w:type="dxa"/>
                  <w:tcBorders>
                    <w:top w:val="nil"/>
                    <w:left w:val="nil"/>
                    <w:bottom w:val="nil"/>
                    <w:right w:val="nil"/>
                  </w:tcBorders>
                  <w:shd w:val="clear" w:color="auto" w:fill="auto"/>
                  <w:noWrap/>
                  <w:vAlign w:val="bottom"/>
                  <w:hideMark/>
                </w:tcPr>
                <w:p w:rsidR="009E7D84" w:rsidRPr="00787016" w:rsidRDefault="009E7D84" w:rsidP="009E7D84"/>
              </w:tc>
              <w:tc>
                <w:tcPr>
                  <w:tcW w:w="1683" w:type="dxa"/>
                  <w:tcBorders>
                    <w:top w:val="nil"/>
                    <w:left w:val="nil"/>
                    <w:bottom w:val="nil"/>
                    <w:right w:val="nil"/>
                  </w:tcBorders>
                  <w:shd w:val="clear" w:color="auto" w:fill="auto"/>
                  <w:noWrap/>
                  <w:vAlign w:val="bottom"/>
                  <w:hideMark/>
                </w:tcPr>
                <w:p w:rsidR="009E7D84" w:rsidRPr="00787016" w:rsidRDefault="009E7D84" w:rsidP="009E7D84"/>
              </w:tc>
              <w:tc>
                <w:tcPr>
                  <w:tcW w:w="1617" w:type="dxa"/>
                  <w:tcBorders>
                    <w:top w:val="nil"/>
                    <w:left w:val="nil"/>
                    <w:bottom w:val="nil"/>
                    <w:right w:val="nil"/>
                  </w:tcBorders>
                  <w:shd w:val="clear" w:color="auto" w:fill="auto"/>
                  <w:noWrap/>
                  <w:vAlign w:val="bottom"/>
                  <w:hideMark/>
                </w:tcPr>
                <w:p w:rsidR="009E7D84" w:rsidRPr="00787016" w:rsidRDefault="009E7D84" w:rsidP="009E7D84"/>
              </w:tc>
              <w:tc>
                <w:tcPr>
                  <w:tcW w:w="1693" w:type="dxa"/>
                  <w:tcBorders>
                    <w:top w:val="nil"/>
                    <w:left w:val="nil"/>
                    <w:bottom w:val="nil"/>
                    <w:right w:val="nil"/>
                  </w:tcBorders>
                  <w:shd w:val="clear" w:color="auto" w:fill="auto"/>
                  <w:noWrap/>
                  <w:vAlign w:val="bottom"/>
                  <w:hideMark/>
                </w:tcPr>
                <w:p w:rsidR="009E7D84" w:rsidRPr="000820BE" w:rsidRDefault="009E7D84" w:rsidP="009E7D84">
                  <w:pPr>
                    <w:rPr>
                      <w:color w:val="000000"/>
                    </w:rPr>
                  </w:pPr>
                </w:p>
              </w:tc>
            </w:tr>
            <w:tr w:rsidR="009E7D84" w:rsidRPr="00787016" w:rsidTr="009E7D84">
              <w:trPr>
                <w:trHeight w:val="315"/>
              </w:trPr>
              <w:tc>
                <w:tcPr>
                  <w:tcW w:w="4468" w:type="dxa"/>
                  <w:tcBorders>
                    <w:top w:val="nil"/>
                    <w:left w:val="nil"/>
                    <w:bottom w:val="nil"/>
                    <w:right w:val="nil"/>
                  </w:tcBorders>
                  <w:shd w:val="clear" w:color="auto" w:fill="auto"/>
                  <w:noWrap/>
                  <w:vAlign w:val="bottom"/>
                  <w:hideMark/>
                </w:tcPr>
                <w:p w:rsidR="009E7D84" w:rsidRPr="00787016" w:rsidRDefault="009E7D84" w:rsidP="009E7D84">
                  <w:r w:rsidRPr="00787016">
                    <w:t>Fees, charges &amp; other service income</w:t>
                  </w:r>
                </w:p>
              </w:tc>
              <w:tc>
                <w:tcPr>
                  <w:tcW w:w="1417" w:type="dxa"/>
                  <w:tcBorders>
                    <w:top w:val="nil"/>
                    <w:left w:val="nil"/>
                    <w:bottom w:val="nil"/>
                    <w:right w:val="nil"/>
                  </w:tcBorders>
                  <w:vAlign w:val="bottom"/>
                </w:tcPr>
                <w:p w:rsidR="009E7D84" w:rsidRPr="00787016" w:rsidRDefault="009E7D84" w:rsidP="009E7D84">
                  <w:pPr>
                    <w:jc w:val="right"/>
                  </w:pPr>
                  <w:r w:rsidRPr="00787016">
                    <w:t>75,928</w:t>
                  </w:r>
                </w:p>
              </w:tc>
              <w:tc>
                <w:tcPr>
                  <w:tcW w:w="1417" w:type="dxa"/>
                  <w:tcBorders>
                    <w:top w:val="nil"/>
                    <w:left w:val="nil"/>
                    <w:bottom w:val="nil"/>
                    <w:right w:val="nil"/>
                  </w:tcBorders>
                  <w:shd w:val="clear" w:color="auto" w:fill="auto"/>
                  <w:noWrap/>
                  <w:vAlign w:val="bottom"/>
                  <w:hideMark/>
                </w:tcPr>
                <w:p w:rsidR="009E7D84" w:rsidRPr="00787016" w:rsidRDefault="009E7D84" w:rsidP="009E7D84">
                  <w:pPr>
                    <w:jc w:val="right"/>
                  </w:pPr>
                  <w:r w:rsidRPr="00787016">
                    <w:t>77,862</w:t>
                  </w:r>
                </w:p>
              </w:tc>
              <w:tc>
                <w:tcPr>
                  <w:tcW w:w="1683" w:type="dxa"/>
                  <w:tcBorders>
                    <w:top w:val="nil"/>
                    <w:left w:val="nil"/>
                    <w:bottom w:val="nil"/>
                    <w:right w:val="nil"/>
                  </w:tcBorders>
                  <w:shd w:val="clear" w:color="auto" w:fill="auto"/>
                  <w:noWrap/>
                  <w:vAlign w:val="bottom"/>
                  <w:hideMark/>
                </w:tcPr>
                <w:p w:rsidR="009E7D84" w:rsidRPr="00787016" w:rsidRDefault="009E7D84" w:rsidP="009E7D84">
                  <w:pPr>
                    <w:jc w:val="right"/>
                  </w:pPr>
                  <w:r w:rsidRPr="00787016">
                    <w:t>34</w:t>
                  </w:r>
                  <w:r>
                    <w:t>,</w:t>
                  </w:r>
                  <w:r w:rsidRPr="00787016">
                    <w:t>514</w:t>
                  </w:r>
                </w:p>
              </w:tc>
              <w:tc>
                <w:tcPr>
                  <w:tcW w:w="1617" w:type="dxa"/>
                  <w:tcBorders>
                    <w:top w:val="nil"/>
                    <w:left w:val="nil"/>
                    <w:bottom w:val="nil"/>
                    <w:right w:val="nil"/>
                  </w:tcBorders>
                  <w:shd w:val="clear" w:color="auto" w:fill="auto"/>
                  <w:noWrap/>
                  <w:vAlign w:val="bottom"/>
                  <w:hideMark/>
                </w:tcPr>
                <w:p w:rsidR="009E7D84" w:rsidRPr="00787016" w:rsidRDefault="009E7D84" w:rsidP="009E7D84">
                  <w:pPr>
                    <w:jc w:val="right"/>
                  </w:pPr>
                  <w:r w:rsidRPr="00787016">
                    <w:t>47,385</w:t>
                  </w:r>
                </w:p>
              </w:tc>
              <w:tc>
                <w:tcPr>
                  <w:tcW w:w="1693" w:type="dxa"/>
                  <w:tcBorders>
                    <w:top w:val="nil"/>
                    <w:left w:val="nil"/>
                    <w:bottom w:val="nil"/>
                    <w:right w:val="nil"/>
                  </w:tcBorders>
                  <w:shd w:val="clear" w:color="auto" w:fill="auto"/>
                  <w:noWrap/>
                  <w:vAlign w:val="bottom"/>
                  <w:hideMark/>
                </w:tcPr>
                <w:p w:rsidR="009E7D84" w:rsidRPr="000820BE" w:rsidRDefault="009E7D84" w:rsidP="009E7D84">
                  <w:pPr>
                    <w:jc w:val="right"/>
                    <w:rPr>
                      <w:b/>
                      <w:bCs/>
                      <w:color w:val="000000"/>
                    </w:rPr>
                  </w:pPr>
                  <w:r w:rsidRPr="000820BE">
                    <w:rPr>
                      <w:b/>
                      <w:bCs/>
                      <w:color w:val="000000"/>
                    </w:rPr>
                    <w:t>235,689</w:t>
                  </w:r>
                </w:p>
              </w:tc>
            </w:tr>
            <w:tr w:rsidR="009E7D84" w:rsidRPr="00787016" w:rsidTr="009E7D84">
              <w:trPr>
                <w:trHeight w:val="315"/>
              </w:trPr>
              <w:tc>
                <w:tcPr>
                  <w:tcW w:w="4468" w:type="dxa"/>
                  <w:tcBorders>
                    <w:top w:val="nil"/>
                    <w:left w:val="nil"/>
                    <w:bottom w:val="nil"/>
                    <w:right w:val="nil"/>
                  </w:tcBorders>
                  <w:shd w:val="clear" w:color="auto" w:fill="auto"/>
                  <w:noWrap/>
                  <w:vAlign w:val="bottom"/>
                  <w:hideMark/>
                </w:tcPr>
                <w:p w:rsidR="009E7D84" w:rsidRPr="00787016" w:rsidRDefault="009E7D84" w:rsidP="009E7D84">
                  <w:r w:rsidRPr="00787016">
                    <w:t>Government grants</w:t>
                  </w:r>
                </w:p>
              </w:tc>
              <w:tc>
                <w:tcPr>
                  <w:tcW w:w="1417" w:type="dxa"/>
                  <w:tcBorders>
                    <w:top w:val="nil"/>
                    <w:left w:val="nil"/>
                    <w:bottom w:val="nil"/>
                    <w:right w:val="nil"/>
                  </w:tcBorders>
                  <w:vAlign w:val="bottom"/>
                </w:tcPr>
                <w:p w:rsidR="009E7D84" w:rsidRPr="00787016" w:rsidRDefault="009E7D84" w:rsidP="009E7D84">
                  <w:pPr>
                    <w:jc w:val="right"/>
                  </w:pPr>
                  <w:r w:rsidRPr="00787016">
                    <w:t>67,027</w:t>
                  </w:r>
                </w:p>
              </w:tc>
              <w:tc>
                <w:tcPr>
                  <w:tcW w:w="1417" w:type="dxa"/>
                  <w:tcBorders>
                    <w:top w:val="nil"/>
                    <w:left w:val="nil"/>
                    <w:bottom w:val="nil"/>
                    <w:right w:val="nil"/>
                  </w:tcBorders>
                  <w:shd w:val="clear" w:color="auto" w:fill="auto"/>
                  <w:noWrap/>
                  <w:vAlign w:val="bottom"/>
                  <w:hideMark/>
                </w:tcPr>
                <w:p w:rsidR="009E7D84" w:rsidRPr="00787016" w:rsidRDefault="009E7D84" w:rsidP="009E7D84">
                  <w:pPr>
                    <w:jc w:val="right"/>
                  </w:pPr>
                  <w:r w:rsidRPr="00787016">
                    <w:t>934,825</w:t>
                  </w:r>
                </w:p>
              </w:tc>
              <w:tc>
                <w:tcPr>
                  <w:tcW w:w="1683" w:type="dxa"/>
                  <w:tcBorders>
                    <w:top w:val="nil"/>
                    <w:left w:val="nil"/>
                    <w:bottom w:val="nil"/>
                    <w:right w:val="nil"/>
                  </w:tcBorders>
                  <w:shd w:val="clear" w:color="auto" w:fill="auto"/>
                  <w:noWrap/>
                  <w:vAlign w:val="bottom"/>
                  <w:hideMark/>
                </w:tcPr>
                <w:p w:rsidR="009E7D84" w:rsidRPr="00787016" w:rsidRDefault="009E7D84" w:rsidP="009E7D84">
                  <w:pPr>
                    <w:jc w:val="right"/>
                  </w:pPr>
                  <w:r w:rsidRPr="00787016">
                    <w:t>7</w:t>
                  </w:r>
                  <w:r>
                    <w:t>,</w:t>
                  </w:r>
                  <w:r w:rsidRPr="00787016">
                    <w:t>290</w:t>
                  </w:r>
                </w:p>
              </w:tc>
              <w:tc>
                <w:tcPr>
                  <w:tcW w:w="1617" w:type="dxa"/>
                  <w:tcBorders>
                    <w:top w:val="nil"/>
                    <w:left w:val="nil"/>
                    <w:bottom w:val="nil"/>
                    <w:right w:val="nil"/>
                  </w:tcBorders>
                  <w:shd w:val="clear" w:color="auto" w:fill="auto"/>
                  <w:noWrap/>
                  <w:vAlign w:val="bottom"/>
                  <w:hideMark/>
                </w:tcPr>
                <w:p w:rsidR="009E7D84" w:rsidRPr="00787016" w:rsidRDefault="009E7D84" w:rsidP="009E7D84">
                  <w:pPr>
                    <w:jc w:val="right"/>
                  </w:pPr>
                  <w:r w:rsidRPr="00787016">
                    <w:t>4,646</w:t>
                  </w:r>
                </w:p>
              </w:tc>
              <w:tc>
                <w:tcPr>
                  <w:tcW w:w="1693" w:type="dxa"/>
                  <w:tcBorders>
                    <w:top w:val="nil"/>
                    <w:left w:val="nil"/>
                    <w:bottom w:val="nil"/>
                    <w:right w:val="nil"/>
                  </w:tcBorders>
                  <w:shd w:val="clear" w:color="auto" w:fill="auto"/>
                  <w:noWrap/>
                  <w:vAlign w:val="bottom"/>
                  <w:hideMark/>
                </w:tcPr>
                <w:p w:rsidR="009E7D84" w:rsidRPr="000820BE" w:rsidRDefault="009E7D84" w:rsidP="009E7D84">
                  <w:pPr>
                    <w:jc w:val="right"/>
                    <w:rPr>
                      <w:b/>
                      <w:bCs/>
                      <w:color w:val="000000"/>
                    </w:rPr>
                  </w:pPr>
                  <w:r w:rsidRPr="000820BE">
                    <w:rPr>
                      <w:b/>
                      <w:bCs/>
                      <w:color w:val="000000"/>
                    </w:rPr>
                    <w:t>1,013,788</w:t>
                  </w:r>
                </w:p>
              </w:tc>
            </w:tr>
            <w:tr w:rsidR="009E7D84" w:rsidRPr="00787016" w:rsidTr="009E7D84">
              <w:trPr>
                <w:trHeight w:val="315"/>
              </w:trPr>
              <w:tc>
                <w:tcPr>
                  <w:tcW w:w="4468" w:type="dxa"/>
                  <w:tcBorders>
                    <w:top w:val="nil"/>
                    <w:left w:val="nil"/>
                    <w:bottom w:val="nil"/>
                    <w:right w:val="nil"/>
                  </w:tcBorders>
                  <w:shd w:val="clear" w:color="auto" w:fill="auto"/>
                  <w:noWrap/>
                  <w:vAlign w:val="bottom"/>
                  <w:hideMark/>
                </w:tcPr>
                <w:p w:rsidR="009E7D84" w:rsidRPr="00787016" w:rsidRDefault="009E7D84" w:rsidP="009E7D84">
                  <w:pPr>
                    <w:rPr>
                      <w:b/>
                      <w:bCs/>
                    </w:rPr>
                  </w:pPr>
                  <w:r w:rsidRPr="00787016">
                    <w:rPr>
                      <w:b/>
                      <w:bCs/>
                    </w:rPr>
                    <w:t>Total Income</w:t>
                  </w:r>
                </w:p>
              </w:tc>
              <w:tc>
                <w:tcPr>
                  <w:tcW w:w="1417" w:type="dxa"/>
                  <w:tcBorders>
                    <w:top w:val="single" w:sz="4" w:space="0" w:color="auto"/>
                    <w:left w:val="nil"/>
                    <w:bottom w:val="nil"/>
                    <w:right w:val="nil"/>
                  </w:tcBorders>
                  <w:vAlign w:val="bottom"/>
                </w:tcPr>
                <w:p w:rsidR="009E7D84" w:rsidRPr="00787016" w:rsidRDefault="009E7D84" w:rsidP="009E7D84">
                  <w:pPr>
                    <w:jc w:val="right"/>
                  </w:pPr>
                  <w:r w:rsidRPr="00787016">
                    <w:t>142,955</w:t>
                  </w:r>
                </w:p>
              </w:tc>
              <w:tc>
                <w:tcPr>
                  <w:tcW w:w="1417" w:type="dxa"/>
                  <w:tcBorders>
                    <w:top w:val="single" w:sz="4" w:space="0" w:color="auto"/>
                    <w:left w:val="nil"/>
                    <w:bottom w:val="nil"/>
                    <w:right w:val="nil"/>
                  </w:tcBorders>
                  <w:shd w:val="clear" w:color="auto" w:fill="auto"/>
                  <w:noWrap/>
                  <w:vAlign w:val="bottom"/>
                  <w:hideMark/>
                </w:tcPr>
                <w:p w:rsidR="009E7D84" w:rsidRPr="00787016" w:rsidRDefault="009E7D84" w:rsidP="009E7D84">
                  <w:pPr>
                    <w:jc w:val="right"/>
                  </w:pPr>
                  <w:r w:rsidRPr="00787016">
                    <w:t>1,012,687</w:t>
                  </w:r>
                </w:p>
              </w:tc>
              <w:tc>
                <w:tcPr>
                  <w:tcW w:w="1683" w:type="dxa"/>
                  <w:tcBorders>
                    <w:top w:val="single" w:sz="4" w:space="0" w:color="auto"/>
                    <w:left w:val="nil"/>
                    <w:bottom w:val="nil"/>
                    <w:right w:val="nil"/>
                  </w:tcBorders>
                  <w:shd w:val="clear" w:color="auto" w:fill="auto"/>
                  <w:noWrap/>
                  <w:vAlign w:val="bottom"/>
                  <w:hideMark/>
                </w:tcPr>
                <w:p w:rsidR="009E7D84" w:rsidRPr="00787016" w:rsidRDefault="009E7D84" w:rsidP="009E7D84">
                  <w:pPr>
                    <w:jc w:val="right"/>
                  </w:pPr>
                  <w:r w:rsidRPr="00787016">
                    <w:t>41,804</w:t>
                  </w:r>
                </w:p>
              </w:tc>
              <w:tc>
                <w:tcPr>
                  <w:tcW w:w="1617" w:type="dxa"/>
                  <w:tcBorders>
                    <w:top w:val="single" w:sz="4" w:space="0" w:color="auto"/>
                    <w:left w:val="nil"/>
                    <w:bottom w:val="nil"/>
                    <w:right w:val="nil"/>
                  </w:tcBorders>
                  <w:shd w:val="clear" w:color="auto" w:fill="auto"/>
                  <w:noWrap/>
                  <w:vAlign w:val="bottom"/>
                  <w:hideMark/>
                </w:tcPr>
                <w:p w:rsidR="009E7D84" w:rsidRPr="00787016" w:rsidRDefault="009E7D84" w:rsidP="009E7D84">
                  <w:pPr>
                    <w:jc w:val="right"/>
                  </w:pPr>
                  <w:r w:rsidRPr="00787016">
                    <w:t>52,031</w:t>
                  </w:r>
                </w:p>
              </w:tc>
              <w:tc>
                <w:tcPr>
                  <w:tcW w:w="1693" w:type="dxa"/>
                  <w:tcBorders>
                    <w:top w:val="single" w:sz="4" w:space="0" w:color="auto"/>
                    <w:left w:val="nil"/>
                    <w:bottom w:val="nil"/>
                    <w:right w:val="nil"/>
                  </w:tcBorders>
                  <w:shd w:val="clear" w:color="auto" w:fill="auto"/>
                  <w:noWrap/>
                  <w:vAlign w:val="bottom"/>
                  <w:hideMark/>
                </w:tcPr>
                <w:p w:rsidR="009E7D84" w:rsidRPr="000820BE" w:rsidRDefault="009E7D84" w:rsidP="009E7D84">
                  <w:pPr>
                    <w:jc w:val="right"/>
                    <w:rPr>
                      <w:b/>
                      <w:bCs/>
                      <w:color w:val="000000"/>
                    </w:rPr>
                  </w:pPr>
                  <w:r w:rsidRPr="000820BE">
                    <w:rPr>
                      <w:b/>
                      <w:bCs/>
                      <w:color w:val="000000"/>
                    </w:rPr>
                    <w:t>1,249,477</w:t>
                  </w:r>
                </w:p>
              </w:tc>
            </w:tr>
            <w:tr w:rsidR="009E7D84" w:rsidRPr="00787016" w:rsidTr="009E7D84">
              <w:trPr>
                <w:trHeight w:val="315"/>
              </w:trPr>
              <w:tc>
                <w:tcPr>
                  <w:tcW w:w="4468" w:type="dxa"/>
                  <w:tcBorders>
                    <w:top w:val="nil"/>
                    <w:left w:val="nil"/>
                    <w:bottom w:val="nil"/>
                    <w:right w:val="nil"/>
                  </w:tcBorders>
                  <w:shd w:val="clear" w:color="auto" w:fill="auto"/>
                  <w:noWrap/>
                  <w:vAlign w:val="bottom"/>
                  <w:hideMark/>
                </w:tcPr>
                <w:p w:rsidR="009E7D84" w:rsidRPr="00787016" w:rsidRDefault="009E7D84" w:rsidP="009E7D84">
                  <w:pPr>
                    <w:rPr>
                      <w:b/>
                      <w:bCs/>
                    </w:rPr>
                  </w:pPr>
                </w:p>
              </w:tc>
              <w:tc>
                <w:tcPr>
                  <w:tcW w:w="1417" w:type="dxa"/>
                  <w:tcBorders>
                    <w:top w:val="nil"/>
                    <w:left w:val="nil"/>
                    <w:bottom w:val="nil"/>
                    <w:right w:val="nil"/>
                  </w:tcBorders>
                  <w:vAlign w:val="bottom"/>
                </w:tcPr>
                <w:p w:rsidR="009E7D84" w:rsidRPr="00787016" w:rsidRDefault="009E7D84" w:rsidP="009E7D84"/>
              </w:tc>
              <w:tc>
                <w:tcPr>
                  <w:tcW w:w="1417" w:type="dxa"/>
                  <w:tcBorders>
                    <w:top w:val="nil"/>
                    <w:left w:val="nil"/>
                    <w:bottom w:val="nil"/>
                    <w:right w:val="nil"/>
                  </w:tcBorders>
                  <w:shd w:val="clear" w:color="auto" w:fill="auto"/>
                  <w:noWrap/>
                  <w:vAlign w:val="bottom"/>
                  <w:hideMark/>
                </w:tcPr>
                <w:p w:rsidR="009E7D84" w:rsidRPr="00787016" w:rsidRDefault="009E7D84" w:rsidP="009E7D84"/>
              </w:tc>
              <w:tc>
                <w:tcPr>
                  <w:tcW w:w="1683" w:type="dxa"/>
                  <w:tcBorders>
                    <w:top w:val="nil"/>
                    <w:left w:val="nil"/>
                    <w:bottom w:val="nil"/>
                    <w:right w:val="nil"/>
                  </w:tcBorders>
                  <w:shd w:val="clear" w:color="auto" w:fill="auto"/>
                  <w:noWrap/>
                  <w:vAlign w:val="bottom"/>
                  <w:hideMark/>
                </w:tcPr>
                <w:p w:rsidR="009E7D84" w:rsidRPr="00787016" w:rsidRDefault="009E7D84" w:rsidP="009E7D84"/>
              </w:tc>
              <w:tc>
                <w:tcPr>
                  <w:tcW w:w="1617" w:type="dxa"/>
                  <w:tcBorders>
                    <w:top w:val="nil"/>
                    <w:left w:val="nil"/>
                    <w:bottom w:val="nil"/>
                    <w:right w:val="nil"/>
                  </w:tcBorders>
                  <w:shd w:val="clear" w:color="auto" w:fill="auto"/>
                  <w:noWrap/>
                  <w:vAlign w:val="bottom"/>
                  <w:hideMark/>
                </w:tcPr>
                <w:p w:rsidR="009E7D84" w:rsidRPr="00787016" w:rsidRDefault="009E7D84" w:rsidP="009E7D84"/>
              </w:tc>
              <w:tc>
                <w:tcPr>
                  <w:tcW w:w="1693" w:type="dxa"/>
                  <w:tcBorders>
                    <w:top w:val="nil"/>
                    <w:left w:val="nil"/>
                    <w:bottom w:val="nil"/>
                    <w:right w:val="nil"/>
                  </w:tcBorders>
                  <w:shd w:val="clear" w:color="auto" w:fill="auto"/>
                  <w:noWrap/>
                  <w:vAlign w:val="bottom"/>
                  <w:hideMark/>
                </w:tcPr>
                <w:p w:rsidR="009E7D84" w:rsidRPr="000820BE" w:rsidRDefault="009E7D84" w:rsidP="009E7D84">
                  <w:pPr>
                    <w:rPr>
                      <w:b/>
                      <w:bCs/>
                      <w:color w:val="000000"/>
                    </w:rPr>
                  </w:pPr>
                </w:p>
              </w:tc>
            </w:tr>
            <w:tr w:rsidR="009E7D84" w:rsidRPr="00787016" w:rsidTr="009E7D84">
              <w:trPr>
                <w:trHeight w:val="315"/>
              </w:trPr>
              <w:tc>
                <w:tcPr>
                  <w:tcW w:w="4468" w:type="dxa"/>
                  <w:tcBorders>
                    <w:top w:val="nil"/>
                    <w:left w:val="nil"/>
                    <w:bottom w:val="nil"/>
                    <w:right w:val="nil"/>
                  </w:tcBorders>
                  <w:shd w:val="clear" w:color="auto" w:fill="auto"/>
                  <w:noWrap/>
                  <w:vAlign w:val="bottom"/>
                  <w:hideMark/>
                </w:tcPr>
                <w:p w:rsidR="009E7D84" w:rsidRPr="00787016" w:rsidRDefault="009E7D84" w:rsidP="009E7D84">
                  <w:r w:rsidRPr="00787016">
                    <w:t>Employee expenses</w:t>
                  </w:r>
                </w:p>
              </w:tc>
              <w:tc>
                <w:tcPr>
                  <w:tcW w:w="1417" w:type="dxa"/>
                  <w:tcBorders>
                    <w:top w:val="nil"/>
                    <w:left w:val="nil"/>
                    <w:bottom w:val="nil"/>
                    <w:right w:val="nil"/>
                  </w:tcBorders>
                  <w:vAlign w:val="bottom"/>
                </w:tcPr>
                <w:p w:rsidR="009E7D84" w:rsidRPr="00787016" w:rsidRDefault="009E7D84" w:rsidP="009E7D84">
                  <w:pPr>
                    <w:jc w:val="right"/>
                  </w:pPr>
                  <w:r w:rsidRPr="00787016">
                    <w:t>113,658</w:t>
                  </w:r>
                </w:p>
              </w:tc>
              <w:tc>
                <w:tcPr>
                  <w:tcW w:w="1417" w:type="dxa"/>
                  <w:tcBorders>
                    <w:top w:val="nil"/>
                    <w:left w:val="nil"/>
                    <w:bottom w:val="nil"/>
                    <w:right w:val="nil"/>
                  </w:tcBorders>
                  <w:shd w:val="clear" w:color="auto" w:fill="auto"/>
                  <w:noWrap/>
                  <w:vAlign w:val="bottom"/>
                  <w:hideMark/>
                </w:tcPr>
                <w:p w:rsidR="009E7D84" w:rsidRPr="00787016" w:rsidRDefault="009E7D84" w:rsidP="009E7D84">
                  <w:pPr>
                    <w:jc w:val="right"/>
                  </w:pPr>
                  <w:r w:rsidRPr="00787016">
                    <w:t>755,823</w:t>
                  </w:r>
                </w:p>
              </w:tc>
              <w:tc>
                <w:tcPr>
                  <w:tcW w:w="1683" w:type="dxa"/>
                  <w:tcBorders>
                    <w:top w:val="nil"/>
                    <w:left w:val="nil"/>
                    <w:bottom w:val="nil"/>
                    <w:right w:val="nil"/>
                  </w:tcBorders>
                  <w:shd w:val="clear" w:color="auto" w:fill="auto"/>
                  <w:noWrap/>
                  <w:vAlign w:val="bottom"/>
                  <w:hideMark/>
                </w:tcPr>
                <w:p w:rsidR="009E7D84" w:rsidRPr="00787016" w:rsidRDefault="009E7D84" w:rsidP="009E7D84">
                  <w:pPr>
                    <w:jc w:val="right"/>
                  </w:pPr>
                  <w:r w:rsidRPr="00787016">
                    <w:t>32</w:t>
                  </w:r>
                  <w:r>
                    <w:t>,</w:t>
                  </w:r>
                  <w:r w:rsidRPr="00787016">
                    <w:t>883</w:t>
                  </w:r>
                </w:p>
              </w:tc>
              <w:tc>
                <w:tcPr>
                  <w:tcW w:w="1617" w:type="dxa"/>
                  <w:tcBorders>
                    <w:top w:val="nil"/>
                    <w:left w:val="nil"/>
                    <w:bottom w:val="nil"/>
                    <w:right w:val="nil"/>
                  </w:tcBorders>
                  <w:shd w:val="clear" w:color="auto" w:fill="auto"/>
                  <w:noWrap/>
                  <w:vAlign w:val="bottom"/>
                  <w:hideMark/>
                </w:tcPr>
                <w:p w:rsidR="009E7D84" w:rsidRPr="00787016" w:rsidRDefault="009E7D84" w:rsidP="009E7D84">
                  <w:pPr>
                    <w:jc w:val="right"/>
                  </w:pPr>
                  <w:r w:rsidRPr="00787016">
                    <w:t>35,608</w:t>
                  </w:r>
                </w:p>
              </w:tc>
              <w:tc>
                <w:tcPr>
                  <w:tcW w:w="1693" w:type="dxa"/>
                  <w:tcBorders>
                    <w:top w:val="nil"/>
                    <w:left w:val="nil"/>
                    <w:bottom w:val="nil"/>
                    <w:right w:val="nil"/>
                  </w:tcBorders>
                  <w:shd w:val="clear" w:color="auto" w:fill="auto"/>
                  <w:noWrap/>
                  <w:vAlign w:val="bottom"/>
                  <w:hideMark/>
                </w:tcPr>
                <w:p w:rsidR="009E7D84" w:rsidRPr="000820BE" w:rsidRDefault="009E7D84" w:rsidP="009E7D84">
                  <w:pPr>
                    <w:jc w:val="right"/>
                    <w:rPr>
                      <w:b/>
                      <w:bCs/>
                      <w:color w:val="000000"/>
                    </w:rPr>
                  </w:pPr>
                  <w:r w:rsidRPr="000820BE">
                    <w:rPr>
                      <w:b/>
                      <w:bCs/>
                      <w:color w:val="000000"/>
                    </w:rPr>
                    <w:t>937,972</w:t>
                  </w:r>
                </w:p>
              </w:tc>
            </w:tr>
            <w:tr w:rsidR="009E7D84" w:rsidRPr="00787016" w:rsidTr="009E7D84">
              <w:trPr>
                <w:trHeight w:val="315"/>
              </w:trPr>
              <w:tc>
                <w:tcPr>
                  <w:tcW w:w="4468" w:type="dxa"/>
                  <w:tcBorders>
                    <w:top w:val="nil"/>
                    <w:left w:val="nil"/>
                    <w:bottom w:val="nil"/>
                    <w:right w:val="nil"/>
                  </w:tcBorders>
                  <w:shd w:val="clear" w:color="auto" w:fill="auto"/>
                  <w:noWrap/>
                  <w:vAlign w:val="bottom"/>
                  <w:hideMark/>
                </w:tcPr>
                <w:p w:rsidR="009E7D84" w:rsidRPr="00787016" w:rsidRDefault="009E7D84" w:rsidP="009E7D84">
                  <w:r w:rsidRPr="00787016">
                    <w:t>Other service expenses</w:t>
                  </w:r>
                </w:p>
              </w:tc>
              <w:tc>
                <w:tcPr>
                  <w:tcW w:w="1417" w:type="dxa"/>
                  <w:tcBorders>
                    <w:top w:val="nil"/>
                    <w:left w:val="nil"/>
                    <w:bottom w:val="nil"/>
                    <w:right w:val="nil"/>
                  </w:tcBorders>
                  <w:vAlign w:val="bottom"/>
                </w:tcPr>
                <w:p w:rsidR="009E7D84" w:rsidRPr="00787016" w:rsidRDefault="009E7D84" w:rsidP="009E7D84">
                  <w:pPr>
                    <w:jc w:val="right"/>
                  </w:pPr>
                  <w:r w:rsidRPr="00787016">
                    <w:t>397,862</w:t>
                  </w:r>
                </w:p>
              </w:tc>
              <w:tc>
                <w:tcPr>
                  <w:tcW w:w="1417" w:type="dxa"/>
                  <w:tcBorders>
                    <w:top w:val="nil"/>
                    <w:left w:val="nil"/>
                    <w:bottom w:val="nil"/>
                    <w:right w:val="nil"/>
                  </w:tcBorders>
                  <w:shd w:val="clear" w:color="auto" w:fill="auto"/>
                  <w:noWrap/>
                  <w:vAlign w:val="bottom"/>
                  <w:hideMark/>
                </w:tcPr>
                <w:p w:rsidR="009E7D84" w:rsidRPr="00787016" w:rsidRDefault="009E7D84" w:rsidP="009E7D84">
                  <w:pPr>
                    <w:jc w:val="right"/>
                  </w:pPr>
                  <w:r w:rsidRPr="00787016">
                    <w:t>470,245</w:t>
                  </w:r>
                </w:p>
              </w:tc>
              <w:tc>
                <w:tcPr>
                  <w:tcW w:w="1683" w:type="dxa"/>
                  <w:tcBorders>
                    <w:top w:val="nil"/>
                    <w:left w:val="nil"/>
                    <w:bottom w:val="nil"/>
                    <w:right w:val="nil"/>
                  </w:tcBorders>
                  <w:shd w:val="clear" w:color="auto" w:fill="auto"/>
                  <w:noWrap/>
                  <w:vAlign w:val="bottom"/>
                  <w:hideMark/>
                </w:tcPr>
                <w:p w:rsidR="009E7D84" w:rsidRPr="00787016" w:rsidRDefault="009E7D84" w:rsidP="009E7D84">
                  <w:pPr>
                    <w:jc w:val="right"/>
                  </w:pPr>
                  <w:r w:rsidRPr="00787016">
                    <w:t>190</w:t>
                  </w:r>
                  <w:r>
                    <w:t>,</w:t>
                  </w:r>
                  <w:r w:rsidRPr="00787016">
                    <w:t>684</w:t>
                  </w:r>
                </w:p>
              </w:tc>
              <w:tc>
                <w:tcPr>
                  <w:tcW w:w="1617" w:type="dxa"/>
                  <w:tcBorders>
                    <w:top w:val="nil"/>
                    <w:left w:val="nil"/>
                    <w:bottom w:val="nil"/>
                    <w:right w:val="nil"/>
                  </w:tcBorders>
                  <w:shd w:val="clear" w:color="auto" w:fill="auto"/>
                  <w:noWrap/>
                  <w:vAlign w:val="bottom"/>
                  <w:hideMark/>
                </w:tcPr>
                <w:p w:rsidR="009E7D84" w:rsidRPr="00787016" w:rsidRDefault="009E7D84" w:rsidP="009E7D84">
                  <w:pPr>
                    <w:jc w:val="right"/>
                  </w:pPr>
                  <w:r w:rsidRPr="00787016">
                    <w:t>22,910</w:t>
                  </w:r>
                </w:p>
              </w:tc>
              <w:tc>
                <w:tcPr>
                  <w:tcW w:w="1693" w:type="dxa"/>
                  <w:tcBorders>
                    <w:top w:val="nil"/>
                    <w:left w:val="nil"/>
                    <w:bottom w:val="nil"/>
                    <w:right w:val="nil"/>
                  </w:tcBorders>
                  <w:shd w:val="clear" w:color="auto" w:fill="auto"/>
                  <w:noWrap/>
                  <w:vAlign w:val="bottom"/>
                  <w:hideMark/>
                </w:tcPr>
                <w:p w:rsidR="009E7D84" w:rsidRPr="000820BE" w:rsidRDefault="009E7D84" w:rsidP="009E7D84">
                  <w:pPr>
                    <w:jc w:val="right"/>
                    <w:rPr>
                      <w:b/>
                      <w:bCs/>
                      <w:color w:val="000000"/>
                    </w:rPr>
                  </w:pPr>
                  <w:r w:rsidRPr="000820BE">
                    <w:rPr>
                      <w:b/>
                      <w:bCs/>
                      <w:color w:val="000000"/>
                    </w:rPr>
                    <w:t>1,081,701</w:t>
                  </w:r>
                </w:p>
              </w:tc>
            </w:tr>
            <w:tr w:rsidR="009E7D84" w:rsidRPr="00787016" w:rsidTr="009E7D84">
              <w:trPr>
                <w:trHeight w:val="315"/>
              </w:trPr>
              <w:tc>
                <w:tcPr>
                  <w:tcW w:w="4468" w:type="dxa"/>
                  <w:tcBorders>
                    <w:top w:val="nil"/>
                    <w:left w:val="nil"/>
                    <w:bottom w:val="nil"/>
                    <w:right w:val="nil"/>
                  </w:tcBorders>
                  <w:shd w:val="clear" w:color="auto" w:fill="auto"/>
                  <w:noWrap/>
                  <w:vAlign w:val="bottom"/>
                  <w:hideMark/>
                </w:tcPr>
                <w:p w:rsidR="009E7D84" w:rsidRPr="00787016" w:rsidRDefault="009E7D84" w:rsidP="009E7D84">
                  <w:r w:rsidRPr="00787016">
                    <w:t>Support service recharges</w:t>
                  </w:r>
                </w:p>
              </w:tc>
              <w:tc>
                <w:tcPr>
                  <w:tcW w:w="1417" w:type="dxa"/>
                  <w:tcBorders>
                    <w:top w:val="nil"/>
                    <w:left w:val="nil"/>
                    <w:bottom w:val="nil"/>
                    <w:right w:val="nil"/>
                  </w:tcBorders>
                  <w:vAlign w:val="bottom"/>
                </w:tcPr>
                <w:p w:rsidR="009E7D84" w:rsidRPr="00787016" w:rsidRDefault="009E7D84" w:rsidP="009E7D84">
                  <w:pPr>
                    <w:jc w:val="right"/>
                  </w:pPr>
                  <w:r w:rsidRPr="00787016">
                    <w:t>13,422</w:t>
                  </w:r>
                </w:p>
              </w:tc>
              <w:tc>
                <w:tcPr>
                  <w:tcW w:w="1417" w:type="dxa"/>
                  <w:tcBorders>
                    <w:top w:val="nil"/>
                    <w:left w:val="nil"/>
                    <w:bottom w:val="nil"/>
                    <w:right w:val="nil"/>
                  </w:tcBorders>
                  <w:shd w:val="clear" w:color="auto" w:fill="auto"/>
                  <w:noWrap/>
                  <w:vAlign w:val="bottom"/>
                  <w:hideMark/>
                </w:tcPr>
                <w:p w:rsidR="009E7D84" w:rsidRPr="00787016" w:rsidRDefault="009E7D84" w:rsidP="009E7D84">
                  <w:pPr>
                    <w:jc w:val="right"/>
                  </w:pPr>
                  <w:r w:rsidRPr="00787016">
                    <w:t>13,188</w:t>
                  </w:r>
                </w:p>
              </w:tc>
              <w:tc>
                <w:tcPr>
                  <w:tcW w:w="1683" w:type="dxa"/>
                  <w:tcBorders>
                    <w:top w:val="nil"/>
                    <w:left w:val="nil"/>
                    <w:bottom w:val="nil"/>
                    <w:right w:val="nil"/>
                  </w:tcBorders>
                  <w:shd w:val="clear" w:color="auto" w:fill="auto"/>
                  <w:noWrap/>
                  <w:vAlign w:val="bottom"/>
                  <w:hideMark/>
                </w:tcPr>
                <w:p w:rsidR="009E7D84" w:rsidRPr="00787016" w:rsidRDefault="009E7D84" w:rsidP="009E7D84">
                  <w:pPr>
                    <w:jc w:val="right"/>
                  </w:pPr>
                  <w:r w:rsidRPr="00787016">
                    <w:t>7</w:t>
                  </w:r>
                  <w:r>
                    <w:t>,</w:t>
                  </w:r>
                  <w:r w:rsidRPr="00787016">
                    <w:t>769</w:t>
                  </w:r>
                </w:p>
              </w:tc>
              <w:tc>
                <w:tcPr>
                  <w:tcW w:w="1617" w:type="dxa"/>
                  <w:tcBorders>
                    <w:top w:val="nil"/>
                    <w:left w:val="nil"/>
                    <w:bottom w:val="nil"/>
                    <w:right w:val="nil"/>
                  </w:tcBorders>
                  <w:shd w:val="clear" w:color="auto" w:fill="auto"/>
                  <w:noWrap/>
                  <w:vAlign w:val="bottom"/>
                  <w:hideMark/>
                </w:tcPr>
                <w:p w:rsidR="009E7D84" w:rsidRPr="00787016" w:rsidRDefault="009E7D84" w:rsidP="009E7D84">
                  <w:pPr>
                    <w:jc w:val="right"/>
                  </w:pPr>
                  <w:r w:rsidRPr="00787016">
                    <w:t>9,155</w:t>
                  </w:r>
                </w:p>
              </w:tc>
              <w:tc>
                <w:tcPr>
                  <w:tcW w:w="1693" w:type="dxa"/>
                  <w:tcBorders>
                    <w:top w:val="nil"/>
                    <w:left w:val="nil"/>
                    <w:bottom w:val="nil"/>
                    <w:right w:val="nil"/>
                  </w:tcBorders>
                  <w:shd w:val="clear" w:color="auto" w:fill="auto"/>
                  <w:noWrap/>
                  <w:vAlign w:val="bottom"/>
                  <w:hideMark/>
                </w:tcPr>
                <w:p w:rsidR="009E7D84" w:rsidRPr="000820BE" w:rsidRDefault="009E7D84" w:rsidP="009E7D84">
                  <w:pPr>
                    <w:jc w:val="right"/>
                    <w:rPr>
                      <w:b/>
                      <w:bCs/>
                      <w:color w:val="000000"/>
                    </w:rPr>
                  </w:pPr>
                  <w:r w:rsidRPr="000820BE">
                    <w:rPr>
                      <w:b/>
                      <w:bCs/>
                      <w:color w:val="000000"/>
                    </w:rPr>
                    <w:t>43,534</w:t>
                  </w:r>
                </w:p>
              </w:tc>
            </w:tr>
            <w:tr w:rsidR="009E7D84" w:rsidRPr="00787016" w:rsidTr="009E7D84">
              <w:trPr>
                <w:trHeight w:val="315"/>
              </w:trPr>
              <w:tc>
                <w:tcPr>
                  <w:tcW w:w="4468" w:type="dxa"/>
                  <w:tcBorders>
                    <w:top w:val="nil"/>
                    <w:left w:val="nil"/>
                    <w:bottom w:val="nil"/>
                    <w:right w:val="nil"/>
                  </w:tcBorders>
                  <w:shd w:val="clear" w:color="auto" w:fill="auto"/>
                  <w:noWrap/>
                  <w:vAlign w:val="bottom"/>
                  <w:hideMark/>
                </w:tcPr>
                <w:p w:rsidR="009E7D84" w:rsidRPr="00787016" w:rsidRDefault="009E7D84" w:rsidP="009E7D84">
                  <w:pPr>
                    <w:rPr>
                      <w:b/>
                      <w:bCs/>
                    </w:rPr>
                  </w:pPr>
                  <w:r w:rsidRPr="00787016">
                    <w:rPr>
                      <w:b/>
                      <w:bCs/>
                    </w:rPr>
                    <w:t>Total Expenditure</w:t>
                  </w:r>
                </w:p>
              </w:tc>
              <w:tc>
                <w:tcPr>
                  <w:tcW w:w="1417" w:type="dxa"/>
                  <w:tcBorders>
                    <w:top w:val="single" w:sz="4" w:space="0" w:color="auto"/>
                    <w:left w:val="nil"/>
                    <w:bottom w:val="nil"/>
                    <w:right w:val="nil"/>
                  </w:tcBorders>
                  <w:vAlign w:val="bottom"/>
                </w:tcPr>
                <w:p w:rsidR="009E7D84" w:rsidRPr="00787016" w:rsidRDefault="009E7D84" w:rsidP="009E7D84">
                  <w:pPr>
                    <w:jc w:val="right"/>
                  </w:pPr>
                  <w:r w:rsidRPr="00787016">
                    <w:t>524,942</w:t>
                  </w:r>
                </w:p>
              </w:tc>
              <w:tc>
                <w:tcPr>
                  <w:tcW w:w="1417" w:type="dxa"/>
                  <w:tcBorders>
                    <w:top w:val="single" w:sz="4" w:space="0" w:color="auto"/>
                    <w:left w:val="nil"/>
                    <w:bottom w:val="nil"/>
                    <w:right w:val="nil"/>
                  </w:tcBorders>
                  <w:shd w:val="clear" w:color="auto" w:fill="auto"/>
                  <w:noWrap/>
                  <w:vAlign w:val="bottom"/>
                  <w:hideMark/>
                </w:tcPr>
                <w:p w:rsidR="009E7D84" w:rsidRPr="00787016" w:rsidRDefault="009E7D84" w:rsidP="009E7D84">
                  <w:pPr>
                    <w:jc w:val="right"/>
                  </w:pPr>
                  <w:r w:rsidRPr="00787016">
                    <w:t>1,239,256</w:t>
                  </w:r>
                </w:p>
              </w:tc>
              <w:tc>
                <w:tcPr>
                  <w:tcW w:w="1683" w:type="dxa"/>
                  <w:tcBorders>
                    <w:top w:val="single" w:sz="4" w:space="0" w:color="auto"/>
                    <w:left w:val="nil"/>
                    <w:bottom w:val="nil"/>
                    <w:right w:val="nil"/>
                  </w:tcBorders>
                  <w:shd w:val="clear" w:color="auto" w:fill="auto"/>
                  <w:noWrap/>
                  <w:vAlign w:val="bottom"/>
                  <w:hideMark/>
                </w:tcPr>
                <w:p w:rsidR="009E7D84" w:rsidRPr="00787016" w:rsidRDefault="009E7D84" w:rsidP="009E7D84">
                  <w:pPr>
                    <w:jc w:val="right"/>
                  </w:pPr>
                  <w:r w:rsidRPr="00787016">
                    <w:t>231,336</w:t>
                  </w:r>
                </w:p>
              </w:tc>
              <w:tc>
                <w:tcPr>
                  <w:tcW w:w="1617" w:type="dxa"/>
                  <w:tcBorders>
                    <w:top w:val="single" w:sz="4" w:space="0" w:color="auto"/>
                    <w:left w:val="nil"/>
                    <w:bottom w:val="nil"/>
                    <w:right w:val="nil"/>
                  </w:tcBorders>
                  <w:shd w:val="clear" w:color="auto" w:fill="auto"/>
                  <w:noWrap/>
                  <w:vAlign w:val="bottom"/>
                  <w:hideMark/>
                </w:tcPr>
                <w:p w:rsidR="009E7D84" w:rsidRPr="00787016" w:rsidRDefault="009E7D84" w:rsidP="009E7D84">
                  <w:pPr>
                    <w:jc w:val="right"/>
                  </w:pPr>
                  <w:r w:rsidRPr="00787016">
                    <w:t>67,673</w:t>
                  </w:r>
                </w:p>
              </w:tc>
              <w:tc>
                <w:tcPr>
                  <w:tcW w:w="1693" w:type="dxa"/>
                  <w:tcBorders>
                    <w:top w:val="single" w:sz="4" w:space="0" w:color="auto"/>
                    <w:left w:val="nil"/>
                    <w:bottom w:val="nil"/>
                    <w:right w:val="nil"/>
                  </w:tcBorders>
                  <w:shd w:val="clear" w:color="auto" w:fill="auto"/>
                  <w:noWrap/>
                  <w:vAlign w:val="bottom"/>
                  <w:hideMark/>
                </w:tcPr>
                <w:p w:rsidR="009E7D84" w:rsidRPr="000820BE" w:rsidRDefault="009E7D84" w:rsidP="009E7D84">
                  <w:pPr>
                    <w:jc w:val="right"/>
                    <w:rPr>
                      <w:b/>
                      <w:bCs/>
                      <w:color w:val="000000"/>
                    </w:rPr>
                  </w:pPr>
                  <w:r w:rsidRPr="000820BE">
                    <w:rPr>
                      <w:b/>
                      <w:bCs/>
                      <w:color w:val="000000"/>
                    </w:rPr>
                    <w:t>2,063,207</w:t>
                  </w:r>
                </w:p>
              </w:tc>
            </w:tr>
            <w:tr w:rsidR="009E7D84" w:rsidRPr="00787016" w:rsidTr="009E7D84">
              <w:trPr>
                <w:trHeight w:val="315"/>
              </w:trPr>
              <w:tc>
                <w:tcPr>
                  <w:tcW w:w="4468" w:type="dxa"/>
                  <w:tcBorders>
                    <w:top w:val="nil"/>
                    <w:left w:val="nil"/>
                    <w:bottom w:val="nil"/>
                    <w:right w:val="nil"/>
                  </w:tcBorders>
                  <w:shd w:val="clear" w:color="auto" w:fill="auto"/>
                  <w:noWrap/>
                  <w:vAlign w:val="bottom"/>
                  <w:hideMark/>
                </w:tcPr>
                <w:p w:rsidR="009E7D84" w:rsidRPr="00787016" w:rsidRDefault="009E7D84" w:rsidP="009E7D84"/>
              </w:tc>
              <w:tc>
                <w:tcPr>
                  <w:tcW w:w="1417" w:type="dxa"/>
                  <w:tcBorders>
                    <w:top w:val="nil"/>
                    <w:left w:val="nil"/>
                    <w:bottom w:val="nil"/>
                    <w:right w:val="nil"/>
                  </w:tcBorders>
                  <w:vAlign w:val="bottom"/>
                </w:tcPr>
                <w:p w:rsidR="009E7D84" w:rsidRPr="00787016" w:rsidRDefault="009E7D84" w:rsidP="009E7D84"/>
              </w:tc>
              <w:tc>
                <w:tcPr>
                  <w:tcW w:w="1417" w:type="dxa"/>
                  <w:tcBorders>
                    <w:top w:val="nil"/>
                    <w:left w:val="nil"/>
                    <w:bottom w:val="nil"/>
                    <w:right w:val="nil"/>
                  </w:tcBorders>
                  <w:shd w:val="clear" w:color="auto" w:fill="auto"/>
                  <w:noWrap/>
                  <w:vAlign w:val="bottom"/>
                  <w:hideMark/>
                </w:tcPr>
                <w:p w:rsidR="009E7D84" w:rsidRPr="00787016" w:rsidRDefault="009E7D84" w:rsidP="009E7D84"/>
              </w:tc>
              <w:tc>
                <w:tcPr>
                  <w:tcW w:w="1683" w:type="dxa"/>
                  <w:tcBorders>
                    <w:top w:val="nil"/>
                    <w:left w:val="nil"/>
                    <w:bottom w:val="nil"/>
                    <w:right w:val="nil"/>
                  </w:tcBorders>
                  <w:shd w:val="clear" w:color="auto" w:fill="auto"/>
                  <w:noWrap/>
                  <w:vAlign w:val="bottom"/>
                  <w:hideMark/>
                </w:tcPr>
                <w:p w:rsidR="009E7D84" w:rsidRPr="00787016" w:rsidRDefault="009E7D84" w:rsidP="009E7D84"/>
              </w:tc>
              <w:tc>
                <w:tcPr>
                  <w:tcW w:w="1617" w:type="dxa"/>
                  <w:tcBorders>
                    <w:top w:val="nil"/>
                    <w:left w:val="nil"/>
                    <w:bottom w:val="nil"/>
                    <w:right w:val="nil"/>
                  </w:tcBorders>
                  <w:shd w:val="clear" w:color="auto" w:fill="auto"/>
                  <w:noWrap/>
                  <w:vAlign w:val="bottom"/>
                  <w:hideMark/>
                </w:tcPr>
                <w:p w:rsidR="009E7D84" w:rsidRPr="00787016" w:rsidRDefault="009E7D84" w:rsidP="009E7D84"/>
              </w:tc>
              <w:tc>
                <w:tcPr>
                  <w:tcW w:w="1693" w:type="dxa"/>
                  <w:tcBorders>
                    <w:top w:val="nil"/>
                    <w:left w:val="nil"/>
                    <w:bottom w:val="nil"/>
                    <w:right w:val="nil"/>
                  </w:tcBorders>
                  <w:shd w:val="clear" w:color="auto" w:fill="auto"/>
                  <w:noWrap/>
                  <w:vAlign w:val="bottom"/>
                  <w:hideMark/>
                </w:tcPr>
                <w:p w:rsidR="009E7D84" w:rsidRPr="000820BE" w:rsidRDefault="009E7D84" w:rsidP="009E7D84">
                  <w:pPr>
                    <w:rPr>
                      <w:color w:val="000000"/>
                    </w:rPr>
                  </w:pPr>
                </w:p>
              </w:tc>
            </w:tr>
            <w:tr w:rsidR="009E7D84" w:rsidRPr="00787016" w:rsidTr="009E7D84">
              <w:trPr>
                <w:trHeight w:val="330"/>
              </w:trPr>
              <w:tc>
                <w:tcPr>
                  <w:tcW w:w="4468" w:type="dxa"/>
                  <w:tcBorders>
                    <w:top w:val="nil"/>
                    <w:left w:val="nil"/>
                    <w:bottom w:val="nil"/>
                    <w:right w:val="nil"/>
                  </w:tcBorders>
                  <w:shd w:val="clear" w:color="auto" w:fill="auto"/>
                  <w:noWrap/>
                  <w:vAlign w:val="bottom"/>
                  <w:hideMark/>
                </w:tcPr>
                <w:p w:rsidR="009E7D84" w:rsidRPr="00787016" w:rsidRDefault="009E7D84" w:rsidP="009E7D84">
                  <w:pPr>
                    <w:rPr>
                      <w:b/>
                      <w:bCs/>
                    </w:rPr>
                  </w:pPr>
                  <w:r w:rsidRPr="00787016">
                    <w:rPr>
                      <w:b/>
                      <w:bCs/>
                    </w:rPr>
                    <w:t>Net Expenditure</w:t>
                  </w:r>
                </w:p>
              </w:tc>
              <w:tc>
                <w:tcPr>
                  <w:tcW w:w="1417" w:type="dxa"/>
                  <w:tcBorders>
                    <w:top w:val="single" w:sz="4" w:space="0" w:color="auto"/>
                    <w:left w:val="nil"/>
                    <w:bottom w:val="double" w:sz="6" w:space="0" w:color="auto"/>
                    <w:right w:val="nil"/>
                  </w:tcBorders>
                  <w:vAlign w:val="bottom"/>
                </w:tcPr>
                <w:p w:rsidR="009E7D84" w:rsidRPr="00787016" w:rsidRDefault="009E7D84" w:rsidP="009E7D84">
                  <w:pPr>
                    <w:jc w:val="right"/>
                    <w:rPr>
                      <w:b/>
                      <w:bCs/>
                    </w:rPr>
                  </w:pPr>
                  <w:r w:rsidRPr="00787016">
                    <w:rPr>
                      <w:b/>
                      <w:bCs/>
                    </w:rPr>
                    <w:t>381,987</w:t>
                  </w:r>
                </w:p>
              </w:tc>
              <w:tc>
                <w:tcPr>
                  <w:tcW w:w="1417" w:type="dxa"/>
                  <w:tcBorders>
                    <w:top w:val="single" w:sz="4" w:space="0" w:color="auto"/>
                    <w:left w:val="nil"/>
                    <w:bottom w:val="double" w:sz="6" w:space="0" w:color="auto"/>
                    <w:right w:val="nil"/>
                  </w:tcBorders>
                  <w:shd w:val="clear" w:color="auto" w:fill="auto"/>
                  <w:noWrap/>
                  <w:vAlign w:val="bottom"/>
                  <w:hideMark/>
                </w:tcPr>
                <w:p w:rsidR="009E7D84" w:rsidRPr="00787016" w:rsidRDefault="009E7D84" w:rsidP="009E7D84">
                  <w:pPr>
                    <w:jc w:val="right"/>
                    <w:rPr>
                      <w:b/>
                      <w:bCs/>
                    </w:rPr>
                  </w:pPr>
                  <w:r w:rsidRPr="00787016">
                    <w:rPr>
                      <w:b/>
                      <w:bCs/>
                    </w:rPr>
                    <w:t>226,570</w:t>
                  </w:r>
                </w:p>
              </w:tc>
              <w:tc>
                <w:tcPr>
                  <w:tcW w:w="1683" w:type="dxa"/>
                  <w:tcBorders>
                    <w:top w:val="single" w:sz="4" w:space="0" w:color="auto"/>
                    <w:left w:val="nil"/>
                    <w:bottom w:val="double" w:sz="6" w:space="0" w:color="auto"/>
                    <w:right w:val="nil"/>
                  </w:tcBorders>
                  <w:shd w:val="clear" w:color="auto" w:fill="auto"/>
                  <w:noWrap/>
                  <w:vAlign w:val="bottom"/>
                  <w:hideMark/>
                </w:tcPr>
                <w:p w:rsidR="009E7D84" w:rsidRPr="00787016" w:rsidRDefault="009E7D84" w:rsidP="009E7D84">
                  <w:pPr>
                    <w:jc w:val="right"/>
                    <w:rPr>
                      <w:b/>
                      <w:bCs/>
                    </w:rPr>
                  </w:pPr>
                  <w:r w:rsidRPr="00787016">
                    <w:rPr>
                      <w:b/>
                      <w:bCs/>
                    </w:rPr>
                    <w:t>189,532</w:t>
                  </w:r>
                </w:p>
              </w:tc>
              <w:tc>
                <w:tcPr>
                  <w:tcW w:w="1617" w:type="dxa"/>
                  <w:tcBorders>
                    <w:top w:val="single" w:sz="4" w:space="0" w:color="auto"/>
                    <w:left w:val="nil"/>
                    <w:bottom w:val="double" w:sz="6" w:space="0" w:color="auto"/>
                    <w:right w:val="nil"/>
                  </w:tcBorders>
                  <w:shd w:val="clear" w:color="auto" w:fill="auto"/>
                  <w:noWrap/>
                  <w:vAlign w:val="bottom"/>
                  <w:hideMark/>
                </w:tcPr>
                <w:p w:rsidR="009E7D84" w:rsidRPr="00787016" w:rsidRDefault="009E7D84" w:rsidP="009E7D84">
                  <w:pPr>
                    <w:jc w:val="right"/>
                    <w:rPr>
                      <w:b/>
                      <w:bCs/>
                    </w:rPr>
                  </w:pPr>
                  <w:r w:rsidRPr="00787016">
                    <w:rPr>
                      <w:b/>
                      <w:bCs/>
                    </w:rPr>
                    <w:t>15,642</w:t>
                  </w:r>
                </w:p>
              </w:tc>
              <w:tc>
                <w:tcPr>
                  <w:tcW w:w="1693" w:type="dxa"/>
                  <w:tcBorders>
                    <w:top w:val="single" w:sz="4" w:space="0" w:color="auto"/>
                    <w:left w:val="nil"/>
                    <w:bottom w:val="double" w:sz="6" w:space="0" w:color="auto"/>
                    <w:right w:val="nil"/>
                  </w:tcBorders>
                  <w:shd w:val="clear" w:color="auto" w:fill="auto"/>
                  <w:noWrap/>
                  <w:vAlign w:val="bottom"/>
                  <w:hideMark/>
                </w:tcPr>
                <w:p w:rsidR="009E7D84" w:rsidRPr="00787016" w:rsidRDefault="009E7D84" w:rsidP="009E7D84">
                  <w:pPr>
                    <w:jc w:val="right"/>
                    <w:rPr>
                      <w:b/>
                      <w:bCs/>
                    </w:rPr>
                  </w:pPr>
                  <w:r w:rsidRPr="00787016">
                    <w:rPr>
                      <w:b/>
                      <w:bCs/>
                    </w:rPr>
                    <w:t>813,731</w:t>
                  </w:r>
                </w:p>
              </w:tc>
            </w:tr>
          </w:tbl>
          <w:p w:rsidR="00787016" w:rsidRPr="00787016" w:rsidRDefault="009E7D84" w:rsidP="00787016">
            <w:pPr>
              <w:spacing w:after="240"/>
              <w:rPr>
                <w:b/>
              </w:rPr>
            </w:pPr>
            <w:r>
              <w:rPr>
                <w:b/>
              </w:rPr>
              <w:t>Year Ended 31 March 2011</w:t>
            </w:r>
          </w:p>
          <w:p w:rsidR="00B736DE" w:rsidRPr="00286C0E" w:rsidRDefault="00B736DE" w:rsidP="00787016">
            <w:pPr>
              <w:ind w:left="720"/>
              <w:rPr>
                <w:b/>
                <w:bCs/>
                <w:highlight w:val="yellow"/>
              </w:rPr>
            </w:pPr>
          </w:p>
        </w:tc>
        <w:tc>
          <w:tcPr>
            <w:tcW w:w="967" w:type="dxa"/>
            <w:tcBorders>
              <w:top w:val="nil"/>
              <w:left w:val="nil"/>
              <w:bottom w:val="nil"/>
              <w:right w:val="nil"/>
            </w:tcBorders>
            <w:shd w:val="clear" w:color="auto" w:fill="auto"/>
            <w:noWrap/>
            <w:vAlign w:val="bottom"/>
            <w:hideMark/>
          </w:tcPr>
          <w:p w:rsidR="0077192D" w:rsidRPr="00286C0E" w:rsidRDefault="0077192D" w:rsidP="007456D0">
            <w:pPr>
              <w:rPr>
                <w:highlight w:val="yellow"/>
              </w:rPr>
            </w:pPr>
          </w:p>
        </w:tc>
      </w:tr>
    </w:tbl>
    <w:p w:rsidR="00384EDD" w:rsidRPr="00286C0E" w:rsidRDefault="00384EDD" w:rsidP="00783FC5">
      <w:pPr>
        <w:rPr>
          <w:highlight w:val="yellow"/>
        </w:rPr>
      </w:pPr>
    </w:p>
    <w:p w:rsidR="00787016" w:rsidRDefault="00787016" w:rsidP="00BF06AB">
      <w:pPr>
        <w:rPr>
          <w:highlight w:val="yellow"/>
        </w:rPr>
      </w:pPr>
    </w:p>
    <w:p w:rsidR="00B75813" w:rsidRDefault="00B75813" w:rsidP="00BF06AB">
      <w:pPr>
        <w:rPr>
          <w:highlight w:val="yellow"/>
        </w:rPr>
      </w:pPr>
    </w:p>
    <w:p w:rsidR="00B75813" w:rsidRDefault="00B75813" w:rsidP="00BF06AB">
      <w:pPr>
        <w:rPr>
          <w:highlight w:val="yellow"/>
        </w:rPr>
      </w:pPr>
    </w:p>
    <w:p w:rsidR="00916B89" w:rsidRDefault="00916B89">
      <w:pPr>
        <w:rPr>
          <w:highlight w:val="yellow"/>
        </w:rPr>
      </w:pPr>
      <w:r>
        <w:rPr>
          <w:highlight w:val="yellow"/>
        </w:rPr>
        <w:br w:type="page"/>
      </w:r>
    </w:p>
    <w:p w:rsidR="00B75813" w:rsidRDefault="00B75813" w:rsidP="00BF06AB">
      <w:pPr>
        <w:rPr>
          <w:highlight w:val="yellow"/>
        </w:rPr>
      </w:pPr>
    </w:p>
    <w:p w:rsidR="00B75813" w:rsidRDefault="00B75813" w:rsidP="00BF06AB">
      <w:pPr>
        <w:rPr>
          <w:highlight w:val="yellow"/>
        </w:rPr>
      </w:pPr>
    </w:p>
    <w:p w:rsidR="00B75813" w:rsidRDefault="00B75813" w:rsidP="00BF06AB">
      <w:pPr>
        <w:rPr>
          <w:highlight w:val="yellow"/>
        </w:rPr>
      </w:pPr>
    </w:p>
    <w:p w:rsidR="00B75813" w:rsidRDefault="00B75813" w:rsidP="00BF06AB">
      <w:pPr>
        <w:rPr>
          <w:highlight w:val="yellow"/>
        </w:rPr>
      </w:pPr>
    </w:p>
    <w:tbl>
      <w:tblPr>
        <w:tblW w:w="13764" w:type="dxa"/>
        <w:tblLook w:val="04A0"/>
      </w:tblPr>
      <w:tblGrid>
        <w:gridCol w:w="9366"/>
        <w:gridCol w:w="222"/>
        <w:gridCol w:w="222"/>
        <w:gridCol w:w="1196"/>
        <w:gridCol w:w="1556"/>
        <w:gridCol w:w="1616"/>
      </w:tblGrid>
      <w:tr w:rsidR="007E0735" w:rsidRPr="00B736DE" w:rsidTr="007E0735">
        <w:trPr>
          <w:trHeight w:val="300"/>
        </w:trPr>
        <w:tc>
          <w:tcPr>
            <w:tcW w:w="9396" w:type="dxa"/>
            <w:gridSpan w:val="3"/>
            <w:tcBorders>
              <w:top w:val="nil"/>
              <w:left w:val="nil"/>
              <w:bottom w:val="nil"/>
              <w:right w:val="nil"/>
            </w:tcBorders>
            <w:shd w:val="clear" w:color="auto" w:fill="auto"/>
            <w:noWrap/>
            <w:vAlign w:val="bottom"/>
            <w:hideMark/>
          </w:tcPr>
          <w:p w:rsidR="007E0735" w:rsidRPr="00B736DE" w:rsidRDefault="007E0735" w:rsidP="007E0735">
            <w:pPr>
              <w:rPr>
                <w:b/>
                <w:bCs/>
              </w:rPr>
            </w:pPr>
            <w:r w:rsidRPr="00B736DE">
              <w:rPr>
                <w:b/>
                <w:bCs/>
              </w:rPr>
              <w:t>Reconciliation to Net Cost of Services in Comprehensive Income and Expenditure Statement</w:t>
            </w:r>
          </w:p>
        </w:tc>
        <w:tc>
          <w:tcPr>
            <w:tcW w:w="1196" w:type="dxa"/>
            <w:tcBorders>
              <w:top w:val="nil"/>
              <w:left w:val="nil"/>
              <w:bottom w:val="nil"/>
              <w:right w:val="nil"/>
            </w:tcBorders>
            <w:shd w:val="clear" w:color="auto" w:fill="auto"/>
            <w:noWrap/>
            <w:vAlign w:val="bottom"/>
            <w:hideMark/>
          </w:tcPr>
          <w:p w:rsidR="007E0735" w:rsidRPr="00B736DE" w:rsidRDefault="007E0735" w:rsidP="007E0735"/>
        </w:tc>
        <w:tc>
          <w:tcPr>
            <w:tcW w:w="1556" w:type="dxa"/>
            <w:tcBorders>
              <w:top w:val="nil"/>
              <w:left w:val="nil"/>
              <w:bottom w:val="nil"/>
              <w:right w:val="nil"/>
            </w:tcBorders>
            <w:shd w:val="clear" w:color="auto" w:fill="auto"/>
            <w:noWrap/>
            <w:vAlign w:val="bottom"/>
            <w:hideMark/>
          </w:tcPr>
          <w:p w:rsidR="007E0735" w:rsidRPr="00B736DE" w:rsidRDefault="007E0735" w:rsidP="007E0735"/>
        </w:tc>
        <w:tc>
          <w:tcPr>
            <w:tcW w:w="1616" w:type="dxa"/>
            <w:tcBorders>
              <w:top w:val="nil"/>
              <w:left w:val="nil"/>
              <w:bottom w:val="nil"/>
              <w:right w:val="nil"/>
            </w:tcBorders>
            <w:shd w:val="clear" w:color="auto" w:fill="auto"/>
            <w:noWrap/>
            <w:vAlign w:val="bottom"/>
            <w:hideMark/>
          </w:tcPr>
          <w:p w:rsidR="007E0735" w:rsidRPr="00B736DE" w:rsidRDefault="007E0735" w:rsidP="007E0735"/>
        </w:tc>
      </w:tr>
      <w:tr w:rsidR="007E0735" w:rsidRPr="00B736DE" w:rsidTr="007E0735">
        <w:trPr>
          <w:trHeight w:val="300"/>
        </w:trPr>
        <w:tc>
          <w:tcPr>
            <w:tcW w:w="9366" w:type="dxa"/>
            <w:tcBorders>
              <w:top w:val="nil"/>
              <w:left w:val="nil"/>
              <w:bottom w:val="nil"/>
              <w:right w:val="nil"/>
            </w:tcBorders>
            <w:shd w:val="clear" w:color="auto" w:fill="auto"/>
            <w:noWrap/>
            <w:vAlign w:val="bottom"/>
            <w:hideMark/>
          </w:tcPr>
          <w:p w:rsidR="007E0735" w:rsidRPr="00B736DE" w:rsidRDefault="007E0735" w:rsidP="007E0735"/>
        </w:tc>
        <w:tc>
          <w:tcPr>
            <w:tcW w:w="15" w:type="dxa"/>
            <w:tcBorders>
              <w:top w:val="nil"/>
              <w:left w:val="nil"/>
              <w:bottom w:val="nil"/>
              <w:right w:val="nil"/>
            </w:tcBorders>
            <w:shd w:val="clear" w:color="auto" w:fill="auto"/>
            <w:noWrap/>
            <w:vAlign w:val="bottom"/>
            <w:hideMark/>
          </w:tcPr>
          <w:p w:rsidR="007E0735" w:rsidRPr="00B736DE" w:rsidRDefault="007E0735" w:rsidP="007E0735"/>
        </w:tc>
        <w:tc>
          <w:tcPr>
            <w:tcW w:w="15" w:type="dxa"/>
            <w:tcBorders>
              <w:top w:val="nil"/>
              <w:left w:val="nil"/>
              <w:bottom w:val="nil"/>
              <w:right w:val="nil"/>
            </w:tcBorders>
            <w:shd w:val="clear" w:color="auto" w:fill="auto"/>
            <w:noWrap/>
            <w:vAlign w:val="bottom"/>
            <w:hideMark/>
          </w:tcPr>
          <w:p w:rsidR="007E0735" w:rsidRPr="00B736DE" w:rsidRDefault="007E0735" w:rsidP="007E0735"/>
        </w:tc>
        <w:tc>
          <w:tcPr>
            <w:tcW w:w="1196" w:type="dxa"/>
            <w:tcBorders>
              <w:top w:val="nil"/>
              <w:left w:val="nil"/>
              <w:bottom w:val="nil"/>
              <w:right w:val="nil"/>
            </w:tcBorders>
            <w:shd w:val="clear" w:color="auto" w:fill="auto"/>
            <w:noWrap/>
            <w:vAlign w:val="bottom"/>
            <w:hideMark/>
          </w:tcPr>
          <w:p w:rsidR="007E0735" w:rsidRPr="00B736DE" w:rsidRDefault="007E0735" w:rsidP="007E0735"/>
        </w:tc>
        <w:tc>
          <w:tcPr>
            <w:tcW w:w="1556" w:type="dxa"/>
            <w:tcBorders>
              <w:top w:val="nil"/>
              <w:left w:val="nil"/>
              <w:bottom w:val="nil"/>
              <w:right w:val="nil"/>
            </w:tcBorders>
            <w:shd w:val="clear" w:color="auto" w:fill="auto"/>
            <w:noWrap/>
            <w:vAlign w:val="bottom"/>
            <w:hideMark/>
          </w:tcPr>
          <w:p w:rsidR="007E0735" w:rsidRPr="00B736DE" w:rsidRDefault="007E0735" w:rsidP="007E0735"/>
        </w:tc>
        <w:tc>
          <w:tcPr>
            <w:tcW w:w="1616" w:type="dxa"/>
            <w:tcBorders>
              <w:top w:val="nil"/>
              <w:left w:val="nil"/>
              <w:bottom w:val="nil"/>
              <w:right w:val="nil"/>
            </w:tcBorders>
            <w:shd w:val="clear" w:color="auto" w:fill="auto"/>
            <w:noWrap/>
            <w:hideMark/>
          </w:tcPr>
          <w:p w:rsidR="007E0735" w:rsidRPr="00B736DE" w:rsidRDefault="007E0735" w:rsidP="007E0735">
            <w:pPr>
              <w:jc w:val="right"/>
              <w:rPr>
                <w:b/>
                <w:bCs/>
              </w:rPr>
            </w:pPr>
            <w:r w:rsidRPr="00B736DE">
              <w:rPr>
                <w:b/>
                <w:bCs/>
              </w:rPr>
              <w:t>£000s</w:t>
            </w:r>
          </w:p>
        </w:tc>
      </w:tr>
      <w:tr w:rsidR="007E0735" w:rsidRPr="00B736DE" w:rsidTr="007E0735">
        <w:trPr>
          <w:trHeight w:val="300"/>
        </w:trPr>
        <w:tc>
          <w:tcPr>
            <w:tcW w:w="9366" w:type="dxa"/>
            <w:tcBorders>
              <w:top w:val="nil"/>
              <w:left w:val="nil"/>
              <w:bottom w:val="nil"/>
              <w:right w:val="nil"/>
            </w:tcBorders>
            <w:shd w:val="clear" w:color="auto" w:fill="auto"/>
            <w:noWrap/>
            <w:vAlign w:val="bottom"/>
            <w:hideMark/>
          </w:tcPr>
          <w:p w:rsidR="007E0735" w:rsidRPr="00B736DE" w:rsidRDefault="007E0735" w:rsidP="007E0735">
            <w:r w:rsidRPr="00B736DE">
              <w:t>Cost of Services in Service Analysis</w:t>
            </w:r>
          </w:p>
        </w:tc>
        <w:tc>
          <w:tcPr>
            <w:tcW w:w="15" w:type="dxa"/>
            <w:tcBorders>
              <w:top w:val="nil"/>
              <w:left w:val="nil"/>
              <w:bottom w:val="nil"/>
              <w:right w:val="nil"/>
            </w:tcBorders>
            <w:shd w:val="clear" w:color="auto" w:fill="auto"/>
            <w:noWrap/>
            <w:vAlign w:val="bottom"/>
            <w:hideMark/>
          </w:tcPr>
          <w:p w:rsidR="007E0735" w:rsidRPr="00B736DE" w:rsidRDefault="007E0735" w:rsidP="007E0735"/>
        </w:tc>
        <w:tc>
          <w:tcPr>
            <w:tcW w:w="15" w:type="dxa"/>
            <w:tcBorders>
              <w:top w:val="nil"/>
              <w:left w:val="nil"/>
              <w:bottom w:val="nil"/>
              <w:right w:val="nil"/>
            </w:tcBorders>
            <w:shd w:val="clear" w:color="auto" w:fill="auto"/>
            <w:noWrap/>
            <w:vAlign w:val="bottom"/>
            <w:hideMark/>
          </w:tcPr>
          <w:p w:rsidR="007E0735" w:rsidRPr="00B736DE" w:rsidRDefault="007E0735" w:rsidP="007E0735"/>
        </w:tc>
        <w:tc>
          <w:tcPr>
            <w:tcW w:w="1196" w:type="dxa"/>
            <w:tcBorders>
              <w:top w:val="nil"/>
              <w:left w:val="nil"/>
              <w:bottom w:val="nil"/>
              <w:right w:val="nil"/>
            </w:tcBorders>
            <w:shd w:val="clear" w:color="auto" w:fill="auto"/>
            <w:noWrap/>
            <w:vAlign w:val="bottom"/>
            <w:hideMark/>
          </w:tcPr>
          <w:p w:rsidR="007E0735" w:rsidRPr="00B736DE" w:rsidRDefault="007E0735" w:rsidP="007E0735"/>
        </w:tc>
        <w:tc>
          <w:tcPr>
            <w:tcW w:w="1556" w:type="dxa"/>
            <w:tcBorders>
              <w:top w:val="nil"/>
              <w:left w:val="nil"/>
              <w:bottom w:val="nil"/>
              <w:right w:val="nil"/>
            </w:tcBorders>
            <w:shd w:val="clear" w:color="auto" w:fill="auto"/>
            <w:noWrap/>
            <w:vAlign w:val="bottom"/>
            <w:hideMark/>
          </w:tcPr>
          <w:p w:rsidR="007E0735" w:rsidRPr="00B736DE" w:rsidRDefault="007E0735" w:rsidP="007E0735"/>
        </w:tc>
        <w:tc>
          <w:tcPr>
            <w:tcW w:w="1616" w:type="dxa"/>
            <w:tcBorders>
              <w:top w:val="nil"/>
              <w:left w:val="nil"/>
              <w:bottom w:val="nil"/>
              <w:right w:val="nil"/>
            </w:tcBorders>
            <w:shd w:val="clear" w:color="auto" w:fill="auto"/>
            <w:noWrap/>
            <w:vAlign w:val="bottom"/>
            <w:hideMark/>
          </w:tcPr>
          <w:p w:rsidR="007E0735" w:rsidRPr="00B736DE" w:rsidRDefault="007E0735" w:rsidP="007E0735">
            <w:pPr>
              <w:jc w:val="right"/>
              <w:rPr>
                <w:b/>
                <w:bCs/>
              </w:rPr>
            </w:pPr>
            <w:r>
              <w:rPr>
                <w:b/>
                <w:bCs/>
              </w:rPr>
              <w:t>813,731</w:t>
            </w:r>
          </w:p>
        </w:tc>
      </w:tr>
      <w:tr w:rsidR="007E0735" w:rsidRPr="00B736DE" w:rsidTr="007E0735">
        <w:trPr>
          <w:trHeight w:val="300"/>
        </w:trPr>
        <w:tc>
          <w:tcPr>
            <w:tcW w:w="9366" w:type="dxa"/>
            <w:tcBorders>
              <w:top w:val="nil"/>
              <w:left w:val="nil"/>
              <w:bottom w:val="nil"/>
              <w:right w:val="nil"/>
            </w:tcBorders>
            <w:shd w:val="clear" w:color="auto" w:fill="auto"/>
            <w:noWrap/>
            <w:vAlign w:val="bottom"/>
            <w:hideMark/>
          </w:tcPr>
          <w:p w:rsidR="007E0735" w:rsidRPr="00B736DE" w:rsidRDefault="007E0735" w:rsidP="007E0735"/>
        </w:tc>
        <w:tc>
          <w:tcPr>
            <w:tcW w:w="15" w:type="dxa"/>
            <w:tcBorders>
              <w:top w:val="nil"/>
              <w:left w:val="nil"/>
              <w:bottom w:val="nil"/>
              <w:right w:val="nil"/>
            </w:tcBorders>
            <w:shd w:val="clear" w:color="auto" w:fill="auto"/>
            <w:noWrap/>
            <w:vAlign w:val="bottom"/>
            <w:hideMark/>
          </w:tcPr>
          <w:p w:rsidR="007E0735" w:rsidRPr="00B736DE" w:rsidRDefault="007E0735" w:rsidP="007E0735"/>
        </w:tc>
        <w:tc>
          <w:tcPr>
            <w:tcW w:w="15" w:type="dxa"/>
            <w:tcBorders>
              <w:top w:val="nil"/>
              <w:left w:val="nil"/>
              <w:bottom w:val="nil"/>
              <w:right w:val="nil"/>
            </w:tcBorders>
            <w:shd w:val="clear" w:color="auto" w:fill="auto"/>
            <w:noWrap/>
            <w:vAlign w:val="bottom"/>
            <w:hideMark/>
          </w:tcPr>
          <w:p w:rsidR="007E0735" w:rsidRPr="00B736DE" w:rsidRDefault="007E0735" w:rsidP="007E0735"/>
        </w:tc>
        <w:tc>
          <w:tcPr>
            <w:tcW w:w="1196" w:type="dxa"/>
            <w:tcBorders>
              <w:top w:val="nil"/>
              <w:left w:val="nil"/>
              <w:bottom w:val="nil"/>
              <w:right w:val="nil"/>
            </w:tcBorders>
            <w:shd w:val="clear" w:color="auto" w:fill="auto"/>
            <w:noWrap/>
            <w:vAlign w:val="bottom"/>
            <w:hideMark/>
          </w:tcPr>
          <w:p w:rsidR="007E0735" w:rsidRPr="00B736DE" w:rsidRDefault="007E0735" w:rsidP="007E0735"/>
        </w:tc>
        <w:tc>
          <w:tcPr>
            <w:tcW w:w="1556" w:type="dxa"/>
            <w:tcBorders>
              <w:top w:val="nil"/>
              <w:left w:val="nil"/>
              <w:bottom w:val="nil"/>
              <w:right w:val="nil"/>
            </w:tcBorders>
            <w:shd w:val="clear" w:color="auto" w:fill="auto"/>
            <w:noWrap/>
            <w:vAlign w:val="bottom"/>
            <w:hideMark/>
          </w:tcPr>
          <w:p w:rsidR="007E0735" w:rsidRPr="00B736DE" w:rsidRDefault="007E0735" w:rsidP="007E0735"/>
        </w:tc>
        <w:tc>
          <w:tcPr>
            <w:tcW w:w="1616" w:type="dxa"/>
            <w:tcBorders>
              <w:top w:val="nil"/>
              <w:left w:val="nil"/>
              <w:bottom w:val="nil"/>
              <w:right w:val="nil"/>
            </w:tcBorders>
            <w:shd w:val="clear" w:color="auto" w:fill="auto"/>
            <w:noWrap/>
            <w:vAlign w:val="bottom"/>
            <w:hideMark/>
          </w:tcPr>
          <w:p w:rsidR="007E0735" w:rsidRPr="00B736DE" w:rsidRDefault="007E0735" w:rsidP="007E0735"/>
        </w:tc>
      </w:tr>
      <w:tr w:rsidR="007E0735" w:rsidRPr="00B736DE" w:rsidTr="007E0735">
        <w:trPr>
          <w:trHeight w:val="300"/>
        </w:trPr>
        <w:tc>
          <w:tcPr>
            <w:tcW w:w="9366" w:type="dxa"/>
            <w:tcBorders>
              <w:top w:val="nil"/>
              <w:left w:val="nil"/>
              <w:bottom w:val="nil"/>
              <w:right w:val="nil"/>
            </w:tcBorders>
            <w:shd w:val="clear" w:color="auto" w:fill="auto"/>
            <w:noWrap/>
            <w:vAlign w:val="bottom"/>
            <w:hideMark/>
          </w:tcPr>
          <w:p w:rsidR="007E0735" w:rsidRPr="00B736DE" w:rsidRDefault="007E0735" w:rsidP="007E0735">
            <w:r w:rsidRPr="00B736DE">
              <w:t>Add services not included in main analysis</w:t>
            </w:r>
          </w:p>
        </w:tc>
        <w:tc>
          <w:tcPr>
            <w:tcW w:w="15" w:type="dxa"/>
            <w:tcBorders>
              <w:top w:val="nil"/>
              <w:left w:val="nil"/>
              <w:bottom w:val="nil"/>
              <w:right w:val="nil"/>
            </w:tcBorders>
            <w:shd w:val="clear" w:color="auto" w:fill="auto"/>
            <w:noWrap/>
            <w:vAlign w:val="bottom"/>
            <w:hideMark/>
          </w:tcPr>
          <w:p w:rsidR="007E0735" w:rsidRPr="00B736DE" w:rsidRDefault="007E0735" w:rsidP="007E0735"/>
        </w:tc>
        <w:tc>
          <w:tcPr>
            <w:tcW w:w="15" w:type="dxa"/>
            <w:tcBorders>
              <w:top w:val="nil"/>
              <w:left w:val="nil"/>
              <w:bottom w:val="nil"/>
              <w:right w:val="nil"/>
            </w:tcBorders>
            <w:shd w:val="clear" w:color="auto" w:fill="auto"/>
            <w:noWrap/>
            <w:vAlign w:val="bottom"/>
            <w:hideMark/>
          </w:tcPr>
          <w:p w:rsidR="007E0735" w:rsidRPr="00B736DE" w:rsidRDefault="007E0735" w:rsidP="007E0735"/>
        </w:tc>
        <w:tc>
          <w:tcPr>
            <w:tcW w:w="1196" w:type="dxa"/>
            <w:tcBorders>
              <w:top w:val="nil"/>
              <w:left w:val="nil"/>
              <w:bottom w:val="nil"/>
              <w:right w:val="nil"/>
            </w:tcBorders>
            <w:shd w:val="clear" w:color="auto" w:fill="auto"/>
            <w:noWrap/>
            <w:vAlign w:val="bottom"/>
            <w:hideMark/>
          </w:tcPr>
          <w:p w:rsidR="007E0735" w:rsidRPr="00B736DE" w:rsidRDefault="007E0735" w:rsidP="007E0735"/>
        </w:tc>
        <w:tc>
          <w:tcPr>
            <w:tcW w:w="1556" w:type="dxa"/>
            <w:tcBorders>
              <w:top w:val="nil"/>
              <w:left w:val="nil"/>
              <w:bottom w:val="nil"/>
              <w:right w:val="nil"/>
            </w:tcBorders>
            <w:shd w:val="clear" w:color="auto" w:fill="auto"/>
            <w:noWrap/>
            <w:vAlign w:val="bottom"/>
            <w:hideMark/>
          </w:tcPr>
          <w:p w:rsidR="007E0735" w:rsidRPr="00B736DE" w:rsidRDefault="007E0735" w:rsidP="007E0735"/>
        </w:tc>
        <w:tc>
          <w:tcPr>
            <w:tcW w:w="1616" w:type="dxa"/>
            <w:tcBorders>
              <w:top w:val="nil"/>
              <w:left w:val="nil"/>
              <w:bottom w:val="nil"/>
              <w:right w:val="nil"/>
            </w:tcBorders>
            <w:shd w:val="clear" w:color="auto" w:fill="auto"/>
            <w:noWrap/>
            <w:vAlign w:val="bottom"/>
            <w:hideMark/>
          </w:tcPr>
          <w:p w:rsidR="007E0735" w:rsidRPr="00B736DE" w:rsidRDefault="007E0735" w:rsidP="007E0735">
            <w:pPr>
              <w:jc w:val="right"/>
            </w:pPr>
            <w:r>
              <w:t>2348</w:t>
            </w:r>
          </w:p>
        </w:tc>
      </w:tr>
      <w:tr w:rsidR="007E0735" w:rsidRPr="00B736DE" w:rsidTr="007E0735">
        <w:trPr>
          <w:trHeight w:val="300"/>
        </w:trPr>
        <w:tc>
          <w:tcPr>
            <w:tcW w:w="9366" w:type="dxa"/>
            <w:tcBorders>
              <w:top w:val="nil"/>
              <w:left w:val="nil"/>
              <w:bottom w:val="nil"/>
              <w:right w:val="nil"/>
            </w:tcBorders>
            <w:shd w:val="clear" w:color="auto" w:fill="auto"/>
            <w:noWrap/>
            <w:vAlign w:val="bottom"/>
            <w:hideMark/>
          </w:tcPr>
          <w:p w:rsidR="007E0735" w:rsidRPr="00B736DE" w:rsidRDefault="007E0735" w:rsidP="007E0735">
            <w:r w:rsidRPr="00B736DE">
              <w:t>Add amounts not reported to management</w:t>
            </w:r>
          </w:p>
        </w:tc>
        <w:tc>
          <w:tcPr>
            <w:tcW w:w="15" w:type="dxa"/>
            <w:tcBorders>
              <w:top w:val="nil"/>
              <w:left w:val="nil"/>
              <w:bottom w:val="nil"/>
              <w:right w:val="nil"/>
            </w:tcBorders>
            <w:shd w:val="clear" w:color="auto" w:fill="auto"/>
            <w:noWrap/>
            <w:vAlign w:val="bottom"/>
            <w:hideMark/>
          </w:tcPr>
          <w:p w:rsidR="007E0735" w:rsidRPr="00B736DE" w:rsidRDefault="007E0735" w:rsidP="007E0735"/>
        </w:tc>
        <w:tc>
          <w:tcPr>
            <w:tcW w:w="15" w:type="dxa"/>
            <w:tcBorders>
              <w:top w:val="nil"/>
              <w:left w:val="nil"/>
              <w:bottom w:val="nil"/>
              <w:right w:val="nil"/>
            </w:tcBorders>
            <w:shd w:val="clear" w:color="auto" w:fill="auto"/>
            <w:noWrap/>
            <w:vAlign w:val="bottom"/>
            <w:hideMark/>
          </w:tcPr>
          <w:p w:rsidR="007E0735" w:rsidRPr="00B736DE" w:rsidRDefault="007E0735" w:rsidP="007E0735"/>
        </w:tc>
        <w:tc>
          <w:tcPr>
            <w:tcW w:w="1196" w:type="dxa"/>
            <w:tcBorders>
              <w:top w:val="nil"/>
              <w:left w:val="nil"/>
              <w:bottom w:val="nil"/>
              <w:right w:val="nil"/>
            </w:tcBorders>
            <w:shd w:val="clear" w:color="auto" w:fill="auto"/>
            <w:noWrap/>
            <w:vAlign w:val="bottom"/>
            <w:hideMark/>
          </w:tcPr>
          <w:p w:rsidR="007E0735" w:rsidRPr="00B736DE" w:rsidRDefault="007E0735" w:rsidP="007E0735"/>
        </w:tc>
        <w:tc>
          <w:tcPr>
            <w:tcW w:w="1556" w:type="dxa"/>
            <w:tcBorders>
              <w:top w:val="nil"/>
              <w:left w:val="nil"/>
              <w:bottom w:val="nil"/>
              <w:right w:val="nil"/>
            </w:tcBorders>
            <w:shd w:val="clear" w:color="auto" w:fill="auto"/>
            <w:noWrap/>
            <w:vAlign w:val="bottom"/>
            <w:hideMark/>
          </w:tcPr>
          <w:p w:rsidR="007E0735" w:rsidRPr="00B736DE" w:rsidRDefault="007E0735" w:rsidP="007E0735"/>
        </w:tc>
        <w:tc>
          <w:tcPr>
            <w:tcW w:w="1616" w:type="dxa"/>
            <w:tcBorders>
              <w:top w:val="nil"/>
              <w:left w:val="nil"/>
              <w:bottom w:val="nil"/>
              <w:right w:val="nil"/>
            </w:tcBorders>
            <w:shd w:val="clear" w:color="auto" w:fill="auto"/>
            <w:noWrap/>
            <w:vAlign w:val="bottom"/>
            <w:hideMark/>
          </w:tcPr>
          <w:p w:rsidR="007E0735" w:rsidRPr="00B736DE" w:rsidRDefault="007E0735" w:rsidP="007E0735">
            <w:pPr>
              <w:jc w:val="right"/>
            </w:pPr>
            <w:r w:rsidRPr="00B736DE">
              <w:t>(</w:t>
            </w:r>
            <w:r>
              <w:t>144,913)</w:t>
            </w:r>
          </w:p>
        </w:tc>
      </w:tr>
      <w:tr w:rsidR="007E0735" w:rsidRPr="00B736DE" w:rsidTr="007E0735">
        <w:trPr>
          <w:trHeight w:val="300"/>
        </w:trPr>
        <w:tc>
          <w:tcPr>
            <w:tcW w:w="9396" w:type="dxa"/>
            <w:gridSpan w:val="3"/>
            <w:tcBorders>
              <w:top w:val="nil"/>
              <w:left w:val="nil"/>
              <w:bottom w:val="nil"/>
              <w:right w:val="nil"/>
            </w:tcBorders>
            <w:shd w:val="clear" w:color="auto" w:fill="auto"/>
            <w:vAlign w:val="bottom"/>
            <w:hideMark/>
          </w:tcPr>
          <w:p w:rsidR="007E0735" w:rsidRPr="00B736DE" w:rsidRDefault="007E0735" w:rsidP="007E0735">
            <w:r w:rsidRPr="00B736DE">
              <w:t>Remove amounts reported to management not included in Comprehensive Income and Expenditure Statement</w:t>
            </w:r>
          </w:p>
        </w:tc>
        <w:tc>
          <w:tcPr>
            <w:tcW w:w="1196" w:type="dxa"/>
            <w:tcBorders>
              <w:top w:val="nil"/>
              <w:left w:val="nil"/>
              <w:bottom w:val="nil"/>
              <w:right w:val="nil"/>
            </w:tcBorders>
            <w:shd w:val="clear" w:color="auto" w:fill="auto"/>
            <w:noWrap/>
            <w:vAlign w:val="bottom"/>
            <w:hideMark/>
          </w:tcPr>
          <w:p w:rsidR="007E0735" w:rsidRPr="00B736DE" w:rsidRDefault="007E0735" w:rsidP="007E0735"/>
        </w:tc>
        <w:tc>
          <w:tcPr>
            <w:tcW w:w="1556" w:type="dxa"/>
            <w:tcBorders>
              <w:top w:val="nil"/>
              <w:left w:val="nil"/>
              <w:bottom w:val="nil"/>
              <w:right w:val="nil"/>
            </w:tcBorders>
            <w:shd w:val="clear" w:color="auto" w:fill="auto"/>
            <w:noWrap/>
            <w:vAlign w:val="bottom"/>
            <w:hideMark/>
          </w:tcPr>
          <w:p w:rsidR="007E0735" w:rsidRPr="00B736DE" w:rsidRDefault="007E0735" w:rsidP="007E0735"/>
        </w:tc>
        <w:tc>
          <w:tcPr>
            <w:tcW w:w="1616" w:type="dxa"/>
            <w:tcBorders>
              <w:top w:val="nil"/>
              <w:left w:val="nil"/>
              <w:bottom w:val="single" w:sz="4" w:space="0" w:color="auto"/>
              <w:right w:val="nil"/>
            </w:tcBorders>
            <w:shd w:val="clear" w:color="auto" w:fill="auto"/>
            <w:noWrap/>
            <w:vAlign w:val="bottom"/>
            <w:hideMark/>
          </w:tcPr>
          <w:p w:rsidR="007E0735" w:rsidRPr="00B736DE" w:rsidRDefault="007E0735" w:rsidP="007E0735">
            <w:pPr>
              <w:jc w:val="right"/>
            </w:pPr>
            <w:r>
              <w:t>-</w:t>
            </w:r>
          </w:p>
        </w:tc>
      </w:tr>
      <w:tr w:rsidR="007E0735" w:rsidRPr="00B736DE" w:rsidTr="007E0735">
        <w:trPr>
          <w:trHeight w:val="300"/>
        </w:trPr>
        <w:tc>
          <w:tcPr>
            <w:tcW w:w="9366" w:type="dxa"/>
            <w:tcBorders>
              <w:top w:val="nil"/>
              <w:left w:val="nil"/>
              <w:bottom w:val="nil"/>
              <w:right w:val="nil"/>
            </w:tcBorders>
            <w:shd w:val="clear" w:color="auto" w:fill="auto"/>
            <w:noWrap/>
            <w:vAlign w:val="bottom"/>
            <w:hideMark/>
          </w:tcPr>
          <w:p w:rsidR="007E0735" w:rsidRPr="00B736DE" w:rsidRDefault="007E0735" w:rsidP="007E0735"/>
        </w:tc>
        <w:tc>
          <w:tcPr>
            <w:tcW w:w="15" w:type="dxa"/>
            <w:tcBorders>
              <w:top w:val="nil"/>
              <w:left w:val="nil"/>
              <w:bottom w:val="nil"/>
              <w:right w:val="nil"/>
            </w:tcBorders>
            <w:shd w:val="clear" w:color="auto" w:fill="auto"/>
            <w:noWrap/>
            <w:vAlign w:val="bottom"/>
            <w:hideMark/>
          </w:tcPr>
          <w:p w:rsidR="007E0735" w:rsidRPr="00B736DE" w:rsidRDefault="007E0735" w:rsidP="007E0735"/>
        </w:tc>
        <w:tc>
          <w:tcPr>
            <w:tcW w:w="15" w:type="dxa"/>
            <w:tcBorders>
              <w:top w:val="nil"/>
              <w:left w:val="nil"/>
              <w:bottom w:val="nil"/>
              <w:right w:val="nil"/>
            </w:tcBorders>
            <w:shd w:val="clear" w:color="auto" w:fill="auto"/>
            <w:noWrap/>
            <w:vAlign w:val="bottom"/>
            <w:hideMark/>
          </w:tcPr>
          <w:p w:rsidR="007E0735" w:rsidRPr="00B736DE" w:rsidRDefault="007E0735" w:rsidP="007E0735"/>
        </w:tc>
        <w:tc>
          <w:tcPr>
            <w:tcW w:w="1196" w:type="dxa"/>
            <w:tcBorders>
              <w:top w:val="nil"/>
              <w:left w:val="nil"/>
              <w:bottom w:val="nil"/>
              <w:right w:val="nil"/>
            </w:tcBorders>
            <w:shd w:val="clear" w:color="auto" w:fill="auto"/>
            <w:noWrap/>
            <w:vAlign w:val="bottom"/>
            <w:hideMark/>
          </w:tcPr>
          <w:p w:rsidR="007E0735" w:rsidRPr="00B736DE" w:rsidRDefault="007E0735" w:rsidP="007E0735"/>
        </w:tc>
        <w:tc>
          <w:tcPr>
            <w:tcW w:w="1556" w:type="dxa"/>
            <w:tcBorders>
              <w:top w:val="nil"/>
              <w:left w:val="nil"/>
              <w:bottom w:val="nil"/>
              <w:right w:val="nil"/>
            </w:tcBorders>
            <w:shd w:val="clear" w:color="auto" w:fill="auto"/>
            <w:noWrap/>
            <w:vAlign w:val="bottom"/>
            <w:hideMark/>
          </w:tcPr>
          <w:p w:rsidR="007E0735" w:rsidRPr="00B736DE" w:rsidRDefault="007E0735" w:rsidP="007E0735"/>
        </w:tc>
        <w:tc>
          <w:tcPr>
            <w:tcW w:w="1616" w:type="dxa"/>
            <w:tcBorders>
              <w:top w:val="nil"/>
              <w:left w:val="nil"/>
              <w:bottom w:val="nil"/>
              <w:right w:val="nil"/>
            </w:tcBorders>
            <w:shd w:val="clear" w:color="auto" w:fill="auto"/>
            <w:noWrap/>
            <w:vAlign w:val="bottom"/>
            <w:hideMark/>
          </w:tcPr>
          <w:p w:rsidR="007E0735" w:rsidRPr="00B736DE" w:rsidRDefault="007E0735" w:rsidP="007E0735"/>
        </w:tc>
      </w:tr>
      <w:tr w:rsidR="007E0735" w:rsidRPr="00B736DE" w:rsidTr="007E0735">
        <w:trPr>
          <w:trHeight w:val="300"/>
        </w:trPr>
        <w:tc>
          <w:tcPr>
            <w:tcW w:w="9396" w:type="dxa"/>
            <w:gridSpan w:val="3"/>
            <w:tcBorders>
              <w:top w:val="nil"/>
              <w:left w:val="nil"/>
              <w:bottom w:val="nil"/>
              <w:right w:val="nil"/>
            </w:tcBorders>
            <w:shd w:val="clear" w:color="auto" w:fill="auto"/>
            <w:vAlign w:val="bottom"/>
            <w:hideMark/>
          </w:tcPr>
          <w:p w:rsidR="007E0735" w:rsidRPr="00B736DE" w:rsidRDefault="007E0735" w:rsidP="007E0735">
            <w:pPr>
              <w:rPr>
                <w:b/>
                <w:bCs/>
              </w:rPr>
            </w:pPr>
            <w:r w:rsidRPr="00B736DE">
              <w:rPr>
                <w:b/>
                <w:bCs/>
              </w:rPr>
              <w:t>Net Cost of Services in Comprehensive Income and Expenditure Statement</w:t>
            </w:r>
          </w:p>
        </w:tc>
        <w:tc>
          <w:tcPr>
            <w:tcW w:w="1196" w:type="dxa"/>
            <w:tcBorders>
              <w:top w:val="nil"/>
              <w:left w:val="nil"/>
              <w:bottom w:val="nil"/>
              <w:right w:val="nil"/>
            </w:tcBorders>
            <w:shd w:val="clear" w:color="auto" w:fill="auto"/>
            <w:noWrap/>
            <w:vAlign w:val="bottom"/>
            <w:hideMark/>
          </w:tcPr>
          <w:p w:rsidR="007E0735" w:rsidRPr="00B736DE" w:rsidRDefault="007E0735" w:rsidP="007E0735"/>
        </w:tc>
        <w:tc>
          <w:tcPr>
            <w:tcW w:w="1556" w:type="dxa"/>
            <w:tcBorders>
              <w:top w:val="nil"/>
              <w:left w:val="nil"/>
              <w:bottom w:val="nil"/>
              <w:right w:val="nil"/>
            </w:tcBorders>
            <w:shd w:val="clear" w:color="auto" w:fill="auto"/>
            <w:noWrap/>
            <w:vAlign w:val="bottom"/>
            <w:hideMark/>
          </w:tcPr>
          <w:p w:rsidR="007E0735" w:rsidRPr="00B736DE" w:rsidRDefault="007E0735" w:rsidP="007E0735"/>
        </w:tc>
        <w:tc>
          <w:tcPr>
            <w:tcW w:w="1616" w:type="dxa"/>
            <w:tcBorders>
              <w:top w:val="nil"/>
              <w:left w:val="nil"/>
              <w:bottom w:val="nil"/>
              <w:right w:val="nil"/>
            </w:tcBorders>
            <w:shd w:val="clear" w:color="auto" w:fill="auto"/>
            <w:noWrap/>
            <w:vAlign w:val="bottom"/>
            <w:hideMark/>
          </w:tcPr>
          <w:p w:rsidR="007E0735" w:rsidRPr="00B736DE" w:rsidRDefault="007E0735" w:rsidP="007E0735">
            <w:pPr>
              <w:jc w:val="right"/>
              <w:rPr>
                <w:b/>
                <w:bCs/>
              </w:rPr>
            </w:pPr>
            <w:r>
              <w:rPr>
                <w:b/>
                <w:bCs/>
              </w:rPr>
              <w:t>671,166</w:t>
            </w:r>
            <w:r w:rsidRPr="00B736DE">
              <w:rPr>
                <w:b/>
                <w:bCs/>
              </w:rPr>
              <w:t xml:space="preserve"> </w:t>
            </w:r>
          </w:p>
        </w:tc>
      </w:tr>
    </w:tbl>
    <w:p w:rsidR="00B75813" w:rsidRDefault="00B75813" w:rsidP="00BF06AB">
      <w:pPr>
        <w:rPr>
          <w:highlight w:val="yellow"/>
        </w:rPr>
      </w:pPr>
    </w:p>
    <w:tbl>
      <w:tblPr>
        <w:tblW w:w="15825" w:type="dxa"/>
        <w:tblInd w:w="108" w:type="dxa"/>
        <w:tblLook w:val="04A0"/>
      </w:tblPr>
      <w:tblGrid>
        <w:gridCol w:w="3878"/>
        <w:gridCol w:w="1488"/>
        <w:gridCol w:w="1277"/>
        <w:gridCol w:w="1700"/>
        <w:gridCol w:w="1590"/>
        <w:gridCol w:w="1693"/>
        <w:gridCol w:w="1533"/>
        <w:gridCol w:w="1378"/>
        <w:gridCol w:w="1288"/>
      </w:tblGrid>
      <w:tr w:rsidR="00B75813" w:rsidRPr="00B75813" w:rsidTr="00B75813">
        <w:trPr>
          <w:trHeight w:val="1718"/>
        </w:trPr>
        <w:tc>
          <w:tcPr>
            <w:tcW w:w="3878" w:type="dxa"/>
            <w:tcBorders>
              <w:top w:val="nil"/>
              <w:left w:val="nil"/>
              <w:bottom w:val="nil"/>
              <w:right w:val="nil"/>
            </w:tcBorders>
            <w:shd w:val="clear" w:color="auto" w:fill="auto"/>
            <w:noWrap/>
            <w:vAlign w:val="center"/>
            <w:hideMark/>
          </w:tcPr>
          <w:p w:rsidR="00B75813" w:rsidRPr="00B75813" w:rsidRDefault="00B75813" w:rsidP="00B75813">
            <w:pPr>
              <w:jc w:val="center"/>
              <w:rPr>
                <w:b/>
                <w:bCs/>
                <w:u w:val="single"/>
              </w:rPr>
            </w:pPr>
            <w:r w:rsidRPr="00B75813">
              <w:rPr>
                <w:b/>
                <w:bCs/>
                <w:u w:val="single"/>
              </w:rPr>
              <w:t>2010/11</w:t>
            </w:r>
          </w:p>
        </w:tc>
        <w:tc>
          <w:tcPr>
            <w:tcW w:w="1488" w:type="dxa"/>
            <w:tcBorders>
              <w:top w:val="nil"/>
              <w:left w:val="nil"/>
              <w:bottom w:val="nil"/>
              <w:right w:val="nil"/>
            </w:tcBorders>
            <w:shd w:val="clear" w:color="auto" w:fill="auto"/>
            <w:vAlign w:val="center"/>
            <w:hideMark/>
          </w:tcPr>
          <w:p w:rsidR="00B75813" w:rsidRPr="00B75813" w:rsidRDefault="00B75813" w:rsidP="00B75813">
            <w:pPr>
              <w:jc w:val="center"/>
              <w:rPr>
                <w:b/>
                <w:bCs/>
              </w:rPr>
            </w:pPr>
            <w:r w:rsidRPr="00B75813">
              <w:rPr>
                <w:b/>
                <w:bCs/>
              </w:rPr>
              <w:t>Directorate Analysis</w:t>
            </w:r>
          </w:p>
        </w:tc>
        <w:tc>
          <w:tcPr>
            <w:tcW w:w="1277" w:type="dxa"/>
            <w:tcBorders>
              <w:top w:val="nil"/>
              <w:left w:val="nil"/>
              <w:bottom w:val="nil"/>
              <w:right w:val="nil"/>
            </w:tcBorders>
            <w:shd w:val="clear" w:color="auto" w:fill="auto"/>
            <w:vAlign w:val="center"/>
            <w:hideMark/>
          </w:tcPr>
          <w:p w:rsidR="00B75813" w:rsidRPr="00B75813" w:rsidRDefault="00B75813" w:rsidP="00B75813">
            <w:pPr>
              <w:jc w:val="center"/>
              <w:rPr>
                <w:b/>
                <w:bCs/>
              </w:rPr>
            </w:pPr>
            <w:r w:rsidRPr="00B75813">
              <w:rPr>
                <w:b/>
                <w:bCs/>
              </w:rPr>
              <w:t>Services &amp; Support</w:t>
            </w:r>
          </w:p>
        </w:tc>
        <w:tc>
          <w:tcPr>
            <w:tcW w:w="1700" w:type="dxa"/>
            <w:tcBorders>
              <w:top w:val="nil"/>
              <w:left w:val="nil"/>
              <w:bottom w:val="nil"/>
              <w:right w:val="nil"/>
            </w:tcBorders>
            <w:shd w:val="clear" w:color="auto" w:fill="auto"/>
            <w:vAlign w:val="center"/>
            <w:hideMark/>
          </w:tcPr>
          <w:p w:rsidR="00B75813" w:rsidRPr="00B75813" w:rsidRDefault="00B75813" w:rsidP="00B75813">
            <w:pPr>
              <w:jc w:val="center"/>
              <w:rPr>
                <w:b/>
                <w:bCs/>
              </w:rPr>
            </w:pPr>
            <w:r w:rsidRPr="00B75813">
              <w:rPr>
                <w:b/>
                <w:bCs/>
              </w:rPr>
              <w:t xml:space="preserve">Amounts reported to management for decision making </w:t>
            </w:r>
          </w:p>
        </w:tc>
        <w:tc>
          <w:tcPr>
            <w:tcW w:w="1590" w:type="dxa"/>
            <w:tcBorders>
              <w:top w:val="nil"/>
              <w:left w:val="nil"/>
              <w:bottom w:val="nil"/>
              <w:right w:val="nil"/>
            </w:tcBorders>
            <w:shd w:val="clear" w:color="auto" w:fill="auto"/>
            <w:vAlign w:val="center"/>
            <w:hideMark/>
          </w:tcPr>
          <w:p w:rsidR="00B75813" w:rsidRPr="00B75813" w:rsidRDefault="00B75813" w:rsidP="00B75813">
            <w:pPr>
              <w:jc w:val="center"/>
              <w:rPr>
                <w:b/>
                <w:bCs/>
              </w:rPr>
            </w:pPr>
            <w:r w:rsidRPr="00B75813">
              <w:rPr>
                <w:b/>
                <w:bCs/>
              </w:rPr>
              <w:t>Amounts not included in the I&amp;E</w:t>
            </w:r>
          </w:p>
        </w:tc>
        <w:tc>
          <w:tcPr>
            <w:tcW w:w="1693" w:type="dxa"/>
            <w:tcBorders>
              <w:top w:val="nil"/>
              <w:left w:val="nil"/>
              <w:bottom w:val="nil"/>
              <w:right w:val="nil"/>
            </w:tcBorders>
            <w:shd w:val="clear" w:color="auto" w:fill="auto"/>
            <w:vAlign w:val="center"/>
            <w:hideMark/>
          </w:tcPr>
          <w:p w:rsidR="00B75813" w:rsidRPr="00B75813" w:rsidRDefault="00B75813" w:rsidP="00B75813">
            <w:pPr>
              <w:jc w:val="center"/>
              <w:rPr>
                <w:b/>
                <w:bCs/>
              </w:rPr>
            </w:pPr>
            <w:r w:rsidRPr="00B75813">
              <w:rPr>
                <w:b/>
                <w:bCs/>
              </w:rPr>
              <w:t>Allocation of Recharges</w:t>
            </w:r>
          </w:p>
        </w:tc>
        <w:tc>
          <w:tcPr>
            <w:tcW w:w="1533" w:type="dxa"/>
            <w:tcBorders>
              <w:top w:val="nil"/>
              <w:left w:val="nil"/>
              <w:bottom w:val="nil"/>
              <w:right w:val="nil"/>
            </w:tcBorders>
            <w:shd w:val="clear" w:color="auto" w:fill="auto"/>
            <w:vAlign w:val="center"/>
            <w:hideMark/>
          </w:tcPr>
          <w:p w:rsidR="00B75813" w:rsidRPr="00B75813" w:rsidRDefault="00B75813" w:rsidP="00B75813">
            <w:pPr>
              <w:jc w:val="center"/>
              <w:rPr>
                <w:b/>
                <w:bCs/>
              </w:rPr>
            </w:pPr>
            <w:r w:rsidRPr="00B75813">
              <w:rPr>
                <w:b/>
                <w:bCs/>
              </w:rPr>
              <w:t>Cost of Services</w:t>
            </w:r>
          </w:p>
        </w:tc>
        <w:tc>
          <w:tcPr>
            <w:tcW w:w="1378" w:type="dxa"/>
            <w:tcBorders>
              <w:top w:val="nil"/>
              <w:left w:val="nil"/>
              <w:bottom w:val="nil"/>
              <w:right w:val="nil"/>
            </w:tcBorders>
            <w:shd w:val="clear" w:color="auto" w:fill="auto"/>
            <w:vAlign w:val="center"/>
            <w:hideMark/>
          </w:tcPr>
          <w:p w:rsidR="00B75813" w:rsidRPr="00B75813" w:rsidRDefault="00B75813" w:rsidP="00B75813">
            <w:pPr>
              <w:jc w:val="center"/>
              <w:rPr>
                <w:b/>
                <w:bCs/>
              </w:rPr>
            </w:pPr>
            <w:r w:rsidRPr="00B75813">
              <w:rPr>
                <w:b/>
                <w:bCs/>
              </w:rPr>
              <w:t>Corporate Amounts</w:t>
            </w:r>
          </w:p>
        </w:tc>
        <w:tc>
          <w:tcPr>
            <w:tcW w:w="1288" w:type="dxa"/>
            <w:tcBorders>
              <w:top w:val="nil"/>
              <w:left w:val="nil"/>
              <w:bottom w:val="nil"/>
              <w:right w:val="nil"/>
            </w:tcBorders>
            <w:shd w:val="clear" w:color="auto" w:fill="auto"/>
            <w:noWrap/>
            <w:vAlign w:val="center"/>
            <w:hideMark/>
          </w:tcPr>
          <w:p w:rsidR="00B75813" w:rsidRPr="00B75813" w:rsidRDefault="00B75813" w:rsidP="00B75813">
            <w:pPr>
              <w:jc w:val="center"/>
              <w:rPr>
                <w:b/>
                <w:bCs/>
              </w:rPr>
            </w:pPr>
            <w:r w:rsidRPr="00B75813">
              <w:rPr>
                <w:b/>
                <w:bCs/>
              </w:rPr>
              <w:t>Total</w:t>
            </w:r>
          </w:p>
        </w:tc>
      </w:tr>
      <w:tr w:rsidR="00B75813" w:rsidRPr="00B75813" w:rsidTr="00B75813">
        <w:trPr>
          <w:trHeight w:val="245"/>
        </w:trPr>
        <w:tc>
          <w:tcPr>
            <w:tcW w:w="3878" w:type="dxa"/>
            <w:tcBorders>
              <w:top w:val="nil"/>
              <w:left w:val="nil"/>
              <w:bottom w:val="nil"/>
              <w:right w:val="nil"/>
            </w:tcBorders>
            <w:shd w:val="clear" w:color="auto" w:fill="auto"/>
            <w:noWrap/>
            <w:vAlign w:val="bottom"/>
            <w:hideMark/>
          </w:tcPr>
          <w:p w:rsidR="00B75813" w:rsidRPr="00B75813" w:rsidRDefault="00B75813" w:rsidP="00B75813"/>
        </w:tc>
        <w:tc>
          <w:tcPr>
            <w:tcW w:w="1488" w:type="dxa"/>
            <w:tcBorders>
              <w:top w:val="nil"/>
              <w:left w:val="nil"/>
              <w:bottom w:val="nil"/>
              <w:right w:val="nil"/>
            </w:tcBorders>
            <w:shd w:val="clear" w:color="auto" w:fill="auto"/>
            <w:noWrap/>
            <w:vAlign w:val="bottom"/>
            <w:hideMark/>
          </w:tcPr>
          <w:p w:rsidR="00B75813" w:rsidRPr="00B75813" w:rsidRDefault="00B75813" w:rsidP="00B75813">
            <w:pPr>
              <w:jc w:val="center"/>
              <w:rPr>
                <w:b/>
                <w:bCs/>
              </w:rPr>
            </w:pPr>
            <w:r w:rsidRPr="00B75813">
              <w:rPr>
                <w:b/>
                <w:bCs/>
              </w:rPr>
              <w:t>£000</w:t>
            </w:r>
          </w:p>
        </w:tc>
        <w:tc>
          <w:tcPr>
            <w:tcW w:w="1277" w:type="dxa"/>
            <w:tcBorders>
              <w:top w:val="nil"/>
              <w:left w:val="nil"/>
              <w:bottom w:val="nil"/>
              <w:right w:val="nil"/>
            </w:tcBorders>
            <w:shd w:val="clear" w:color="auto" w:fill="auto"/>
            <w:noWrap/>
            <w:vAlign w:val="bottom"/>
            <w:hideMark/>
          </w:tcPr>
          <w:p w:rsidR="00B75813" w:rsidRPr="00B75813" w:rsidRDefault="00B75813" w:rsidP="00B75813">
            <w:pPr>
              <w:jc w:val="center"/>
              <w:rPr>
                <w:b/>
                <w:bCs/>
              </w:rPr>
            </w:pPr>
            <w:r w:rsidRPr="00B75813">
              <w:rPr>
                <w:b/>
                <w:bCs/>
              </w:rPr>
              <w:t>£000</w:t>
            </w:r>
          </w:p>
        </w:tc>
        <w:tc>
          <w:tcPr>
            <w:tcW w:w="1700" w:type="dxa"/>
            <w:tcBorders>
              <w:top w:val="nil"/>
              <w:left w:val="nil"/>
              <w:bottom w:val="nil"/>
              <w:right w:val="nil"/>
            </w:tcBorders>
            <w:shd w:val="clear" w:color="auto" w:fill="auto"/>
            <w:noWrap/>
            <w:vAlign w:val="bottom"/>
            <w:hideMark/>
          </w:tcPr>
          <w:p w:rsidR="00B75813" w:rsidRPr="00B75813" w:rsidRDefault="00B75813" w:rsidP="00B75813">
            <w:pPr>
              <w:jc w:val="center"/>
              <w:rPr>
                <w:b/>
                <w:bCs/>
              </w:rPr>
            </w:pPr>
            <w:r w:rsidRPr="00B75813">
              <w:rPr>
                <w:b/>
                <w:bCs/>
              </w:rPr>
              <w:t>£000</w:t>
            </w:r>
          </w:p>
        </w:tc>
        <w:tc>
          <w:tcPr>
            <w:tcW w:w="1590" w:type="dxa"/>
            <w:tcBorders>
              <w:top w:val="nil"/>
              <w:left w:val="nil"/>
              <w:bottom w:val="nil"/>
              <w:right w:val="nil"/>
            </w:tcBorders>
            <w:shd w:val="clear" w:color="auto" w:fill="auto"/>
            <w:noWrap/>
            <w:vAlign w:val="bottom"/>
            <w:hideMark/>
          </w:tcPr>
          <w:p w:rsidR="00B75813" w:rsidRPr="00B75813" w:rsidRDefault="00B75813" w:rsidP="00B75813">
            <w:pPr>
              <w:jc w:val="center"/>
              <w:rPr>
                <w:b/>
                <w:bCs/>
              </w:rPr>
            </w:pPr>
            <w:r w:rsidRPr="00B75813">
              <w:rPr>
                <w:b/>
                <w:bCs/>
              </w:rPr>
              <w:t>£000</w:t>
            </w:r>
          </w:p>
        </w:tc>
        <w:tc>
          <w:tcPr>
            <w:tcW w:w="1693" w:type="dxa"/>
            <w:tcBorders>
              <w:top w:val="nil"/>
              <w:left w:val="nil"/>
              <w:bottom w:val="nil"/>
              <w:right w:val="nil"/>
            </w:tcBorders>
            <w:shd w:val="clear" w:color="auto" w:fill="auto"/>
            <w:noWrap/>
            <w:vAlign w:val="bottom"/>
            <w:hideMark/>
          </w:tcPr>
          <w:p w:rsidR="00B75813" w:rsidRPr="00B75813" w:rsidRDefault="00B75813" w:rsidP="00B75813">
            <w:pPr>
              <w:jc w:val="center"/>
              <w:rPr>
                <w:b/>
                <w:bCs/>
              </w:rPr>
            </w:pPr>
            <w:r w:rsidRPr="00B75813">
              <w:rPr>
                <w:b/>
                <w:bCs/>
              </w:rPr>
              <w:t>£000</w:t>
            </w:r>
          </w:p>
        </w:tc>
        <w:tc>
          <w:tcPr>
            <w:tcW w:w="1533" w:type="dxa"/>
            <w:tcBorders>
              <w:top w:val="nil"/>
              <w:left w:val="nil"/>
              <w:bottom w:val="nil"/>
              <w:right w:val="nil"/>
            </w:tcBorders>
            <w:shd w:val="clear" w:color="auto" w:fill="auto"/>
            <w:noWrap/>
            <w:vAlign w:val="bottom"/>
            <w:hideMark/>
          </w:tcPr>
          <w:p w:rsidR="00B75813" w:rsidRPr="00B75813" w:rsidRDefault="00B75813" w:rsidP="00B75813">
            <w:pPr>
              <w:jc w:val="center"/>
              <w:rPr>
                <w:b/>
                <w:bCs/>
              </w:rPr>
            </w:pPr>
            <w:r w:rsidRPr="00B75813">
              <w:rPr>
                <w:b/>
                <w:bCs/>
              </w:rPr>
              <w:t>£000</w:t>
            </w:r>
          </w:p>
        </w:tc>
        <w:tc>
          <w:tcPr>
            <w:tcW w:w="1378" w:type="dxa"/>
            <w:tcBorders>
              <w:top w:val="nil"/>
              <w:left w:val="nil"/>
              <w:bottom w:val="nil"/>
              <w:right w:val="nil"/>
            </w:tcBorders>
            <w:shd w:val="clear" w:color="auto" w:fill="auto"/>
            <w:noWrap/>
            <w:vAlign w:val="bottom"/>
            <w:hideMark/>
          </w:tcPr>
          <w:p w:rsidR="00B75813" w:rsidRPr="00B75813" w:rsidRDefault="00B75813" w:rsidP="00B75813">
            <w:pPr>
              <w:jc w:val="center"/>
              <w:rPr>
                <w:b/>
                <w:bCs/>
              </w:rPr>
            </w:pPr>
            <w:r w:rsidRPr="00B75813">
              <w:rPr>
                <w:b/>
                <w:bCs/>
              </w:rPr>
              <w:t>£000</w:t>
            </w:r>
          </w:p>
        </w:tc>
        <w:tc>
          <w:tcPr>
            <w:tcW w:w="1288" w:type="dxa"/>
            <w:tcBorders>
              <w:top w:val="nil"/>
              <w:left w:val="nil"/>
              <w:bottom w:val="nil"/>
              <w:right w:val="nil"/>
            </w:tcBorders>
            <w:shd w:val="clear" w:color="auto" w:fill="auto"/>
            <w:noWrap/>
            <w:vAlign w:val="bottom"/>
            <w:hideMark/>
          </w:tcPr>
          <w:p w:rsidR="00B75813" w:rsidRPr="00B75813" w:rsidRDefault="00B75813" w:rsidP="00B75813">
            <w:pPr>
              <w:jc w:val="center"/>
              <w:rPr>
                <w:b/>
                <w:bCs/>
              </w:rPr>
            </w:pPr>
            <w:r w:rsidRPr="00B75813">
              <w:rPr>
                <w:b/>
                <w:bCs/>
              </w:rPr>
              <w:t>£000</w:t>
            </w:r>
          </w:p>
        </w:tc>
      </w:tr>
      <w:tr w:rsidR="00B75813" w:rsidRPr="00B75813" w:rsidTr="00B75813">
        <w:trPr>
          <w:trHeight w:val="245"/>
        </w:trPr>
        <w:tc>
          <w:tcPr>
            <w:tcW w:w="3878" w:type="dxa"/>
            <w:tcBorders>
              <w:top w:val="nil"/>
              <w:left w:val="nil"/>
              <w:bottom w:val="nil"/>
              <w:right w:val="nil"/>
            </w:tcBorders>
            <w:shd w:val="clear" w:color="auto" w:fill="auto"/>
            <w:vAlign w:val="bottom"/>
            <w:hideMark/>
          </w:tcPr>
          <w:p w:rsidR="00B75813" w:rsidRPr="00B75813" w:rsidRDefault="00B75813" w:rsidP="00B75813"/>
        </w:tc>
        <w:tc>
          <w:tcPr>
            <w:tcW w:w="1488" w:type="dxa"/>
            <w:tcBorders>
              <w:top w:val="nil"/>
              <w:left w:val="nil"/>
              <w:bottom w:val="nil"/>
              <w:right w:val="nil"/>
            </w:tcBorders>
            <w:shd w:val="clear" w:color="auto" w:fill="auto"/>
            <w:noWrap/>
            <w:vAlign w:val="bottom"/>
            <w:hideMark/>
          </w:tcPr>
          <w:p w:rsidR="00B75813" w:rsidRPr="00B75813" w:rsidRDefault="00B75813" w:rsidP="00B75813"/>
        </w:tc>
        <w:tc>
          <w:tcPr>
            <w:tcW w:w="1277" w:type="dxa"/>
            <w:tcBorders>
              <w:top w:val="nil"/>
              <w:left w:val="nil"/>
              <w:bottom w:val="nil"/>
              <w:right w:val="nil"/>
            </w:tcBorders>
            <w:shd w:val="clear" w:color="auto" w:fill="auto"/>
            <w:noWrap/>
            <w:vAlign w:val="bottom"/>
            <w:hideMark/>
          </w:tcPr>
          <w:p w:rsidR="00B75813" w:rsidRPr="00B75813" w:rsidRDefault="00B75813" w:rsidP="00B75813"/>
        </w:tc>
        <w:tc>
          <w:tcPr>
            <w:tcW w:w="1700" w:type="dxa"/>
            <w:tcBorders>
              <w:top w:val="nil"/>
              <w:left w:val="nil"/>
              <w:bottom w:val="nil"/>
              <w:right w:val="nil"/>
            </w:tcBorders>
            <w:shd w:val="clear" w:color="auto" w:fill="auto"/>
            <w:noWrap/>
            <w:vAlign w:val="bottom"/>
            <w:hideMark/>
          </w:tcPr>
          <w:p w:rsidR="00B75813" w:rsidRPr="00B75813" w:rsidRDefault="00B75813" w:rsidP="00B75813">
            <w:pPr>
              <w:jc w:val="right"/>
            </w:pPr>
          </w:p>
        </w:tc>
        <w:tc>
          <w:tcPr>
            <w:tcW w:w="1590" w:type="dxa"/>
            <w:tcBorders>
              <w:top w:val="nil"/>
              <w:left w:val="nil"/>
              <w:bottom w:val="nil"/>
              <w:right w:val="nil"/>
            </w:tcBorders>
            <w:shd w:val="clear" w:color="auto" w:fill="auto"/>
            <w:noWrap/>
            <w:vAlign w:val="bottom"/>
            <w:hideMark/>
          </w:tcPr>
          <w:p w:rsidR="00B75813" w:rsidRPr="00B75813" w:rsidRDefault="00B75813" w:rsidP="00B75813">
            <w:pPr>
              <w:jc w:val="right"/>
            </w:pPr>
          </w:p>
        </w:tc>
        <w:tc>
          <w:tcPr>
            <w:tcW w:w="1693" w:type="dxa"/>
            <w:tcBorders>
              <w:top w:val="nil"/>
              <w:left w:val="nil"/>
              <w:bottom w:val="nil"/>
              <w:right w:val="nil"/>
            </w:tcBorders>
            <w:shd w:val="clear" w:color="auto" w:fill="auto"/>
            <w:noWrap/>
            <w:vAlign w:val="bottom"/>
            <w:hideMark/>
          </w:tcPr>
          <w:p w:rsidR="00B75813" w:rsidRPr="00B75813" w:rsidRDefault="00B75813" w:rsidP="00B75813"/>
        </w:tc>
        <w:tc>
          <w:tcPr>
            <w:tcW w:w="1533" w:type="dxa"/>
            <w:tcBorders>
              <w:top w:val="nil"/>
              <w:left w:val="nil"/>
              <w:bottom w:val="nil"/>
              <w:right w:val="nil"/>
            </w:tcBorders>
            <w:shd w:val="clear" w:color="auto" w:fill="auto"/>
            <w:noWrap/>
            <w:vAlign w:val="bottom"/>
            <w:hideMark/>
          </w:tcPr>
          <w:p w:rsidR="00B75813" w:rsidRPr="00B75813" w:rsidRDefault="00B75813" w:rsidP="00B75813"/>
        </w:tc>
        <w:tc>
          <w:tcPr>
            <w:tcW w:w="1378" w:type="dxa"/>
            <w:tcBorders>
              <w:top w:val="nil"/>
              <w:left w:val="nil"/>
              <w:bottom w:val="nil"/>
              <w:right w:val="nil"/>
            </w:tcBorders>
            <w:shd w:val="clear" w:color="auto" w:fill="auto"/>
            <w:noWrap/>
            <w:vAlign w:val="bottom"/>
            <w:hideMark/>
          </w:tcPr>
          <w:p w:rsidR="00B75813" w:rsidRPr="00B75813" w:rsidRDefault="00B75813" w:rsidP="00B75813">
            <w:pPr>
              <w:jc w:val="right"/>
            </w:pPr>
          </w:p>
        </w:tc>
        <w:tc>
          <w:tcPr>
            <w:tcW w:w="1288" w:type="dxa"/>
            <w:tcBorders>
              <w:top w:val="nil"/>
              <w:left w:val="nil"/>
              <w:bottom w:val="nil"/>
              <w:right w:val="nil"/>
            </w:tcBorders>
            <w:shd w:val="clear" w:color="auto" w:fill="auto"/>
            <w:noWrap/>
            <w:vAlign w:val="bottom"/>
            <w:hideMark/>
          </w:tcPr>
          <w:p w:rsidR="00B75813" w:rsidRPr="00B75813" w:rsidRDefault="00B75813" w:rsidP="00B75813"/>
        </w:tc>
      </w:tr>
      <w:tr w:rsidR="00B75813" w:rsidRPr="00B75813" w:rsidTr="00001A63">
        <w:trPr>
          <w:trHeight w:val="479"/>
        </w:trPr>
        <w:tc>
          <w:tcPr>
            <w:tcW w:w="3878" w:type="dxa"/>
            <w:tcBorders>
              <w:top w:val="nil"/>
              <w:left w:val="nil"/>
              <w:bottom w:val="nil"/>
              <w:right w:val="nil"/>
            </w:tcBorders>
            <w:shd w:val="clear" w:color="auto" w:fill="auto"/>
            <w:vAlign w:val="bottom"/>
            <w:hideMark/>
          </w:tcPr>
          <w:p w:rsidR="00B75813" w:rsidRPr="00B75813" w:rsidRDefault="00B75813" w:rsidP="00B75813">
            <w:r w:rsidRPr="00B75813">
              <w:t>Fees, charges and other service income</w:t>
            </w:r>
          </w:p>
        </w:tc>
        <w:tc>
          <w:tcPr>
            <w:tcW w:w="1488" w:type="dxa"/>
            <w:tcBorders>
              <w:top w:val="nil"/>
              <w:left w:val="nil"/>
              <w:bottom w:val="nil"/>
              <w:right w:val="nil"/>
            </w:tcBorders>
            <w:shd w:val="clear" w:color="auto" w:fill="auto"/>
            <w:noWrap/>
            <w:vAlign w:val="bottom"/>
            <w:hideMark/>
          </w:tcPr>
          <w:p w:rsidR="00B75813" w:rsidRPr="00B75813" w:rsidRDefault="00B75813" w:rsidP="00B75813">
            <w:pPr>
              <w:jc w:val="right"/>
            </w:pPr>
            <w:r w:rsidRPr="00B75813">
              <w:t>267,324</w:t>
            </w:r>
          </w:p>
        </w:tc>
        <w:tc>
          <w:tcPr>
            <w:tcW w:w="1277" w:type="dxa"/>
            <w:tcBorders>
              <w:top w:val="nil"/>
              <w:left w:val="nil"/>
              <w:bottom w:val="nil"/>
              <w:right w:val="nil"/>
            </w:tcBorders>
            <w:shd w:val="clear" w:color="auto" w:fill="auto"/>
            <w:noWrap/>
            <w:vAlign w:val="bottom"/>
            <w:hideMark/>
          </w:tcPr>
          <w:p w:rsidR="00B75813" w:rsidRPr="00B75813" w:rsidRDefault="00001A63" w:rsidP="00001A63">
            <w:pPr>
              <w:jc w:val="right"/>
            </w:pPr>
            <w:r>
              <w:t>-</w:t>
            </w:r>
          </w:p>
        </w:tc>
        <w:tc>
          <w:tcPr>
            <w:tcW w:w="1700" w:type="dxa"/>
            <w:tcBorders>
              <w:top w:val="nil"/>
              <w:left w:val="nil"/>
              <w:bottom w:val="nil"/>
              <w:right w:val="nil"/>
            </w:tcBorders>
            <w:shd w:val="clear" w:color="auto" w:fill="auto"/>
            <w:noWrap/>
            <w:vAlign w:val="bottom"/>
            <w:hideMark/>
          </w:tcPr>
          <w:p w:rsidR="00B75813" w:rsidRPr="00B75813" w:rsidRDefault="00B75813" w:rsidP="00B75813">
            <w:pPr>
              <w:jc w:val="right"/>
            </w:pPr>
            <w:r w:rsidRPr="00B75813">
              <w:t>8,471</w:t>
            </w:r>
          </w:p>
        </w:tc>
        <w:tc>
          <w:tcPr>
            <w:tcW w:w="1590" w:type="dxa"/>
            <w:tcBorders>
              <w:top w:val="nil"/>
              <w:left w:val="nil"/>
              <w:bottom w:val="nil"/>
              <w:right w:val="nil"/>
            </w:tcBorders>
            <w:shd w:val="clear" w:color="auto" w:fill="auto"/>
            <w:noWrap/>
            <w:vAlign w:val="bottom"/>
            <w:hideMark/>
          </w:tcPr>
          <w:p w:rsidR="00B75813" w:rsidRPr="00B75813" w:rsidRDefault="00B75813" w:rsidP="00B75813">
            <w:pPr>
              <w:jc w:val="right"/>
            </w:pPr>
            <w:r w:rsidRPr="00B75813">
              <w:t>(6,795)</w:t>
            </w:r>
          </w:p>
        </w:tc>
        <w:tc>
          <w:tcPr>
            <w:tcW w:w="1693" w:type="dxa"/>
            <w:tcBorders>
              <w:top w:val="nil"/>
              <w:left w:val="nil"/>
              <w:bottom w:val="nil"/>
              <w:right w:val="nil"/>
            </w:tcBorders>
            <w:shd w:val="clear" w:color="auto" w:fill="auto"/>
            <w:noWrap/>
            <w:vAlign w:val="bottom"/>
            <w:hideMark/>
          </w:tcPr>
          <w:p w:rsidR="00B75813" w:rsidRPr="00B75813" w:rsidRDefault="00B75813" w:rsidP="00B75813">
            <w:pPr>
              <w:jc w:val="right"/>
            </w:pPr>
            <w:r w:rsidRPr="00B75813">
              <w:t>(33,241)</w:t>
            </w:r>
          </w:p>
        </w:tc>
        <w:tc>
          <w:tcPr>
            <w:tcW w:w="1533" w:type="dxa"/>
            <w:tcBorders>
              <w:top w:val="nil"/>
              <w:left w:val="nil"/>
              <w:bottom w:val="nil"/>
              <w:right w:val="nil"/>
            </w:tcBorders>
            <w:shd w:val="clear" w:color="auto" w:fill="auto"/>
            <w:noWrap/>
            <w:vAlign w:val="bottom"/>
            <w:hideMark/>
          </w:tcPr>
          <w:p w:rsidR="00B75813" w:rsidRPr="00B75813" w:rsidRDefault="00B75813" w:rsidP="00B75813">
            <w:pPr>
              <w:jc w:val="right"/>
            </w:pPr>
            <w:r w:rsidRPr="00B75813">
              <w:t>235,759</w:t>
            </w:r>
          </w:p>
        </w:tc>
        <w:tc>
          <w:tcPr>
            <w:tcW w:w="1378" w:type="dxa"/>
            <w:tcBorders>
              <w:top w:val="nil"/>
              <w:left w:val="nil"/>
              <w:bottom w:val="nil"/>
              <w:right w:val="nil"/>
            </w:tcBorders>
            <w:shd w:val="clear" w:color="auto" w:fill="auto"/>
            <w:noWrap/>
            <w:vAlign w:val="bottom"/>
            <w:hideMark/>
          </w:tcPr>
          <w:p w:rsidR="00B75813" w:rsidRPr="00B75813" w:rsidRDefault="00B75813" w:rsidP="00B75813">
            <w:pPr>
              <w:jc w:val="right"/>
            </w:pPr>
            <w:r w:rsidRPr="00B75813">
              <w:t>11,570</w:t>
            </w:r>
          </w:p>
        </w:tc>
        <w:tc>
          <w:tcPr>
            <w:tcW w:w="1288" w:type="dxa"/>
            <w:tcBorders>
              <w:top w:val="nil"/>
              <w:left w:val="nil"/>
              <w:bottom w:val="nil"/>
              <w:right w:val="nil"/>
            </w:tcBorders>
            <w:shd w:val="clear" w:color="auto" w:fill="auto"/>
            <w:noWrap/>
            <w:vAlign w:val="bottom"/>
            <w:hideMark/>
          </w:tcPr>
          <w:p w:rsidR="00B75813" w:rsidRPr="00B75813" w:rsidRDefault="00B75813" w:rsidP="00B75813">
            <w:pPr>
              <w:jc w:val="right"/>
            </w:pPr>
            <w:r w:rsidRPr="00B75813">
              <w:t>247,329</w:t>
            </w:r>
          </w:p>
        </w:tc>
      </w:tr>
      <w:tr w:rsidR="00B75813" w:rsidRPr="00B75813" w:rsidTr="00001A63">
        <w:trPr>
          <w:trHeight w:val="479"/>
        </w:trPr>
        <w:tc>
          <w:tcPr>
            <w:tcW w:w="3878" w:type="dxa"/>
            <w:tcBorders>
              <w:top w:val="nil"/>
              <w:left w:val="nil"/>
              <w:bottom w:val="nil"/>
              <w:right w:val="nil"/>
            </w:tcBorders>
            <w:shd w:val="clear" w:color="auto" w:fill="auto"/>
            <w:vAlign w:val="bottom"/>
            <w:hideMark/>
          </w:tcPr>
          <w:p w:rsidR="00B75813" w:rsidRPr="00B75813" w:rsidRDefault="00B75813" w:rsidP="00B75813">
            <w:r w:rsidRPr="00B75813">
              <w:t>Surplus or deficit on associates and joint ventures</w:t>
            </w:r>
          </w:p>
        </w:tc>
        <w:tc>
          <w:tcPr>
            <w:tcW w:w="1488" w:type="dxa"/>
            <w:tcBorders>
              <w:top w:val="nil"/>
              <w:left w:val="nil"/>
              <w:bottom w:val="nil"/>
              <w:right w:val="nil"/>
            </w:tcBorders>
            <w:shd w:val="clear" w:color="auto" w:fill="auto"/>
            <w:noWrap/>
            <w:vAlign w:val="bottom"/>
            <w:hideMark/>
          </w:tcPr>
          <w:p w:rsidR="00B75813" w:rsidRPr="00B75813" w:rsidRDefault="00001A63" w:rsidP="00001A63">
            <w:pPr>
              <w:jc w:val="right"/>
            </w:pPr>
            <w:r>
              <w:t>-</w:t>
            </w:r>
          </w:p>
        </w:tc>
        <w:tc>
          <w:tcPr>
            <w:tcW w:w="1277" w:type="dxa"/>
            <w:tcBorders>
              <w:top w:val="nil"/>
              <w:left w:val="nil"/>
              <w:bottom w:val="nil"/>
              <w:right w:val="nil"/>
            </w:tcBorders>
            <w:shd w:val="clear" w:color="auto" w:fill="auto"/>
            <w:noWrap/>
            <w:vAlign w:val="bottom"/>
            <w:hideMark/>
          </w:tcPr>
          <w:p w:rsidR="00B75813" w:rsidRPr="00B75813" w:rsidRDefault="00001A63" w:rsidP="00001A63">
            <w:pPr>
              <w:jc w:val="right"/>
            </w:pPr>
            <w:r>
              <w:t>-</w:t>
            </w:r>
          </w:p>
        </w:tc>
        <w:tc>
          <w:tcPr>
            <w:tcW w:w="1700" w:type="dxa"/>
            <w:tcBorders>
              <w:top w:val="nil"/>
              <w:left w:val="nil"/>
              <w:bottom w:val="nil"/>
              <w:right w:val="nil"/>
            </w:tcBorders>
            <w:shd w:val="clear" w:color="auto" w:fill="auto"/>
            <w:noWrap/>
            <w:vAlign w:val="bottom"/>
            <w:hideMark/>
          </w:tcPr>
          <w:p w:rsidR="00B75813" w:rsidRPr="00B75813" w:rsidRDefault="00001A63" w:rsidP="00001A63">
            <w:pPr>
              <w:jc w:val="right"/>
            </w:pPr>
            <w:r>
              <w:t>-</w:t>
            </w:r>
          </w:p>
        </w:tc>
        <w:tc>
          <w:tcPr>
            <w:tcW w:w="1590" w:type="dxa"/>
            <w:tcBorders>
              <w:top w:val="nil"/>
              <w:left w:val="nil"/>
              <w:bottom w:val="nil"/>
              <w:right w:val="nil"/>
            </w:tcBorders>
            <w:shd w:val="clear" w:color="auto" w:fill="auto"/>
            <w:noWrap/>
            <w:vAlign w:val="bottom"/>
            <w:hideMark/>
          </w:tcPr>
          <w:p w:rsidR="00B75813" w:rsidRPr="00B75813" w:rsidRDefault="00001A63" w:rsidP="00001A63">
            <w:pPr>
              <w:jc w:val="right"/>
            </w:pPr>
            <w:r>
              <w:t>-</w:t>
            </w:r>
          </w:p>
        </w:tc>
        <w:tc>
          <w:tcPr>
            <w:tcW w:w="1693" w:type="dxa"/>
            <w:tcBorders>
              <w:top w:val="nil"/>
              <w:left w:val="nil"/>
              <w:bottom w:val="nil"/>
              <w:right w:val="nil"/>
            </w:tcBorders>
            <w:shd w:val="clear" w:color="auto" w:fill="auto"/>
            <w:noWrap/>
            <w:vAlign w:val="bottom"/>
            <w:hideMark/>
          </w:tcPr>
          <w:p w:rsidR="00B75813" w:rsidRPr="00B75813" w:rsidRDefault="00001A63" w:rsidP="00001A63">
            <w:pPr>
              <w:jc w:val="right"/>
            </w:pPr>
            <w:r>
              <w:t>-</w:t>
            </w:r>
          </w:p>
        </w:tc>
        <w:tc>
          <w:tcPr>
            <w:tcW w:w="1533" w:type="dxa"/>
            <w:tcBorders>
              <w:top w:val="nil"/>
              <w:left w:val="nil"/>
              <w:bottom w:val="nil"/>
              <w:right w:val="nil"/>
            </w:tcBorders>
            <w:shd w:val="clear" w:color="auto" w:fill="auto"/>
            <w:noWrap/>
            <w:vAlign w:val="bottom"/>
            <w:hideMark/>
          </w:tcPr>
          <w:p w:rsidR="00B75813" w:rsidRPr="00B75813" w:rsidRDefault="00B75813" w:rsidP="00001A63">
            <w:pPr>
              <w:jc w:val="right"/>
            </w:pPr>
            <w:r w:rsidRPr="00B75813">
              <w:t>-</w:t>
            </w:r>
          </w:p>
        </w:tc>
        <w:tc>
          <w:tcPr>
            <w:tcW w:w="1378" w:type="dxa"/>
            <w:tcBorders>
              <w:top w:val="nil"/>
              <w:left w:val="nil"/>
              <w:bottom w:val="nil"/>
              <w:right w:val="nil"/>
            </w:tcBorders>
            <w:shd w:val="clear" w:color="auto" w:fill="auto"/>
            <w:noWrap/>
            <w:vAlign w:val="bottom"/>
            <w:hideMark/>
          </w:tcPr>
          <w:p w:rsidR="00B75813" w:rsidRPr="00B75813" w:rsidRDefault="00B75813" w:rsidP="00B75813"/>
        </w:tc>
        <w:tc>
          <w:tcPr>
            <w:tcW w:w="1288" w:type="dxa"/>
            <w:tcBorders>
              <w:top w:val="nil"/>
              <w:left w:val="nil"/>
              <w:bottom w:val="nil"/>
              <w:right w:val="nil"/>
            </w:tcBorders>
            <w:shd w:val="clear" w:color="auto" w:fill="auto"/>
            <w:noWrap/>
            <w:vAlign w:val="bottom"/>
            <w:hideMark/>
          </w:tcPr>
          <w:p w:rsidR="00B75813" w:rsidRPr="00B75813" w:rsidRDefault="00B75813" w:rsidP="00B75813">
            <w:pPr>
              <w:jc w:val="right"/>
            </w:pPr>
            <w:r w:rsidRPr="00B75813">
              <w:t>-</w:t>
            </w:r>
          </w:p>
        </w:tc>
      </w:tr>
      <w:tr w:rsidR="00001A63" w:rsidRPr="00B75813" w:rsidTr="00B75813">
        <w:trPr>
          <w:trHeight w:val="245"/>
        </w:trPr>
        <w:tc>
          <w:tcPr>
            <w:tcW w:w="3878" w:type="dxa"/>
            <w:tcBorders>
              <w:top w:val="nil"/>
              <w:left w:val="nil"/>
              <w:bottom w:val="nil"/>
              <w:right w:val="nil"/>
            </w:tcBorders>
            <w:shd w:val="clear" w:color="auto" w:fill="auto"/>
            <w:vAlign w:val="bottom"/>
            <w:hideMark/>
          </w:tcPr>
          <w:p w:rsidR="00001A63" w:rsidRPr="00B75813" w:rsidRDefault="00001A63" w:rsidP="00B75813">
            <w:r w:rsidRPr="00B75813">
              <w:t>interest and investment income</w:t>
            </w:r>
          </w:p>
        </w:tc>
        <w:tc>
          <w:tcPr>
            <w:tcW w:w="1488" w:type="dxa"/>
            <w:tcBorders>
              <w:top w:val="nil"/>
              <w:left w:val="nil"/>
              <w:bottom w:val="nil"/>
              <w:right w:val="nil"/>
            </w:tcBorders>
            <w:shd w:val="clear" w:color="auto" w:fill="auto"/>
            <w:noWrap/>
            <w:vAlign w:val="bottom"/>
            <w:hideMark/>
          </w:tcPr>
          <w:p w:rsidR="00001A63" w:rsidRPr="00B75813" w:rsidRDefault="00001A63" w:rsidP="00001A63">
            <w:pPr>
              <w:jc w:val="right"/>
            </w:pPr>
            <w:r>
              <w:t>-</w:t>
            </w:r>
          </w:p>
        </w:tc>
        <w:tc>
          <w:tcPr>
            <w:tcW w:w="1277" w:type="dxa"/>
            <w:tcBorders>
              <w:top w:val="nil"/>
              <w:left w:val="nil"/>
              <w:bottom w:val="nil"/>
              <w:right w:val="nil"/>
            </w:tcBorders>
            <w:shd w:val="clear" w:color="auto" w:fill="auto"/>
            <w:noWrap/>
            <w:vAlign w:val="bottom"/>
            <w:hideMark/>
          </w:tcPr>
          <w:p w:rsidR="00001A63" w:rsidRPr="00B75813" w:rsidRDefault="00001A63" w:rsidP="00001A63">
            <w:pPr>
              <w:jc w:val="right"/>
            </w:pPr>
            <w:r>
              <w:t>-</w:t>
            </w:r>
          </w:p>
        </w:tc>
        <w:tc>
          <w:tcPr>
            <w:tcW w:w="1700" w:type="dxa"/>
            <w:tcBorders>
              <w:top w:val="nil"/>
              <w:left w:val="nil"/>
              <w:bottom w:val="nil"/>
              <w:right w:val="nil"/>
            </w:tcBorders>
            <w:shd w:val="clear" w:color="auto" w:fill="auto"/>
            <w:noWrap/>
            <w:vAlign w:val="bottom"/>
            <w:hideMark/>
          </w:tcPr>
          <w:p w:rsidR="00001A63" w:rsidRPr="00B75813" w:rsidRDefault="00001A63" w:rsidP="00001A63">
            <w:pPr>
              <w:jc w:val="right"/>
            </w:pPr>
            <w:r>
              <w:t>-</w:t>
            </w:r>
          </w:p>
        </w:tc>
        <w:tc>
          <w:tcPr>
            <w:tcW w:w="1590" w:type="dxa"/>
            <w:tcBorders>
              <w:top w:val="nil"/>
              <w:left w:val="nil"/>
              <w:bottom w:val="nil"/>
              <w:right w:val="nil"/>
            </w:tcBorders>
            <w:shd w:val="clear" w:color="auto" w:fill="auto"/>
            <w:noWrap/>
            <w:vAlign w:val="bottom"/>
            <w:hideMark/>
          </w:tcPr>
          <w:p w:rsidR="00001A63" w:rsidRPr="00B75813" w:rsidRDefault="00001A63" w:rsidP="00001A63">
            <w:pPr>
              <w:jc w:val="right"/>
            </w:pPr>
            <w:r>
              <w:t>-</w:t>
            </w:r>
          </w:p>
        </w:tc>
        <w:tc>
          <w:tcPr>
            <w:tcW w:w="1693" w:type="dxa"/>
            <w:tcBorders>
              <w:top w:val="nil"/>
              <w:left w:val="nil"/>
              <w:bottom w:val="nil"/>
              <w:right w:val="nil"/>
            </w:tcBorders>
            <w:shd w:val="clear" w:color="auto" w:fill="auto"/>
            <w:noWrap/>
            <w:vAlign w:val="bottom"/>
            <w:hideMark/>
          </w:tcPr>
          <w:p w:rsidR="00001A63" w:rsidRPr="00B75813" w:rsidRDefault="00001A63" w:rsidP="00001A63">
            <w:pPr>
              <w:jc w:val="right"/>
            </w:pPr>
            <w:r>
              <w:t>-</w:t>
            </w:r>
          </w:p>
        </w:tc>
        <w:tc>
          <w:tcPr>
            <w:tcW w:w="1533" w:type="dxa"/>
            <w:tcBorders>
              <w:top w:val="nil"/>
              <w:left w:val="nil"/>
              <w:bottom w:val="nil"/>
              <w:right w:val="nil"/>
            </w:tcBorders>
            <w:shd w:val="clear" w:color="auto" w:fill="auto"/>
            <w:noWrap/>
            <w:vAlign w:val="bottom"/>
            <w:hideMark/>
          </w:tcPr>
          <w:p w:rsidR="00001A63" w:rsidRPr="00B75813" w:rsidRDefault="00001A63" w:rsidP="00001A63">
            <w:pPr>
              <w:jc w:val="right"/>
            </w:pPr>
            <w:r w:rsidRPr="00B75813">
              <w:t>-</w:t>
            </w:r>
          </w:p>
        </w:tc>
        <w:tc>
          <w:tcPr>
            <w:tcW w:w="1378" w:type="dxa"/>
            <w:tcBorders>
              <w:top w:val="nil"/>
              <w:left w:val="nil"/>
              <w:bottom w:val="nil"/>
              <w:right w:val="nil"/>
            </w:tcBorders>
            <w:shd w:val="clear" w:color="auto" w:fill="auto"/>
            <w:noWrap/>
            <w:vAlign w:val="bottom"/>
            <w:hideMark/>
          </w:tcPr>
          <w:p w:rsidR="00001A63" w:rsidRPr="00B75813" w:rsidRDefault="00001A63" w:rsidP="00B75813">
            <w:pPr>
              <w:jc w:val="right"/>
            </w:pPr>
            <w:r w:rsidRPr="00B75813">
              <w:t>121,091</w:t>
            </w:r>
          </w:p>
        </w:tc>
        <w:tc>
          <w:tcPr>
            <w:tcW w:w="1288" w:type="dxa"/>
            <w:tcBorders>
              <w:top w:val="nil"/>
              <w:left w:val="nil"/>
              <w:bottom w:val="nil"/>
              <w:right w:val="nil"/>
            </w:tcBorders>
            <w:shd w:val="clear" w:color="auto" w:fill="auto"/>
            <w:noWrap/>
            <w:vAlign w:val="bottom"/>
            <w:hideMark/>
          </w:tcPr>
          <w:p w:rsidR="00001A63" w:rsidRPr="00B75813" w:rsidRDefault="00001A63" w:rsidP="00B75813">
            <w:pPr>
              <w:jc w:val="right"/>
            </w:pPr>
            <w:r w:rsidRPr="00B75813">
              <w:t>121,091</w:t>
            </w:r>
          </w:p>
        </w:tc>
      </w:tr>
      <w:tr w:rsidR="00001A63" w:rsidRPr="00B75813" w:rsidTr="00B75813">
        <w:trPr>
          <w:trHeight w:val="245"/>
        </w:trPr>
        <w:tc>
          <w:tcPr>
            <w:tcW w:w="3878" w:type="dxa"/>
            <w:tcBorders>
              <w:top w:val="nil"/>
              <w:left w:val="nil"/>
              <w:bottom w:val="nil"/>
              <w:right w:val="nil"/>
            </w:tcBorders>
            <w:shd w:val="clear" w:color="auto" w:fill="auto"/>
            <w:vAlign w:val="bottom"/>
            <w:hideMark/>
          </w:tcPr>
          <w:p w:rsidR="00001A63" w:rsidRPr="00B75813" w:rsidRDefault="00001A63" w:rsidP="00B75813">
            <w:r w:rsidRPr="00B75813">
              <w:t>Income from council tax</w:t>
            </w:r>
          </w:p>
        </w:tc>
        <w:tc>
          <w:tcPr>
            <w:tcW w:w="1488" w:type="dxa"/>
            <w:tcBorders>
              <w:top w:val="nil"/>
              <w:left w:val="nil"/>
              <w:bottom w:val="nil"/>
              <w:right w:val="nil"/>
            </w:tcBorders>
            <w:shd w:val="clear" w:color="auto" w:fill="auto"/>
            <w:noWrap/>
            <w:vAlign w:val="bottom"/>
            <w:hideMark/>
          </w:tcPr>
          <w:p w:rsidR="00001A63" w:rsidRPr="00B75813" w:rsidRDefault="00001A63" w:rsidP="00001A63">
            <w:pPr>
              <w:jc w:val="right"/>
            </w:pPr>
            <w:r>
              <w:t>-</w:t>
            </w:r>
          </w:p>
        </w:tc>
        <w:tc>
          <w:tcPr>
            <w:tcW w:w="1277" w:type="dxa"/>
            <w:tcBorders>
              <w:top w:val="nil"/>
              <w:left w:val="nil"/>
              <w:bottom w:val="nil"/>
              <w:right w:val="nil"/>
            </w:tcBorders>
            <w:shd w:val="clear" w:color="auto" w:fill="auto"/>
            <w:noWrap/>
            <w:vAlign w:val="bottom"/>
            <w:hideMark/>
          </w:tcPr>
          <w:p w:rsidR="00001A63" w:rsidRPr="00B75813" w:rsidRDefault="00001A63" w:rsidP="00001A63">
            <w:pPr>
              <w:jc w:val="right"/>
            </w:pPr>
            <w:r>
              <w:t>-</w:t>
            </w:r>
          </w:p>
        </w:tc>
        <w:tc>
          <w:tcPr>
            <w:tcW w:w="1700" w:type="dxa"/>
            <w:tcBorders>
              <w:top w:val="nil"/>
              <w:left w:val="nil"/>
              <w:bottom w:val="nil"/>
              <w:right w:val="nil"/>
            </w:tcBorders>
            <w:shd w:val="clear" w:color="auto" w:fill="auto"/>
            <w:noWrap/>
            <w:vAlign w:val="bottom"/>
            <w:hideMark/>
          </w:tcPr>
          <w:p w:rsidR="00001A63" w:rsidRPr="00B75813" w:rsidRDefault="00001A63" w:rsidP="00001A63">
            <w:pPr>
              <w:jc w:val="right"/>
            </w:pPr>
            <w:r>
              <w:t>-</w:t>
            </w:r>
          </w:p>
        </w:tc>
        <w:tc>
          <w:tcPr>
            <w:tcW w:w="1590" w:type="dxa"/>
            <w:tcBorders>
              <w:top w:val="nil"/>
              <w:left w:val="nil"/>
              <w:bottom w:val="nil"/>
              <w:right w:val="nil"/>
            </w:tcBorders>
            <w:shd w:val="clear" w:color="auto" w:fill="auto"/>
            <w:noWrap/>
            <w:vAlign w:val="bottom"/>
            <w:hideMark/>
          </w:tcPr>
          <w:p w:rsidR="00001A63" w:rsidRPr="00B75813" w:rsidRDefault="00001A63" w:rsidP="00001A63">
            <w:pPr>
              <w:jc w:val="right"/>
            </w:pPr>
            <w:r>
              <w:t>-</w:t>
            </w:r>
          </w:p>
        </w:tc>
        <w:tc>
          <w:tcPr>
            <w:tcW w:w="1693" w:type="dxa"/>
            <w:tcBorders>
              <w:top w:val="nil"/>
              <w:left w:val="nil"/>
              <w:bottom w:val="nil"/>
              <w:right w:val="nil"/>
            </w:tcBorders>
            <w:shd w:val="clear" w:color="auto" w:fill="auto"/>
            <w:noWrap/>
            <w:vAlign w:val="bottom"/>
            <w:hideMark/>
          </w:tcPr>
          <w:p w:rsidR="00001A63" w:rsidRPr="00B75813" w:rsidRDefault="00001A63" w:rsidP="00001A63">
            <w:pPr>
              <w:jc w:val="right"/>
            </w:pPr>
            <w:r>
              <w:t>-</w:t>
            </w:r>
          </w:p>
        </w:tc>
        <w:tc>
          <w:tcPr>
            <w:tcW w:w="1533" w:type="dxa"/>
            <w:tcBorders>
              <w:top w:val="nil"/>
              <w:left w:val="nil"/>
              <w:bottom w:val="nil"/>
              <w:right w:val="nil"/>
            </w:tcBorders>
            <w:shd w:val="clear" w:color="auto" w:fill="auto"/>
            <w:noWrap/>
            <w:vAlign w:val="bottom"/>
            <w:hideMark/>
          </w:tcPr>
          <w:p w:rsidR="00001A63" w:rsidRPr="00B75813" w:rsidRDefault="00001A63" w:rsidP="00001A63">
            <w:pPr>
              <w:jc w:val="right"/>
            </w:pPr>
            <w:r w:rsidRPr="00B75813">
              <w:t>-</w:t>
            </w:r>
          </w:p>
        </w:tc>
        <w:tc>
          <w:tcPr>
            <w:tcW w:w="1378" w:type="dxa"/>
            <w:tcBorders>
              <w:top w:val="nil"/>
              <w:left w:val="nil"/>
              <w:bottom w:val="nil"/>
              <w:right w:val="nil"/>
            </w:tcBorders>
            <w:shd w:val="clear" w:color="auto" w:fill="auto"/>
            <w:noWrap/>
            <w:vAlign w:val="bottom"/>
            <w:hideMark/>
          </w:tcPr>
          <w:p w:rsidR="00001A63" w:rsidRPr="00B75813" w:rsidRDefault="00001A63" w:rsidP="00B75813">
            <w:pPr>
              <w:jc w:val="right"/>
            </w:pPr>
            <w:r w:rsidRPr="00B75813">
              <w:t>424,878</w:t>
            </w:r>
          </w:p>
        </w:tc>
        <w:tc>
          <w:tcPr>
            <w:tcW w:w="1288" w:type="dxa"/>
            <w:tcBorders>
              <w:top w:val="nil"/>
              <w:left w:val="nil"/>
              <w:bottom w:val="nil"/>
              <w:right w:val="nil"/>
            </w:tcBorders>
            <w:shd w:val="clear" w:color="auto" w:fill="auto"/>
            <w:noWrap/>
            <w:vAlign w:val="bottom"/>
            <w:hideMark/>
          </w:tcPr>
          <w:p w:rsidR="00001A63" w:rsidRPr="00B75813" w:rsidRDefault="00001A63" w:rsidP="00B75813">
            <w:pPr>
              <w:jc w:val="right"/>
            </w:pPr>
            <w:r w:rsidRPr="00B75813">
              <w:t>424,878</w:t>
            </w:r>
          </w:p>
        </w:tc>
      </w:tr>
      <w:tr w:rsidR="00001A63" w:rsidRPr="00B75813" w:rsidTr="00001A63">
        <w:trPr>
          <w:trHeight w:val="245"/>
        </w:trPr>
        <w:tc>
          <w:tcPr>
            <w:tcW w:w="3878" w:type="dxa"/>
            <w:tcBorders>
              <w:top w:val="nil"/>
              <w:left w:val="nil"/>
              <w:bottom w:val="nil"/>
              <w:right w:val="nil"/>
            </w:tcBorders>
            <w:shd w:val="clear" w:color="auto" w:fill="auto"/>
            <w:vAlign w:val="bottom"/>
            <w:hideMark/>
          </w:tcPr>
          <w:p w:rsidR="00001A63" w:rsidRPr="00B75813" w:rsidRDefault="00001A63" w:rsidP="00B75813">
            <w:r w:rsidRPr="00B75813">
              <w:t>Government grants and contributions</w:t>
            </w:r>
          </w:p>
        </w:tc>
        <w:tc>
          <w:tcPr>
            <w:tcW w:w="1488" w:type="dxa"/>
            <w:tcBorders>
              <w:top w:val="nil"/>
              <w:left w:val="nil"/>
              <w:bottom w:val="nil"/>
              <w:right w:val="nil"/>
            </w:tcBorders>
            <w:shd w:val="clear" w:color="auto" w:fill="auto"/>
            <w:noWrap/>
            <w:vAlign w:val="bottom"/>
            <w:hideMark/>
          </w:tcPr>
          <w:p w:rsidR="00001A63" w:rsidRPr="00B75813" w:rsidRDefault="00001A63" w:rsidP="00B75813">
            <w:pPr>
              <w:jc w:val="right"/>
            </w:pPr>
            <w:r w:rsidRPr="00B75813">
              <w:t>1,013,788</w:t>
            </w:r>
          </w:p>
        </w:tc>
        <w:tc>
          <w:tcPr>
            <w:tcW w:w="1277" w:type="dxa"/>
            <w:tcBorders>
              <w:top w:val="nil"/>
              <w:left w:val="nil"/>
              <w:bottom w:val="nil"/>
              <w:right w:val="nil"/>
            </w:tcBorders>
            <w:shd w:val="clear" w:color="auto" w:fill="auto"/>
            <w:noWrap/>
            <w:vAlign w:val="bottom"/>
            <w:hideMark/>
          </w:tcPr>
          <w:p w:rsidR="00001A63" w:rsidRPr="00B75813" w:rsidRDefault="00001A63" w:rsidP="00001A63">
            <w:pPr>
              <w:jc w:val="right"/>
            </w:pPr>
            <w:r>
              <w:t>-</w:t>
            </w:r>
          </w:p>
        </w:tc>
        <w:tc>
          <w:tcPr>
            <w:tcW w:w="1700" w:type="dxa"/>
            <w:tcBorders>
              <w:top w:val="nil"/>
              <w:left w:val="nil"/>
              <w:bottom w:val="nil"/>
              <w:right w:val="nil"/>
            </w:tcBorders>
            <w:shd w:val="clear" w:color="auto" w:fill="auto"/>
            <w:noWrap/>
            <w:vAlign w:val="bottom"/>
            <w:hideMark/>
          </w:tcPr>
          <w:p w:rsidR="00001A63" w:rsidRPr="00B75813" w:rsidRDefault="00001A63" w:rsidP="00001A63">
            <w:pPr>
              <w:jc w:val="right"/>
            </w:pPr>
            <w:r>
              <w:t>-</w:t>
            </w:r>
          </w:p>
        </w:tc>
        <w:tc>
          <w:tcPr>
            <w:tcW w:w="1590" w:type="dxa"/>
            <w:tcBorders>
              <w:top w:val="nil"/>
              <w:left w:val="nil"/>
              <w:bottom w:val="nil"/>
              <w:right w:val="nil"/>
            </w:tcBorders>
            <w:shd w:val="clear" w:color="auto" w:fill="auto"/>
            <w:noWrap/>
            <w:vAlign w:val="bottom"/>
            <w:hideMark/>
          </w:tcPr>
          <w:p w:rsidR="00001A63" w:rsidRPr="00B75813" w:rsidRDefault="00001A63" w:rsidP="00001A63">
            <w:pPr>
              <w:jc w:val="right"/>
            </w:pPr>
            <w:r>
              <w:t>-</w:t>
            </w:r>
          </w:p>
        </w:tc>
        <w:tc>
          <w:tcPr>
            <w:tcW w:w="1693" w:type="dxa"/>
            <w:tcBorders>
              <w:top w:val="nil"/>
              <w:left w:val="nil"/>
              <w:bottom w:val="nil"/>
              <w:right w:val="nil"/>
            </w:tcBorders>
            <w:shd w:val="clear" w:color="auto" w:fill="auto"/>
            <w:noWrap/>
            <w:vAlign w:val="bottom"/>
            <w:hideMark/>
          </w:tcPr>
          <w:p w:rsidR="00001A63" w:rsidRPr="00B75813" w:rsidRDefault="00001A63" w:rsidP="00001A63">
            <w:pPr>
              <w:jc w:val="right"/>
            </w:pPr>
            <w:r>
              <w:t>-</w:t>
            </w:r>
          </w:p>
        </w:tc>
        <w:tc>
          <w:tcPr>
            <w:tcW w:w="1533" w:type="dxa"/>
            <w:tcBorders>
              <w:top w:val="nil"/>
              <w:left w:val="nil"/>
              <w:bottom w:val="nil"/>
              <w:right w:val="nil"/>
            </w:tcBorders>
            <w:shd w:val="clear" w:color="auto" w:fill="auto"/>
            <w:noWrap/>
            <w:vAlign w:val="bottom"/>
            <w:hideMark/>
          </w:tcPr>
          <w:p w:rsidR="00001A63" w:rsidRPr="00B75813" w:rsidRDefault="00001A63" w:rsidP="00B75813">
            <w:pPr>
              <w:jc w:val="right"/>
            </w:pPr>
            <w:r w:rsidRPr="00B75813">
              <w:t>1,013,788</w:t>
            </w:r>
          </w:p>
        </w:tc>
        <w:tc>
          <w:tcPr>
            <w:tcW w:w="1378" w:type="dxa"/>
            <w:tcBorders>
              <w:top w:val="nil"/>
              <w:left w:val="nil"/>
              <w:bottom w:val="nil"/>
              <w:right w:val="nil"/>
            </w:tcBorders>
            <w:shd w:val="clear" w:color="auto" w:fill="auto"/>
            <w:noWrap/>
            <w:vAlign w:val="bottom"/>
            <w:hideMark/>
          </w:tcPr>
          <w:p w:rsidR="00001A63" w:rsidRPr="00B75813" w:rsidRDefault="00001A63" w:rsidP="00B75813">
            <w:pPr>
              <w:jc w:val="right"/>
            </w:pPr>
            <w:r w:rsidRPr="00B75813">
              <w:t>481,060</w:t>
            </w:r>
          </w:p>
        </w:tc>
        <w:tc>
          <w:tcPr>
            <w:tcW w:w="1288" w:type="dxa"/>
            <w:tcBorders>
              <w:top w:val="nil"/>
              <w:left w:val="nil"/>
              <w:bottom w:val="nil"/>
              <w:right w:val="nil"/>
            </w:tcBorders>
            <w:shd w:val="clear" w:color="auto" w:fill="auto"/>
            <w:noWrap/>
            <w:vAlign w:val="bottom"/>
            <w:hideMark/>
          </w:tcPr>
          <w:p w:rsidR="00001A63" w:rsidRPr="00B75813" w:rsidRDefault="00001A63" w:rsidP="00B75813">
            <w:pPr>
              <w:jc w:val="right"/>
            </w:pPr>
            <w:r w:rsidRPr="00B75813">
              <w:t>1,494,848</w:t>
            </w:r>
          </w:p>
        </w:tc>
      </w:tr>
      <w:tr w:rsidR="00001A63" w:rsidRPr="00B75813" w:rsidTr="00B75813">
        <w:trPr>
          <w:trHeight w:val="245"/>
        </w:trPr>
        <w:tc>
          <w:tcPr>
            <w:tcW w:w="3878" w:type="dxa"/>
            <w:tcBorders>
              <w:top w:val="nil"/>
              <w:left w:val="nil"/>
              <w:bottom w:val="nil"/>
              <w:right w:val="nil"/>
            </w:tcBorders>
            <w:shd w:val="clear" w:color="auto" w:fill="auto"/>
            <w:vAlign w:val="bottom"/>
            <w:hideMark/>
          </w:tcPr>
          <w:p w:rsidR="00001A63" w:rsidRPr="00B75813" w:rsidRDefault="00001A63" w:rsidP="00B75813">
            <w:pPr>
              <w:rPr>
                <w:b/>
                <w:bCs/>
              </w:rPr>
            </w:pPr>
            <w:r w:rsidRPr="00B75813">
              <w:rPr>
                <w:b/>
                <w:bCs/>
              </w:rPr>
              <w:lastRenderedPageBreak/>
              <w:t>Total Income</w:t>
            </w:r>
          </w:p>
        </w:tc>
        <w:tc>
          <w:tcPr>
            <w:tcW w:w="1488" w:type="dxa"/>
            <w:tcBorders>
              <w:top w:val="single" w:sz="4" w:space="0" w:color="auto"/>
              <w:left w:val="nil"/>
              <w:bottom w:val="nil"/>
              <w:right w:val="nil"/>
            </w:tcBorders>
            <w:shd w:val="clear" w:color="auto" w:fill="auto"/>
            <w:noWrap/>
            <w:vAlign w:val="bottom"/>
            <w:hideMark/>
          </w:tcPr>
          <w:p w:rsidR="00001A63" w:rsidRPr="00B75813" w:rsidRDefault="00001A63" w:rsidP="00B75813">
            <w:pPr>
              <w:jc w:val="right"/>
            </w:pPr>
            <w:r w:rsidRPr="00B75813">
              <w:t>1,281,112</w:t>
            </w:r>
          </w:p>
        </w:tc>
        <w:tc>
          <w:tcPr>
            <w:tcW w:w="1277" w:type="dxa"/>
            <w:tcBorders>
              <w:top w:val="single" w:sz="4" w:space="0" w:color="auto"/>
              <w:left w:val="nil"/>
              <w:bottom w:val="nil"/>
              <w:right w:val="nil"/>
            </w:tcBorders>
            <w:shd w:val="clear" w:color="auto" w:fill="auto"/>
            <w:noWrap/>
            <w:vAlign w:val="bottom"/>
            <w:hideMark/>
          </w:tcPr>
          <w:p w:rsidR="00001A63" w:rsidRPr="00B75813" w:rsidRDefault="00001A63" w:rsidP="00B75813">
            <w:pPr>
              <w:jc w:val="right"/>
            </w:pPr>
            <w:r w:rsidRPr="00B75813">
              <w:t>-</w:t>
            </w:r>
          </w:p>
        </w:tc>
        <w:tc>
          <w:tcPr>
            <w:tcW w:w="1700" w:type="dxa"/>
            <w:tcBorders>
              <w:top w:val="single" w:sz="4" w:space="0" w:color="auto"/>
              <w:left w:val="nil"/>
              <w:bottom w:val="nil"/>
              <w:right w:val="nil"/>
            </w:tcBorders>
            <w:shd w:val="clear" w:color="auto" w:fill="auto"/>
            <w:noWrap/>
            <w:vAlign w:val="bottom"/>
            <w:hideMark/>
          </w:tcPr>
          <w:p w:rsidR="00001A63" w:rsidRPr="00B75813" w:rsidRDefault="00001A63" w:rsidP="00B75813">
            <w:pPr>
              <w:jc w:val="right"/>
            </w:pPr>
            <w:r w:rsidRPr="00B75813">
              <w:t>8,471</w:t>
            </w:r>
          </w:p>
        </w:tc>
        <w:tc>
          <w:tcPr>
            <w:tcW w:w="1590" w:type="dxa"/>
            <w:tcBorders>
              <w:top w:val="single" w:sz="4" w:space="0" w:color="auto"/>
              <w:left w:val="nil"/>
              <w:bottom w:val="nil"/>
              <w:right w:val="nil"/>
            </w:tcBorders>
            <w:shd w:val="clear" w:color="auto" w:fill="auto"/>
            <w:noWrap/>
            <w:vAlign w:val="bottom"/>
            <w:hideMark/>
          </w:tcPr>
          <w:p w:rsidR="00001A63" w:rsidRPr="00B75813" w:rsidRDefault="00001A63" w:rsidP="00B75813">
            <w:pPr>
              <w:jc w:val="right"/>
            </w:pPr>
            <w:r w:rsidRPr="00B75813">
              <w:t>(6,795)</w:t>
            </w:r>
          </w:p>
        </w:tc>
        <w:tc>
          <w:tcPr>
            <w:tcW w:w="1693" w:type="dxa"/>
            <w:tcBorders>
              <w:top w:val="single" w:sz="4" w:space="0" w:color="auto"/>
              <w:left w:val="nil"/>
              <w:bottom w:val="nil"/>
              <w:right w:val="nil"/>
            </w:tcBorders>
            <w:shd w:val="clear" w:color="auto" w:fill="auto"/>
            <w:noWrap/>
            <w:vAlign w:val="bottom"/>
            <w:hideMark/>
          </w:tcPr>
          <w:p w:rsidR="00001A63" w:rsidRPr="00B75813" w:rsidRDefault="00001A63" w:rsidP="00B75813">
            <w:pPr>
              <w:jc w:val="right"/>
            </w:pPr>
            <w:r w:rsidRPr="00B75813">
              <w:t>(33,241)</w:t>
            </w:r>
          </w:p>
        </w:tc>
        <w:tc>
          <w:tcPr>
            <w:tcW w:w="1533" w:type="dxa"/>
            <w:tcBorders>
              <w:top w:val="single" w:sz="4" w:space="0" w:color="auto"/>
              <w:left w:val="nil"/>
              <w:bottom w:val="nil"/>
              <w:right w:val="nil"/>
            </w:tcBorders>
            <w:shd w:val="clear" w:color="auto" w:fill="auto"/>
            <w:noWrap/>
            <w:vAlign w:val="bottom"/>
            <w:hideMark/>
          </w:tcPr>
          <w:p w:rsidR="00001A63" w:rsidRPr="00B75813" w:rsidRDefault="00001A63" w:rsidP="00B75813">
            <w:pPr>
              <w:jc w:val="right"/>
            </w:pPr>
            <w:r w:rsidRPr="00B75813">
              <w:t>1,249,547</w:t>
            </w:r>
          </w:p>
        </w:tc>
        <w:tc>
          <w:tcPr>
            <w:tcW w:w="1378" w:type="dxa"/>
            <w:tcBorders>
              <w:top w:val="single" w:sz="4" w:space="0" w:color="auto"/>
              <w:left w:val="nil"/>
              <w:bottom w:val="nil"/>
              <w:right w:val="nil"/>
            </w:tcBorders>
            <w:shd w:val="clear" w:color="auto" w:fill="auto"/>
            <w:noWrap/>
            <w:vAlign w:val="bottom"/>
            <w:hideMark/>
          </w:tcPr>
          <w:p w:rsidR="00001A63" w:rsidRPr="00B75813" w:rsidRDefault="00001A63" w:rsidP="00B75813">
            <w:pPr>
              <w:jc w:val="right"/>
            </w:pPr>
            <w:r w:rsidRPr="00B75813">
              <w:t>1,038,598</w:t>
            </w:r>
          </w:p>
        </w:tc>
        <w:tc>
          <w:tcPr>
            <w:tcW w:w="1288" w:type="dxa"/>
            <w:tcBorders>
              <w:top w:val="single" w:sz="4" w:space="0" w:color="auto"/>
              <w:left w:val="nil"/>
              <w:bottom w:val="nil"/>
              <w:right w:val="nil"/>
            </w:tcBorders>
            <w:shd w:val="clear" w:color="auto" w:fill="auto"/>
            <w:noWrap/>
            <w:vAlign w:val="bottom"/>
            <w:hideMark/>
          </w:tcPr>
          <w:p w:rsidR="00001A63" w:rsidRPr="00B75813" w:rsidRDefault="00001A63" w:rsidP="00B75813">
            <w:pPr>
              <w:jc w:val="right"/>
            </w:pPr>
            <w:r w:rsidRPr="00B75813">
              <w:t>2,288,146</w:t>
            </w:r>
          </w:p>
        </w:tc>
      </w:tr>
      <w:tr w:rsidR="00001A63" w:rsidRPr="00B75813" w:rsidTr="00B75813">
        <w:trPr>
          <w:trHeight w:val="245"/>
        </w:trPr>
        <w:tc>
          <w:tcPr>
            <w:tcW w:w="3878" w:type="dxa"/>
            <w:tcBorders>
              <w:top w:val="nil"/>
              <w:left w:val="nil"/>
              <w:bottom w:val="nil"/>
              <w:right w:val="nil"/>
            </w:tcBorders>
            <w:shd w:val="clear" w:color="auto" w:fill="auto"/>
            <w:vAlign w:val="bottom"/>
            <w:hideMark/>
          </w:tcPr>
          <w:p w:rsidR="00001A63" w:rsidRPr="00B75813" w:rsidRDefault="00001A63" w:rsidP="00B75813"/>
        </w:tc>
        <w:tc>
          <w:tcPr>
            <w:tcW w:w="1488" w:type="dxa"/>
            <w:tcBorders>
              <w:top w:val="nil"/>
              <w:left w:val="nil"/>
              <w:bottom w:val="nil"/>
              <w:right w:val="nil"/>
            </w:tcBorders>
            <w:shd w:val="clear" w:color="auto" w:fill="auto"/>
            <w:noWrap/>
            <w:vAlign w:val="bottom"/>
            <w:hideMark/>
          </w:tcPr>
          <w:p w:rsidR="00001A63" w:rsidRPr="00B75813" w:rsidRDefault="00001A63" w:rsidP="00B75813"/>
        </w:tc>
        <w:tc>
          <w:tcPr>
            <w:tcW w:w="1277" w:type="dxa"/>
            <w:tcBorders>
              <w:top w:val="nil"/>
              <w:left w:val="nil"/>
              <w:bottom w:val="nil"/>
              <w:right w:val="nil"/>
            </w:tcBorders>
            <w:shd w:val="clear" w:color="auto" w:fill="auto"/>
            <w:noWrap/>
            <w:vAlign w:val="bottom"/>
            <w:hideMark/>
          </w:tcPr>
          <w:p w:rsidR="00001A63" w:rsidRPr="00B75813" w:rsidRDefault="00001A63" w:rsidP="00B75813"/>
        </w:tc>
        <w:tc>
          <w:tcPr>
            <w:tcW w:w="1700" w:type="dxa"/>
            <w:tcBorders>
              <w:top w:val="nil"/>
              <w:left w:val="nil"/>
              <w:bottom w:val="nil"/>
              <w:right w:val="nil"/>
            </w:tcBorders>
            <w:shd w:val="clear" w:color="auto" w:fill="auto"/>
            <w:noWrap/>
            <w:vAlign w:val="bottom"/>
            <w:hideMark/>
          </w:tcPr>
          <w:p w:rsidR="00001A63" w:rsidRPr="00B75813" w:rsidRDefault="00001A63" w:rsidP="00B75813"/>
        </w:tc>
        <w:tc>
          <w:tcPr>
            <w:tcW w:w="1590" w:type="dxa"/>
            <w:tcBorders>
              <w:top w:val="nil"/>
              <w:left w:val="nil"/>
              <w:bottom w:val="nil"/>
              <w:right w:val="nil"/>
            </w:tcBorders>
            <w:shd w:val="clear" w:color="auto" w:fill="auto"/>
            <w:noWrap/>
            <w:vAlign w:val="bottom"/>
            <w:hideMark/>
          </w:tcPr>
          <w:p w:rsidR="00001A63" w:rsidRPr="00B75813" w:rsidRDefault="00001A63" w:rsidP="00B75813"/>
        </w:tc>
        <w:tc>
          <w:tcPr>
            <w:tcW w:w="1693" w:type="dxa"/>
            <w:tcBorders>
              <w:top w:val="nil"/>
              <w:left w:val="nil"/>
              <w:bottom w:val="nil"/>
              <w:right w:val="nil"/>
            </w:tcBorders>
            <w:shd w:val="clear" w:color="auto" w:fill="auto"/>
            <w:noWrap/>
            <w:vAlign w:val="bottom"/>
            <w:hideMark/>
          </w:tcPr>
          <w:p w:rsidR="00001A63" w:rsidRPr="00B75813" w:rsidRDefault="00001A63" w:rsidP="00B75813"/>
        </w:tc>
        <w:tc>
          <w:tcPr>
            <w:tcW w:w="1533" w:type="dxa"/>
            <w:tcBorders>
              <w:top w:val="nil"/>
              <w:left w:val="nil"/>
              <w:bottom w:val="nil"/>
              <w:right w:val="nil"/>
            </w:tcBorders>
            <w:shd w:val="clear" w:color="auto" w:fill="auto"/>
            <w:noWrap/>
            <w:vAlign w:val="bottom"/>
            <w:hideMark/>
          </w:tcPr>
          <w:p w:rsidR="00001A63" w:rsidRPr="00B75813" w:rsidRDefault="00001A63" w:rsidP="00B75813"/>
        </w:tc>
        <w:tc>
          <w:tcPr>
            <w:tcW w:w="1378" w:type="dxa"/>
            <w:tcBorders>
              <w:top w:val="nil"/>
              <w:left w:val="nil"/>
              <w:bottom w:val="nil"/>
              <w:right w:val="nil"/>
            </w:tcBorders>
            <w:shd w:val="clear" w:color="auto" w:fill="auto"/>
            <w:noWrap/>
            <w:vAlign w:val="bottom"/>
            <w:hideMark/>
          </w:tcPr>
          <w:p w:rsidR="00001A63" w:rsidRPr="00B75813" w:rsidRDefault="00001A63" w:rsidP="00B75813"/>
        </w:tc>
        <w:tc>
          <w:tcPr>
            <w:tcW w:w="1288" w:type="dxa"/>
            <w:tcBorders>
              <w:top w:val="nil"/>
              <w:left w:val="nil"/>
              <w:bottom w:val="nil"/>
              <w:right w:val="nil"/>
            </w:tcBorders>
            <w:shd w:val="clear" w:color="auto" w:fill="auto"/>
            <w:noWrap/>
            <w:vAlign w:val="bottom"/>
            <w:hideMark/>
          </w:tcPr>
          <w:p w:rsidR="00001A63" w:rsidRPr="00B75813" w:rsidRDefault="00001A63" w:rsidP="00B75813"/>
        </w:tc>
      </w:tr>
      <w:tr w:rsidR="00001A63" w:rsidRPr="00B75813" w:rsidTr="00001A63">
        <w:trPr>
          <w:trHeight w:val="245"/>
        </w:trPr>
        <w:tc>
          <w:tcPr>
            <w:tcW w:w="3878" w:type="dxa"/>
            <w:tcBorders>
              <w:top w:val="nil"/>
              <w:left w:val="nil"/>
              <w:bottom w:val="nil"/>
              <w:right w:val="nil"/>
            </w:tcBorders>
            <w:shd w:val="clear" w:color="auto" w:fill="auto"/>
            <w:vAlign w:val="bottom"/>
            <w:hideMark/>
          </w:tcPr>
          <w:p w:rsidR="00001A63" w:rsidRPr="00B75813" w:rsidRDefault="00001A63" w:rsidP="00B75813">
            <w:r w:rsidRPr="00B75813">
              <w:t>Employee Expenses</w:t>
            </w:r>
          </w:p>
        </w:tc>
        <w:tc>
          <w:tcPr>
            <w:tcW w:w="1488" w:type="dxa"/>
            <w:tcBorders>
              <w:top w:val="nil"/>
              <w:left w:val="nil"/>
              <w:bottom w:val="nil"/>
              <w:right w:val="nil"/>
            </w:tcBorders>
            <w:shd w:val="clear" w:color="auto" w:fill="auto"/>
            <w:noWrap/>
            <w:vAlign w:val="bottom"/>
            <w:hideMark/>
          </w:tcPr>
          <w:p w:rsidR="00001A63" w:rsidRPr="00B75813" w:rsidRDefault="00001A63" w:rsidP="00001A63">
            <w:pPr>
              <w:jc w:val="right"/>
            </w:pPr>
            <w:r w:rsidRPr="00B75813">
              <w:t>964,439</w:t>
            </w:r>
          </w:p>
        </w:tc>
        <w:tc>
          <w:tcPr>
            <w:tcW w:w="1277" w:type="dxa"/>
            <w:tcBorders>
              <w:top w:val="nil"/>
              <w:left w:val="nil"/>
              <w:bottom w:val="nil"/>
              <w:right w:val="nil"/>
            </w:tcBorders>
            <w:shd w:val="clear" w:color="auto" w:fill="auto"/>
            <w:noWrap/>
            <w:vAlign w:val="bottom"/>
            <w:hideMark/>
          </w:tcPr>
          <w:p w:rsidR="00001A63" w:rsidRPr="00B75813" w:rsidRDefault="00001A63" w:rsidP="00001A63">
            <w:pPr>
              <w:jc w:val="right"/>
            </w:pPr>
            <w:r w:rsidRPr="00B75813">
              <w:t>(851)</w:t>
            </w:r>
          </w:p>
        </w:tc>
        <w:tc>
          <w:tcPr>
            <w:tcW w:w="1700" w:type="dxa"/>
            <w:tcBorders>
              <w:top w:val="nil"/>
              <w:left w:val="nil"/>
              <w:bottom w:val="nil"/>
              <w:right w:val="nil"/>
            </w:tcBorders>
            <w:shd w:val="clear" w:color="auto" w:fill="auto"/>
            <w:noWrap/>
            <w:vAlign w:val="bottom"/>
            <w:hideMark/>
          </w:tcPr>
          <w:p w:rsidR="00001A63" w:rsidRPr="00B75813" w:rsidRDefault="00001A63" w:rsidP="00001A63">
            <w:pPr>
              <w:jc w:val="right"/>
            </w:pPr>
            <w:r w:rsidRPr="00B75813">
              <w:t>26,339</w:t>
            </w:r>
          </w:p>
        </w:tc>
        <w:tc>
          <w:tcPr>
            <w:tcW w:w="1590" w:type="dxa"/>
            <w:tcBorders>
              <w:top w:val="nil"/>
              <w:left w:val="nil"/>
              <w:bottom w:val="nil"/>
              <w:right w:val="nil"/>
            </w:tcBorders>
            <w:shd w:val="clear" w:color="auto" w:fill="auto"/>
            <w:noWrap/>
            <w:vAlign w:val="bottom"/>
            <w:hideMark/>
          </w:tcPr>
          <w:p w:rsidR="00001A63" w:rsidRPr="00B75813" w:rsidRDefault="00001A63" w:rsidP="00001A63">
            <w:pPr>
              <w:jc w:val="right"/>
            </w:pPr>
            <w:r>
              <w:t>-</w:t>
            </w:r>
          </w:p>
        </w:tc>
        <w:tc>
          <w:tcPr>
            <w:tcW w:w="1693" w:type="dxa"/>
            <w:tcBorders>
              <w:top w:val="nil"/>
              <w:left w:val="nil"/>
              <w:bottom w:val="nil"/>
              <w:right w:val="nil"/>
            </w:tcBorders>
            <w:shd w:val="clear" w:color="auto" w:fill="auto"/>
            <w:noWrap/>
            <w:vAlign w:val="bottom"/>
            <w:hideMark/>
          </w:tcPr>
          <w:p w:rsidR="00001A63" w:rsidRPr="00B75813" w:rsidRDefault="00001A63" w:rsidP="00001A63">
            <w:pPr>
              <w:jc w:val="right"/>
            </w:pPr>
            <w:r w:rsidRPr="00B75813">
              <w:t>(51,955)</w:t>
            </w:r>
          </w:p>
        </w:tc>
        <w:tc>
          <w:tcPr>
            <w:tcW w:w="1533" w:type="dxa"/>
            <w:tcBorders>
              <w:top w:val="nil"/>
              <w:left w:val="nil"/>
              <w:bottom w:val="nil"/>
              <w:right w:val="nil"/>
            </w:tcBorders>
            <w:shd w:val="clear" w:color="auto" w:fill="auto"/>
            <w:noWrap/>
            <w:vAlign w:val="bottom"/>
            <w:hideMark/>
          </w:tcPr>
          <w:p w:rsidR="00001A63" w:rsidRPr="00B75813" w:rsidRDefault="00001A63" w:rsidP="00001A63">
            <w:pPr>
              <w:jc w:val="right"/>
            </w:pPr>
            <w:r w:rsidRPr="00B75813">
              <w:t>937,972</w:t>
            </w:r>
          </w:p>
        </w:tc>
        <w:tc>
          <w:tcPr>
            <w:tcW w:w="1378" w:type="dxa"/>
            <w:tcBorders>
              <w:top w:val="nil"/>
              <w:left w:val="nil"/>
              <w:bottom w:val="nil"/>
              <w:right w:val="nil"/>
            </w:tcBorders>
            <w:shd w:val="clear" w:color="auto" w:fill="auto"/>
            <w:noWrap/>
            <w:vAlign w:val="bottom"/>
            <w:hideMark/>
          </w:tcPr>
          <w:p w:rsidR="00001A63" w:rsidRPr="00B75813" w:rsidRDefault="00001A63" w:rsidP="00001A63">
            <w:pPr>
              <w:jc w:val="right"/>
            </w:pPr>
            <w:r>
              <w:t>-</w:t>
            </w:r>
          </w:p>
        </w:tc>
        <w:tc>
          <w:tcPr>
            <w:tcW w:w="1288" w:type="dxa"/>
            <w:tcBorders>
              <w:top w:val="nil"/>
              <w:left w:val="nil"/>
              <w:bottom w:val="nil"/>
              <w:right w:val="nil"/>
            </w:tcBorders>
            <w:shd w:val="clear" w:color="auto" w:fill="auto"/>
            <w:noWrap/>
            <w:vAlign w:val="bottom"/>
            <w:hideMark/>
          </w:tcPr>
          <w:p w:rsidR="00001A63" w:rsidRPr="00B75813" w:rsidRDefault="00001A63" w:rsidP="00B75813">
            <w:pPr>
              <w:jc w:val="right"/>
            </w:pPr>
            <w:r w:rsidRPr="00B75813">
              <w:t>937,972</w:t>
            </w:r>
          </w:p>
        </w:tc>
      </w:tr>
      <w:tr w:rsidR="00001A63" w:rsidRPr="00B75813" w:rsidTr="00001A63">
        <w:trPr>
          <w:trHeight w:val="245"/>
        </w:trPr>
        <w:tc>
          <w:tcPr>
            <w:tcW w:w="3878" w:type="dxa"/>
            <w:tcBorders>
              <w:top w:val="nil"/>
              <w:left w:val="nil"/>
              <w:bottom w:val="nil"/>
              <w:right w:val="nil"/>
            </w:tcBorders>
            <w:shd w:val="clear" w:color="auto" w:fill="auto"/>
            <w:vAlign w:val="bottom"/>
            <w:hideMark/>
          </w:tcPr>
          <w:p w:rsidR="00001A63" w:rsidRPr="00B75813" w:rsidRDefault="00001A63" w:rsidP="00B75813">
            <w:r w:rsidRPr="00B75813">
              <w:t>Other operating expenses</w:t>
            </w:r>
          </w:p>
        </w:tc>
        <w:tc>
          <w:tcPr>
            <w:tcW w:w="1488" w:type="dxa"/>
            <w:tcBorders>
              <w:top w:val="nil"/>
              <w:left w:val="nil"/>
              <w:bottom w:val="nil"/>
              <w:right w:val="nil"/>
            </w:tcBorders>
            <w:shd w:val="clear" w:color="auto" w:fill="auto"/>
            <w:noWrap/>
            <w:vAlign w:val="bottom"/>
            <w:hideMark/>
          </w:tcPr>
          <w:p w:rsidR="00001A63" w:rsidRPr="00B75813" w:rsidRDefault="00001A63" w:rsidP="00001A63">
            <w:pPr>
              <w:jc w:val="right"/>
            </w:pPr>
            <w:r w:rsidRPr="00B75813">
              <w:t>1,008,540</w:t>
            </w:r>
          </w:p>
        </w:tc>
        <w:tc>
          <w:tcPr>
            <w:tcW w:w="1277" w:type="dxa"/>
            <w:tcBorders>
              <w:top w:val="nil"/>
              <w:left w:val="nil"/>
              <w:bottom w:val="nil"/>
              <w:right w:val="nil"/>
            </w:tcBorders>
            <w:shd w:val="clear" w:color="auto" w:fill="auto"/>
            <w:noWrap/>
            <w:vAlign w:val="bottom"/>
            <w:hideMark/>
          </w:tcPr>
          <w:p w:rsidR="00001A63" w:rsidRPr="00B75813" w:rsidRDefault="00001A63" w:rsidP="00001A63">
            <w:pPr>
              <w:jc w:val="right"/>
              <w:rPr>
                <w:rFonts w:ascii="Verdana" w:hAnsi="Verdana" w:cs="Times New Roman"/>
                <w:sz w:val="20"/>
                <w:szCs w:val="20"/>
              </w:rPr>
            </w:pPr>
            <w:r>
              <w:rPr>
                <w:rFonts w:ascii="Verdana" w:hAnsi="Verdana" w:cs="Times New Roman"/>
                <w:sz w:val="20"/>
                <w:szCs w:val="20"/>
              </w:rPr>
              <w:t>-</w:t>
            </w:r>
          </w:p>
        </w:tc>
        <w:tc>
          <w:tcPr>
            <w:tcW w:w="1700" w:type="dxa"/>
            <w:tcBorders>
              <w:top w:val="nil"/>
              <w:left w:val="nil"/>
              <w:bottom w:val="nil"/>
              <w:right w:val="nil"/>
            </w:tcBorders>
            <w:shd w:val="clear" w:color="auto" w:fill="auto"/>
            <w:noWrap/>
            <w:vAlign w:val="bottom"/>
            <w:hideMark/>
          </w:tcPr>
          <w:p w:rsidR="00001A63" w:rsidRPr="00B75813" w:rsidRDefault="00001A63" w:rsidP="00001A63">
            <w:pPr>
              <w:jc w:val="right"/>
            </w:pPr>
            <w:r>
              <w:t>-</w:t>
            </w:r>
          </w:p>
        </w:tc>
        <w:tc>
          <w:tcPr>
            <w:tcW w:w="1590" w:type="dxa"/>
            <w:tcBorders>
              <w:top w:val="nil"/>
              <w:left w:val="nil"/>
              <w:bottom w:val="nil"/>
              <w:right w:val="nil"/>
            </w:tcBorders>
            <w:shd w:val="clear" w:color="auto" w:fill="auto"/>
            <w:noWrap/>
            <w:vAlign w:val="bottom"/>
            <w:hideMark/>
          </w:tcPr>
          <w:p w:rsidR="00001A63" w:rsidRPr="00B75813" w:rsidRDefault="00001A63" w:rsidP="00001A63">
            <w:pPr>
              <w:jc w:val="right"/>
            </w:pPr>
            <w:r w:rsidRPr="00B75813">
              <w:t>(11,190)</w:t>
            </w:r>
          </w:p>
        </w:tc>
        <w:tc>
          <w:tcPr>
            <w:tcW w:w="1693" w:type="dxa"/>
            <w:tcBorders>
              <w:top w:val="nil"/>
              <w:left w:val="nil"/>
              <w:bottom w:val="nil"/>
              <w:right w:val="nil"/>
            </w:tcBorders>
            <w:shd w:val="clear" w:color="auto" w:fill="auto"/>
            <w:noWrap/>
            <w:vAlign w:val="bottom"/>
            <w:hideMark/>
          </w:tcPr>
          <w:p w:rsidR="00001A63" w:rsidRPr="00B75813" w:rsidRDefault="00001A63" w:rsidP="00001A63">
            <w:pPr>
              <w:jc w:val="right"/>
            </w:pPr>
            <w:r w:rsidRPr="00B75813">
              <w:t>(24,727)</w:t>
            </w:r>
          </w:p>
        </w:tc>
        <w:tc>
          <w:tcPr>
            <w:tcW w:w="1533" w:type="dxa"/>
            <w:tcBorders>
              <w:top w:val="nil"/>
              <w:left w:val="nil"/>
              <w:bottom w:val="nil"/>
              <w:right w:val="nil"/>
            </w:tcBorders>
            <w:shd w:val="clear" w:color="auto" w:fill="auto"/>
            <w:noWrap/>
            <w:vAlign w:val="bottom"/>
            <w:hideMark/>
          </w:tcPr>
          <w:p w:rsidR="00001A63" w:rsidRPr="00B75813" w:rsidRDefault="00001A63" w:rsidP="00001A63">
            <w:pPr>
              <w:jc w:val="right"/>
            </w:pPr>
            <w:r w:rsidRPr="00B75813">
              <w:t>972,622</w:t>
            </w:r>
          </w:p>
        </w:tc>
        <w:tc>
          <w:tcPr>
            <w:tcW w:w="1378" w:type="dxa"/>
            <w:tcBorders>
              <w:top w:val="nil"/>
              <w:left w:val="nil"/>
              <w:bottom w:val="nil"/>
              <w:right w:val="nil"/>
            </w:tcBorders>
            <w:shd w:val="clear" w:color="auto" w:fill="auto"/>
            <w:noWrap/>
            <w:vAlign w:val="bottom"/>
            <w:hideMark/>
          </w:tcPr>
          <w:p w:rsidR="00001A63" w:rsidRPr="00B75813" w:rsidRDefault="00001A63" w:rsidP="00001A63">
            <w:pPr>
              <w:jc w:val="right"/>
            </w:pPr>
            <w:r w:rsidRPr="00B75813">
              <w:t>4,151</w:t>
            </w:r>
          </w:p>
        </w:tc>
        <w:tc>
          <w:tcPr>
            <w:tcW w:w="1288" w:type="dxa"/>
            <w:tcBorders>
              <w:top w:val="nil"/>
              <w:left w:val="nil"/>
              <w:bottom w:val="nil"/>
              <w:right w:val="nil"/>
            </w:tcBorders>
            <w:shd w:val="clear" w:color="auto" w:fill="auto"/>
            <w:noWrap/>
            <w:vAlign w:val="bottom"/>
            <w:hideMark/>
          </w:tcPr>
          <w:p w:rsidR="00001A63" w:rsidRPr="00B75813" w:rsidRDefault="00001A63" w:rsidP="00B75813">
            <w:pPr>
              <w:jc w:val="right"/>
            </w:pPr>
            <w:r w:rsidRPr="00B75813">
              <w:t>976,774</w:t>
            </w:r>
          </w:p>
        </w:tc>
      </w:tr>
      <w:tr w:rsidR="00001A63" w:rsidRPr="00B75813" w:rsidTr="00001A63">
        <w:trPr>
          <w:trHeight w:val="245"/>
        </w:trPr>
        <w:tc>
          <w:tcPr>
            <w:tcW w:w="3878" w:type="dxa"/>
            <w:tcBorders>
              <w:top w:val="nil"/>
              <w:left w:val="nil"/>
              <w:bottom w:val="nil"/>
              <w:right w:val="nil"/>
            </w:tcBorders>
            <w:shd w:val="clear" w:color="auto" w:fill="auto"/>
            <w:vAlign w:val="bottom"/>
            <w:hideMark/>
          </w:tcPr>
          <w:p w:rsidR="00001A63" w:rsidRPr="00B75813" w:rsidRDefault="00001A63" w:rsidP="00B75813">
            <w:r w:rsidRPr="00B75813">
              <w:t>Support service recharges</w:t>
            </w:r>
          </w:p>
        </w:tc>
        <w:tc>
          <w:tcPr>
            <w:tcW w:w="1488" w:type="dxa"/>
            <w:tcBorders>
              <w:top w:val="nil"/>
              <w:left w:val="nil"/>
              <w:bottom w:val="nil"/>
              <w:right w:val="nil"/>
            </w:tcBorders>
            <w:shd w:val="clear" w:color="auto" w:fill="auto"/>
            <w:noWrap/>
            <w:vAlign w:val="bottom"/>
            <w:hideMark/>
          </w:tcPr>
          <w:p w:rsidR="00001A63" w:rsidRPr="00B75813" w:rsidRDefault="00001A63" w:rsidP="00001A63">
            <w:pPr>
              <w:jc w:val="right"/>
            </w:pPr>
            <w:r w:rsidRPr="00B75813">
              <w:t>(7,823)</w:t>
            </w:r>
          </w:p>
        </w:tc>
        <w:tc>
          <w:tcPr>
            <w:tcW w:w="1277" w:type="dxa"/>
            <w:tcBorders>
              <w:top w:val="nil"/>
              <w:left w:val="nil"/>
              <w:bottom w:val="nil"/>
              <w:right w:val="nil"/>
            </w:tcBorders>
            <w:shd w:val="clear" w:color="auto" w:fill="auto"/>
            <w:noWrap/>
            <w:vAlign w:val="bottom"/>
            <w:hideMark/>
          </w:tcPr>
          <w:p w:rsidR="00001A63" w:rsidRPr="00B75813" w:rsidRDefault="00001A63" w:rsidP="00001A63">
            <w:pPr>
              <w:jc w:val="right"/>
              <w:rPr>
                <w:rFonts w:ascii="Verdana" w:hAnsi="Verdana" w:cs="Times New Roman"/>
                <w:sz w:val="20"/>
                <w:szCs w:val="20"/>
              </w:rPr>
            </w:pPr>
            <w:r>
              <w:rPr>
                <w:rFonts w:ascii="Verdana" w:hAnsi="Verdana" w:cs="Times New Roman"/>
                <w:sz w:val="20"/>
                <w:szCs w:val="20"/>
              </w:rPr>
              <w:t>-</w:t>
            </w:r>
          </w:p>
        </w:tc>
        <w:tc>
          <w:tcPr>
            <w:tcW w:w="1700" w:type="dxa"/>
            <w:tcBorders>
              <w:top w:val="nil"/>
              <w:left w:val="nil"/>
              <w:bottom w:val="nil"/>
              <w:right w:val="nil"/>
            </w:tcBorders>
            <w:shd w:val="clear" w:color="auto" w:fill="auto"/>
            <w:noWrap/>
            <w:vAlign w:val="bottom"/>
            <w:hideMark/>
          </w:tcPr>
          <w:p w:rsidR="00001A63" w:rsidRPr="00B75813" w:rsidRDefault="00001A63" w:rsidP="00001A63">
            <w:pPr>
              <w:jc w:val="right"/>
            </w:pPr>
            <w:r>
              <w:t>-</w:t>
            </w:r>
          </w:p>
        </w:tc>
        <w:tc>
          <w:tcPr>
            <w:tcW w:w="1590" w:type="dxa"/>
            <w:tcBorders>
              <w:top w:val="nil"/>
              <w:left w:val="nil"/>
              <w:bottom w:val="nil"/>
              <w:right w:val="nil"/>
            </w:tcBorders>
            <w:shd w:val="clear" w:color="auto" w:fill="auto"/>
            <w:noWrap/>
            <w:vAlign w:val="bottom"/>
            <w:hideMark/>
          </w:tcPr>
          <w:p w:rsidR="00001A63" w:rsidRPr="00B75813" w:rsidRDefault="00001A63" w:rsidP="00001A63">
            <w:pPr>
              <w:jc w:val="right"/>
            </w:pPr>
            <w:r w:rsidRPr="00B75813">
              <w:t>149</w:t>
            </w:r>
          </w:p>
        </w:tc>
        <w:tc>
          <w:tcPr>
            <w:tcW w:w="1693" w:type="dxa"/>
            <w:tcBorders>
              <w:top w:val="nil"/>
              <w:left w:val="nil"/>
              <w:bottom w:val="nil"/>
              <w:right w:val="nil"/>
            </w:tcBorders>
            <w:shd w:val="clear" w:color="auto" w:fill="auto"/>
            <w:noWrap/>
            <w:vAlign w:val="bottom"/>
            <w:hideMark/>
          </w:tcPr>
          <w:p w:rsidR="00001A63" w:rsidRPr="00B75813" w:rsidRDefault="00001A63" w:rsidP="00001A63">
            <w:pPr>
              <w:jc w:val="right"/>
            </w:pPr>
            <w:r w:rsidRPr="00B75813">
              <w:t>(93,697)</w:t>
            </w:r>
          </w:p>
        </w:tc>
        <w:tc>
          <w:tcPr>
            <w:tcW w:w="1533" w:type="dxa"/>
            <w:tcBorders>
              <w:top w:val="nil"/>
              <w:left w:val="nil"/>
              <w:bottom w:val="nil"/>
              <w:right w:val="nil"/>
            </w:tcBorders>
            <w:shd w:val="clear" w:color="auto" w:fill="auto"/>
            <w:noWrap/>
            <w:vAlign w:val="bottom"/>
            <w:hideMark/>
          </w:tcPr>
          <w:p w:rsidR="00001A63" w:rsidRPr="00B75813" w:rsidRDefault="00001A63" w:rsidP="00001A63">
            <w:pPr>
              <w:jc w:val="right"/>
            </w:pPr>
            <w:r w:rsidRPr="00B75813">
              <w:t>(101,371)</w:t>
            </w:r>
          </w:p>
        </w:tc>
        <w:tc>
          <w:tcPr>
            <w:tcW w:w="1378" w:type="dxa"/>
            <w:tcBorders>
              <w:top w:val="nil"/>
              <w:left w:val="nil"/>
              <w:bottom w:val="nil"/>
              <w:right w:val="nil"/>
            </w:tcBorders>
            <w:shd w:val="clear" w:color="auto" w:fill="auto"/>
            <w:noWrap/>
            <w:vAlign w:val="bottom"/>
            <w:hideMark/>
          </w:tcPr>
          <w:p w:rsidR="00001A63" w:rsidRPr="00B75813" w:rsidRDefault="00001A63" w:rsidP="00001A63">
            <w:pPr>
              <w:jc w:val="right"/>
              <w:rPr>
                <w:rFonts w:ascii="Calibri" w:hAnsi="Calibri" w:cs="Times New Roman"/>
                <w:color w:val="000000"/>
                <w:sz w:val="22"/>
                <w:szCs w:val="22"/>
              </w:rPr>
            </w:pPr>
            <w:r>
              <w:rPr>
                <w:rFonts w:ascii="Calibri" w:hAnsi="Calibri" w:cs="Times New Roman"/>
                <w:color w:val="000000"/>
                <w:sz w:val="22"/>
                <w:szCs w:val="22"/>
              </w:rPr>
              <w:t>-</w:t>
            </w:r>
          </w:p>
        </w:tc>
        <w:tc>
          <w:tcPr>
            <w:tcW w:w="1288" w:type="dxa"/>
            <w:tcBorders>
              <w:top w:val="nil"/>
              <w:left w:val="nil"/>
              <w:bottom w:val="nil"/>
              <w:right w:val="nil"/>
            </w:tcBorders>
            <w:shd w:val="clear" w:color="auto" w:fill="auto"/>
            <w:noWrap/>
            <w:vAlign w:val="bottom"/>
            <w:hideMark/>
          </w:tcPr>
          <w:p w:rsidR="00001A63" w:rsidRPr="00B75813" w:rsidRDefault="00001A63" w:rsidP="00B75813">
            <w:pPr>
              <w:jc w:val="right"/>
            </w:pPr>
            <w:r w:rsidRPr="00B75813">
              <w:t>(101,371)</w:t>
            </w:r>
          </w:p>
        </w:tc>
      </w:tr>
      <w:tr w:rsidR="00001A63" w:rsidRPr="00B75813" w:rsidTr="00001A63">
        <w:trPr>
          <w:trHeight w:val="479"/>
        </w:trPr>
        <w:tc>
          <w:tcPr>
            <w:tcW w:w="3878" w:type="dxa"/>
            <w:tcBorders>
              <w:top w:val="nil"/>
              <w:left w:val="nil"/>
              <w:bottom w:val="nil"/>
              <w:right w:val="nil"/>
            </w:tcBorders>
            <w:shd w:val="clear" w:color="auto" w:fill="auto"/>
            <w:vAlign w:val="bottom"/>
            <w:hideMark/>
          </w:tcPr>
          <w:p w:rsidR="00001A63" w:rsidRPr="00B75813" w:rsidRDefault="00001A63" w:rsidP="00B75813">
            <w:r w:rsidRPr="00B75813">
              <w:t>Depreciation, amortisation and impairment</w:t>
            </w:r>
          </w:p>
        </w:tc>
        <w:tc>
          <w:tcPr>
            <w:tcW w:w="1488" w:type="dxa"/>
            <w:tcBorders>
              <w:top w:val="nil"/>
              <w:left w:val="nil"/>
              <w:bottom w:val="nil"/>
              <w:right w:val="nil"/>
            </w:tcBorders>
            <w:shd w:val="clear" w:color="auto" w:fill="auto"/>
            <w:noWrap/>
            <w:vAlign w:val="bottom"/>
            <w:hideMark/>
          </w:tcPr>
          <w:p w:rsidR="00001A63" w:rsidRPr="00B75813" w:rsidRDefault="00001A63" w:rsidP="00001A63">
            <w:pPr>
              <w:jc w:val="right"/>
            </w:pPr>
            <w:r>
              <w:t>-</w:t>
            </w:r>
          </w:p>
        </w:tc>
        <w:tc>
          <w:tcPr>
            <w:tcW w:w="1277" w:type="dxa"/>
            <w:tcBorders>
              <w:top w:val="nil"/>
              <w:left w:val="nil"/>
              <w:bottom w:val="nil"/>
              <w:right w:val="nil"/>
            </w:tcBorders>
            <w:shd w:val="clear" w:color="auto" w:fill="auto"/>
            <w:noWrap/>
            <w:vAlign w:val="bottom"/>
            <w:hideMark/>
          </w:tcPr>
          <w:p w:rsidR="00001A63" w:rsidRPr="00B75813" w:rsidRDefault="00001A63" w:rsidP="00001A63">
            <w:pPr>
              <w:jc w:val="right"/>
              <w:rPr>
                <w:rFonts w:ascii="Verdana" w:hAnsi="Verdana" w:cs="Times New Roman"/>
                <w:sz w:val="20"/>
                <w:szCs w:val="20"/>
              </w:rPr>
            </w:pPr>
            <w:r>
              <w:rPr>
                <w:rFonts w:ascii="Verdana" w:hAnsi="Verdana" w:cs="Times New Roman"/>
                <w:sz w:val="20"/>
                <w:szCs w:val="20"/>
              </w:rPr>
              <w:t>-</w:t>
            </w:r>
          </w:p>
        </w:tc>
        <w:tc>
          <w:tcPr>
            <w:tcW w:w="1700" w:type="dxa"/>
            <w:tcBorders>
              <w:top w:val="nil"/>
              <w:left w:val="nil"/>
              <w:bottom w:val="nil"/>
              <w:right w:val="nil"/>
            </w:tcBorders>
            <w:shd w:val="clear" w:color="auto" w:fill="auto"/>
            <w:noWrap/>
            <w:vAlign w:val="bottom"/>
            <w:hideMark/>
          </w:tcPr>
          <w:p w:rsidR="00001A63" w:rsidRPr="00B75813" w:rsidRDefault="00001A63" w:rsidP="00001A63">
            <w:pPr>
              <w:jc w:val="right"/>
            </w:pPr>
            <w:r>
              <w:t>-</w:t>
            </w:r>
          </w:p>
        </w:tc>
        <w:tc>
          <w:tcPr>
            <w:tcW w:w="1590" w:type="dxa"/>
            <w:tcBorders>
              <w:top w:val="nil"/>
              <w:left w:val="nil"/>
              <w:bottom w:val="nil"/>
              <w:right w:val="nil"/>
            </w:tcBorders>
            <w:shd w:val="clear" w:color="auto" w:fill="auto"/>
            <w:noWrap/>
            <w:vAlign w:val="bottom"/>
            <w:hideMark/>
          </w:tcPr>
          <w:p w:rsidR="00001A63" w:rsidRPr="00B75813" w:rsidRDefault="00001A63" w:rsidP="00001A63">
            <w:pPr>
              <w:jc w:val="right"/>
            </w:pPr>
            <w:r w:rsidRPr="00B75813">
              <w:t>111,195</w:t>
            </w:r>
          </w:p>
        </w:tc>
        <w:tc>
          <w:tcPr>
            <w:tcW w:w="1693" w:type="dxa"/>
            <w:tcBorders>
              <w:top w:val="nil"/>
              <w:left w:val="nil"/>
              <w:bottom w:val="nil"/>
              <w:right w:val="nil"/>
            </w:tcBorders>
            <w:shd w:val="clear" w:color="auto" w:fill="auto"/>
            <w:noWrap/>
            <w:vAlign w:val="bottom"/>
            <w:hideMark/>
          </w:tcPr>
          <w:p w:rsidR="00001A63" w:rsidRPr="00B75813" w:rsidRDefault="00001A63" w:rsidP="00001A63">
            <w:pPr>
              <w:jc w:val="right"/>
            </w:pPr>
            <w:r>
              <w:t>-</w:t>
            </w:r>
          </w:p>
        </w:tc>
        <w:tc>
          <w:tcPr>
            <w:tcW w:w="1533" w:type="dxa"/>
            <w:tcBorders>
              <w:top w:val="nil"/>
              <w:left w:val="nil"/>
              <w:bottom w:val="nil"/>
              <w:right w:val="nil"/>
            </w:tcBorders>
            <w:shd w:val="clear" w:color="auto" w:fill="auto"/>
            <w:noWrap/>
            <w:vAlign w:val="bottom"/>
            <w:hideMark/>
          </w:tcPr>
          <w:p w:rsidR="00001A63" w:rsidRPr="00B75813" w:rsidRDefault="00001A63" w:rsidP="00001A63">
            <w:pPr>
              <w:jc w:val="right"/>
            </w:pPr>
            <w:r w:rsidRPr="00B75813">
              <w:t>111,195</w:t>
            </w:r>
          </w:p>
        </w:tc>
        <w:tc>
          <w:tcPr>
            <w:tcW w:w="1378" w:type="dxa"/>
            <w:tcBorders>
              <w:top w:val="nil"/>
              <w:left w:val="nil"/>
              <w:bottom w:val="nil"/>
              <w:right w:val="nil"/>
            </w:tcBorders>
            <w:shd w:val="clear" w:color="auto" w:fill="auto"/>
            <w:noWrap/>
            <w:vAlign w:val="bottom"/>
            <w:hideMark/>
          </w:tcPr>
          <w:p w:rsidR="00001A63" w:rsidRPr="00B75813" w:rsidRDefault="00001A63" w:rsidP="00001A63">
            <w:pPr>
              <w:jc w:val="right"/>
            </w:pPr>
            <w:r w:rsidRPr="00B75813">
              <w:t>1,029</w:t>
            </w:r>
          </w:p>
        </w:tc>
        <w:tc>
          <w:tcPr>
            <w:tcW w:w="1288" w:type="dxa"/>
            <w:tcBorders>
              <w:top w:val="nil"/>
              <w:left w:val="nil"/>
              <w:bottom w:val="nil"/>
              <w:right w:val="nil"/>
            </w:tcBorders>
            <w:shd w:val="clear" w:color="auto" w:fill="auto"/>
            <w:noWrap/>
            <w:vAlign w:val="bottom"/>
            <w:hideMark/>
          </w:tcPr>
          <w:p w:rsidR="00001A63" w:rsidRPr="00B75813" w:rsidRDefault="00001A63" w:rsidP="00B75813">
            <w:pPr>
              <w:jc w:val="right"/>
            </w:pPr>
            <w:r w:rsidRPr="00B75813">
              <w:t>112,224</w:t>
            </w:r>
          </w:p>
        </w:tc>
      </w:tr>
      <w:tr w:rsidR="00001A63" w:rsidRPr="00B75813" w:rsidTr="00001A63">
        <w:trPr>
          <w:trHeight w:val="245"/>
        </w:trPr>
        <w:tc>
          <w:tcPr>
            <w:tcW w:w="3878" w:type="dxa"/>
            <w:tcBorders>
              <w:top w:val="nil"/>
              <w:left w:val="nil"/>
              <w:bottom w:val="nil"/>
              <w:right w:val="nil"/>
            </w:tcBorders>
            <w:shd w:val="clear" w:color="auto" w:fill="auto"/>
            <w:vAlign w:val="bottom"/>
            <w:hideMark/>
          </w:tcPr>
          <w:p w:rsidR="00001A63" w:rsidRPr="00B75813" w:rsidRDefault="00001A63" w:rsidP="00B75813">
            <w:r w:rsidRPr="00B75813">
              <w:t>Interest Payments</w:t>
            </w:r>
          </w:p>
        </w:tc>
        <w:tc>
          <w:tcPr>
            <w:tcW w:w="1488" w:type="dxa"/>
            <w:tcBorders>
              <w:top w:val="nil"/>
              <w:left w:val="nil"/>
              <w:bottom w:val="nil"/>
              <w:right w:val="nil"/>
            </w:tcBorders>
            <w:shd w:val="clear" w:color="auto" w:fill="auto"/>
            <w:noWrap/>
            <w:vAlign w:val="bottom"/>
            <w:hideMark/>
          </w:tcPr>
          <w:p w:rsidR="00001A63" w:rsidRPr="00B75813" w:rsidRDefault="00001A63" w:rsidP="00001A63">
            <w:pPr>
              <w:jc w:val="right"/>
            </w:pPr>
            <w:r>
              <w:t>-</w:t>
            </w:r>
          </w:p>
        </w:tc>
        <w:tc>
          <w:tcPr>
            <w:tcW w:w="1277" w:type="dxa"/>
            <w:tcBorders>
              <w:top w:val="nil"/>
              <w:left w:val="nil"/>
              <w:bottom w:val="nil"/>
              <w:right w:val="nil"/>
            </w:tcBorders>
            <w:shd w:val="clear" w:color="auto" w:fill="auto"/>
            <w:noWrap/>
            <w:vAlign w:val="bottom"/>
            <w:hideMark/>
          </w:tcPr>
          <w:p w:rsidR="00001A63" w:rsidRPr="00B75813" w:rsidRDefault="00001A63" w:rsidP="00001A63">
            <w:pPr>
              <w:jc w:val="right"/>
              <w:rPr>
                <w:rFonts w:ascii="Verdana" w:hAnsi="Verdana" w:cs="Times New Roman"/>
                <w:sz w:val="20"/>
                <w:szCs w:val="20"/>
              </w:rPr>
            </w:pPr>
            <w:r>
              <w:rPr>
                <w:rFonts w:ascii="Verdana" w:hAnsi="Verdana" w:cs="Times New Roman"/>
                <w:sz w:val="20"/>
                <w:szCs w:val="20"/>
              </w:rPr>
              <w:t>-</w:t>
            </w:r>
          </w:p>
        </w:tc>
        <w:tc>
          <w:tcPr>
            <w:tcW w:w="1700" w:type="dxa"/>
            <w:tcBorders>
              <w:top w:val="nil"/>
              <w:left w:val="nil"/>
              <w:bottom w:val="nil"/>
              <w:right w:val="nil"/>
            </w:tcBorders>
            <w:shd w:val="clear" w:color="auto" w:fill="auto"/>
            <w:noWrap/>
            <w:vAlign w:val="bottom"/>
            <w:hideMark/>
          </w:tcPr>
          <w:p w:rsidR="00001A63" w:rsidRPr="00B75813" w:rsidRDefault="00001A63" w:rsidP="00001A63">
            <w:pPr>
              <w:jc w:val="right"/>
            </w:pPr>
            <w:r>
              <w:t>-</w:t>
            </w:r>
          </w:p>
        </w:tc>
        <w:tc>
          <w:tcPr>
            <w:tcW w:w="1590" w:type="dxa"/>
            <w:tcBorders>
              <w:top w:val="nil"/>
              <w:left w:val="nil"/>
              <w:bottom w:val="nil"/>
              <w:right w:val="nil"/>
            </w:tcBorders>
            <w:shd w:val="clear" w:color="auto" w:fill="auto"/>
            <w:noWrap/>
            <w:vAlign w:val="bottom"/>
            <w:hideMark/>
          </w:tcPr>
          <w:p w:rsidR="00001A63" w:rsidRPr="00B75813" w:rsidRDefault="00001A63" w:rsidP="00001A63">
            <w:pPr>
              <w:jc w:val="right"/>
            </w:pPr>
            <w:r w:rsidRPr="00B75813">
              <w:t>294</w:t>
            </w:r>
          </w:p>
        </w:tc>
        <w:tc>
          <w:tcPr>
            <w:tcW w:w="1693" w:type="dxa"/>
            <w:tcBorders>
              <w:top w:val="nil"/>
              <w:left w:val="nil"/>
              <w:bottom w:val="nil"/>
              <w:right w:val="nil"/>
            </w:tcBorders>
            <w:shd w:val="clear" w:color="auto" w:fill="auto"/>
            <w:noWrap/>
            <w:vAlign w:val="bottom"/>
            <w:hideMark/>
          </w:tcPr>
          <w:p w:rsidR="00001A63" w:rsidRPr="00B75813" w:rsidRDefault="00A03C1B" w:rsidP="00001A63">
            <w:pPr>
              <w:jc w:val="right"/>
            </w:pPr>
            <w:r>
              <w:t>-</w:t>
            </w:r>
          </w:p>
        </w:tc>
        <w:tc>
          <w:tcPr>
            <w:tcW w:w="1533" w:type="dxa"/>
            <w:tcBorders>
              <w:top w:val="nil"/>
              <w:left w:val="nil"/>
              <w:bottom w:val="nil"/>
              <w:right w:val="nil"/>
            </w:tcBorders>
            <w:shd w:val="clear" w:color="auto" w:fill="auto"/>
            <w:noWrap/>
            <w:vAlign w:val="bottom"/>
            <w:hideMark/>
          </w:tcPr>
          <w:p w:rsidR="00001A63" w:rsidRPr="00B75813" w:rsidRDefault="00001A63" w:rsidP="00001A63">
            <w:pPr>
              <w:jc w:val="right"/>
            </w:pPr>
            <w:r w:rsidRPr="00B75813">
              <w:t>294</w:t>
            </w:r>
          </w:p>
        </w:tc>
        <w:tc>
          <w:tcPr>
            <w:tcW w:w="1378" w:type="dxa"/>
            <w:tcBorders>
              <w:top w:val="nil"/>
              <w:left w:val="nil"/>
              <w:bottom w:val="nil"/>
              <w:right w:val="nil"/>
            </w:tcBorders>
            <w:shd w:val="clear" w:color="auto" w:fill="auto"/>
            <w:noWrap/>
            <w:vAlign w:val="bottom"/>
            <w:hideMark/>
          </w:tcPr>
          <w:p w:rsidR="00001A63" w:rsidRPr="00B75813" w:rsidRDefault="00001A63" w:rsidP="00001A63">
            <w:pPr>
              <w:jc w:val="right"/>
            </w:pPr>
            <w:r w:rsidRPr="00B75813">
              <w:t>33,361</w:t>
            </w:r>
          </w:p>
        </w:tc>
        <w:tc>
          <w:tcPr>
            <w:tcW w:w="1288" w:type="dxa"/>
            <w:tcBorders>
              <w:top w:val="nil"/>
              <w:left w:val="nil"/>
              <w:bottom w:val="nil"/>
              <w:right w:val="nil"/>
            </w:tcBorders>
            <w:shd w:val="clear" w:color="auto" w:fill="auto"/>
            <w:noWrap/>
            <w:vAlign w:val="bottom"/>
            <w:hideMark/>
          </w:tcPr>
          <w:p w:rsidR="00001A63" w:rsidRPr="00B75813" w:rsidRDefault="00001A63" w:rsidP="00B75813">
            <w:pPr>
              <w:jc w:val="right"/>
            </w:pPr>
            <w:r w:rsidRPr="00B75813">
              <w:t>33,655</w:t>
            </w:r>
          </w:p>
        </w:tc>
      </w:tr>
      <w:tr w:rsidR="00001A63" w:rsidRPr="00B75813" w:rsidTr="00001A63">
        <w:trPr>
          <w:trHeight w:val="245"/>
        </w:trPr>
        <w:tc>
          <w:tcPr>
            <w:tcW w:w="3878" w:type="dxa"/>
            <w:tcBorders>
              <w:top w:val="nil"/>
              <w:left w:val="nil"/>
              <w:bottom w:val="nil"/>
              <w:right w:val="nil"/>
            </w:tcBorders>
            <w:shd w:val="clear" w:color="auto" w:fill="auto"/>
            <w:vAlign w:val="bottom"/>
            <w:hideMark/>
          </w:tcPr>
          <w:p w:rsidR="00001A63" w:rsidRPr="00B75813" w:rsidRDefault="00001A63" w:rsidP="00B75813">
            <w:r w:rsidRPr="00B75813">
              <w:t>Precepts and levies</w:t>
            </w:r>
          </w:p>
        </w:tc>
        <w:tc>
          <w:tcPr>
            <w:tcW w:w="1488" w:type="dxa"/>
            <w:tcBorders>
              <w:top w:val="nil"/>
              <w:left w:val="nil"/>
              <w:bottom w:val="nil"/>
              <w:right w:val="nil"/>
            </w:tcBorders>
            <w:shd w:val="clear" w:color="auto" w:fill="auto"/>
            <w:noWrap/>
            <w:vAlign w:val="bottom"/>
            <w:hideMark/>
          </w:tcPr>
          <w:p w:rsidR="00001A63" w:rsidRPr="00B75813" w:rsidRDefault="00001A63" w:rsidP="00001A63">
            <w:pPr>
              <w:jc w:val="right"/>
            </w:pPr>
            <w:r>
              <w:t>-</w:t>
            </w:r>
          </w:p>
        </w:tc>
        <w:tc>
          <w:tcPr>
            <w:tcW w:w="1277" w:type="dxa"/>
            <w:tcBorders>
              <w:top w:val="nil"/>
              <w:left w:val="nil"/>
              <w:bottom w:val="nil"/>
              <w:right w:val="nil"/>
            </w:tcBorders>
            <w:shd w:val="clear" w:color="auto" w:fill="auto"/>
            <w:noWrap/>
            <w:vAlign w:val="bottom"/>
            <w:hideMark/>
          </w:tcPr>
          <w:p w:rsidR="00001A63" w:rsidRPr="00B75813" w:rsidRDefault="00001A63" w:rsidP="00001A63">
            <w:pPr>
              <w:jc w:val="right"/>
              <w:rPr>
                <w:rFonts w:ascii="Verdana" w:hAnsi="Verdana" w:cs="Times New Roman"/>
                <w:sz w:val="20"/>
                <w:szCs w:val="20"/>
              </w:rPr>
            </w:pPr>
            <w:r>
              <w:rPr>
                <w:rFonts w:ascii="Verdana" w:hAnsi="Verdana" w:cs="Times New Roman"/>
                <w:sz w:val="20"/>
                <w:szCs w:val="20"/>
              </w:rPr>
              <w:t>-</w:t>
            </w:r>
          </w:p>
        </w:tc>
        <w:tc>
          <w:tcPr>
            <w:tcW w:w="1700" w:type="dxa"/>
            <w:tcBorders>
              <w:top w:val="nil"/>
              <w:left w:val="nil"/>
              <w:bottom w:val="nil"/>
              <w:right w:val="nil"/>
            </w:tcBorders>
            <w:shd w:val="clear" w:color="auto" w:fill="auto"/>
            <w:noWrap/>
            <w:vAlign w:val="bottom"/>
            <w:hideMark/>
          </w:tcPr>
          <w:p w:rsidR="00001A63" w:rsidRPr="00B75813" w:rsidRDefault="00001A63" w:rsidP="00001A63">
            <w:pPr>
              <w:jc w:val="right"/>
            </w:pPr>
            <w:r>
              <w:t>-</w:t>
            </w:r>
          </w:p>
        </w:tc>
        <w:tc>
          <w:tcPr>
            <w:tcW w:w="1590" w:type="dxa"/>
            <w:tcBorders>
              <w:top w:val="nil"/>
              <w:left w:val="nil"/>
              <w:bottom w:val="nil"/>
              <w:right w:val="nil"/>
            </w:tcBorders>
            <w:shd w:val="clear" w:color="auto" w:fill="auto"/>
            <w:noWrap/>
            <w:vAlign w:val="bottom"/>
            <w:hideMark/>
          </w:tcPr>
          <w:p w:rsidR="00001A63" w:rsidRPr="00B75813" w:rsidRDefault="00A03C1B" w:rsidP="00001A63">
            <w:pPr>
              <w:jc w:val="right"/>
            </w:pPr>
            <w:r>
              <w:t>-</w:t>
            </w:r>
          </w:p>
        </w:tc>
        <w:tc>
          <w:tcPr>
            <w:tcW w:w="1693" w:type="dxa"/>
            <w:tcBorders>
              <w:top w:val="nil"/>
              <w:left w:val="nil"/>
              <w:bottom w:val="nil"/>
              <w:right w:val="nil"/>
            </w:tcBorders>
            <w:shd w:val="clear" w:color="auto" w:fill="auto"/>
            <w:noWrap/>
            <w:vAlign w:val="bottom"/>
            <w:hideMark/>
          </w:tcPr>
          <w:p w:rsidR="00001A63" w:rsidRPr="00B75813" w:rsidRDefault="00A03C1B" w:rsidP="00001A63">
            <w:pPr>
              <w:jc w:val="right"/>
            </w:pPr>
            <w:r>
              <w:t>-</w:t>
            </w:r>
          </w:p>
        </w:tc>
        <w:tc>
          <w:tcPr>
            <w:tcW w:w="1533" w:type="dxa"/>
            <w:tcBorders>
              <w:top w:val="nil"/>
              <w:left w:val="nil"/>
              <w:bottom w:val="nil"/>
              <w:right w:val="nil"/>
            </w:tcBorders>
            <w:shd w:val="clear" w:color="auto" w:fill="auto"/>
            <w:noWrap/>
            <w:vAlign w:val="bottom"/>
            <w:hideMark/>
          </w:tcPr>
          <w:p w:rsidR="00001A63" w:rsidRPr="00B75813" w:rsidRDefault="00001A63" w:rsidP="00001A63">
            <w:pPr>
              <w:jc w:val="right"/>
            </w:pPr>
            <w:r w:rsidRPr="00B75813">
              <w:t>-</w:t>
            </w:r>
          </w:p>
        </w:tc>
        <w:tc>
          <w:tcPr>
            <w:tcW w:w="1378" w:type="dxa"/>
            <w:tcBorders>
              <w:top w:val="nil"/>
              <w:left w:val="nil"/>
              <w:bottom w:val="nil"/>
              <w:right w:val="nil"/>
            </w:tcBorders>
            <w:shd w:val="clear" w:color="auto" w:fill="auto"/>
            <w:noWrap/>
            <w:vAlign w:val="bottom"/>
            <w:hideMark/>
          </w:tcPr>
          <w:p w:rsidR="00001A63" w:rsidRPr="00B75813" w:rsidRDefault="00001A63" w:rsidP="00001A63">
            <w:pPr>
              <w:jc w:val="right"/>
            </w:pPr>
            <w:r w:rsidRPr="00B75813">
              <w:t>179,649</w:t>
            </w:r>
          </w:p>
        </w:tc>
        <w:tc>
          <w:tcPr>
            <w:tcW w:w="1288" w:type="dxa"/>
            <w:tcBorders>
              <w:top w:val="nil"/>
              <w:left w:val="nil"/>
              <w:bottom w:val="nil"/>
              <w:right w:val="nil"/>
            </w:tcBorders>
            <w:shd w:val="clear" w:color="auto" w:fill="auto"/>
            <w:noWrap/>
            <w:vAlign w:val="bottom"/>
            <w:hideMark/>
          </w:tcPr>
          <w:p w:rsidR="00001A63" w:rsidRPr="00B75813" w:rsidRDefault="00001A63" w:rsidP="00B75813">
            <w:pPr>
              <w:jc w:val="right"/>
            </w:pPr>
            <w:r w:rsidRPr="00B75813">
              <w:t>179,649</w:t>
            </w:r>
          </w:p>
        </w:tc>
      </w:tr>
      <w:tr w:rsidR="00001A63" w:rsidRPr="00B75813" w:rsidTr="00A03C1B">
        <w:trPr>
          <w:trHeight w:val="479"/>
        </w:trPr>
        <w:tc>
          <w:tcPr>
            <w:tcW w:w="3878" w:type="dxa"/>
            <w:tcBorders>
              <w:top w:val="nil"/>
              <w:left w:val="nil"/>
              <w:bottom w:val="nil"/>
              <w:right w:val="nil"/>
            </w:tcBorders>
            <w:shd w:val="clear" w:color="auto" w:fill="auto"/>
            <w:vAlign w:val="bottom"/>
            <w:hideMark/>
          </w:tcPr>
          <w:p w:rsidR="00001A63" w:rsidRPr="00B75813" w:rsidRDefault="00001A63" w:rsidP="00B75813">
            <w:r w:rsidRPr="00B75813">
              <w:t>Payment to Housing Capital receipts pool</w:t>
            </w:r>
          </w:p>
        </w:tc>
        <w:tc>
          <w:tcPr>
            <w:tcW w:w="1488" w:type="dxa"/>
            <w:tcBorders>
              <w:top w:val="nil"/>
              <w:left w:val="nil"/>
              <w:bottom w:val="nil"/>
              <w:right w:val="nil"/>
            </w:tcBorders>
            <w:shd w:val="clear" w:color="auto" w:fill="auto"/>
            <w:noWrap/>
            <w:vAlign w:val="bottom"/>
            <w:hideMark/>
          </w:tcPr>
          <w:p w:rsidR="00001A63" w:rsidRPr="00B75813" w:rsidRDefault="00001A63" w:rsidP="00001A63">
            <w:pPr>
              <w:jc w:val="right"/>
            </w:pPr>
            <w:r>
              <w:t>-</w:t>
            </w:r>
          </w:p>
        </w:tc>
        <w:tc>
          <w:tcPr>
            <w:tcW w:w="1277" w:type="dxa"/>
            <w:tcBorders>
              <w:top w:val="nil"/>
              <w:left w:val="nil"/>
              <w:bottom w:val="nil"/>
              <w:right w:val="nil"/>
            </w:tcBorders>
            <w:shd w:val="clear" w:color="auto" w:fill="auto"/>
            <w:noWrap/>
            <w:vAlign w:val="bottom"/>
            <w:hideMark/>
          </w:tcPr>
          <w:p w:rsidR="00001A63" w:rsidRPr="00B75813" w:rsidRDefault="00001A63" w:rsidP="00001A63">
            <w:pPr>
              <w:jc w:val="right"/>
            </w:pPr>
            <w:r>
              <w:t>-</w:t>
            </w:r>
          </w:p>
        </w:tc>
        <w:tc>
          <w:tcPr>
            <w:tcW w:w="1700" w:type="dxa"/>
            <w:tcBorders>
              <w:top w:val="nil"/>
              <w:left w:val="nil"/>
              <w:bottom w:val="nil"/>
              <w:right w:val="nil"/>
            </w:tcBorders>
            <w:shd w:val="clear" w:color="auto" w:fill="auto"/>
            <w:noWrap/>
            <w:vAlign w:val="bottom"/>
            <w:hideMark/>
          </w:tcPr>
          <w:p w:rsidR="00001A63" w:rsidRPr="00B75813" w:rsidRDefault="00001A63" w:rsidP="00001A63">
            <w:pPr>
              <w:jc w:val="right"/>
            </w:pPr>
            <w:r>
              <w:t>-</w:t>
            </w:r>
          </w:p>
        </w:tc>
        <w:tc>
          <w:tcPr>
            <w:tcW w:w="1590" w:type="dxa"/>
            <w:tcBorders>
              <w:top w:val="nil"/>
              <w:left w:val="nil"/>
              <w:bottom w:val="nil"/>
              <w:right w:val="nil"/>
            </w:tcBorders>
            <w:shd w:val="clear" w:color="auto" w:fill="auto"/>
            <w:noWrap/>
            <w:vAlign w:val="bottom"/>
            <w:hideMark/>
          </w:tcPr>
          <w:p w:rsidR="00001A63" w:rsidRPr="00B75813" w:rsidRDefault="00001A63" w:rsidP="00001A63">
            <w:pPr>
              <w:jc w:val="right"/>
            </w:pPr>
            <w:r>
              <w:t>-</w:t>
            </w:r>
          </w:p>
        </w:tc>
        <w:tc>
          <w:tcPr>
            <w:tcW w:w="1693" w:type="dxa"/>
            <w:tcBorders>
              <w:top w:val="nil"/>
              <w:left w:val="nil"/>
              <w:bottom w:val="nil"/>
              <w:right w:val="nil"/>
            </w:tcBorders>
            <w:shd w:val="clear" w:color="auto" w:fill="auto"/>
            <w:noWrap/>
            <w:vAlign w:val="bottom"/>
            <w:hideMark/>
          </w:tcPr>
          <w:p w:rsidR="00001A63" w:rsidRPr="00B75813" w:rsidRDefault="00001A63" w:rsidP="00001A63">
            <w:pPr>
              <w:jc w:val="right"/>
            </w:pPr>
            <w:r>
              <w:t>-</w:t>
            </w:r>
          </w:p>
        </w:tc>
        <w:tc>
          <w:tcPr>
            <w:tcW w:w="1533" w:type="dxa"/>
            <w:tcBorders>
              <w:top w:val="nil"/>
              <w:left w:val="nil"/>
              <w:bottom w:val="nil"/>
              <w:right w:val="nil"/>
            </w:tcBorders>
            <w:shd w:val="clear" w:color="auto" w:fill="auto"/>
            <w:noWrap/>
            <w:vAlign w:val="bottom"/>
            <w:hideMark/>
          </w:tcPr>
          <w:p w:rsidR="00001A63" w:rsidRPr="00B75813" w:rsidRDefault="00001A63" w:rsidP="00001A63">
            <w:pPr>
              <w:jc w:val="right"/>
            </w:pPr>
            <w:r w:rsidRPr="00B75813">
              <w:t>-</w:t>
            </w:r>
          </w:p>
        </w:tc>
        <w:tc>
          <w:tcPr>
            <w:tcW w:w="1378" w:type="dxa"/>
            <w:tcBorders>
              <w:top w:val="nil"/>
              <w:left w:val="nil"/>
              <w:bottom w:val="nil"/>
              <w:right w:val="nil"/>
            </w:tcBorders>
            <w:shd w:val="clear" w:color="auto" w:fill="auto"/>
            <w:noWrap/>
            <w:vAlign w:val="bottom"/>
            <w:hideMark/>
          </w:tcPr>
          <w:p w:rsidR="00001A63" w:rsidRPr="00B75813" w:rsidRDefault="00A03C1B" w:rsidP="00A03C1B">
            <w:pPr>
              <w:jc w:val="right"/>
            </w:pPr>
            <w:r>
              <w:t>-</w:t>
            </w:r>
          </w:p>
        </w:tc>
        <w:tc>
          <w:tcPr>
            <w:tcW w:w="1288" w:type="dxa"/>
            <w:tcBorders>
              <w:top w:val="nil"/>
              <w:left w:val="nil"/>
              <w:bottom w:val="nil"/>
              <w:right w:val="nil"/>
            </w:tcBorders>
            <w:shd w:val="clear" w:color="auto" w:fill="auto"/>
            <w:noWrap/>
            <w:vAlign w:val="bottom"/>
            <w:hideMark/>
          </w:tcPr>
          <w:p w:rsidR="00001A63" w:rsidRPr="00B75813" w:rsidRDefault="00001A63" w:rsidP="00B75813">
            <w:pPr>
              <w:jc w:val="right"/>
            </w:pPr>
            <w:r w:rsidRPr="00B75813">
              <w:t>-</w:t>
            </w:r>
          </w:p>
        </w:tc>
      </w:tr>
      <w:tr w:rsidR="00001A63" w:rsidRPr="00B75813" w:rsidTr="00B75813">
        <w:trPr>
          <w:trHeight w:val="479"/>
        </w:trPr>
        <w:tc>
          <w:tcPr>
            <w:tcW w:w="3878" w:type="dxa"/>
            <w:tcBorders>
              <w:top w:val="nil"/>
              <w:left w:val="nil"/>
              <w:bottom w:val="nil"/>
              <w:right w:val="nil"/>
            </w:tcBorders>
            <w:shd w:val="clear" w:color="auto" w:fill="auto"/>
            <w:vAlign w:val="bottom"/>
            <w:hideMark/>
          </w:tcPr>
          <w:p w:rsidR="00001A63" w:rsidRPr="00B75813" w:rsidRDefault="00001A63" w:rsidP="00B75813">
            <w:r w:rsidRPr="00B75813">
              <w:t xml:space="preserve">Gain or loss on Disposal of Fixed Assets </w:t>
            </w:r>
          </w:p>
        </w:tc>
        <w:tc>
          <w:tcPr>
            <w:tcW w:w="1488" w:type="dxa"/>
            <w:tcBorders>
              <w:top w:val="nil"/>
              <w:left w:val="nil"/>
              <w:bottom w:val="nil"/>
              <w:right w:val="nil"/>
            </w:tcBorders>
            <w:shd w:val="clear" w:color="auto" w:fill="auto"/>
            <w:noWrap/>
            <w:vAlign w:val="bottom"/>
            <w:hideMark/>
          </w:tcPr>
          <w:p w:rsidR="00001A63" w:rsidRPr="00B75813" w:rsidRDefault="00001A63" w:rsidP="00001A63">
            <w:pPr>
              <w:jc w:val="right"/>
            </w:pPr>
            <w:r>
              <w:t>-</w:t>
            </w:r>
          </w:p>
        </w:tc>
        <w:tc>
          <w:tcPr>
            <w:tcW w:w="1277" w:type="dxa"/>
            <w:tcBorders>
              <w:top w:val="nil"/>
              <w:left w:val="nil"/>
              <w:bottom w:val="nil"/>
              <w:right w:val="nil"/>
            </w:tcBorders>
            <w:shd w:val="clear" w:color="auto" w:fill="auto"/>
            <w:noWrap/>
            <w:vAlign w:val="bottom"/>
            <w:hideMark/>
          </w:tcPr>
          <w:p w:rsidR="00001A63" w:rsidRPr="00B75813" w:rsidRDefault="00001A63" w:rsidP="00001A63">
            <w:pPr>
              <w:jc w:val="right"/>
            </w:pPr>
            <w:r>
              <w:t>-</w:t>
            </w:r>
          </w:p>
        </w:tc>
        <w:tc>
          <w:tcPr>
            <w:tcW w:w="1700" w:type="dxa"/>
            <w:tcBorders>
              <w:top w:val="nil"/>
              <w:left w:val="nil"/>
              <w:bottom w:val="nil"/>
              <w:right w:val="nil"/>
            </w:tcBorders>
            <w:shd w:val="clear" w:color="auto" w:fill="auto"/>
            <w:noWrap/>
            <w:vAlign w:val="bottom"/>
            <w:hideMark/>
          </w:tcPr>
          <w:p w:rsidR="00001A63" w:rsidRPr="00B75813" w:rsidRDefault="00001A63" w:rsidP="00001A63">
            <w:pPr>
              <w:jc w:val="right"/>
            </w:pPr>
            <w:r>
              <w:t>-</w:t>
            </w:r>
          </w:p>
        </w:tc>
        <w:tc>
          <w:tcPr>
            <w:tcW w:w="1590" w:type="dxa"/>
            <w:tcBorders>
              <w:top w:val="nil"/>
              <w:left w:val="nil"/>
              <w:bottom w:val="nil"/>
              <w:right w:val="nil"/>
            </w:tcBorders>
            <w:shd w:val="clear" w:color="auto" w:fill="auto"/>
            <w:noWrap/>
            <w:vAlign w:val="bottom"/>
            <w:hideMark/>
          </w:tcPr>
          <w:p w:rsidR="00001A63" w:rsidRPr="00B75813" w:rsidRDefault="00001A63" w:rsidP="00001A63">
            <w:pPr>
              <w:jc w:val="right"/>
            </w:pPr>
            <w:r>
              <w:t>-</w:t>
            </w:r>
          </w:p>
        </w:tc>
        <w:tc>
          <w:tcPr>
            <w:tcW w:w="1693" w:type="dxa"/>
            <w:tcBorders>
              <w:top w:val="nil"/>
              <w:left w:val="nil"/>
              <w:bottom w:val="nil"/>
              <w:right w:val="nil"/>
            </w:tcBorders>
            <w:shd w:val="clear" w:color="auto" w:fill="auto"/>
            <w:noWrap/>
            <w:vAlign w:val="bottom"/>
            <w:hideMark/>
          </w:tcPr>
          <w:p w:rsidR="00001A63" w:rsidRPr="00B75813" w:rsidRDefault="00001A63" w:rsidP="00001A63">
            <w:pPr>
              <w:jc w:val="right"/>
            </w:pPr>
            <w:r>
              <w:t>-</w:t>
            </w:r>
          </w:p>
        </w:tc>
        <w:tc>
          <w:tcPr>
            <w:tcW w:w="1533" w:type="dxa"/>
            <w:tcBorders>
              <w:top w:val="nil"/>
              <w:left w:val="nil"/>
              <w:bottom w:val="nil"/>
              <w:right w:val="nil"/>
            </w:tcBorders>
            <w:shd w:val="clear" w:color="auto" w:fill="auto"/>
            <w:noWrap/>
            <w:vAlign w:val="bottom"/>
            <w:hideMark/>
          </w:tcPr>
          <w:p w:rsidR="00001A63" w:rsidRPr="00B75813" w:rsidRDefault="00001A63" w:rsidP="00001A63">
            <w:pPr>
              <w:jc w:val="right"/>
            </w:pPr>
            <w:r w:rsidRPr="00B75813">
              <w:t>-</w:t>
            </w:r>
          </w:p>
        </w:tc>
        <w:tc>
          <w:tcPr>
            <w:tcW w:w="1378" w:type="dxa"/>
            <w:tcBorders>
              <w:top w:val="nil"/>
              <w:left w:val="nil"/>
              <w:bottom w:val="nil"/>
              <w:right w:val="nil"/>
            </w:tcBorders>
            <w:shd w:val="clear" w:color="auto" w:fill="auto"/>
            <w:noWrap/>
            <w:vAlign w:val="bottom"/>
            <w:hideMark/>
          </w:tcPr>
          <w:p w:rsidR="00001A63" w:rsidRPr="00B75813" w:rsidRDefault="00001A63" w:rsidP="00B75813">
            <w:pPr>
              <w:jc w:val="right"/>
            </w:pPr>
            <w:r w:rsidRPr="00B75813">
              <w:t>21,210</w:t>
            </w:r>
          </w:p>
        </w:tc>
        <w:tc>
          <w:tcPr>
            <w:tcW w:w="1288" w:type="dxa"/>
            <w:tcBorders>
              <w:top w:val="nil"/>
              <w:left w:val="nil"/>
              <w:bottom w:val="nil"/>
              <w:right w:val="nil"/>
            </w:tcBorders>
            <w:shd w:val="clear" w:color="auto" w:fill="auto"/>
            <w:noWrap/>
            <w:vAlign w:val="bottom"/>
            <w:hideMark/>
          </w:tcPr>
          <w:p w:rsidR="00001A63" w:rsidRPr="00B75813" w:rsidRDefault="00001A63" w:rsidP="00B75813">
            <w:pPr>
              <w:jc w:val="right"/>
            </w:pPr>
            <w:r w:rsidRPr="00B75813">
              <w:t>21,210</w:t>
            </w:r>
          </w:p>
        </w:tc>
      </w:tr>
      <w:tr w:rsidR="00001A63" w:rsidRPr="00B75813" w:rsidTr="00B75813">
        <w:trPr>
          <w:trHeight w:val="245"/>
        </w:trPr>
        <w:tc>
          <w:tcPr>
            <w:tcW w:w="3878" w:type="dxa"/>
            <w:tcBorders>
              <w:top w:val="nil"/>
              <w:left w:val="nil"/>
              <w:bottom w:val="nil"/>
              <w:right w:val="nil"/>
            </w:tcBorders>
            <w:shd w:val="clear" w:color="auto" w:fill="auto"/>
            <w:vAlign w:val="bottom"/>
            <w:hideMark/>
          </w:tcPr>
          <w:p w:rsidR="00001A63" w:rsidRPr="00B75813" w:rsidRDefault="00001A63" w:rsidP="00B75813">
            <w:pPr>
              <w:rPr>
                <w:b/>
                <w:bCs/>
              </w:rPr>
            </w:pPr>
            <w:r w:rsidRPr="00B75813">
              <w:rPr>
                <w:b/>
                <w:bCs/>
              </w:rPr>
              <w:t>Total Expenditure</w:t>
            </w:r>
          </w:p>
        </w:tc>
        <w:tc>
          <w:tcPr>
            <w:tcW w:w="1488" w:type="dxa"/>
            <w:tcBorders>
              <w:top w:val="single" w:sz="4" w:space="0" w:color="auto"/>
              <w:left w:val="nil"/>
              <w:bottom w:val="single" w:sz="4" w:space="0" w:color="auto"/>
              <w:right w:val="nil"/>
            </w:tcBorders>
            <w:shd w:val="clear" w:color="auto" w:fill="auto"/>
            <w:noWrap/>
            <w:vAlign w:val="bottom"/>
            <w:hideMark/>
          </w:tcPr>
          <w:p w:rsidR="00001A63" w:rsidRPr="00B75813" w:rsidRDefault="00001A63" w:rsidP="00B75813">
            <w:pPr>
              <w:jc w:val="right"/>
            </w:pPr>
            <w:r w:rsidRPr="00B75813">
              <w:t>1,965,156</w:t>
            </w:r>
          </w:p>
        </w:tc>
        <w:tc>
          <w:tcPr>
            <w:tcW w:w="1277" w:type="dxa"/>
            <w:tcBorders>
              <w:top w:val="single" w:sz="4" w:space="0" w:color="auto"/>
              <w:left w:val="nil"/>
              <w:bottom w:val="single" w:sz="4" w:space="0" w:color="auto"/>
              <w:right w:val="nil"/>
            </w:tcBorders>
            <w:shd w:val="clear" w:color="auto" w:fill="auto"/>
            <w:noWrap/>
            <w:vAlign w:val="bottom"/>
            <w:hideMark/>
          </w:tcPr>
          <w:p w:rsidR="00001A63" w:rsidRPr="00B75813" w:rsidRDefault="00001A63" w:rsidP="00B75813">
            <w:pPr>
              <w:jc w:val="right"/>
            </w:pPr>
            <w:r w:rsidRPr="00B75813">
              <w:t>(851)</w:t>
            </w:r>
          </w:p>
        </w:tc>
        <w:tc>
          <w:tcPr>
            <w:tcW w:w="1700" w:type="dxa"/>
            <w:tcBorders>
              <w:top w:val="single" w:sz="4" w:space="0" w:color="auto"/>
              <w:left w:val="nil"/>
              <w:bottom w:val="single" w:sz="4" w:space="0" w:color="auto"/>
              <w:right w:val="nil"/>
            </w:tcBorders>
            <w:shd w:val="clear" w:color="auto" w:fill="auto"/>
            <w:noWrap/>
            <w:vAlign w:val="bottom"/>
            <w:hideMark/>
          </w:tcPr>
          <w:p w:rsidR="00001A63" w:rsidRPr="00B75813" w:rsidRDefault="00001A63" w:rsidP="00B75813">
            <w:pPr>
              <w:jc w:val="right"/>
            </w:pPr>
            <w:r w:rsidRPr="00B75813">
              <w:t>26,339</w:t>
            </w:r>
          </w:p>
        </w:tc>
        <w:tc>
          <w:tcPr>
            <w:tcW w:w="1590" w:type="dxa"/>
            <w:tcBorders>
              <w:top w:val="single" w:sz="4" w:space="0" w:color="auto"/>
              <w:left w:val="nil"/>
              <w:bottom w:val="single" w:sz="4" w:space="0" w:color="auto"/>
              <w:right w:val="nil"/>
            </w:tcBorders>
            <w:shd w:val="clear" w:color="auto" w:fill="auto"/>
            <w:noWrap/>
            <w:vAlign w:val="bottom"/>
            <w:hideMark/>
          </w:tcPr>
          <w:p w:rsidR="00001A63" w:rsidRPr="00B75813" w:rsidRDefault="00001A63" w:rsidP="00B75813">
            <w:pPr>
              <w:jc w:val="right"/>
            </w:pPr>
            <w:r w:rsidRPr="00B75813">
              <w:t>100,448</w:t>
            </w:r>
          </w:p>
        </w:tc>
        <w:tc>
          <w:tcPr>
            <w:tcW w:w="1693" w:type="dxa"/>
            <w:tcBorders>
              <w:top w:val="single" w:sz="4" w:space="0" w:color="auto"/>
              <w:left w:val="nil"/>
              <w:bottom w:val="single" w:sz="4" w:space="0" w:color="auto"/>
              <w:right w:val="nil"/>
            </w:tcBorders>
            <w:shd w:val="clear" w:color="auto" w:fill="auto"/>
            <w:noWrap/>
            <w:vAlign w:val="bottom"/>
            <w:hideMark/>
          </w:tcPr>
          <w:p w:rsidR="00001A63" w:rsidRPr="00B75813" w:rsidRDefault="00001A63" w:rsidP="00B75813">
            <w:pPr>
              <w:jc w:val="right"/>
            </w:pPr>
            <w:r w:rsidRPr="00B75813">
              <w:t>(170,379)</w:t>
            </w:r>
          </w:p>
        </w:tc>
        <w:tc>
          <w:tcPr>
            <w:tcW w:w="1533" w:type="dxa"/>
            <w:tcBorders>
              <w:top w:val="single" w:sz="4" w:space="0" w:color="auto"/>
              <w:left w:val="nil"/>
              <w:bottom w:val="single" w:sz="4" w:space="0" w:color="auto"/>
              <w:right w:val="nil"/>
            </w:tcBorders>
            <w:shd w:val="clear" w:color="auto" w:fill="auto"/>
            <w:noWrap/>
            <w:vAlign w:val="bottom"/>
            <w:hideMark/>
          </w:tcPr>
          <w:p w:rsidR="00001A63" w:rsidRPr="00B75813" w:rsidRDefault="00001A63" w:rsidP="00B75813">
            <w:pPr>
              <w:jc w:val="right"/>
            </w:pPr>
            <w:r w:rsidRPr="00B75813">
              <w:t>1,920,713</w:t>
            </w:r>
          </w:p>
        </w:tc>
        <w:tc>
          <w:tcPr>
            <w:tcW w:w="1378" w:type="dxa"/>
            <w:tcBorders>
              <w:top w:val="single" w:sz="4" w:space="0" w:color="auto"/>
              <w:left w:val="nil"/>
              <w:bottom w:val="single" w:sz="4" w:space="0" w:color="auto"/>
              <w:right w:val="nil"/>
            </w:tcBorders>
            <w:shd w:val="clear" w:color="auto" w:fill="auto"/>
            <w:noWrap/>
            <w:vAlign w:val="bottom"/>
            <w:hideMark/>
          </w:tcPr>
          <w:p w:rsidR="00001A63" w:rsidRPr="00B75813" w:rsidRDefault="00001A63" w:rsidP="00B75813">
            <w:pPr>
              <w:jc w:val="right"/>
            </w:pPr>
            <w:r w:rsidRPr="00B75813">
              <w:t>239,400</w:t>
            </w:r>
          </w:p>
        </w:tc>
        <w:tc>
          <w:tcPr>
            <w:tcW w:w="1288" w:type="dxa"/>
            <w:tcBorders>
              <w:top w:val="single" w:sz="4" w:space="0" w:color="auto"/>
              <w:left w:val="nil"/>
              <w:bottom w:val="single" w:sz="4" w:space="0" w:color="auto"/>
              <w:right w:val="nil"/>
            </w:tcBorders>
            <w:shd w:val="clear" w:color="auto" w:fill="auto"/>
            <w:noWrap/>
            <w:vAlign w:val="bottom"/>
            <w:hideMark/>
          </w:tcPr>
          <w:p w:rsidR="00001A63" w:rsidRPr="00B75813" w:rsidRDefault="00001A63" w:rsidP="00B75813">
            <w:pPr>
              <w:jc w:val="right"/>
            </w:pPr>
            <w:r w:rsidRPr="00B75813">
              <w:t>2,160,112</w:t>
            </w:r>
          </w:p>
        </w:tc>
      </w:tr>
      <w:tr w:rsidR="00001A63" w:rsidRPr="00B75813" w:rsidTr="00B75813">
        <w:trPr>
          <w:trHeight w:val="245"/>
        </w:trPr>
        <w:tc>
          <w:tcPr>
            <w:tcW w:w="3878" w:type="dxa"/>
            <w:tcBorders>
              <w:top w:val="nil"/>
              <w:left w:val="nil"/>
              <w:bottom w:val="nil"/>
              <w:right w:val="nil"/>
            </w:tcBorders>
            <w:shd w:val="clear" w:color="auto" w:fill="auto"/>
            <w:vAlign w:val="bottom"/>
            <w:hideMark/>
          </w:tcPr>
          <w:p w:rsidR="00001A63" w:rsidRPr="00B75813" w:rsidRDefault="00001A63" w:rsidP="00B75813"/>
        </w:tc>
        <w:tc>
          <w:tcPr>
            <w:tcW w:w="1488" w:type="dxa"/>
            <w:tcBorders>
              <w:top w:val="nil"/>
              <w:left w:val="nil"/>
              <w:bottom w:val="nil"/>
              <w:right w:val="nil"/>
            </w:tcBorders>
            <w:shd w:val="clear" w:color="auto" w:fill="auto"/>
            <w:noWrap/>
            <w:vAlign w:val="bottom"/>
            <w:hideMark/>
          </w:tcPr>
          <w:p w:rsidR="00001A63" w:rsidRPr="00B75813" w:rsidRDefault="00001A63" w:rsidP="00B75813"/>
        </w:tc>
        <w:tc>
          <w:tcPr>
            <w:tcW w:w="1277" w:type="dxa"/>
            <w:tcBorders>
              <w:top w:val="nil"/>
              <w:left w:val="nil"/>
              <w:bottom w:val="nil"/>
              <w:right w:val="nil"/>
            </w:tcBorders>
            <w:shd w:val="clear" w:color="auto" w:fill="auto"/>
            <w:noWrap/>
            <w:vAlign w:val="bottom"/>
            <w:hideMark/>
          </w:tcPr>
          <w:p w:rsidR="00001A63" w:rsidRPr="00B75813" w:rsidRDefault="00001A63" w:rsidP="00B75813"/>
        </w:tc>
        <w:tc>
          <w:tcPr>
            <w:tcW w:w="1700" w:type="dxa"/>
            <w:tcBorders>
              <w:top w:val="nil"/>
              <w:left w:val="nil"/>
              <w:bottom w:val="nil"/>
              <w:right w:val="nil"/>
            </w:tcBorders>
            <w:shd w:val="clear" w:color="auto" w:fill="auto"/>
            <w:noWrap/>
            <w:vAlign w:val="bottom"/>
            <w:hideMark/>
          </w:tcPr>
          <w:p w:rsidR="00001A63" w:rsidRPr="00B75813" w:rsidRDefault="00001A63" w:rsidP="00B75813"/>
        </w:tc>
        <w:tc>
          <w:tcPr>
            <w:tcW w:w="1590" w:type="dxa"/>
            <w:tcBorders>
              <w:top w:val="nil"/>
              <w:left w:val="nil"/>
              <w:bottom w:val="nil"/>
              <w:right w:val="nil"/>
            </w:tcBorders>
            <w:shd w:val="clear" w:color="auto" w:fill="auto"/>
            <w:noWrap/>
            <w:vAlign w:val="bottom"/>
            <w:hideMark/>
          </w:tcPr>
          <w:p w:rsidR="00001A63" w:rsidRPr="00B75813" w:rsidRDefault="00001A63" w:rsidP="00B75813"/>
        </w:tc>
        <w:tc>
          <w:tcPr>
            <w:tcW w:w="1693" w:type="dxa"/>
            <w:tcBorders>
              <w:top w:val="nil"/>
              <w:left w:val="nil"/>
              <w:bottom w:val="nil"/>
              <w:right w:val="nil"/>
            </w:tcBorders>
            <w:shd w:val="clear" w:color="auto" w:fill="auto"/>
            <w:noWrap/>
            <w:vAlign w:val="bottom"/>
            <w:hideMark/>
          </w:tcPr>
          <w:p w:rsidR="00001A63" w:rsidRPr="00B75813" w:rsidRDefault="00001A63" w:rsidP="00B75813"/>
        </w:tc>
        <w:tc>
          <w:tcPr>
            <w:tcW w:w="1533" w:type="dxa"/>
            <w:tcBorders>
              <w:top w:val="nil"/>
              <w:left w:val="nil"/>
              <w:bottom w:val="nil"/>
              <w:right w:val="nil"/>
            </w:tcBorders>
            <w:shd w:val="clear" w:color="auto" w:fill="auto"/>
            <w:noWrap/>
            <w:vAlign w:val="bottom"/>
            <w:hideMark/>
          </w:tcPr>
          <w:p w:rsidR="00001A63" w:rsidRPr="00B75813" w:rsidRDefault="00001A63" w:rsidP="00B75813"/>
        </w:tc>
        <w:tc>
          <w:tcPr>
            <w:tcW w:w="1378" w:type="dxa"/>
            <w:tcBorders>
              <w:top w:val="nil"/>
              <w:left w:val="nil"/>
              <w:bottom w:val="nil"/>
              <w:right w:val="nil"/>
            </w:tcBorders>
            <w:shd w:val="clear" w:color="auto" w:fill="auto"/>
            <w:noWrap/>
            <w:vAlign w:val="bottom"/>
            <w:hideMark/>
          </w:tcPr>
          <w:p w:rsidR="00001A63" w:rsidRPr="00B75813" w:rsidRDefault="00001A63" w:rsidP="00B75813"/>
        </w:tc>
        <w:tc>
          <w:tcPr>
            <w:tcW w:w="1288" w:type="dxa"/>
            <w:tcBorders>
              <w:top w:val="nil"/>
              <w:left w:val="nil"/>
              <w:bottom w:val="nil"/>
              <w:right w:val="nil"/>
            </w:tcBorders>
            <w:shd w:val="clear" w:color="auto" w:fill="auto"/>
            <w:noWrap/>
            <w:vAlign w:val="bottom"/>
            <w:hideMark/>
          </w:tcPr>
          <w:p w:rsidR="00001A63" w:rsidRPr="00B75813" w:rsidRDefault="00001A63" w:rsidP="00B75813"/>
        </w:tc>
      </w:tr>
      <w:tr w:rsidR="00001A63" w:rsidRPr="00B75813" w:rsidTr="00B75813">
        <w:trPr>
          <w:trHeight w:val="503"/>
        </w:trPr>
        <w:tc>
          <w:tcPr>
            <w:tcW w:w="3878" w:type="dxa"/>
            <w:tcBorders>
              <w:top w:val="nil"/>
              <w:left w:val="nil"/>
              <w:bottom w:val="nil"/>
              <w:right w:val="nil"/>
            </w:tcBorders>
            <w:shd w:val="clear" w:color="auto" w:fill="auto"/>
            <w:vAlign w:val="bottom"/>
            <w:hideMark/>
          </w:tcPr>
          <w:p w:rsidR="00001A63" w:rsidRPr="00B75813" w:rsidRDefault="00001A63" w:rsidP="00B75813">
            <w:pPr>
              <w:rPr>
                <w:b/>
                <w:bCs/>
              </w:rPr>
            </w:pPr>
            <w:r w:rsidRPr="00B75813">
              <w:rPr>
                <w:b/>
                <w:bCs/>
              </w:rPr>
              <w:t>Surplus or Deficit on the provision of services</w:t>
            </w:r>
          </w:p>
        </w:tc>
        <w:tc>
          <w:tcPr>
            <w:tcW w:w="1488" w:type="dxa"/>
            <w:tcBorders>
              <w:top w:val="nil"/>
              <w:left w:val="nil"/>
              <w:bottom w:val="double" w:sz="6" w:space="0" w:color="auto"/>
              <w:right w:val="nil"/>
            </w:tcBorders>
            <w:shd w:val="clear" w:color="auto" w:fill="auto"/>
            <w:noWrap/>
            <w:vAlign w:val="bottom"/>
            <w:hideMark/>
          </w:tcPr>
          <w:p w:rsidR="00001A63" w:rsidRPr="00B75813" w:rsidRDefault="00001A63" w:rsidP="00B75813">
            <w:pPr>
              <w:jc w:val="right"/>
            </w:pPr>
            <w:r w:rsidRPr="00B75813">
              <w:t>684,044</w:t>
            </w:r>
          </w:p>
        </w:tc>
        <w:tc>
          <w:tcPr>
            <w:tcW w:w="1277" w:type="dxa"/>
            <w:tcBorders>
              <w:top w:val="nil"/>
              <w:left w:val="nil"/>
              <w:bottom w:val="double" w:sz="6" w:space="0" w:color="auto"/>
              <w:right w:val="nil"/>
            </w:tcBorders>
            <w:shd w:val="clear" w:color="auto" w:fill="auto"/>
            <w:noWrap/>
            <w:vAlign w:val="bottom"/>
            <w:hideMark/>
          </w:tcPr>
          <w:p w:rsidR="00001A63" w:rsidRPr="00B75813" w:rsidRDefault="00001A63" w:rsidP="00B75813">
            <w:pPr>
              <w:jc w:val="right"/>
            </w:pPr>
            <w:r w:rsidRPr="00B75813">
              <w:t>(851)</w:t>
            </w:r>
          </w:p>
        </w:tc>
        <w:tc>
          <w:tcPr>
            <w:tcW w:w="1700" w:type="dxa"/>
            <w:tcBorders>
              <w:top w:val="nil"/>
              <w:left w:val="nil"/>
              <w:bottom w:val="double" w:sz="6" w:space="0" w:color="auto"/>
              <w:right w:val="nil"/>
            </w:tcBorders>
            <w:shd w:val="clear" w:color="auto" w:fill="auto"/>
            <w:noWrap/>
            <w:vAlign w:val="bottom"/>
            <w:hideMark/>
          </w:tcPr>
          <w:p w:rsidR="00001A63" w:rsidRPr="00B75813" w:rsidRDefault="00001A63" w:rsidP="00B75813">
            <w:pPr>
              <w:jc w:val="right"/>
            </w:pPr>
            <w:r w:rsidRPr="00B75813">
              <w:t>17,868</w:t>
            </w:r>
          </w:p>
        </w:tc>
        <w:tc>
          <w:tcPr>
            <w:tcW w:w="1590" w:type="dxa"/>
            <w:tcBorders>
              <w:top w:val="nil"/>
              <w:left w:val="nil"/>
              <w:bottom w:val="double" w:sz="6" w:space="0" w:color="auto"/>
              <w:right w:val="nil"/>
            </w:tcBorders>
            <w:shd w:val="clear" w:color="auto" w:fill="auto"/>
            <w:noWrap/>
            <w:vAlign w:val="bottom"/>
            <w:hideMark/>
          </w:tcPr>
          <w:p w:rsidR="00001A63" w:rsidRPr="00B75813" w:rsidRDefault="00001A63" w:rsidP="00B75813">
            <w:pPr>
              <w:jc w:val="right"/>
            </w:pPr>
            <w:r w:rsidRPr="00B75813">
              <w:t>107,243</w:t>
            </w:r>
          </w:p>
        </w:tc>
        <w:tc>
          <w:tcPr>
            <w:tcW w:w="1693" w:type="dxa"/>
            <w:tcBorders>
              <w:top w:val="nil"/>
              <w:left w:val="nil"/>
              <w:bottom w:val="double" w:sz="6" w:space="0" w:color="auto"/>
              <w:right w:val="nil"/>
            </w:tcBorders>
            <w:shd w:val="clear" w:color="auto" w:fill="auto"/>
            <w:noWrap/>
            <w:vAlign w:val="bottom"/>
            <w:hideMark/>
          </w:tcPr>
          <w:p w:rsidR="00001A63" w:rsidRPr="00B75813" w:rsidRDefault="00001A63" w:rsidP="00B75813">
            <w:pPr>
              <w:jc w:val="right"/>
            </w:pPr>
            <w:r w:rsidRPr="00B75813">
              <w:t>(137,138)</w:t>
            </w:r>
          </w:p>
        </w:tc>
        <w:tc>
          <w:tcPr>
            <w:tcW w:w="1533" w:type="dxa"/>
            <w:tcBorders>
              <w:top w:val="nil"/>
              <w:left w:val="nil"/>
              <w:bottom w:val="double" w:sz="6" w:space="0" w:color="auto"/>
              <w:right w:val="nil"/>
            </w:tcBorders>
            <w:shd w:val="clear" w:color="auto" w:fill="auto"/>
            <w:noWrap/>
            <w:vAlign w:val="bottom"/>
            <w:hideMark/>
          </w:tcPr>
          <w:p w:rsidR="00001A63" w:rsidRPr="00B75813" w:rsidRDefault="00001A63" w:rsidP="00B75813">
            <w:pPr>
              <w:jc w:val="right"/>
            </w:pPr>
            <w:r w:rsidRPr="00B75813">
              <w:t>671,16</w:t>
            </w:r>
            <w:r w:rsidR="003502D0">
              <w:t>6</w:t>
            </w:r>
          </w:p>
        </w:tc>
        <w:tc>
          <w:tcPr>
            <w:tcW w:w="1378" w:type="dxa"/>
            <w:tcBorders>
              <w:top w:val="nil"/>
              <w:left w:val="nil"/>
              <w:bottom w:val="double" w:sz="6" w:space="0" w:color="auto"/>
              <w:right w:val="nil"/>
            </w:tcBorders>
            <w:shd w:val="clear" w:color="auto" w:fill="auto"/>
            <w:noWrap/>
            <w:vAlign w:val="bottom"/>
            <w:hideMark/>
          </w:tcPr>
          <w:p w:rsidR="00001A63" w:rsidRPr="00B75813" w:rsidRDefault="00001A63" w:rsidP="00B75813">
            <w:pPr>
              <w:jc w:val="right"/>
            </w:pPr>
            <w:r w:rsidRPr="00B75813">
              <w:t>(799,199)</w:t>
            </w:r>
          </w:p>
        </w:tc>
        <w:tc>
          <w:tcPr>
            <w:tcW w:w="1288" w:type="dxa"/>
            <w:tcBorders>
              <w:top w:val="nil"/>
              <w:left w:val="nil"/>
              <w:bottom w:val="double" w:sz="6" w:space="0" w:color="auto"/>
              <w:right w:val="nil"/>
            </w:tcBorders>
            <w:shd w:val="clear" w:color="auto" w:fill="auto"/>
            <w:noWrap/>
            <w:vAlign w:val="bottom"/>
            <w:hideMark/>
          </w:tcPr>
          <w:p w:rsidR="00001A63" w:rsidRPr="00B75813" w:rsidRDefault="00001A63" w:rsidP="00B75813">
            <w:pPr>
              <w:jc w:val="right"/>
            </w:pPr>
            <w:r w:rsidRPr="00B75813">
              <w:t>(128,034)</w:t>
            </w:r>
          </w:p>
        </w:tc>
      </w:tr>
    </w:tbl>
    <w:p w:rsidR="00B75813" w:rsidRPr="00286C0E" w:rsidRDefault="00B75813" w:rsidP="00BF06AB">
      <w:pPr>
        <w:rPr>
          <w:highlight w:val="yellow"/>
        </w:rPr>
        <w:sectPr w:rsidR="00B75813" w:rsidRPr="00286C0E" w:rsidSect="003018D5">
          <w:pgSz w:w="16838" w:h="11906" w:orient="landscape" w:code="9"/>
          <w:pgMar w:top="720" w:right="720" w:bottom="720" w:left="720" w:header="709" w:footer="709" w:gutter="0"/>
          <w:cols w:space="708"/>
          <w:docGrid w:linePitch="360"/>
        </w:sectPr>
      </w:pPr>
    </w:p>
    <w:tbl>
      <w:tblPr>
        <w:tblpPr w:leftFromText="180" w:rightFromText="180" w:horzAnchor="margin" w:tblpXSpec="center" w:tblpY="-1440"/>
        <w:tblW w:w="10880" w:type="dxa"/>
        <w:tblLook w:val="04A0"/>
      </w:tblPr>
      <w:tblGrid>
        <w:gridCol w:w="3676"/>
        <w:gridCol w:w="3196"/>
        <w:gridCol w:w="356"/>
        <w:gridCol w:w="1856"/>
        <w:gridCol w:w="1796"/>
      </w:tblGrid>
      <w:tr w:rsidR="00BC19C7" w:rsidRPr="00286C0E" w:rsidTr="00BC19C7">
        <w:trPr>
          <w:trHeight w:val="255"/>
        </w:trPr>
        <w:tc>
          <w:tcPr>
            <w:tcW w:w="3676" w:type="dxa"/>
            <w:tcBorders>
              <w:top w:val="nil"/>
              <w:left w:val="nil"/>
              <w:bottom w:val="nil"/>
              <w:right w:val="nil"/>
            </w:tcBorders>
            <w:shd w:val="clear" w:color="auto" w:fill="auto"/>
            <w:vAlign w:val="bottom"/>
            <w:hideMark/>
          </w:tcPr>
          <w:p w:rsidR="00AA5FFF" w:rsidRPr="00286C0E" w:rsidRDefault="00AA5FFF" w:rsidP="00BC19C7">
            <w:pPr>
              <w:rPr>
                <w:sz w:val="20"/>
                <w:szCs w:val="20"/>
                <w:highlight w:val="yellow"/>
              </w:rPr>
            </w:pPr>
          </w:p>
        </w:tc>
        <w:tc>
          <w:tcPr>
            <w:tcW w:w="3196" w:type="dxa"/>
            <w:tcBorders>
              <w:top w:val="nil"/>
              <w:left w:val="nil"/>
              <w:bottom w:val="nil"/>
              <w:right w:val="nil"/>
            </w:tcBorders>
            <w:shd w:val="clear" w:color="auto" w:fill="auto"/>
            <w:noWrap/>
            <w:vAlign w:val="bottom"/>
            <w:hideMark/>
          </w:tcPr>
          <w:p w:rsidR="00BC19C7" w:rsidRPr="00286C0E" w:rsidRDefault="00BC19C7" w:rsidP="00BC19C7">
            <w:pPr>
              <w:rPr>
                <w:color w:val="D8D8D8"/>
                <w:sz w:val="20"/>
                <w:szCs w:val="20"/>
                <w:highlight w:val="yellow"/>
              </w:rPr>
            </w:pPr>
          </w:p>
        </w:tc>
        <w:tc>
          <w:tcPr>
            <w:tcW w:w="356" w:type="dxa"/>
            <w:tcBorders>
              <w:top w:val="nil"/>
              <w:left w:val="nil"/>
              <w:bottom w:val="nil"/>
              <w:right w:val="nil"/>
            </w:tcBorders>
            <w:shd w:val="clear" w:color="auto" w:fill="auto"/>
            <w:noWrap/>
            <w:vAlign w:val="bottom"/>
            <w:hideMark/>
          </w:tcPr>
          <w:p w:rsidR="00BC19C7" w:rsidRPr="00286C0E" w:rsidRDefault="00BC19C7" w:rsidP="00BC19C7">
            <w:pPr>
              <w:rPr>
                <w:color w:val="000000"/>
                <w:sz w:val="20"/>
                <w:szCs w:val="20"/>
                <w:highlight w:val="yellow"/>
              </w:rPr>
            </w:pPr>
          </w:p>
        </w:tc>
        <w:tc>
          <w:tcPr>
            <w:tcW w:w="1856" w:type="dxa"/>
            <w:tcBorders>
              <w:top w:val="nil"/>
              <w:left w:val="nil"/>
              <w:bottom w:val="nil"/>
              <w:right w:val="nil"/>
            </w:tcBorders>
            <w:shd w:val="clear" w:color="auto" w:fill="auto"/>
            <w:noWrap/>
            <w:vAlign w:val="bottom"/>
            <w:hideMark/>
          </w:tcPr>
          <w:p w:rsidR="00BC19C7" w:rsidRPr="00286C0E" w:rsidRDefault="00BC19C7" w:rsidP="00BC19C7">
            <w:pPr>
              <w:rPr>
                <w:color w:val="000000"/>
                <w:sz w:val="20"/>
                <w:szCs w:val="20"/>
                <w:highlight w:val="yellow"/>
              </w:rPr>
            </w:pPr>
          </w:p>
        </w:tc>
        <w:tc>
          <w:tcPr>
            <w:tcW w:w="1796" w:type="dxa"/>
            <w:tcBorders>
              <w:top w:val="nil"/>
              <w:left w:val="nil"/>
              <w:bottom w:val="nil"/>
              <w:right w:val="nil"/>
            </w:tcBorders>
            <w:shd w:val="clear" w:color="auto" w:fill="auto"/>
            <w:noWrap/>
            <w:vAlign w:val="bottom"/>
            <w:hideMark/>
          </w:tcPr>
          <w:p w:rsidR="00BC19C7" w:rsidRPr="00286C0E" w:rsidRDefault="00BC19C7" w:rsidP="00BC19C7">
            <w:pPr>
              <w:rPr>
                <w:color w:val="000000"/>
                <w:sz w:val="20"/>
                <w:szCs w:val="20"/>
                <w:highlight w:val="yellow"/>
              </w:rPr>
            </w:pPr>
          </w:p>
        </w:tc>
      </w:tr>
    </w:tbl>
    <w:tbl>
      <w:tblPr>
        <w:tblW w:w="9460" w:type="dxa"/>
        <w:tblInd w:w="88" w:type="dxa"/>
        <w:tblLook w:val="04A0"/>
      </w:tblPr>
      <w:tblGrid>
        <w:gridCol w:w="3660"/>
        <w:gridCol w:w="1840"/>
        <w:gridCol w:w="340"/>
        <w:gridCol w:w="1840"/>
        <w:gridCol w:w="1544"/>
        <w:gridCol w:w="236"/>
      </w:tblGrid>
      <w:tr w:rsidR="00AA5FFF" w:rsidRPr="00286C0E" w:rsidTr="005934A5">
        <w:trPr>
          <w:trHeight w:val="255"/>
        </w:trPr>
        <w:tc>
          <w:tcPr>
            <w:tcW w:w="3660" w:type="dxa"/>
            <w:shd w:val="clear" w:color="auto" w:fill="auto"/>
            <w:noWrap/>
            <w:vAlign w:val="bottom"/>
            <w:hideMark/>
          </w:tcPr>
          <w:p w:rsidR="00AA5FFF" w:rsidRPr="005934A5" w:rsidRDefault="00AA5FFF" w:rsidP="00BD07E4">
            <w:pPr>
              <w:numPr>
                <w:ilvl w:val="0"/>
                <w:numId w:val="21"/>
              </w:numPr>
              <w:rPr>
                <w:b/>
                <w:bCs/>
                <w:sz w:val="20"/>
                <w:szCs w:val="20"/>
              </w:rPr>
            </w:pPr>
            <w:r w:rsidRPr="005934A5">
              <w:rPr>
                <w:b/>
                <w:bCs/>
                <w:szCs w:val="20"/>
              </w:rPr>
              <w:t>Grant Income</w:t>
            </w:r>
          </w:p>
        </w:tc>
        <w:tc>
          <w:tcPr>
            <w:tcW w:w="1840" w:type="dxa"/>
            <w:shd w:val="clear" w:color="auto" w:fill="auto"/>
            <w:noWrap/>
            <w:vAlign w:val="bottom"/>
            <w:hideMark/>
          </w:tcPr>
          <w:p w:rsidR="00AA5FFF" w:rsidRPr="005934A5" w:rsidRDefault="00AA5FFF" w:rsidP="00AA5FFF">
            <w:pPr>
              <w:rPr>
                <w:sz w:val="20"/>
                <w:szCs w:val="20"/>
              </w:rPr>
            </w:pPr>
          </w:p>
        </w:tc>
        <w:tc>
          <w:tcPr>
            <w:tcW w:w="340" w:type="dxa"/>
            <w:shd w:val="clear" w:color="auto" w:fill="auto"/>
            <w:noWrap/>
            <w:vAlign w:val="bottom"/>
            <w:hideMark/>
          </w:tcPr>
          <w:p w:rsidR="00AA5FFF" w:rsidRPr="005934A5" w:rsidRDefault="00AA5FFF" w:rsidP="00AA5FFF">
            <w:pPr>
              <w:jc w:val="center"/>
              <w:rPr>
                <w:b/>
                <w:bCs/>
                <w:sz w:val="20"/>
                <w:szCs w:val="20"/>
              </w:rPr>
            </w:pPr>
          </w:p>
        </w:tc>
        <w:tc>
          <w:tcPr>
            <w:tcW w:w="1840" w:type="dxa"/>
            <w:shd w:val="clear" w:color="auto" w:fill="auto"/>
            <w:noWrap/>
            <w:vAlign w:val="bottom"/>
            <w:hideMark/>
          </w:tcPr>
          <w:p w:rsidR="00AA5FFF" w:rsidRPr="005934A5" w:rsidRDefault="00AA5FFF" w:rsidP="00AA5FFF">
            <w:pPr>
              <w:jc w:val="center"/>
              <w:rPr>
                <w:b/>
                <w:bCs/>
                <w:sz w:val="20"/>
                <w:szCs w:val="20"/>
              </w:rPr>
            </w:pPr>
          </w:p>
        </w:tc>
        <w:tc>
          <w:tcPr>
            <w:tcW w:w="1780" w:type="dxa"/>
            <w:gridSpan w:val="2"/>
            <w:shd w:val="clear" w:color="auto" w:fill="auto"/>
            <w:noWrap/>
            <w:vAlign w:val="bottom"/>
            <w:hideMark/>
          </w:tcPr>
          <w:p w:rsidR="00AA5FFF" w:rsidRPr="005934A5" w:rsidRDefault="00AA5FFF" w:rsidP="00AA5FFF">
            <w:pPr>
              <w:jc w:val="center"/>
              <w:rPr>
                <w:b/>
                <w:bCs/>
                <w:sz w:val="20"/>
                <w:szCs w:val="20"/>
              </w:rPr>
            </w:pPr>
          </w:p>
        </w:tc>
      </w:tr>
      <w:tr w:rsidR="00AA5FFF" w:rsidRPr="00286C0E" w:rsidTr="005934A5">
        <w:trPr>
          <w:trHeight w:val="630"/>
        </w:trPr>
        <w:tc>
          <w:tcPr>
            <w:tcW w:w="9460" w:type="dxa"/>
            <w:gridSpan w:val="6"/>
            <w:shd w:val="clear" w:color="auto" w:fill="auto"/>
            <w:vAlign w:val="bottom"/>
            <w:hideMark/>
          </w:tcPr>
          <w:p w:rsidR="00AA5FFF" w:rsidRPr="005934A5" w:rsidRDefault="00AA5FFF" w:rsidP="0072558C">
            <w:r w:rsidRPr="005934A5">
              <w:t>The authority credited the following grants and contributions  to the Comprehensive Income a</w:t>
            </w:r>
            <w:r w:rsidR="0072558C" w:rsidRPr="005934A5">
              <w:t>nd Expenditure Statement in 2011</w:t>
            </w:r>
            <w:r w:rsidRPr="005934A5">
              <w:t>/1</w:t>
            </w:r>
            <w:r w:rsidR="0072558C" w:rsidRPr="005934A5">
              <w:t>2</w:t>
            </w:r>
          </w:p>
        </w:tc>
      </w:tr>
      <w:tr w:rsidR="00AA5FFF" w:rsidRPr="00286C0E" w:rsidTr="005934A5">
        <w:trPr>
          <w:trHeight w:val="255"/>
        </w:trPr>
        <w:tc>
          <w:tcPr>
            <w:tcW w:w="3660" w:type="dxa"/>
            <w:shd w:val="clear" w:color="auto" w:fill="auto"/>
            <w:noWrap/>
            <w:vAlign w:val="bottom"/>
            <w:hideMark/>
          </w:tcPr>
          <w:p w:rsidR="00AA5FFF" w:rsidRPr="005934A5" w:rsidRDefault="00AA5FFF" w:rsidP="00AA5FFF"/>
        </w:tc>
        <w:tc>
          <w:tcPr>
            <w:tcW w:w="1840" w:type="dxa"/>
            <w:shd w:val="clear" w:color="auto" w:fill="auto"/>
            <w:noWrap/>
            <w:vAlign w:val="bottom"/>
            <w:hideMark/>
          </w:tcPr>
          <w:p w:rsidR="00AA5FFF" w:rsidRPr="005934A5" w:rsidRDefault="00AA5FFF" w:rsidP="00AA5FFF"/>
        </w:tc>
        <w:tc>
          <w:tcPr>
            <w:tcW w:w="340" w:type="dxa"/>
            <w:shd w:val="clear" w:color="auto" w:fill="auto"/>
            <w:noWrap/>
            <w:vAlign w:val="bottom"/>
            <w:hideMark/>
          </w:tcPr>
          <w:p w:rsidR="00AA5FFF" w:rsidRPr="005934A5" w:rsidRDefault="00AA5FFF" w:rsidP="00AA5FFF">
            <w:pPr>
              <w:jc w:val="center"/>
              <w:rPr>
                <w:b/>
                <w:bCs/>
                <w:color w:val="FF00FF"/>
              </w:rPr>
            </w:pPr>
          </w:p>
        </w:tc>
        <w:tc>
          <w:tcPr>
            <w:tcW w:w="1840" w:type="dxa"/>
            <w:shd w:val="clear" w:color="auto" w:fill="auto"/>
            <w:noWrap/>
            <w:vAlign w:val="bottom"/>
            <w:hideMark/>
          </w:tcPr>
          <w:p w:rsidR="00AA5FFF" w:rsidRPr="005934A5" w:rsidRDefault="00AA5FFF" w:rsidP="00AA5FFF">
            <w:pPr>
              <w:jc w:val="center"/>
              <w:rPr>
                <w:b/>
                <w:bCs/>
                <w:color w:val="FF00FF"/>
              </w:rPr>
            </w:pPr>
          </w:p>
        </w:tc>
        <w:tc>
          <w:tcPr>
            <w:tcW w:w="1780" w:type="dxa"/>
            <w:gridSpan w:val="2"/>
            <w:shd w:val="clear" w:color="auto" w:fill="auto"/>
            <w:noWrap/>
            <w:vAlign w:val="bottom"/>
            <w:hideMark/>
          </w:tcPr>
          <w:p w:rsidR="00AA5FFF" w:rsidRPr="005934A5" w:rsidRDefault="00AA5FFF" w:rsidP="00AA5FFF">
            <w:pPr>
              <w:jc w:val="center"/>
              <w:rPr>
                <w:b/>
                <w:bCs/>
                <w:color w:val="FF00FF"/>
              </w:rPr>
            </w:pPr>
          </w:p>
        </w:tc>
      </w:tr>
      <w:tr w:rsidR="00AA5FFF" w:rsidRPr="00286C0E" w:rsidTr="005934A5">
        <w:trPr>
          <w:trHeight w:val="255"/>
        </w:trPr>
        <w:tc>
          <w:tcPr>
            <w:tcW w:w="3660" w:type="dxa"/>
            <w:shd w:val="clear" w:color="auto" w:fill="auto"/>
            <w:noWrap/>
            <w:vAlign w:val="bottom"/>
            <w:hideMark/>
          </w:tcPr>
          <w:p w:rsidR="00AA5FFF" w:rsidRPr="005934A5" w:rsidRDefault="00AA5FFF" w:rsidP="00AA5FFF"/>
        </w:tc>
        <w:tc>
          <w:tcPr>
            <w:tcW w:w="1840" w:type="dxa"/>
            <w:shd w:val="clear" w:color="auto" w:fill="auto"/>
            <w:noWrap/>
            <w:vAlign w:val="bottom"/>
            <w:hideMark/>
          </w:tcPr>
          <w:p w:rsidR="00AA5FFF" w:rsidRPr="005934A5" w:rsidRDefault="00AA5FFF" w:rsidP="00AA5FFF"/>
        </w:tc>
        <w:tc>
          <w:tcPr>
            <w:tcW w:w="340" w:type="dxa"/>
            <w:shd w:val="clear" w:color="auto" w:fill="auto"/>
            <w:noWrap/>
            <w:vAlign w:val="bottom"/>
            <w:hideMark/>
          </w:tcPr>
          <w:p w:rsidR="00AA5FFF" w:rsidRPr="005934A5" w:rsidRDefault="00AA5FFF" w:rsidP="00AA5FFF">
            <w:pPr>
              <w:jc w:val="center"/>
              <w:rPr>
                <w:b/>
                <w:bCs/>
                <w:color w:val="FF00FF"/>
              </w:rPr>
            </w:pPr>
          </w:p>
        </w:tc>
        <w:tc>
          <w:tcPr>
            <w:tcW w:w="1840" w:type="dxa"/>
            <w:shd w:val="clear" w:color="auto" w:fill="auto"/>
            <w:noWrap/>
            <w:vAlign w:val="bottom"/>
            <w:hideMark/>
          </w:tcPr>
          <w:p w:rsidR="00AA5FFF" w:rsidRPr="005934A5" w:rsidRDefault="00AA5FFF" w:rsidP="00AA5FFF">
            <w:pPr>
              <w:jc w:val="center"/>
              <w:rPr>
                <w:b/>
                <w:bCs/>
                <w:color w:val="FF00FF"/>
              </w:rPr>
            </w:pPr>
          </w:p>
        </w:tc>
        <w:tc>
          <w:tcPr>
            <w:tcW w:w="1780" w:type="dxa"/>
            <w:gridSpan w:val="2"/>
            <w:shd w:val="clear" w:color="auto" w:fill="auto"/>
            <w:noWrap/>
            <w:vAlign w:val="bottom"/>
            <w:hideMark/>
          </w:tcPr>
          <w:p w:rsidR="00AA5FFF" w:rsidRPr="005934A5" w:rsidRDefault="00AA5FFF" w:rsidP="00AA5FFF">
            <w:pPr>
              <w:jc w:val="center"/>
              <w:rPr>
                <w:b/>
                <w:bCs/>
                <w:color w:val="FF00FF"/>
              </w:rPr>
            </w:pPr>
          </w:p>
        </w:tc>
      </w:tr>
      <w:tr w:rsidR="00AA5FFF" w:rsidRPr="00286C0E" w:rsidTr="005934A5">
        <w:trPr>
          <w:trHeight w:val="255"/>
        </w:trPr>
        <w:tc>
          <w:tcPr>
            <w:tcW w:w="5500" w:type="dxa"/>
            <w:gridSpan w:val="2"/>
            <w:shd w:val="clear" w:color="auto" w:fill="auto"/>
            <w:noWrap/>
            <w:vAlign w:val="bottom"/>
            <w:hideMark/>
          </w:tcPr>
          <w:p w:rsidR="00AA5FFF" w:rsidRPr="005934A5" w:rsidRDefault="00AA5FFF" w:rsidP="00AA5FFF"/>
        </w:tc>
        <w:tc>
          <w:tcPr>
            <w:tcW w:w="340" w:type="dxa"/>
            <w:shd w:val="clear" w:color="auto" w:fill="auto"/>
            <w:noWrap/>
            <w:vAlign w:val="bottom"/>
            <w:hideMark/>
          </w:tcPr>
          <w:p w:rsidR="00AA5FFF" w:rsidRPr="005934A5" w:rsidRDefault="00AA5FFF" w:rsidP="00AA5FFF"/>
        </w:tc>
        <w:tc>
          <w:tcPr>
            <w:tcW w:w="1840" w:type="dxa"/>
            <w:shd w:val="clear" w:color="auto" w:fill="auto"/>
            <w:noWrap/>
            <w:vAlign w:val="center"/>
            <w:hideMark/>
          </w:tcPr>
          <w:p w:rsidR="00AA5FFF" w:rsidRPr="005934A5" w:rsidRDefault="0072558C" w:rsidP="0072558C">
            <w:pPr>
              <w:jc w:val="right"/>
              <w:rPr>
                <w:b/>
                <w:bCs/>
              </w:rPr>
            </w:pPr>
            <w:r w:rsidRPr="005934A5">
              <w:rPr>
                <w:b/>
                <w:bCs/>
              </w:rPr>
              <w:t>2011</w:t>
            </w:r>
            <w:r w:rsidR="00AA5FFF" w:rsidRPr="005934A5">
              <w:rPr>
                <w:b/>
                <w:bCs/>
              </w:rPr>
              <w:t>/1</w:t>
            </w:r>
            <w:r w:rsidRPr="005934A5">
              <w:rPr>
                <w:b/>
                <w:bCs/>
              </w:rPr>
              <w:t>2</w:t>
            </w:r>
          </w:p>
        </w:tc>
        <w:tc>
          <w:tcPr>
            <w:tcW w:w="1780" w:type="dxa"/>
            <w:gridSpan w:val="2"/>
            <w:shd w:val="clear" w:color="auto" w:fill="auto"/>
            <w:noWrap/>
            <w:vAlign w:val="center"/>
            <w:hideMark/>
          </w:tcPr>
          <w:p w:rsidR="00AA5FFF" w:rsidRPr="005934A5" w:rsidRDefault="00AA5FFF" w:rsidP="0072558C">
            <w:pPr>
              <w:jc w:val="right"/>
              <w:rPr>
                <w:b/>
                <w:bCs/>
              </w:rPr>
            </w:pPr>
            <w:r w:rsidRPr="005934A5">
              <w:rPr>
                <w:b/>
                <w:bCs/>
              </w:rPr>
              <w:t>20</w:t>
            </w:r>
            <w:r w:rsidR="0072558C" w:rsidRPr="005934A5">
              <w:rPr>
                <w:b/>
                <w:bCs/>
              </w:rPr>
              <w:t>10</w:t>
            </w:r>
            <w:r w:rsidRPr="005934A5">
              <w:rPr>
                <w:b/>
                <w:bCs/>
              </w:rPr>
              <w:t>/1</w:t>
            </w:r>
            <w:r w:rsidR="0072558C" w:rsidRPr="005934A5">
              <w:rPr>
                <w:b/>
                <w:bCs/>
              </w:rPr>
              <w:t>1</w:t>
            </w:r>
          </w:p>
        </w:tc>
      </w:tr>
      <w:tr w:rsidR="00AA5FFF" w:rsidRPr="00286C0E" w:rsidTr="005934A5">
        <w:trPr>
          <w:trHeight w:val="255"/>
        </w:trPr>
        <w:tc>
          <w:tcPr>
            <w:tcW w:w="3660" w:type="dxa"/>
            <w:shd w:val="clear" w:color="auto" w:fill="auto"/>
            <w:noWrap/>
            <w:vAlign w:val="bottom"/>
            <w:hideMark/>
          </w:tcPr>
          <w:p w:rsidR="00AA5FFF" w:rsidRPr="005934A5" w:rsidRDefault="00AA5FFF" w:rsidP="00AA5FFF"/>
        </w:tc>
        <w:tc>
          <w:tcPr>
            <w:tcW w:w="1840" w:type="dxa"/>
            <w:shd w:val="clear" w:color="auto" w:fill="auto"/>
            <w:noWrap/>
            <w:vAlign w:val="bottom"/>
            <w:hideMark/>
          </w:tcPr>
          <w:p w:rsidR="00AA5FFF" w:rsidRPr="005934A5" w:rsidRDefault="00AA5FFF" w:rsidP="00AA5FFF"/>
        </w:tc>
        <w:tc>
          <w:tcPr>
            <w:tcW w:w="340" w:type="dxa"/>
            <w:shd w:val="clear" w:color="auto" w:fill="auto"/>
            <w:noWrap/>
            <w:vAlign w:val="bottom"/>
            <w:hideMark/>
          </w:tcPr>
          <w:p w:rsidR="00AA5FFF" w:rsidRPr="005934A5" w:rsidRDefault="00AA5FFF" w:rsidP="00AA5FFF"/>
        </w:tc>
        <w:tc>
          <w:tcPr>
            <w:tcW w:w="1840" w:type="dxa"/>
            <w:shd w:val="clear" w:color="auto" w:fill="auto"/>
            <w:noWrap/>
            <w:vAlign w:val="center"/>
            <w:hideMark/>
          </w:tcPr>
          <w:p w:rsidR="00AA5FFF" w:rsidRPr="005934A5" w:rsidRDefault="00AA5FFF" w:rsidP="00E66BB9">
            <w:pPr>
              <w:jc w:val="right"/>
              <w:rPr>
                <w:b/>
                <w:bCs/>
              </w:rPr>
            </w:pPr>
            <w:r w:rsidRPr="005934A5">
              <w:rPr>
                <w:b/>
                <w:bCs/>
              </w:rPr>
              <w:t xml:space="preserve"> £000 </w:t>
            </w:r>
          </w:p>
        </w:tc>
        <w:tc>
          <w:tcPr>
            <w:tcW w:w="1780" w:type="dxa"/>
            <w:gridSpan w:val="2"/>
            <w:shd w:val="clear" w:color="auto" w:fill="auto"/>
            <w:noWrap/>
            <w:vAlign w:val="center"/>
            <w:hideMark/>
          </w:tcPr>
          <w:p w:rsidR="00AA5FFF" w:rsidRPr="005934A5" w:rsidRDefault="00AA5FFF" w:rsidP="00E66BB9">
            <w:pPr>
              <w:jc w:val="right"/>
              <w:rPr>
                <w:b/>
                <w:bCs/>
              </w:rPr>
            </w:pPr>
            <w:r w:rsidRPr="005934A5">
              <w:rPr>
                <w:b/>
                <w:bCs/>
              </w:rPr>
              <w:t xml:space="preserve"> £000 </w:t>
            </w:r>
          </w:p>
        </w:tc>
      </w:tr>
      <w:tr w:rsidR="00AA5FFF" w:rsidRPr="00286C0E" w:rsidTr="005934A5">
        <w:trPr>
          <w:trHeight w:val="255"/>
        </w:trPr>
        <w:tc>
          <w:tcPr>
            <w:tcW w:w="5500" w:type="dxa"/>
            <w:gridSpan w:val="2"/>
            <w:shd w:val="clear" w:color="auto" w:fill="auto"/>
            <w:noWrap/>
            <w:vAlign w:val="bottom"/>
            <w:hideMark/>
          </w:tcPr>
          <w:p w:rsidR="00AA5FFF" w:rsidRPr="005934A5" w:rsidRDefault="00AA5FFF" w:rsidP="00AA5FFF">
            <w:pPr>
              <w:rPr>
                <w:b/>
                <w:bCs/>
                <w:color w:val="000000"/>
              </w:rPr>
            </w:pPr>
            <w:r w:rsidRPr="005934A5">
              <w:rPr>
                <w:b/>
                <w:bCs/>
                <w:color w:val="000000"/>
              </w:rPr>
              <w:t>Credited to Taxation and Non Specific Grant Income</w:t>
            </w:r>
          </w:p>
        </w:tc>
        <w:tc>
          <w:tcPr>
            <w:tcW w:w="340" w:type="dxa"/>
            <w:shd w:val="clear" w:color="auto" w:fill="auto"/>
            <w:noWrap/>
            <w:vAlign w:val="bottom"/>
            <w:hideMark/>
          </w:tcPr>
          <w:p w:rsidR="00AA5FFF" w:rsidRPr="005934A5" w:rsidRDefault="00AA5FFF" w:rsidP="00AA5FFF">
            <w:pPr>
              <w:rPr>
                <w:color w:val="000000"/>
              </w:rPr>
            </w:pPr>
          </w:p>
        </w:tc>
        <w:tc>
          <w:tcPr>
            <w:tcW w:w="1840" w:type="dxa"/>
            <w:shd w:val="clear" w:color="auto" w:fill="auto"/>
            <w:noWrap/>
            <w:vAlign w:val="center"/>
            <w:hideMark/>
          </w:tcPr>
          <w:p w:rsidR="00AA5FFF" w:rsidRPr="005934A5" w:rsidRDefault="00AA5FFF" w:rsidP="00AA5FFF">
            <w:pPr>
              <w:jc w:val="center"/>
              <w:rPr>
                <w:b/>
                <w:bCs/>
              </w:rPr>
            </w:pPr>
            <w:r w:rsidRPr="005934A5">
              <w:rPr>
                <w:b/>
                <w:bCs/>
              </w:rPr>
              <w:t> </w:t>
            </w:r>
          </w:p>
        </w:tc>
        <w:tc>
          <w:tcPr>
            <w:tcW w:w="1780" w:type="dxa"/>
            <w:gridSpan w:val="2"/>
            <w:shd w:val="clear" w:color="auto" w:fill="auto"/>
            <w:noWrap/>
            <w:vAlign w:val="center"/>
            <w:hideMark/>
          </w:tcPr>
          <w:p w:rsidR="00AA5FFF" w:rsidRPr="005934A5" w:rsidRDefault="00AA5FFF" w:rsidP="00AA5FFF">
            <w:pPr>
              <w:jc w:val="center"/>
              <w:rPr>
                <w:b/>
                <w:bCs/>
              </w:rPr>
            </w:pPr>
            <w:r w:rsidRPr="005934A5">
              <w:rPr>
                <w:b/>
                <w:bCs/>
              </w:rPr>
              <w:t> </w:t>
            </w:r>
          </w:p>
        </w:tc>
      </w:tr>
      <w:tr w:rsidR="00AA5FFF" w:rsidRPr="00286C0E" w:rsidTr="005934A5">
        <w:trPr>
          <w:trHeight w:val="255"/>
        </w:trPr>
        <w:tc>
          <w:tcPr>
            <w:tcW w:w="3660" w:type="dxa"/>
            <w:shd w:val="clear" w:color="auto" w:fill="auto"/>
            <w:noWrap/>
            <w:vAlign w:val="bottom"/>
            <w:hideMark/>
          </w:tcPr>
          <w:p w:rsidR="00AA5FFF" w:rsidRPr="005934A5" w:rsidRDefault="00AA5FFF" w:rsidP="00AA5FFF">
            <w:pPr>
              <w:rPr>
                <w:b/>
                <w:bCs/>
                <w:color w:val="000000"/>
              </w:rPr>
            </w:pPr>
            <w:r w:rsidRPr="005934A5">
              <w:rPr>
                <w:b/>
                <w:bCs/>
                <w:color w:val="000000"/>
              </w:rPr>
              <w:t xml:space="preserve">Capital </w:t>
            </w:r>
            <w:r w:rsidR="007A18E4">
              <w:rPr>
                <w:b/>
                <w:bCs/>
                <w:color w:val="000000"/>
              </w:rPr>
              <w:t xml:space="preserve">– Earmarked </w:t>
            </w:r>
            <w:r w:rsidRPr="005934A5">
              <w:rPr>
                <w:b/>
                <w:bCs/>
                <w:color w:val="000000"/>
              </w:rPr>
              <w:t>Grants</w:t>
            </w:r>
          </w:p>
        </w:tc>
        <w:tc>
          <w:tcPr>
            <w:tcW w:w="1840" w:type="dxa"/>
            <w:shd w:val="clear" w:color="auto" w:fill="auto"/>
            <w:noWrap/>
            <w:vAlign w:val="bottom"/>
            <w:hideMark/>
          </w:tcPr>
          <w:p w:rsidR="00AA5FFF" w:rsidRPr="005934A5" w:rsidRDefault="00AA5FFF" w:rsidP="00AA5FFF">
            <w:pPr>
              <w:rPr>
                <w:color w:val="000000"/>
              </w:rPr>
            </w:pPr>
          </w:p>
        </w:tc>
        <w:tc>
          <w:tcPr>
            <w:tcW w:w="340" w:type="dxa"/>
            <w:shd w:val="clear" w:color="auto" w:fill="auto"/>
            <w:noWrap/>
            <w:vAlign w:val="bottom"/>
            <w:hideMark/>
          </w:tcPr>
          <w:p w:rsidR="00AA5FFF" w:rsidRPr="005934A5" w:rsidRDefault="00AA5FFF" w:rsidP="00AA5FFF">
            <w:pPr>
              <w:rPr>
                <w:color w:val="000000"/>
              </w:rPr>
            </w:pPr>
          </w:p>
        </w:tc>
        <w:tc>
          <w:tcPr>
            <w:tcW w:w="1840" w:type="dxa"/>
            <w:shd w:val="clear" w:color="auto" w:fill="auto"/>
            <w:noWrap/>
            <w:vAlign w:val="center"/>
            <w:hideMark/>
          </w:tcPr>
          <w:p w:rsidR="00AA5FFF" w:rsidRPr="005934A5" w:rsidRDefault="00AA5FFF" w:rsidP="00AA5FFF">
            <w:pPr>
              <w:jc w:val="center"/>
              <w:rPr>
                <w:b/>
                <w:bCs/>
              </w:rPr>
            </w:pPr>
            <w:r w:rsidRPr="005934A5">
              <w:rPr>
                <w:b/>
                <w:bCs/>
              </w:rPr>
              <w:t> </w:t>
            </w:r>
          </w:p>
        </w:tc>
        <w:tc>
          <w:tcPr>
            <w:tcW w:w="1780" w:type="dxa"/>
            <w:gridSpan w:val="2"/>
            <w:shd w:val="clear" w:color="auto" w:fill="auto"/>
            <w:noWrap/>
            <w:vAlign w:val="center"/>
            <w:hideMark/>
          </w:tcPr>
          <w:p w:rsidR="00AA5FFF" w:rsidRPr="005934A5" w:rsidRDefault="00AA5FFF" w:rsidP="00AA5FFF">
            <w:pPr>
              <w:jc w:val="center"/>
              <w:rPr>
                <w:b/>
                <w:bCs/>
              </w:rPr>
            </w:pPr>
            <w:r w:rsidRPr="005934A5">
              <w:rPr>
                <w:b/>
                <w:bCs/>
              </w:rPr>
              <w:t> </w:t>
            </w:r>
          </w:p>
        </w:tc>
      </w:tr>
      <w:tr w:rsidR="00A76FE8" w:rsidRPr="00286C0E" w:rsidTr="00A76FE8">
        <w:trPr>
          <w:trHeight w:val="255"/>
        </w:trPr>
        <w:tc>
          <w:tcPr>
            <w:tcW w:w="5500" w:type="dxa"/>
            <w:gridSpan w:val="2"/>
            <w:shd w:val="clear" w:color="auto" w:fill="auto"/>
            <w:noWrap/>
            <w:vAlign w:val="bottom"/>
            <w:hideMark/>
          </w:tcPr>
          <w:p w:rsidR="00A76FE8" w:rsidRPr="005934A5" w:rsidRDefault="00A76FE8" w:rsidP="00AA5FFF">
            <w:r w:rsidRPr="005934A5">
              <w:rPr>
                <w:b/>
                <w:bCs/>
                <w:color w:val="000000"/>
              </w:rPr>
              <w:t>Main Government Departments</w:t>
            </w:r>
          </w:p>
        </w:tc>
        <w:tc>
          <w:tcPr>
            <w:tcW w:w="340" w:type="dxa"/>
            <w:shd w:val="clear" w:color="auto" w:fill="auto"/>
            <w:noWrap/>
            <w:vAlign w:val="bottom"/>
            <w:hideMark/>
          </w:tcPr>
          <w:p w:rsidR="00A76FE8" w:rsidRPr="005934A5" w:rsidRDefault="00A76FE8" w:rsidP="00AA5FFF"/>
        </w:tc>
        <w:tc>
          <w:tcPr>
            <w:tcW w:w="1840" w:type="dxa"/>
            <w:shd w:val="clear" w:color="auto" w:fill="auto"/>
            <w:noWrap/>
            <w:vAlign w:val="center"/>
            <w:hideMark/>
          </w:tcPr>
          <w:p w:rsidR="00A76FE8" w:rsidRPr="005934A5" w:rsidRDefault="00A76FE8" w:rsidP="00AA5FFF">
            <w:pPr>
              <w:jc w:val="center"/>
              <w:rPr>
                <w:b/>
                <w:bCs/>
              </w:rPr>
            </w:pPr>
            <w:r w:rsidRPr="005934A5">
              <w:rPr>
                <w:b/>
                <w:bCs/>
              </w:rPr>
              <w:t> </w:t>
            </w:r>
          </w:p>
        </w:tc>
        <w:tc>
          <w:tcPr>
            <w:tcW w:w="1780" w:type="dxa"/>
            <w:gridSpan w:val="2"/>
            <w:shd w:val="clear" w:color="auto" w:fill="auto"/>
            <w:noWrap/>
            <w:vAlign w:val="center"/>
            <w:hideMark/>
          </w:tcPr>
          <w:p w:rsidR="00A76FE8" w:rsidRPr="005934A5" w:rsidRDefault="00A76FE8" w:rsidP="00AA5FFF">
            <w:pPr>
              <w:jc w:val="center"/>
              <w:rPr>
                <w:b/>
                <w:bCs/>
              </w:rPr>
            </w:pPr>
            <w:r w:rsidRPr="005934A5">
              <w:rPr>
                <w:b/>
                <w:bCs/>
              </w:rPr>
              <w:t> </w:t>
            </w:r>
          </w:p>
        </w:tc>
      </w:tr>
      <w:tr w:rsidR="00B478D0" w:rsidRPr="00286C0E" w:rsidTr="005934A5">
        <w:trPr>
          <w:trHeight w:val="255"/>
        </w:trPr>
        <w:tc>
          <w:tcPr>
            <w:tcW w:w="3660" w:type="dxa"/>
            <w:shd w:val="clear" w:color="auto" w:fill="auto"/>
            <w:noWrap/>
            <w:vAlign w:val="bottom"/>
            <w:hideMark/>
          </w:tcPr>
          <w:p w:rsidR="00B478D0" w:rsidRPr="005934A5" w:rsidRDefault="00B478D0" w:rsidP="00AA5FFF">
            <w:pPr>
              <w:rPr>
                <w:color w:val="000000"/>
              </w:rPr>
            </w:pPr>
            <w:r w:rsidRPr="005934A5">
              <w:rPr>
                <w:color w:val="000000"/>
              </w:rPr>
              <w:t>Primary Capital Programme</w:t>
            </w:r>
          </w:p>
        </w:tc>
        <w:tc>
          <w:tcPr>
            <w:tcW w:w="1840" w:type="dxa"/>
            <w:shd w:val="clear" w:color="auto" w:fill="auto"/>
            <w:noWrap/>
            <w:vAlign w:val="bottom"/>
            <w:hideMark/>
          </w:tcPr>
          <w:p w:rsidR="00B478D0" w:rsidRPr="005934A5" w:rsidRDefault="00B478D0" w:rsidP="00AA5FFF">
            <w:pPr>
              <w:rPr>
                <w:color w:val="000000"/>
              </w:rPr>
            </w:pPr>
          </w:p>
        </w:tc>
        <w:tc>
          <w:tcPr>
            <w:tcW w:w="340" w:type="dxa"/>
            <w:shd w:val="clear" w:color="auto" w:fill="auto"/>
            <w:noWrap/>
            <w:vAlign w:val="bottom"/>
            <w:hideMark/>
          </w:tcPr>
          <w:p w:rsidR="00B478D0" w:rsidRPr="005934A5" w:rsidRDefault="00B478D0" w:rsidP="00AA5FFF">
            <w:pPr>
              <w:jc w:val="right"/>
            </w:pPr>
          </w:p>
        </w:tc>
        <w:tc>
          <w:tcPr>
            <w:tcW w:w="1840" w:type="dxa"/>
            <w:shd w:val="clear" w:color="auto" w:fill="auto"/>
            <w:noWrap/>
            <w:vAlign w:val="center"/>
            <w:hideMark/>
          </w:tcPr>
          <w:p w:rsidR="00B478D0" w:rsidRPr="005934A5" w:rsidRDefault="004C7E84" w:rsidP="00AA5FFF">
            <w:pPr>
              <w:jc w:val="right"/>
            </w:pPr>
            <w:r w:rsidRPr="005934A5">
              <w:t>-</w:t>
            </w:r>
          </w:p>
        </w:tc>
        <w:tc>
          <w:tcPr>
            <w:tcW w:w="1780" w:type="dxa"/>
            <w:gridSpan w:val="2"/>
            <w:shd w:val="clear" w:color="auto" w:fill="auto"/>
            <w:noWrap/>
            <w:vAlign w:val="center"/>
            <w:hideMark/>
          </w:tcPr>
          <w:p w:rsidR="00B478D0" w:rsidRPr="005934A5" w:rsidRDefault="00B478D0" w:rsidP="00B478D0">
            <w:pPr>
              <w:jc w:val="right"/>
            </w:pPr>
            <w:r w:rsidRPr="005934A5">
              <w:t>18,038</w:t>
            </w:r>
          </w:p>
        </w:tc>
      </w:tr>
      <w:tr w:rsidR="00B478D0" w:rsidRPr="00286C0E" w:rsidTr="005934A5">
        <w:trPr>
          <w:trHeight w:val="255"/>
        </w:trPr>
        <w:tc>
          <w:tcPr>
            <w:tcW w:w="3660" w:type="dxa"/>
            <w:shd w:val="clear" w:color="auto" w:fill="auto"/>
            <w:noWrap/>
            <w:vAlign w:val="bottom"/>
            <w:hideMark/>
          </w:tcPr>
          <w:p w:rsidR="00B478D0" w:rsidRPr="005934A5" w:rsidRDefault="00B478D0" w:rsidP="00AA5FFF">
            <w:pPr>
              <w:rPr>
                <w:color w:val="000000"/>
              </w:rPr>
            </w:pPr>
            <w:r w:rsidRPr="005934A5">
              <w:rPr>
                <w:color w:val="000000"/>
              </w:rPr>
              <w:t>Building Schools for the Future</w:t>
            </w:r>
          </w:p>
        </w:tc>
        <w:tc>
          <w:tcPr>
            <w:tcW w:w="1840" w:type="dxa"/>
            <w:shd w:val="clear" w:color="auto" w:fill="auto"/>
            <w:noWrap/>
            <w:vAlign w:val="bottom"/>
            <w:hideMark/>
          </w:tcPr>
          <w:p w:rsidR="00B478D0" w:rsidRPr="005934A5" w:rsidRDefault="00B478D0" w:rsidP="00AA5FFF">
            <w:pPr>
              <w:rPr>
                <w:color w:val="000000"/>
              </w:rPr>
            </w:pPr>
          </w:p>
        </w:tc>
        <w:tc>
          <w:tcPr>
            <w:tcW w:w="340" w:type="dxa"/>
            <w:shd w:val="clear" w:color="auto" w:fill="auto"/>
            <w:noWrap/>
            <w:vAlign w:val="bottom"/>
            <w:hideMark/>
          </w:tcPr>
          <w:p w:rsidR="00B478D0" w:rsidRPr="005934A5" w:rsidRDefault="00B478D0" w:rsidP="00AA5FFF">
            <w:pPr>
              <w:jc w:val="right"/>
            </w:pPr>
          </w:p>
        </w:tc>
        <w:tc>
          <w:tcPr>
            <w:tcW w:w="1840" w:type="dxa"/>
            <w:shd w:val="clear" w:color="auto" w:fill="auto"/>
            <w:noWrap/>
            <w:vAlign w:val="center"/>
            <w:hideMark/>
          </w:tcPr>
          <w:p w:rsidR="00B478D0" w:rsidRPr="005934A5" w:rsidRDefault="004C7E84" w:rsidP="00AA5FFF">
            <w:pPr>
              <w:jc w:val="right"/>
            </w:pPr>
            <w:r w:rsidRPr="005934A5">
              <w:t>12,693</w:t>
            </w:r>
          </w:p>
        </w:tc>
        <w:tc>
          <w:tcPr>
            <w:tcW w:w="1780" w:type="dxa"/>
            <w:gridSpan w:val="2"/>
            <w:shd w:val="clear" w:color="auto" w:fill="auto"/>
            <w:noWrap/>
            <w:vAlign w:val="center"/>
            <w:hideMark/>
          </w:tcPr>
          <w:p w:rsidR="00B478D0" w:rsidRPr="005934A5" w:rsidRDefault="00B478D0" w:rsidP="00B478D0">
            <w:pPr>
              <w:jc w:val="right"/>
            </w:pPr>
            <w:r w:rsidRPr="005934A5">
              <w:t>13,770</w:t>
            </w:r>
          </w:p>
        </w:tc>
      </w:tr>
      <w:tr w:rsidR="00B478D0" w:rsidRPr="00286C0E" w:rsidTr="005934A5">
        <w:trPr>
          <w:trHeight w:val="255"/>
        </w:trPr>
        <w:tc>
          <w:tcPr>
            <w:tcW w:w="3660" w:type="dxa"/>
            <w:shd w:val="clear" w:color="auto" w:fill="auto"/>
            <w:noWrap/>
            <w:vAlign w:val="bottom"/>
            <w:hideMark/>
          </w:tcPr>
          <w:p w:rsidR="00B478D0" w:rsidRPr="005934A5" w:rsidRDefault="00B478D0" w:rsidP="00AA5FFF">
            <w:pPr>
              <w:rPr>
                <w:color w:val="000000"/>
              </w:rPr>
            </w:pPr>
            <w:r w:rsidRPr="005934A5">
              <w:rPr>
                <w:color w:val="000000"/>
              </w:rPr>
              <w:t>Formula Capital for Schools</w:t>
            </w:r>
          </w:p>
        </w:tc>
        <w:tc>
          <w:tcPr>
            <w:tcW w:w="1840" w:type="dxa"/>
            <w:shd w:val="clear" w:color="auto" w:fill="auto"/>
            <w:noWrap/>
            <w:vAlign w:val="bottom"/>
            <w:hideMark/>
          </w:tcPr>
          <w:p w:rsidR="00B478D0" w:rsidRPr="005934A5" w:rsidRDefault="00B478D0" w:rsidP="00AA5FFF">
            <w:pPr>
              <w:rPr>
                <w:color w:val="000000"/>
              </w:rPr>
            </w:pPr>
          </w:p>
        </w:tc>
        <w:tc>
          <w:tcPr>
            <w:tcW w:w="340" w:type="dxa"/>
            <w:shd w:val="clear" w:color="auto" w:fill="auto"/>
            <w:noWrap/>
            <w:vAlign w:val="bottom"/>
            <w:hideMark/>
          </w:tcPr>
          <w:p w:rsidR="00B478D0" w:rsidRPr="005934A5" w:rsidRDefault="00B478D0" w:rsidP="00AA5FFF">
            <w:pPr>
              <w:jc w:val="right"/>
            </w:pPr>
          </w:p>
        </w:tc>
        <w:tc>
          <w:tcPr>
            <w:tcW w:w="1840" w:type="dxa"/>
            <w:shd w:val="clear" w:color="auto" w:fill="auto"/>
            <w:noWrap/>
            <w:vAlign w:val="center"/>
            <w:hideMark/>
          </w:tcPr>
          <w:p w:rsidR="00B478D0" w:rsidRPr="005934A5" w:rsidRDefault="004C7E84" w:rsidP="00AA5FFF">
            <w:pPr>
              <w:jc w:val="right"/>
            </w:pPr>
            <w:r w:rsidRPr="005934A5">
              <w:t>2,771</w:t>
            </w:r>
          </w:p>
        </w:tc>
        <w:tc>
          <w:tcPr>
            <w:tcW w:w="1780" w:type="dxa"/>
            <w:gridSpan w:val="2"/>
            <w:shd w:val="clear" w:color="auto" w:fill="auto"/>
            <w:noWrap/>
            <w:vAlign w:val="center"/>
            <w:hideMark/>
          </w:tcPr>
          <w:p w:rsidR="00B478D0" w:rsidRPr="005934A5" w:rsidRDefault="00B478D0" w:rsidP="00B478D0">
            <w:pPr>
              <w:jc w:val="right"/>
            </w:pPr>
            <w:r w:rsidRPr="005934A5">
              <w:t>8,296</w:t>
            </w:r>
          </w:p>
        </w:tc>
      </w:tr>
      <w:tr w:rsidR="00B478D0" w:rsidRPr="00286C0E" w:rsidTr="005934A5">
        <w:trPr>
          <w:trHeight w:val="255"/>
        </w:trPr>
        <w:tc>
          <w:tcPr>
            <w:tcW w:w="3660" w:type="dxa"/>
            <w:shd w:val="clear" w:color="auto" w:fill="auto"/>
            <w:noWrap/>
            <w:hideMark/>
          </w:tcPr>
          <w:p w:rsidR="00B478D0" w:rsidRPr="005934A5" w:rsidRDefault="00B478D0" w:rsidP="00AA5FFF">
            <w:pPr>
              <w:rPr>
                <w:color w:val="000000"/>
              </w:rPr>
            </w:pPr>
            <w:r w:rsidRPr="005934A5">
              <w:rPr>
                <w:color w:val="000000"/>
              </w:rPr>
              <w:t>Alder Grange Learning  Centre</w:t>
            </w:r>
          </w:p>
        </w:tc>
        <w:tc>
          <w:tcPr>
            <w:tcW w:w="1840" w:type="dxa"/>
            <w:shd w:val="clear" w:color="auto" w:fill="auto"/>
            <w:noWrap/>
            <w:vAlign w:val="bottom"/>
            <w:hideMark/>
          </w:tcPr>
          <w:p w:rsidR="00B478D0" w:rsidRPr="005934A5" w:rsidRDefault="00B478D0" w:rsidP="00AA5FFF">
            <w:pPr>
              <w:rPr>
                <w:color w:val="000000"/>
              </w:rPr>
            </w:pPr>
          </w:p>
        </w:tc>
        <w:tc>
          <w:tcPr>
            <w:tcW w:w="340" w:type="dxa"/>
            <w:shd w:val="clear" w:color="auto" w:fill="auto"/>
            <w:noWrap/>
            <w:vAlign w:val="bottom"/>
            <w:hideMark/>
          </w:tcPr>
          <w:p w:rsidR="00B478D0" w:rsidRPr="005934A5" w:rsidRDefault="00B478D0" w:rsidP="00AA5FFF">
            <w:pPr>
              <w:jc w:val="right"/>
            </w:pPr>
          </w:p>
        </w:tc>
        <w:tc>
          <w:tcPr>
            <w:tcW w:w="1840" w:type="dxa"/>
            <w:shd w:val="clear" w:color="auto" w:fill="auto"/>
            <w:noWrap/>
            <w:vAlign w:val="center"/>
            <w:hideMark/>
          </w:tcPr>
          <w:p w:rsidR="00B478D0" w:rsidRPr="005934A5" w:rsidRDefault="004C7E84" w:rsidP="00AA5FFF">
            <w:pPr>
              <w:jc w:val="right"/>
            </w:pPr>
            <w:r w:rsidRPr="005934A5">
              <w:t>579</w:t>
            </w:r>
          </w:p>
        </w:tc>
        <w:tc>
          <w:tcPr>
            <w:tcW w:w="1780" w:type="dxa"/>
            <w:gridSpan w:val="2"/>
            <w:shd w:val="clear" w:color="auto" w:fill="auto"/>
            <w:noWrap/>
            <w:vAlign w:val="center"/>
            <w:hideMark/>
          </w:tcPr>
          <w:p w:rsidR="00B478D0" w:rsidRPr="005934A5" w:rsidRDefault="00B478D0" w:rsidP="00B478D0">
            <w:pPr>
              <w:jc w:val="right"/>
            </w:pPr>
            <w:r w:rsidRPr="005934A5">
              <w:t>5,815</w:t>
            </w:r>
          </w:p>
        </w:tc>
      </w:tr>
      <w:tr w:rsidR="00B478D0" w:rsidRPr="00286C0E" w:rsidTr="005934A5">
        <w:trPr>
          <w:trHeight w:val="255"/>
        </w:trPr>
        <w:tc>
          <w:tcPr>
            <w:tcW w:w="3660" w:type="dxa"/>
            <w:shd w:val="clear" w:color="auto" w:fill="auto"/>
            <w:noWrap/>
            <w:vAlign w:val="bottom"/>
            <w:hideMark/>
          </w:tcPr>
          <w:p w:rsidR="00B478D0" w:rsidRPr="005934A5" w:rsidRDefault="00B478D0" w:rsidP="00AA5FFF">
            <w:pPr>
              <w:rPr>
                <w:color w:val="000000"/>
              </w:rPr>
            </w:pPr>
            <w:r w:rsidRPr="005934A5">
              <w:rPr>
                <w:color w:val="000000"/>
              </w:rPr>
              <w:t xml:space="preserve">Sure Start </w:t>
            </w:r>
          </w:p>
        </w:tc>
        <w:tc>
          <w:tcPr>
            <w:tcW w:w="1840" w:type="dxa"/>
            <w:shd w:val="clear" w:color="auto" w:fill="auto"/>
            <w:noWrap/>
            <w:vAlign w:val="bottom"/>
            <w:hideMark/>
          </w:tcPr>
          <w:p w:rsidR="00B478D0" w:rsidRPr="005934A5" w:rsidRDefault="00B478D0" w:rsidP="00AA5FFF">
            <w:pPr>
              <w:rPr>
                <w:color w:val="000000"/>
              </w:rPr>
            </w:pPr>
          </w:p>
        </w:tc>
        <w:tc>
          <w:tcPr>
            <w:tcW w:w="340" w:type="dxa"/>
            <w:shd w:val="clear" w:color="auto" w:fill="auto"/>
            <w:noWrap/>
            <w:vAlign w:val="bottom"/>
            <w:hideMark/>
          </w:tcPr>
          <w:p w:rsidR="00B478D0" w:rsidRPr="005934A5" w:rsidRDefault="00B478D0" w:rsidP="00AA5FFF">
            <w:pPr>
              <w:jc w:val="right"/>
            </w:pPr>
          </w:p>
        </w:tc>
        <w:tc>
          <w:tcPr>
            <w:tcW w:w="1840" w:type="dxa"/>
            <w:shd w:val="clear" w:color="auto" w:fill="auto"/>
            <w:noWrap/>
            <w:vAlign w:val="center"/>
            <w:hideMark/>
          </w:tcPr>
          <w:p w:rsidR="00B478D0" w:rsidRPr="005934A5" w:rsidRDefault="004C7E84" w:rsidP="00AA5FFF">
            <w:pPr>
              <w:jc w:val="right"/>
            </w:pPr>
            <w:r w:rsidRPr="005934A5">
              <w:t>1,252</w:t>
            </w:r>
          </w:p>
        </w:tc>
        <w:tc>
          <w:tcPr>
            <w:tcW w:w="1780" w:type="dxa"/>
            <w:gridSpan w:val="2"/>
            <w:shd w:val="clear" w:color="auto" w:fill="auto"/>
            <w:noWrap/>
            <w:vAlign w:val="center"/>
            <w:hideMark/>
          </w:tcPr>
          <w:p w:rsidR="00B478D0" w:rsidRPr="005934A5" w:rsidRDefault="00B478D0" w:rsidP="00B478D0">
            <w:pPr>
              <w:jc w:val="right"/>
            </w:pPr>
            <w:r w:rsidRPr="005934A5">
              <w:t>6,103</w:t>
            </w:r>
          </w:p>
        </w:tc>
      </w:tr>
      <w:tr w:rsidR="00B478D0" w:rsidRPr="00286C0E" w:rsidTr="005934A5">
        <w:trPr>
          <w:trHeight w:val="255"/>
        </w:trPr>
        <w:tc>
          <w:tcPr>
            <w:tcW w:w="3660" w:type="dxa"/>
            <w:shd w:val="clear" w:color="auto" w:fill="auto"/>
            <w:noWrap/>
            <w:vAlign w:val="bottom"/>
            <w:hideMark/>
          </w:tcPr>
          <w:p w:rsidR="00B478D0" w:rsidRPr="005934A5" w:rsidRDefault="00B478D0" w:rsidP="00AA5FFF">
            <w:pPr>
              <w:rPr>
                <w:color w:val="000000"/>
              </w:rPr>
            </w:pPr>
            <w:r w:rsidRPr="005934A5">
              <w:rPr>
                <w:color w:val="000000"/>
              </w:rPr>
              <w:t>Co-Location Scheme</w:t>
            </w:r>
          </w:p>
        </w:tc>
        <w:tc>
          <w:tcPr>
            <w:tcW w:w="1840" w:type="dxa"/>
            <w:shd w:val="clear" w:color="auto" w:fill="auto"/>
            <w:noWrap/>
            <w:vAlign w:val="bottom"/>
            <w:hideMark/>
          </w:tcPr>
          <w:p w:rsidR="00B478D0" w:rsidRPr="005934A5" w:rsidRDefault="00B478D0" w:rsidP="00AA5FFF">
            <w:pPr>
              <w:rPr>
                <w:color w:val="000000"/>
              </w:rPr>
            </w:pPr>
          </w:p>
        </w:tc>
        <w:tc>
          <w:tcPr>
            <w:tcW w:w="340" w:type="dxa"/>
            <w:shd w:val="clear" w:color="auto" w:fill="auto"/>
            <w:noWrap/>
            <w:vAlign w:val="bottom"/>
            <w:hideMark/>
          </w:tcPr>
          <w:p w:rsidR="00B478D0" w:rsidRPr="005934A5" w:rsidRDefault="00B478D0" w:rsidP="00AA5FFF">
            <w:pPr>
              <w:jc w:val="right"/>
            </w:pPr>
          </w:p>
        </w:tc>
        <w:tc>
          <w:tcPr>
            <w:tcW w:w="1840" w:type="dxa"/>
            <w:shd w:val="clear" w:color="auto" w:fill="auto"/>
            <w:noWrap/>
            <w:vAlign w:val="center"/>
            <w:hideMark/>
          </w:tcPr>
          <w:p w:rsidR="00B478D0" w:rsidRPr="005934A5" w:rsidRDefault="004C7E84" w:rsidP="00AA5FFF">
            <w:pPr>
              <w:jc w:val="right"/>
            </w:pPr>
            <w:r w:rsidRPr="005934A5">
              <w:t>-</w:t>
            </w:r>
          </w:p>
        </w:tc>
        <w:tc>
          <w:tcPr>
            <w:tcW w:w="1780" w:type="dxa"/>
            <w:gridSpan w:val="2"/>
            <w:shd w:val="clear" w:color="auto" w:fill="auto"/>
            <w:noWrap/>
            <w:vAlign w:val="center"/>
            <w:hideMark/>
          </w:tcPr>
          <w:p w:rsidR="00B478D0" w:rsidRPr="005934A5" w:rsidRDefault="00B478D0" w:rsidP="00B478D0">
            <w:pPr>
              <w:jc w:val="right"/>
            </w:pPr>
            <w:r w:rsidRPr="005934A5">
              <w:t>4,348</w:t>
            </w:r>
          </w:p>
        </w:tc>
      </w:tr>
      <w:tr w:rsidR="00B478D0" w:rsidRPr="00286C0E" w:rsidTr="005934A5">
        <w:trPr>
          <w:trHeight w:val="255"/>
        </w:trPr>
        <w:tc>
          <w:tcPr>
            <w:tcW w:w="3660" w:type="dxa"/>
            <w:shd w:val="clear" w:color="auto" w:fill="auto"/>
            <w:noWrap/>
            <w:vAlign w:val="bottom"/>
            <w:hideMark/>
          </w:tcPr>
          <w:p w:rsidR="00B478D0" w:rsidRPr="005934A5" w:rsidRDefault="00B478D0" w:rsidP="00AA5FFF">
            <w:pPr>
              <w:rPr>
                <w:color w:val="000000"/>
              </w:rPr>
            </w:pPr>
            <w:r w:rsidRPr="005934A5">
              <w:rPr>
                <w:color w:val="000000"/>
              </w:rPr>
              <w:t>Extra Care Housing</w:t>
            </w:r>
          </w:p>
        </w:tc>
        <w:tc>
          <w:tcPr>
            <w:tcW w:w="1840" w:type="dxa"/>
            <w:shd w:val="clear" w:color="auto" w:fill="auto"/>
            <w:noWrap/>
            <w:vAlign w:val="bottom"/>
            <w:hideMark/>
          </w:tcPr>
          <w:p w:rsidR="00B478D0" w:rsidRPr="005934A5" w:rsidRDefault="00B478D0" w:rsidP="00AA5FFF">
            <w:pPr>
              <w:rPr>
                <w:color w:val="000000"/>
              </w:rPr>
            </w:pPr>
          </w:p>
        </w:tc>
        <w:tc>
          <w:tcPr>
            <w:tcW w:w="340" w:type="dxa"/>
            <w:shd w:val="clear" w:color="auto" w:fill="auto"/>
            <w:noWrap/>
            <w:vAlign w:val="bottom"/>
            <w:hideMark/>
          </w:tcPr>
          <w:p w:rsidR="00B478D0" w:rsidRPr="005934A5" w:rsidRDefault="00B478D0" w:rsidP="00AA5FFF">
            <w:pPr>
              <w:jc w:val="right"/>
            </w:pPr>
          </w:p>
        </w:tc>
        <w:tc>
          <w:tcPr>
            <w:tcW w:w="1840" w:type="dxa"/>
            <w:shd w:val="clear" w:color="auto" w:fill="auto"/>
            <w:noWrap/>
            <w:vAlign w:val="center"/>
            <w:hideMark/>
          </w:tcPr>
          <w:p w:rsidR="00B478D0" w:rsidRPr="005934A5" w:rsidRDefault="004C7E84" w:rsidP="00AA5FFF">
            <w:pPr>
              <w:jc w:val="right"/>
            </w:pPr>
            <w:r w:rsidRPr="005934A5">
              <w:t>-</w:t>
            </w:r>
          </w:p>
        </w:tc>
        <w:tc>
          <w:tcPr>
            <w:tcW w:w="1780" w:type="dxa"/>
            <w:gridSpan w:val="2"/>
            <w:shd w:val="clear" w:color="auto" w:fill="auto"/>
            <w:noWrap/>
            <w:vAlign w:val="center"/>
            <w:hideMark/>
          </w:tcPr>
          <w:p w:rsidR="00B478D0" w:rsidRPr="005934A5" w:rsidRDefault="00B478D0" w:rsidP="00B478D0">
            <w:pPr>
              <w:jc w:val="right"/>
            </w:pPr>
            <w:r w:rsidRPr="005934A5">
              <w:t>3,663</w:t>
            </w:r>
          </w:p>
        </w:tc>
      </w:tr>
      <w:tr w:rsidR="00B478D0" w:rsidRPr="00286C0E" w:rsidTr="005934A5">
        <w:trPr>
          <w:trHeight w:val="255"/>
        </w:trPr>
        <w:tc>
          <w:tcPr>
            <w:tcW w:w="5500" w:type="dxa"/>
            <w:gridSpan w:val="2"/>
            <w:shd w:val="clear" w:color="auto" w:fill="auto"/>
            <w:noWrap/>
            <w:vAlign w:val="bottom"/>
            <w:hideMark/>
          </w:tcPr>
          <w:p w:rsidR="00B478D0" w:rsidRPr="005934A5" w:rsidRDefault="00B478D0" w:rsidP="00A76FE8">
            <w:pPr>
              <w:rPr>
                <w:color w:val="000000"/>
              </w:rPr>
            </w:pPr>
            <w:r w:rsidRPr="005934A5">
              <w:rPr>
                <w:color w:val="000000"/>
              </w:rPr>
              <w:t xml:space="preserve">Department for Transport -  </w:t>
            </w:r>
            <w:r w:rsidR="00A76FE8">
              <w:rPr>
                <w:color w:val="000000"/>
              </w:rPr>
              <w:t>Earmarked Projects</w:t>
            </w:r>
          </w:p>
        </w:tc>
        <w:tc>
          <w:tcPr>
            <w:tcW w:w="340" w:type="dxa"/>
            <w:shd w:val="clear" w:color="auto" w:fill="auto"/>
            <w:noWrap/>
            <w:vAlign w:val="bottom"/>
            <w:hideMark/>
          </w:tcPr>
          <w:p w:rsidR="00B478D0" w:rsidRPr="005934A5" w:rsidRDefault="00B478D0" w:rsidP="00AA5FFF">
            <w:pPr>
              <w:jc w:val="right"/>
            </w:pPr>
          </w:p>
        </w:tc>
        <w:tc>
          <w:tcPr>
            <w:tcW w:w="1840" w:type="dxa"/>
            <w:shd w:val="clear" w:color="auto" w:fill="auto"/>
            <w:noWrap/>
            <w:vAlign w:val="center"/>
            <w:hideMark/>
          </w:tcPr>
          <w:p w:rsidR="00B478D0" w:rsidRPr="005934A5" w:rsidRDefault="004C7E84" w:rsidP="00AA5FFF">
            <w:pPr>
              <w:jc w:val="right"/>
            </w:pPr>
            <w:r w:rsidRPr="005934A5">
              <w:t>563</w:t>
            </w:r>
          </w:p>
        </w:tc>
        <w:tc>
          <w:tcPr>
            <w:tcW w:w="1780" w:type="dxa"/>
            <w:gridSpan w:val="2"/>
            <w:shd w:val="clear" w:color="auto" w:fill="auto"/>
            <w:noWrap/>
            <w:vAlign w:val="center"/>
            <w:hideMark/>
          </w:tcPr>
          <w:p w:rsidR="00B478D0" w:rsidRPr="005934A5" w:rsidRDefault="00A76FE8" w:rsidP="00B478D0">
            <w:pPr>
              <w:jc w:val="right"/>
            </w:pPr>
            <w:r>
              <w:t>5,647</w:t>
            </w:r>
          </w:p>
        </w:tc>
      </w:tr>
      <w:tr w:rsidR="004C7E84" w:rsidRPr="00286C0E" w:rsidTr="005934A5">
        <w:trPr>
          <w:trHeight w:val="240"/>
        </w:trPr>
        <w:tc>
          <w:tcPr>
            <w:tcW w:w="3660" w:type="dxa"/>
            <w:shd w:val="clear" w:color="auto" w:fill="auto"/>
            <w:noWrap/>
            <w:hideMark/>
          </w:tcPr>
          <w:p w:rsidR="004C7E84" w:rsidRPr="005934A5" w:rsidRDefault="004C7E84" w:rsidP="00AA5FFF">
            <w:pPr>
              <w:rPr>
                <w:color w:val="000000"/>
              </w:rPr>
            </w:pPr>
            <w:r w:rsidRPr="005934A5">
              <w:rPr>
                <w:color w:val="000000"/>
              </w:rPr>
              <w:t>Short Breaks for Disabled Children</w:t>
            </w:r>
          </w:p>
        </w:tc>
        <w:tc>
          <w:tcPr>
            <w:tcW w:w="1840" w:type="dxa"/>
            <w:shd w:val="clear" w:color="auto" w:fill="auto"/>
            <w:noWrap/>
            <w:vAlign w:val="bottom"/>
            <w:hideMark/>
          </w:tcPr>
          <w:p w:rsidR="004C7E84" w:rsidRPr="005934A5" w:rsidRDefault="004C7E84" w:rsidP="00AA5FFF">
            <w:pPr>
              <w:rPr>
                <w:color w:val="000000"/>
              </w:rPr>
            </w:pPr>
          </w:p>
        </w:tc>
        <w:tc>
          <w:tcPr>
            <w:tcW w:w="340" w:type="dxa"/>
            <w:shd w:val="clear" w:color="auto" w:fill="auto"/>
            <w:noWrap/>
            <w:vAlign w:val="bottom"/>
            <w:hideMark/>
          </w:tcPr>
          <w:p w:rsidR="004C7E84" w:rsidRPr="005934A5" w:rsidRDefault="004C7E84" w:rsidP="00AA5FFF">
            <w:pPr>
              <w:jc w:val="right"/>
            </w:pPr>
          </w:p>
        </w:tc>
        <w:tc>
          <w:tcPr>
            <w:tcW w:w="1840" w:type="dxa"/>
            <w:shd w:val="clear" w:color="auto" w:fill="auto"/>
            <w:noWrap/>
            <w:vAlign w:val="center"/>
            <w:hideMark/>
          </w:tcPr>
          <w:p w:rsidR="004C7E84" w:rsidRPr="005934A5" w:rsidRDefault="004C7E84" w:rsidP="00B478D0">
            <w:pPr>
              <w:jc w:val="right"/>
            </w:pPr>
            <w:r w:rsidRPr="005934A5">
              <w:t>675</w:t>
            </w:r>
          </w:p>
        </w:tc>
        <w:tc>
          <w:tcPr>
            <w:tcW w:w="1780" w:type="dxa"/>
            <w:gridSpan w:val="2"/>
            <w:shd w:val="clear" w:color="auto" w:fill="auto"/>
            <w:noWrap/>
            <w:vAlign w:val="center"/>
            <w:hideMark/>
          </w:tcPr>
          <w:p w:rsidR="004C7E84" w:rsidRPr="005934A5" w:rsidRDefault="004C7E84" w:rsidP="00B478D0">
            <w:pPr>
              <w:jc w:val="right"/>
            </w:pPr>
            <w:r w:rsidRPr="005934A5">
              <w:t>-</w:t>
            </w:r>
          </w:p>
        </w:tc>
      </w:tr>
      <w:tr w:rsidR="004C7E84" w:rsidRPr="00286C0E" w:rsidTr="005934A5">
        <w:trPr>
          <w:trHeight w:val="240"/>
        </w:trPr>
        <w:tc>
          <w:tcPr>
            <w:tcW w:w="3660" w:type="dxa"/>
            <w:shd w:val="clear" w:color="auto" w:fill="auto"/>
            <w:noWrap/>
            <w:hideMark/>
          </w:tcPr>
          <w:p w:rsidR="004C7E84" w:rsidRPr="005934A5" w:rsidRDefault="004C7E84" w:rsidP="00AA5FFF">
            <w:pPr>
              <w:rPr>
                <w:color w:val="000000"/>
              </w:rPr>
            </w:pPr>
            <w:r w:rsidRPr="005934A5">
              <w:rPr>
                <w:color w:val="000000"/>
              </w:rPr>
              <w:t>Department for Communities and Local Government – Growing Places</w:t>
            </w:r>
          </w:p>
        </w:tc>
        <w:tc>
          <w:tcPr>
            <w:tcW w:w="1840" w:type="dxa"/>
            <w:shd w:val="clear" w:color="auto" w:fill="auto"/>
            <w:noWrap/>
            <w:vAlign w:val="bottom"/>
            <w:hideMark/>
          </w:tcPr>
          <w:p w:rsidR="004C7E84" w:rsidRPr="005934A5" w:rsidRDefault="004C7E84" w:rsidP="00AA5FFF">
            <w:pPr>
              <w:rPr>
                <w:color w:val="000000"/>
              </w:rPr>
            </w:pPr>
          </w:p>
        </w:tc>
        <w:tc>
          <w:tcPr>
            <w:tcW w:w="340" w:type="dxa"/>
            <w:shd w:val="clear" w:color="auto" w:fill="auto"/>
            <w:noWrap/>
            <w:vAlign w:val="bottom"/>
            <w:hideMark/>
          </w:tcPr>
          <w:p w:rsidR="004C7E84" w:rsidRPr="005934A5" w:rsidRDefault="004C7E84" w:rsidP="00AA5FFF">
            <w:pPr>
              <w:jc w:val="right"/>
            </w:pPr>
          </w:p>
        </w:tc>
        <w:tc>
          <w:tcPr>
            <w:tcW w:w="1840" w:type="dxa"/>
            <w:shd w:val="clear" w:color="auto" w:fill="auto"/>
            <w:noWrap/>
            <w:vAlign w:val="center"/>
            <w:hideMark/>
          </w:tcPr>
          <w:p w:rsidR="004C7E84" w:rsidRPr="005934A5" w:rsidRDefault="004C7E84" w:rsidP="00B478D0">
            <w:pPr>
              <w:jc w:val="right"/>
            </w:pPr>
            <w:r w:rsidRPr="005934A5">
              <w:t>19,379</w:t>
            </w:r>
          </w:p>
        </w:tc>
        <w:tc>
          <w:tcPr>
            <w:tcW w:w="1780" w:type="dxa"/>
            <w:gridSpan w:val="2"/>
            <w:shd w:val="clear" w:color="auto" w:fill="auto"/>
            <w:noWrap/>
            <w:vAlign w:val="center"/>
            <w:hideMark/>
          </w:tcPr>
          <w:p w:rsidR="004C7E84" w:rsidRPr="005934A5" w:rsidRDefault="004C7E84" w:rsidP="00B478D0">
            <w:pPr>
              <w:jc w:val="right"/>
            </w:pPr>
            <w:r w:rsidRPr="005934A5">
              <w:t>-</w:t>
            </w:r>
          </w:p>
        </w:tc>
      </w:tr>
      <w:tr w:rsidR="00A76FE8" w:rsidRPr="00286C0E" w:rsidTr="00A76FE8">
        <w:trPr>
          <w:trHeight w:val="240"/>
        </w:trPr>
        <w:tc>
          <w:tcPr>
            <w:tcW w:w="5500" w:type="dxa"/>
            <w:gridSpan w:val="2"/>
            <w:shd w:val="clear" w:color="auto" w:fill="auto"/>
            <w:noWrap/>
            <w:hideMark/>
          </w:tcPr>
          <w:p w:rsidR="00A76FE8" w:rsidRPr="005934A5" w:rsidRDefault="00A76FE8" w:rsidP="00AA5FFF">
            <w:pPr>
              <w:rPr>
                <w:color w:val="000000"/>
              </w:rPr>
            </w:pPr>
            <w:r>
              <w:rPr>
                <w:color w:val="000000"/>
              </w:rPr>
              <w:t>Department for Education – Other Earmarked</w:t>
            </w:r>
          </w:p>
        </w:tc>
        <w:tc>
          <w:tcPr>
            <w:tcW w:w="340" w:type="dxa"/>
            <w:shd w:val="clear" w:color="auto" w:fill="auto"/>
            <w:noWrap/>
            <w:vAlign w:val="bottom"/>
            <w:hideMark/>
          </w:tcPr>
          <w:p w:rsidR="00A76FE8" w:rsidRPr="005934A5" w:rsidRDefault="00A76FE8" w:rsidP="00AA5FFF">
            <w:pPr>
              <w:jc w:val="right"/>
            </w:pPr>
          </w:p>
        </w:tc>
        <w:tc>
          <w:tcPr>
            <w:tcW w:w="1840" w:type="dxa"/>
            <w:shd w:val="clear" w:color="auto" w:fill="auto"/>
            <w:noWrap/>
            <w:vAlign w:val="center"/>
            <w:hideMark/>
          </w:tcPr>
          <w:p w:rsidR="00A76FE8" w:rsidRPr="005934A5" w:rsidRDefault="00A76FE8" w:rsidP="00B478D0">
            <w:pPr>
              <w:jc w:val="right"/>
            </w:pPr>
            <w:r w:rsidRPr="005934A5">
              <w:t>-</w:t>
            </w:r>
          </w:p>
        </w:tc>
        <w:tc>
          <w:tcPr>
            <w:tcW w:w="1780" w:type="dxa"/>
            <w:gridSpan w:val="2"/>
            <w:shd w:val="clear" w:color="auto" w:fill="auto"/>
            <w:noWrap/>
            <w:vAlign w:val="center"/>
            <w:hideMark/>
          </w:tcPr>
          <w:p w:rsidR="00A76FE8" w:rsidRPr="005934A5" w:rsidRDefault="00A76FE8" w:rsidP="00B478D0">
            <w:pPr>
              <w:jc w:val="right"/>
            </w:pPr>
            <w:r>
              <w:t>11,485</w:t>
            </w:r>
          </w:p>
        </w:tc>
      </w:tr>
      <w:tr w:rsidR="00A76FE8" w:rsidRPr="00286C0E" w:rsidTr="00A76FE8">
        <w:trPr>
          <w:trHeight w:val="240"/>
        </w:trPr>
        <w:tc>
          <w:tcPr>
            <w:tcW w:w="5500" w:type="dxa"/>
            <w:gridSpan w:val="2"/>
            <w:shd w:val="clear" w:color="auto" w:fill="auto"/>
            <w:noWrap/>
            <w:hideMark/>
          </w:tcPr>
          <w:p w:rsidR="00A76FE8" w:rsidRDefault="00A76FE8" w:rsidP="00AA5FFF">
            <w:pPr>
              <w:rPr>
                <w:color w:val="000000"/>
              </w:rPr>
            </w:pPr>
            <w:r>
              <w:rPr>
                <w:color w:val="000000"/>
              </w:rPr>
              <w:t>Department for Health – Other Earmarked</w:t>
            </w:r>
          </w:p>
        </w:tc>
        <w:tc>
          <w:tcPr>
            <w:tcW w:w="340" w:type="dxa"/>
            <w:shd w:val="clear" w:color="auto" w:fill="auto"/>
            <w:noWrap/>
            <w:vAlign w:val="bottom"/>
            <w:hideMark/>
          </w:tcPr>
          <w:p w:rsidR="00A76FE8" w:rsidRPr="005934A5" w:rsidRDefault="00A76FE8" w:rsidP="00AA5FFF">
            <w:pPr>
              <w:jc w:val="right"/>
            </w:pPr>
          </w:p>
        </w:tc>
        <w:tc>
          <w:tcPr>
            <w:tcW w:w="1840" w:type="dxa"/>
            <w:shd w:val="clear" w:color="auto" w:fill="auto"/>
            <w:noWrap/>
            <w:vAlign w:val="center"/>
            <w:hideMark/>
          </w:tcPr>
          <w:p w:rsidR="00A76FE8" w:rsidRPr="005934A5" w:rsidRDefault="00A76FE8" w:rsidP="00B478D0">
            <w:pPr>
              <w:jc w:val="right"/>
            </w:pPr>
            <w:r>
              <w:t>-</w:t>
            </w:r>
          </w:p>
        </w:tc>
        <w:tc>
          <w:tcPr>
            <w:tcW w:w="1780" w:type="dxa"/>
            <w:gridSpan w:val="2"/>
            <w:shd w:val="clear" w:color="auto" w:fill="auto"/>
            <w:noWrap/>
            <w:vAlign w:val="center"/>
            <w:hideMark/>
          </w:tcPr>
          <w:p w:rsidR="00A76FE8" w:rsidRDefault="00A76FE8" w:rsidP="00B478D0">
            <w:pPr>
              <w:jc w:val="right"/>
            </w:pPr>
            <w:r>
              <w:t>1,100</w:t>
            </w:r>
          </w:p>
        </w:tc>
      </w:tr>
      <w:tr w:rsidR="00A76FE8" w:rsidRPr="00286C0E" w:rsidTr="00A76FE8">
        <w:trPr>
          <w:trHeight w:val="240"/>
        </w:trPr>
        <w:tc>
          <w:tcPr>
            <w:tcW w:w="5500" w:type="dxa"/>
            <w:gridSpan w:val="2"/>
            <w:shd w:val="clear" w:color="auto" w:fill="auto"/>
            <w:noWrap/>
            <w:hideMark/>
          </w:tcPr>
          <w:p w:rsidR="00A76FE8" w:rsidRDefault="00A76FE8" w:rsidP="00AA5FFF">
            <w:pPr>
              <w:rPr>
                <w:color w:val="000000"/>
              </w:rPr>
            </w:pPr>
            <w:r>
              <w:rPr>
                <w:color w:val="000000"/>
              </w:rPr>
              <w:t>Miscellaneous Other Government Grant</w:t>
            </w:r>
          </w:p>
        </w:tc>
        <w:tc>
          <w:tcPr>
            <w:tcW w:w="340" w:type="dxa"/>
            <w:shd w:val="clear" w:color="auto" w:fill="auto"/>
            <w:noWrap/>
            <w:vAlign w:val="bottom"/>
            <w:hideMark/>
          </w:tcPr>
          <w:p w:rsidR="00A76FE8" w:rsidRPr="005934A5" w:rsidRDefault="00A76FE8" w:rsidP="00AA5FFF">
            <w:pPr>
              <w:jc w:val="right"/>
            </w:pPr>
          </w:p>
        </w:tc>
        <w:tc>
          <w:tcPr>
            <w:tcW w:w="1840" w:type="dxa"/>
            <w:shd w:val="clear" w:color="auto" w:fill="auto"/>
            <w:noWrap/>
            <w:vAlign w:val="center"/>
            <w:hideMark/>
          </w:tcPr>
          <w:p w:rsidR="00A76FE8" w:rsidRPr="005934A5" w:rsidRDefault="00A76FE8" w:rsidP="00B478D0">
            <w:pPr>
              <w:jc w:val="right"/>
            </w:pPr>
            <w:r>
              <w:t>-</w:t>
            </w:r>
          </w:p>
        </w:tc>
        <w:tc>
          <w:tcPr>
            <w:tcW w:w="1780" w:type="dxa"/>
            <w:gridSpan w:val="2"/>
            <w:shd w:val="clear" w:color="auto" w:fill="auto"/>
            <w:noWrap/>
            <w:vAlign w:val="center"/>
            <w:hideMark/>
          </w:tcPr>
          <w:p w:rsidR="00A76FE8" w:rsidRDefault="00A76FE8" w:rsidP="00B478D0">
            <w:pPr>
              <w:jc w:val="right"/>
            </w:pPr>
            <w:r>
              <w:t>918</w:t>
            </w:r>
          </w:p>
        </w:tc>
      </w:tr>
      <w:tr w:rsidR="00B478D0" w:rsidRPr="00286C0E" w:rsidTr="005934A5">
        <w:trPr>
          <w:trHeight w:val="255"/>
        </w:trPr>
        <w:tc>
          <w:tcPr>
            <w:tcW w:w="3660" w:type="dxa"/>
            <w:shd w:val="clear" w:color="auto" w:fill="auto"/>
            <w:noWrap/>
            <w:vAlign w:val="bottom"/>
            <w:hideMark/>
          </w:tcPr>
          <w:p w:rsidR="00B478D0" w:rsidRPr="00EB4420" w:rsidRDefault="00B478D0" w:rsidP="00AA5FFF">
            <w:pPr>
              <w:rPr>
                <w:bCs/>
              </w:rPr>
            </w:pPr>
            <w:r w:rsidRPr="00EB4420">
              <w:rPr>
                <w:bCs/>
              </w:rPr>
              <w:t>Other Local Authorities</w:t>
            </w:r>
          </w:p>
        </w:tc>
        <w:tc>
          <w:tcPr>
            <w:tcW w:w="1840" w:type="dxa"/>
            <w:shd w:val="clear" w:color="auto" w:fill="auto"/>
            <w:noWrap/>
            <w:hideMark/>
          </w:tcPr>
          <w:p w:rsidR="00B478D0" w:rsidRPr="005934A5" w:rsidRDefault="00B478D0" w:rsidP="00AA5FFF">
            <w:pPr>
              <w:rPr>
                <w:color w:val="000000"/>
              </w:rPr>
            </w:pPr>
          </w:p>
        </w:tc>
        <w:tc>
          <w:tcPr>
            <w:tcW w:w="340" w:type="dxa"/>
            <w:shd w:val="clear" w:color="auto" w:fill="auto"/>
            <w:noWrap/>
            <w:vAlign w:val="bottom"/>
            <w:hideMark/>
          </w:tcPr>
          <w:p w:rsidR="00B478D0" w:rsidRPr="005934A5" w:rsidRDefault="00B478D0" w:rsidP="00AA5FFF">
            <w:pPr>
              <w:jc w:val="right"/>
            </w:pPr>
          </w:p>
        </w:tc>
        <w:tc>
          <w:tcPr>
            <w:tcW w:w="1840" w:type="dxa"/>
            <w:shd w:val="clear" w:color="auto" w:fill="auto"/>
            <w:noWrap/>
            <w:vAlign w:val="center"/>
            <w:hideMark/>
          </w:tcPr>
          <w:p w:rsidR="00B478D0" w:rsidRPr="005934A5" w:rsidRDefault="004C7E84" w:rsidP="00B478D0">
            <w:pPr>
              <w:jc w:val="right"/>
            </w:pPr>
            <w:r w:rsidRPr="005934A5">
              <w:t>538</w:t>
            </w:r>
          </w:p>
        </w:tc>
        <w:tc>
          <w:tcPr>
            <w:tcW w:w="1780" w:type="dxa"/>
            <w:gridSpan w:val="2"/>
            <w:shd w:val="clear" w:color="auto" w:fill="auto"/>
            <w:noWrap/>
            <w:vAlign w:val="center"/>
            <w:hideMark/>
          </w:tcPr>
          <w:p w:rsidR="00B478D0" w:rsidRPr="005934A5" w:rsidRDefault="00B478D0" w:rsidP="00B478D0">
            <w:pPr>
              <w:jc w:val="right"/>
            </w:pPr>
            <w:r w:rsidRPr="005934A5">
              <w:t>1,091</w:t>
            </w:r>
          </w:p>
        </w:tc>
      </w:tr>
      <w:tr w:rsidR="00B478D0" w:rsidRPr="00286C0E" w:rsidTr="005934A5">
        <w:trPr>
          <w:trHeight w:val="255"/>
        </w:trPr>
        <w:tc>
          <w:tcPr>
            <w:tcW w:w="3660" w:type="dxa"/>
            <w:shd w:val="clear" w:color="auto" w:fill="auto"/>
            <w:noWrap/>
            <w:vAlign w:val="bottom"/>
            <w:hideMark/>
          </w:tcPr>
          <w:p w:rsidR="00B478D0" w:rsidRPr="00EB4420" w:rsidRDefault="00B478D0" w:rsidP="00AA5FFF">
            <w:pPr>
              <w:rPr>
                <w:bCs/>
                <w:color w:val="000000"/>
              </w:rPr>
            </w:pPr>
            <w:r w:rsidRPr="00EB4420">
              <w:rPr>
                <w:bCs/>
                <w:color w:val="000000"/>
              </w:rPr>
              <w:t>Other Public Bodies</w:t>
            </w:r>
          </w:p>
        </w:tc>
        <w:tc>
          <w:tcPr>
            <w:tcW w:w="1840" w:type="dxa"/>
            <w:shd w:val="clear" w:color="auto" w:fill="auto"/>
            <w:noWrap/>
            <w:hideMark/>
          </w:tcPr>
          <w:p w:rsidR="00B478D0" w:rsidRPr="005934A5" w:rsidRDefault="00B478D0" w:rsidP="00AA5FFF">
            <w:pPr>
              <w:rPr>
                <w:color w:val="000000"/>
              </w:rPr>
            </w:pPr>
          </w:p>
        </w:tc>
        <w:tc>
          <w:tcPr>
            <w:tcW w:w="340" w:type="dxa"/>
            <w:shd w:val="clear" w:color="auto" w:fill="auto"/>
            <w:noWrap/>
            <w:vAlign w:val="bottom"/>
            <w:hideMark/>
          </w:tcPr>
          <w:p w:rsidR="00B478D0" w:rsidRPr="005934A5" w:rsidRDefault="00B478D0" w:rsidP="00AA5FFF">
            <w:pPr>
              <w:jc w:val="right"/>
            </w:pPr>
          </w:p>
        </w:tc>
        <w:tc>
          <w:tcPr>
            <w:tcW w:w="1840" w:type="dxa"/>
            <w:shd w:val="clear" w:color="auto" w:fill="auto"/>
            <w:noWrap/>
            <w:vAlign w:val="center"/>
            <w:hideMark/>
          </w:tcPr>
          <w:p w:rsidR="00B478D0" w:rsidRPr="005934A5" w:rsidRDefault="004C7E84" w:rsidP="00B478D0">
            <w:pPr>
              <w:jc w:val="right"/>
            </w:pPr>
            <w:r w:rsidRPr="005934A5">
              <w:t>6,548</w:t>
            </w:r>
          </w:p>
        </w:tc>
        <w:tc>
          <w:tcPr>
            <w:tcW w:w="1780" w:type="dxa"/>
            <w:gridSpan w:val="2"/>
            <w:shd w:val="clear" w:color="auto" w:fill="auto"/>
            <w:noWrap/>
            <w:vAlign w:val="center"/>
            <w:hideMark/>
          </w:tcPr>
          <w:p w:rsidR="00B478D0" w:rsidRPr="005934A5" w:rsidRDefault="00623C54" w:rsidP="00B478D0">
            <w:pPr>
              <w:jc w:val="right"/>
            </w:pPr>
            <w:r>
              <w:t>3,710</w:t>
            </w:r>
          </w:p>
        </w:tc>
      </w:tr>
      <w:tr w:rsidR="00B478D0" w:rsidRPr="00286C0E" w:rsidTr="005934A5">
        <w:trPr>
          <w:trHeight w:val="255"/>
        </w:trPr>
        <w:tc>
          <w:tcPr>
            <w:tcW w:w="3660" w:type="dxa"/>
            <w:shd w:val="clear" w:color="auto" w:fill="auto"/>
            <w:noWrap/>
            <w:vAlign w:val="bottom"/>
            <w:hideMark/>
          </w:tcPr>
          <w:p w:rsidR="00B478D0" w:rsidRPr="00EB4420" w:rsidRDefault="00B478D0" w:rsidP="00AA5FFF">
            <w:pPr>
              <w:rPr>
                <w:bCs/>
                <w:color w:val="000000"/>
              </w:rPr>
            </w:pPr>
            <w:r w:rsidRPr="00EB4420">
              <w:rPr>
                <w:bCs/>
                <w:color w:val="000000"/>
              </w:rPr>
              <w:t>Private Sector</w:t>
            </w:r>
          </w:p>
        </w:tc>
        <w:tc>
          <w:tcPr>
            <w:tcW w:w="1840" w:type="dxa"/>
            <w:shd w:val="clear" w:color="auto" w:fill="auto"/>
            <w:noWrap/>
            <w:hideMark/>
          </w:tcPr>
          <w:p w:rsidR="00B478D0" w:rsidRPr="005934A5" w:rsidRDefault="00B478D0" w:rsidP="00AA5FFF">
            <w:pPr>
              <w:rPr>
                <w:color w:val="000000"/>
              </w:rPr>
            </w:pPr>
          </w:p>
        </w:tc>
        <w:tc>
          <w:tcPr>
            <w:tcW w:w="340" w:type="dxa"/>
            <w:shd w:val="clear" w:color="auto" w:fill="auto"/>
            <w:noWrap/>
            <w:vAlign w:val="bottom"/>
            <w:hideMark/>
          </w:tcPr>
          <w:p w:rsidR="00B478D0" w:rsidRPr="005934A5" w:rsidRDefault="00B478D0" w:rsidP="00AA5FFF">
            <w:pPr>
              <w:jc w:val="right"/>
            </w:pPr>
          </w:p>
        </w:tc>
        <w:tc>
          <w:tcPr>
            <w:tcW w:w="1840" w:type="dxa"/>
            <w:shd w:val="clear" w:color="auto" w:fill="auto"/>
            <w:noWrap/>
            <w:vAlign w:val="center"/>
            <w:hideMark/>
          </w:tcPr>
          <w:p w:rsidR="00B478D0" w:rsidRPr="005934A5" w:rsidRDefault="004C7E84" w:rsidP="00B478D0">
            <w:pPr>
              <w:jc w:val="right"/>
            </w:pPr>
            <w:r w:rsidRPr="005934A5">
              <w:t>9,295</w:t>
            </w:r>
          </w:p>
        </w:tc>
        <w:tc>
          <w:tcPr>
            <w:tcW w:w="1780" w:type="dxa"/>
            <w:gridSpan w:val="2"/>
            <w:shd w:val="clear" w:color="auto" w:fill="auto"/>
            <w:noWrap/>
            <w:vAlign w:val="center"/>
            <w:hideMark/>
          </w:tcPr>
          <w:p w:rsidR="00B478D0" w:rsidRPr="005934A5" w:rsidRDefault="00A76FE8" w:rsidP="00B478D0">
            <w:pPr>
              <w:jc w:val="right"/>
            </w:pPr>
            <w:r>
              <w:t>2,104</w:t>
            </w:r>
          </w:p>
        </w:tc>
      </w:tr>
      <w:tr w:rsidR="00B478D0" w:rsidRPr="00286C0E" w:rsidTr="005934A5">
        <w:trPr>
          <w:trHeight w:val="255"/>
        </w:trPr>
        <w:tc>
          <w:tcPr>
            <w:tcW w:w="3660" w:type="dxa"/>
            <w:shd w:val="clear" w:color="auto" w:fill="auto"/>
            <w:noWrap/>
            <w:hideMark/>
          </w:tcPr>
          <w:p w:rsidR="00B478D0" w:rsidRPr="00EB4420" w:rsidRDefault="00B478D0" w:rsidP="00AA5FFF">
            <w:pPr>
              <w:rPr>
                <w:color w:val="000000"/>
              </w:rPr>
            </w:pPr>
            <w:r w:rsidRPr="00EB4420">
              <w:rPr>
                <w:color w:val="000000"/>
              </w:rPr>
              <w:t>Miscellaneous - Various Other</w:t>
            </w:r>
          </w:p>
        </w:tc>
        <w:tc>
          <w:tcPr>
            <w:tcW w:w="1840" w:type="dxa"/>
            <w:shd w:val="clear" w:color="auto" w:fill="auto"/>
            <w:noWrap/>
            <w:vAlign w:val="bottom"/>
            <w:hideMark/>
          </w:tcPr>
          <w:p w:rsidR="00B478D0" w:rsidRPr="005934A5" w:rsidRDefault="00B478D0" w:rsidP="00AA5FFF">
            <w:pPr>
              <w:rPr>
                <w:color w:val="000000"/>
              </w:rPr>
            </w:pPr>
          </w:p>
        </w:tc>
        <w:tc>
          <w:tcPr>
            <w:tcW w:w="340" w:type="dxa"/>
            <w:shd w:val="clear" w:color="auto" w:fill="auto"/>
            <w:noWrap/>
            <w:vAlign w:val="bottom"/>
            <w:hideMark/>
          </w:tcPr>
          <w:p w:rsidR="00B478D0" w:rsidRPr="005934A5" w:rsidRDefault="00B478D0" w:rsidP="00AA5FFF">
            <w:pPr>
              <w:jc w:val="right"/>
            </w:pPr>
          </w:p>
        </w:tc>
        <w:tc>
          <w:tcPr>
            <w:tcW w:w="1840" w:type="dxa"/>
            <w:shd w:val="clear" w:color="auto" w:fill="auto"/>
            <w:noWrap/>
            <w:vAlign w:val="center"/>
            <w:hideMark/>
          </w:tcPr>
          <w:p w:rsidR="00B478D0" w:rsidRPr="005934A5" w:rsidRDefault="004C7E84" w:rsidP="00B478D0">
            <w:pPr>
              <w:jc w:val="right"/>
            </w:pPr>
            <w:r w:rsidRPr="005934A5">
              <w:t>501</w:t>
            </w:r>
          </w:p>
        </w:tc>
        <w:tc>
          <w:tcPr>
            <w:tcW w:w="1780" w:type="dxa"/>
            <w:gridSpan w:val="2"/>
            <w:shd w:val="clear" w:color="auto" w:fill="auto"/>
            <w:noWrap/>
            <w:vAlign w:val="center"/>
            <w:hideMark/>
          </w:tcPr>
          <w:p w:rsidR="00B478D0" w:rsidRPr="005934A5" w:rsidRDefault="00A76FE8" w:rsidP="00B478D0">
            <w:pPr>
              <w:jc w:val="right"/>
            </w:pPr>
            <w:r>
              <w:t>1,317</w:t>
            </w:r>
          </w:p>
        </w:tc>
      </w:tr>
      <w:tr w:rsidR="00A76FE8" w:rsidRPr="00286C0E" w:rsidTr="005934A5">
        <w:trPr>
          <w:trHeight w:val="255"/>
        </w:trPr>
        <w:tc>
          <w:tcPr>
            <w:tcW w:w="3660" w:type="dxa"/>
            <w:shd w:val="clear" w:color="auto" w:fill="auto"/>
            <w:noWrap/>
            <w:hideMark/>
          </w:tcPr>
          <w:p w:rsidR="00A76FE8" w:rsidRPr="00A76FE8" w:rsidRDefault="00A76FE8" w:rsidP="00AA5FFF">
            <w:pPr>
              <w:rPr>
                <w:b/>
                <w:color w:val="000000"/>
              </w:rPr>
            </w:pPr>
            <w:r>
              <w:rPr>
                <w:b/>
                <w:color w:val="000000"/>
              </w:rPr>
              <w:t>Capital – Single Capital Pot</w:t>
            </w:r>
          </w:p>
        </w:tc>
        <w:tc>
          <w:tcPr>
            <w:tcW w:w="1840" w:type="dxa"/>
            <w:shd w:val="clear" w:color="auto" w:fill="auto"/>
            <w:noWrap/>
            <w:vAlign w:val="bottom"/>
            <w:hideMark/>
          </w:tcPr>
          <w:p w:rsidR="00A76FE8" w:rsidRPr="005934A5" w:rsidRDefault="00A76FE8" w:rsidP="00AA5FFF">
            <w:pPr>
              <w:rPr>
                <w:color w:val="000000"/>
              </w:rPr>
            </w:pPr>
          </w:p>
        </w:tc>
        <w:tc>
          <w:tcPr>
            <w:tcW w:w="340" w:type="dxa"/>
            <w:shd w:val="clear" w:color="auto" w:fill="auto"/>
            <w:noWrap/>
            <w:vAlign w:val="bottom"/>
            <w:hideMark/>
          </w:tcPr>
          <w:p w:rsidR="00A76FE8" w:rsidRPr="005934A5" w:rsidRDefault="00A76FE8" w:rsidP="00AA5FFF">
            <w:pPr>
              <w:jc w:val="right"/>
            </w:pPr>
          </w:p>
        </w:tc>
        <w:tc>
          <w:tcPr>
            <w:tcW w:w="1840" w:type="dxa"/>
            <w:shd w:val="clear" w:color="auto" w:fill="auto"/>
            <w:noWrap/>
            <w:vAlign w:val="center"/>
            <w:hideMark/>
          </w:tcPr>
          <w:p w:rsidR="00A76FE8" w:rsidRPr="005934A5" w:rsidRDefault="00A76FE8" w:rsidP="00B478D0">
            <w:pPr>
              <w:jc w:val="right"/>
            </w:pPr>
          </w:p>
        </w:tc>
        <w:tc>
          <w:tcPr>
            <w:tcW w:w="1780" w:type="dxa"/>
            <w:gridSpan w:val="2"/>
            <w:shd w:val="clear" w:color="auto" w:fill="auto"/>
            <w:noWrap/>
            <w:vAlign w:val="center"/>
            <w:hideMark/>
          </w:tcPr>
          <w:p w:rsidR="00A76FE8" w:rsidRDefault="00A76FE8" w:rsidP="00B478D0">
            <w:pPr>
              <w:jc w:val="right"/>
            </w:pPr>
          </w:p>
        </w:tc>
      </w:tr>
      <w:tr w:rsidR="00A76FE8" w:rsidRPr="00286C0E" w:rsidTr="005934A5">
        <w:trPr>
          <w:trHeight w:val="255"/>
        </w:trPr>
        <w:tc>
          <w:tcPr>
            <w:tcW w:w="3660" w:type="dxa"/>
            <w:shd w:val="clear" w:color="auto" w:fill="auto"/>
            <w:noWrap/>
            <w:hideMark/>
          </w:tcPr>
          <w:p w:rsidR="00A76FE8" w:rsidRPr="00EB4420" w:rsidRDefault="00A76FE8" w:rsidP="00AA5FFF">
            <w:pPr>
              <w:rPr>
                <w:color w:val="000000"/>
              </w:rPr>
            </w:pPr>
            <w:r>
              <w:rPr>
                <w:color w:val="000000"/>
              </w:rPr>
              <w:t>Children's Schools and Families</w:t>
            </w:r>
          </w:p>
        </w:tc>
        <w:tc>
          <w:tcPr>
            <w:tcW w:w="1840" w:type="dxa"/>
            <w:shd w:val="clear" w:color="auto" w:fill="auto"/>
            <w:noWrap/>
            <w:vAlign w:val="bottom"/>
            <w:hideMark/>
          </w:tcPr>
          <w:p w:rsidR="00A76FE8" w:rsidRPr="005934A5" w:rsidRDefault="00A76FE8" w:rsidP="00AA5FFF">
            <w:pPr>
              <w:rPr>
                <w:color w:val="000000"/>
              </w:rPr>
            </w:pPr>
          </w:p>
        </w:tc>
        <w:tc>
          <w:tcPr>
            <w:tcW w:w="340" w:type="dxa"/>
            <w:shd w:val="clear" w:color="auto" w:fill="auto"/>
            <w:noWrap/>
            <w:vAlign w:val="bottom"/>
            <w:hideMark/>
          </w:tcPr>
          <w:p w:rsidR="00A76FE8" w:rsidRPr="005934A5" w:rsidRDefault="00A76FE8" w:rsidP="00AA5FFF">
            <w:pPr>
              <w:jc w:val="right"/>
            </w:pPr>
          </w:p>
        </w:tc>
        <w:tc>
          <w:tcPr>
            <w:tcW w:w="1840" w:type="dxa"/>
            <w:shd w:val="clear" w:color="auto" w:fill="auto"/>
            <w:noWrap/>
            <w:vAlign w:val="center"/>
            <w:hideMark/>
          </w:tcPr>
          <w:p w:rsidR="00A76FE8" w:rsidRPr="005934A5" w:rsidRDefault="00A76FE8" w:rsidP="00B478D0">
            <w:pPr>
              <w:jc w:val="right"/>
            </w:pPr>
            <w:r>
              <w:t>39,347</w:t>
            </w:r>
          </w:p>
        </w:tc>
        <w:tc>
          <w:tcPr>
            <w:tcW w:w="1780" w:type="dxa"/>
            <w:gridSpan w:val="2"/>
            <w:shd w:val="clear" w:color="auto" w:fill="auto"/>
            <w:noWrap/>
            <w:vAlign w:val="center"/>
            <w:hideMark/>
          </w:tcPr>
          <w:p w:rsidR="00A76FE8" w:rsidRDefault="00623C54" w:rsidP="00B478D0">
            <w:pPr>
              <w:jc w:val="right"/>
            </w:pPr>
            <w:r>
              <w:t>-</w:t>
            </w:r>
          </w:p>
        </w:tc>
      </w:tr>
      <w:tr w:rsidR="00A76FE8" w:rsidRPr="00286C0E" w:rsidTr="005934A5">
        <w:trPr>
          <w:trHeight w:val="255"/>
        </w:trPr>
        <w:tc>
          <w:tcPr>
            <w:tcW w:w="3660" w:type="dxa"/>
            <w:shd w:val="clear" w:color="auto" w:fill="auto"/>
            <w:noWrap/>
            <w:hideMark/>
          </w:tcPr>
          <w:p w:rsidR="00A76FE8" w:rsidRPr="00EB4420" w:rsidRDefault="00623C54" w:rsidP="00AA5FFF">
            <w:pPr>
              <w:rPr>
                <w:color w:val="000000"/>
              </w:rPr>
            </w:pPr>
            <w:r>
              <w:rPr>
                <w:color w:val="000000"/>
              </w:rPr>
              <w:t>Health</w:t>
            </w:r>
          </w:p>
        </w:tc>
        <w:tc>
          <w:tcPr>
            <w:tcW w:w="1840" w:type="dxa"/>
            <w:shd w:val="clear" w:color="auto" w:fill="auto"/>
            <w:noWrap/>
            <w:vAlign w:val="bottom"/>
            <w:hideMark/>
          </w:tcPr>
          <w:p w:rsidR="00A76FE8" w:rsidRPr="005934A5" w:rsidRDefault="00A76FE8" w:rsidP="00AA5FFF">
            <w:pPr>
              <w:rPr>
                <w:color w:val="000000"/>
              </w:rPr>
            </w:pPr>
          </w:p>
        </w:tc>
        <w:tc>
          <w:tcPr>
            <w:tcW w:w="340" w:type="dxa"/>
            <w:shd w:val="clear" w:color="auto" w:fill="auto"/>
            <w:noWrap/>
            <w:vAlign w:val="bottom"/>
            <w:hideMark/>
          </w:tcPr>
          <w:p w:rsidR="00A76FE8" w:rsidRPr="005934A5" w:rsidRDefault="00A76FE8" w:rsidP="00AA5FFF">
            <w:pPr>
              <w:jc w:val="right"/>
            </w:pPr>
          </w:p>
        </w:tc>
        <w:tc>
          <w:tcPr>
            <w:tcW w:w="1840" w:type="dxa"/>
            <w:shd w:val="clear" w:color="auto" w:fill="auto"/>
            <w:noWrap/>
            <w:vAlign w:val="center"/>
            <w:hideMark/>
          </w:tcPr>
          <w:p w:rsidR="00A76FE8" w:rsidRPr="005934A5" w:rsidRDefault="00623C54" w:rsidP="00B478D0">
            <w:pPr>
              <w:jc w:val="right"/>
            </w:pPr>
            <w:r>
              <w:t>2,861</w:t>
            </w:r>
          </w:p>
        </w:tc>
        <w:tc>
          <w:tcPr>
            <w:tcW w:w="1780" w:type="dxa"/>
            <w:gridSpan w:val="2"/>
            <w:shd w:val="clear" w:color="auto" w:fill="auto"/>
            <w:noWrap/>
            <w:vAlign w:val="center"/>
            <w:hideMark/>
          </w:tcPr>
          <w:p w:rsidR="00A76FE8" w:rsidRDefault="00623C54" w:rsidP="00B478D0">
            <w:pPr>
              <w:jc w:val="right"/>
            </w:pPr>
            <w:r>
              <w:t>8,245</w:t>
            </w:r>
          </w:p>
        </w:tc>
      </w:tr>
      <w:tr w:rsidR="00A76FE8" w:rsidRPr="00286C0E" w:rsidTr="005934A5">
        <w:trPr>
          <w:trHeight w:val="255"/>
        </w:trPr>
        <w:tc>
          <w:tcPr>
            <w:tcW w:w="3660" w:type="dxa"/>
            <w:shd w:val="clear" w:color="auto" w:fill="auto"/>
            <w:noWrap/>
            <w:hideMark/>
          </w:tcPr>
          <w:p w:rsidR="00A76FE8" w:rsidRPr="00EB4420" w:rsidRDefault="00623C54" w:rsidP="00AA5FFF">
            <w:pPr>
              <w:rPr>
                <w:color w:val="000000"/>
              </w:rPr>
            </w:pPr>
            <w:r>
              <w:rPr>
                <w:color w:val="000000"/>
              </w:rPr>
              <w:t>Transport</w:t>
            </w:r>
          </w:p>
        </w:tc>
        <w:tc>
          <w:tcPr>
            <w:tcW w:w="1840" w:type="dxa"/>
            <w:shd w:val="clear" w:color="auto" w:fill="auto"/>
            <w:noWrap/>
            <w:vAlign w:val="bottom"/>
            <w:hideMark/>
          </w:tcPr>
          <w:p w:rsidR="00A76FE8" w:rsidRPr="005934A5" w:rsidRDefault="00A76FE8" w:rsidP="00AA5FFF">
            <w:pPr>
              <w:rPr>
                <w:color w:val="000000"/>
              </w:rPr>
            </w:pPr>
          </w:p>
        </w:tc>
        <w:tc>
          <w:tcPr>
            <w:tcW w:w="340" w:type="dxa"/>
            <w:shd w:val="clear" w:color="auto" w:fill="auto"/>
            <w:noWrap/>
            <w:vAlign w:val="bottom"/>
            <w:hideMark/>
          </w:tcPr>
          <w:p w:rsidR="00A76FE8" w:rsidRPr="005934A5" w:rsidRDefault="00A76FE8" w:rsidP="00AA5FFF">
            <w:pPr>
              <w:jc w:val="right"/>
            </w:pPr>
          </w:p>
        </w:tc>
        <w:tc>
          <w:tcPr>
            <w:tcW w:w="1840" w:type="dxa"/>
            <w:shd w:val="clear" w:color="auto" w:fill="auto"/>
            <w:noWrap/>
            <w:vAlign w:val="center"/>
            <w:hideMark/>
          </w:tcPr>
          <w:p w:rsidR="00A76FE8" w:rsidRPr="005934A5" w:rsidRDefault="00623C54" w:rsidP="00B478D0">
            <w:pPr>
              <w:jc w:val="right"/>
            </w:pPr>
            <w:r>
              <w:t>29,564</w:t>
            </w:r>
          </w:p>
        </w:tc>
        <w:tc>
          <w:tcPr>
            <w:tcW w:w="1780" w:type="dxa"/>
            <w:gridSpan w:val="2"/>
            <w:shd w:val="clear" w:color="auto" w:fill="auto"/>
            <w:noWrap/>
            <w:vAlign w:val="center"/>
            <w:hideMark/>
          </w:tcPr>
          <w:p w:rsidR="00A76FE8" w:rsidRDefault="00623C54" w:rsidP="00B478D0">
            <w:pPr>
              <w:jc w:val="right"/>
            </w:pPr>
            <w:r>
              <w:t>4,522</w:t>
            </w:r>
          </w:p>
        </w:tc>
      </w:tr>
      <w:tr w:rsidR="00B478D0" w:rsidRPr="00286C0E" w:rsidTr="005934A5">
        <w:trPr>
          <w:trHeight w:val="255"/>
        </w:trPr>
        <w:tc>
          <w:tcPr>
            <w:tcW w:w="5500" w:type="dxa"/>
            <w:gridSpan w:val="2"/>
            <w:shd w:val="clear" w:color="auto" w:fill="auto"/>
            <w:vAlign w:val="bottom"/>
            <w:hideMark/>
          </w:tcPr>
          <w:p w:rsidR="00B478D0" w:rsidRPr="005934A5" w:rsidRDefault="00B478D0" w:rsidP="0063452E">
            <w:pPr>
              <w:rPr>
                <w:b/>
                <w:bCs/>
              </w:rPr>
            </w:pPr>
            <w:r w:rsidRPr="005934A5">
              <w:rPr>
                <w:b/>
                <w:bCs/>
              </w:rPr>
              <w:t xml:space="preserve">Total Credited to Recognised Grants and Contributions </w:t>
            </w:r>
          </w:p>
        </w:tc>
        <w:tc>
          <w:tcPr>
            <w:tcW w:w="340" w:type="dxa"/>
            <w:shd w:val="clear" w:color="auto" w:fill="auto"/>
            <w:noWrap/>
            <w:vAlign w:val="bottom"/>
            <w:hideMark/>
          </w:tcPr>
          <w:p w:rsidR="00B478D0" w:rsidRPr="005934A5" w:rsidRDefault="00B478D0" w:rsidP="00AA5FFF">
            <w:pPr>
              <w:jc w:val="right"/>
            </w:pPr>
          </w:p>
        </w:tc>
        <w:tc>
          <w:tcPr>
            <w:tcW w:w="1840" w:type="dxa"/>
            <w:shd w:val="clear" w:color="auto" w:fill="auto"/>
            <w:noWrap/>
            <w:vAlign w:val="bottom"/>
            <w:hideMark/>
          </w:tcPr>
          <w:p w:rsidR="00B478D0" w:rsidRPr="005934A5" w:rsidRDefault="004C7E84" w:rsidP="00AA5FFF">
            <w:pPr>
              <w:jc w:val="right"/>
            </w:pPr>
            <w:r w:rsidRPr="005934A5">
              <w:t>126,565</w:t>
            </w:r>
          </w:p>
        </w:tc>
        <w:tc>
          <w:tcPr>
            <w:tcW w:w="1780" w:type="dxa"/>
            <w:gridSpan w:val="2"/>
            <w:shd w:val="clear" w:color="auto" w:fill="auto"/>
            <w:noWrap/>
            <w:vAlign w:val="bottom"/>
            <w:hideMark/>
          </w:tcPr>
          <w:p w:rsidR="00B478D0" w:rsidRPr="005934A5" w:rsidRDefault="00B478D0" w:rsidP="00AA5FFF">
            <w:pPr>
              <w:jc w:val="right"/>
            </w:pPr>
            <w:r w:rsidRPr="005934A5">
              <w:t>100,173</w:t>
            </w:r>
          </w:p>
        </w:tc>
      </w:tr>
      <w:tr w:rsidR="00E7030F" w:rsidRPr="00286C0E" w:rsidTr="005934A5">
        <w:trPr>
          <w:trHeight w:val="255"/>
        </w:trPr>
        <w:tc>
          <w:tcPr>
            <w:tcW w:w="5500" w:type="dxa"/>
            <w:gridSpan w:val="2"/>
            <w:shd w:val="clear" w:color="auto" w:fill="auto"/>
            <w:noWrap/>
            <w:vAlign w:val="bottom"/>
            <w:hideMark/>
          </w:tcPr>
          <w:p w:rsidR="00E7030F" w:rsidRPr="005934A5" w:rsidRDefault="00E7030F" w:rsidP="00AA5FFF">
            <w:pPr>
              <w:rPr>
                <w:b/>
                <w:bCs/>
              </w:rPr>
            </w:pPr>
          </w:p>
        </w:tc>
        <w:tc>
          <w:tcPr>
            <w:tcW w:w="340" w:type="dxa"/>
            <w:shd w:val="clear" w:color="auto" w:fill="auto"/>
            <w:noWrap/>
            <w:vAlign w:val="bottom"/>
            <w:hideMark/>
          </w:tcPr>
          <w:p w:rsidR="00E7030F" w:rsidRPr="005934A5" w:rsidRDefault="00E7030F" w:rsidP="00AA5FFF">
            <w:pPr>
              <w:jc w:val="right"/>
            </w:pPr>
          </w:p>
        </w:tc>
        <w:tc>
          <w:tcPr>
            <w:tcW w:w="1840" w:type="dxa"/>
            <w:shd w:val="clear" w:color="auto" w:fill="auto"/>
            <w:noWrap/>
            <w:vAlign w:val="bottom"/>
            <w:hideMark/>
          </w:tcPr>
          <w:p w:rsidR="00E7030F" w:rsidRPr="005934A5" w:rsidRDefault="00E7030F" w:rsidP="00AA5FFF">
            <w:pPr>
              <w:jc w:val="right"/>
            </w:pPr>
          </w:p>
        </w:tc>
        <w:tc>
          <w:tcPr>
            <w:tcW w:w="1780" w:type="dxa"/>
            <w:gridSpan w:val="2"/>
            <w:shd w:val="clear" w:color="auto" w:fill="auto"/>
            <w:noWrap/>
            <w:vAlign w:val="bottom"/>
            <w:hideMark/>
          </w:tcPr>
          <w:p w:rsidR="00E7030F" w:rsidRPr="005934A5" w:rsidRDefault="00E7030F" w:rsidP="00AA5FFF">
            <w:pPr>
              <w:jc w:val="right"/>
            </w:pPr>
          </w:p>
        </w:tc>
      </w:tr>
      <w:tr w:rsidR="00B478D0" w:rsidRPr="00286C0E" w:rsidTr="005934A5">
        <w:trPr>
          <w:trHeight w:val="255"/>
        </w:trPr>
        <w:tc>
          <w:tcPr>
            <w:tcW w:w="5500" w:type="dxa"/>
            <w:gridSpan w:val="2"/>
            <w:shd w:val="clear" w:color="auto" w:fill="auto"/>
            <w:noWrap/>
            <w:vAlign w:val="bottom"/>
            <w:hideMark/>
          </w:tcPr>
          <w:p w:rsidR="00B478D0" w:rsidRPr="005934A5" w:rsidRDefault="00B478D0" w:rsidP="00AA5FFF">
            <w:pPr>
              <w:rPr>
                <w:b/>
                <w:bCs/>
              </w:rPr>
            </w:pPr>
            <w:r w:rsidRPr="005934A5">
              <w:rPr>
                <w:b/>
                <w:bCs/>
              </w:rPr>
              <w:t>Non Service Related Government Grants</w:t>
            </w:r>
          </w:p>
        </w:tc>
        <w:tc>
          <w:tcPr>
            <w:tcW w:w="340" w:type="dxa"/>
            <w:shd w:val="clear" w:color="auto" w:fill="auto"/>
            <w:noWrap/>
            <w:vAlign w:val="bottom"/>
            <w:hideMark/>
          </w:tcPr>
          <w:p w:rsidR="00B478D0" w:rsidRPr="005934A5" w:rsidRDefault="00B478D0" w:rsidP="00AA5FFF">
            <w:pPr>
              <w:jc w:val="right"/>
            </w:pPr>
          </w:p>
        </w:tc>
        <w:tc>
          <w:tcPr>
            <w:tcW w:w="1840" w:type="dxa"/>
            <w:shd w:val="clear" w:color="auto" w:fill="auto"/>
            <w:noWrap/>
            <w:vAlign w:val="bottom"/>
            <w:hideMark/>
          </w:tcPr>
          <w:p w:rsidR="00B478D0" w:rsidRPr="005934A5" w:rsidRDefault="00B478D0" w:rsidP="00AA5FFF">
            <w:pPr>
              <w:jc w:val="right"/>
            </w:pPr>
            <w:r w:rsidRPr="005934A5">
              <w:t> </w:t>
            </w:r>
          </w:p>
        </w:tc>
        <w:tc>
          <w:tcPr>
            <w:tcW w:w="1780" w:type="dxa"/>
            <w:gridSpan w:val="2"/>
            <w:shd w:val="clear" w:color="auto" w:fill="auto"/>
            <w:noWrap/>
            <w:vAlign w:val="bottom"/>
            <w:hideMark/>
          </w:tcPr>
          <w:p w:rsidR="00B478D0" w:rsidRPr="005934A5" w:rsidRDefault="00B478D0" w:rsidP="00AA5FFF">
            <w:pPr>
              <w:jc w:val="right"/>
            </w:pPr>
            <w:r w:rsidRPr="005934A5">
              <w:t> </w:t>
            </w:r>
          </w:p>
        </w:tc>
      </w:tr>
      <w:tr w:rsidR="00B478D0" w:rsidRPr="00286C0E" w:rsidTr="005934A5">
        <w:trPr>
          <w:trHeight w:val="255"/>
        </w:trPr>
        <w:tc>
          <w:tcPr>
            <w:tcW w:w="5500" w:type="dxa"/>
            <w:gridSpan w:val="2"/>
            <w:shd w:val="clear" w:color="auto" w:fill="auto"/>
            <w:noWrap/>
            <w:vAlign w:val="bottom"/>
            <w:hideMark/>
          </w:tcPr>
          <w:p w:rsidR="00B478D0" w:rsidRPr="009E7D84" w:rsidRDefault="00B478D0" w:rsidP="00AA5FFF">
            <w:pPr>
              <w:rPr>
                <w:bCs/>
              </w:rPr>
            </w:pPr>
            <w:r w:rsidRPr="009E7D84">
              <w:rPr>
                <w:bCs/>
              </w:rPr>
              <w:t>Communities</w:t>
            </w:r>
          </w:p>
        </w:tc>
        <w:tc>
          <w:tcPr>
            <w:tcW w:w="340" w:type="dxa"/>
            <w:shd w:val="clear" w:color="auto" w:fill="auto"/>
            <w:noWrap/>
            <w:vAlign w:val="bottom"/>
            <w:hideMark/>
          </w:tcPr>
          <w:p w:rsidR="00B478D0" w:rsidRPr="005934A5" w:rsidRDefault="00B478D0" w:rsidP="00AA5FFF">
            <w:pPr>
              <w:jc w:val="right"/>
            </w:pPr>
          </w:p>
        </w:tc>
        <w:tc>
          <w:tcPr>
            <w:tcW w:w="1840" w:type="dxa"/>
            <w:shd w:val="clear" w:color="auto" w:fill="auto"/>
            <w:noWrap/>
            <w:vAlign w:val="bottom"/>
            <w:hideMark/>
          </w:tcPr>
          <w:p w:rsidR="00B478D0" w:rsidRPr="005934A5" w:rsidRDefault="004C7E84" w:rsidP="00AA5FFF">
            <w:pPr>
              <w:jc w:val="right"/>
            </w:pPr>
            <w:r w:rsidRPr="005934A5">
              <w:t>-</w:t>
            </w:r>
          </w:p>
        </w:tc>
        <w:tc>
          <w:tcPr>
            <w:tcW w:w="1780" w:type="dxa"/>
            <w:gridSpan w:val="2"/>
            <w:shd w:val="clear" w:color="auto" w:fill="auto"/>
            <w:noWrap/>
            <w:vAlign w:val="bottom"/>
            <w:hideMark/>
          </w:tcPr>
          <w:p w:rsidR="00B478D0" w:rsidRPr="005934A5" w:rsidRDefault="00B478D0" w:rsidP="00B478D0">
            <w:pPr>
              <w:jc w:val="right"/>
            </w:pPr>
            <w:r w:rsidRPr="005934A5">
              <w:t>29,118</w:t>
            </w:r>
          </w:p>
        </w:tc>
      </w:tr>
      <w:tr w:rsidR="00B478D0" w:rsidRPr="00286C0E" w:rsidTr="005934A5">
        <w:trPr>
          <w:trHeight w:val="255"/>
        </w:trPr>
        <w:tc>
          <w:tcPr>
            <w:tcW w:w="5500" w:type="dxa"/>
            <w:gridSpan w:val="2"/>
            <w:shd w:val="clear" w:color="auto" w:fill="auto"/>
            <w:noWrap/>
            <w:vAlign w:val="bottom"/>
            <w:hideMark/>
          </w:tcPr>
          <w:p w:rsidR="00B478D0" w:rsidRPr="009E7D84" w:rsidRDefault="00B478D0" w:rsidP="00AA5FFF">
            <w:pPr>
              <w:rPr>
                <w:bCs/>
              </w:rPr>
            </w:pPr>
            <w:r w:rsidRPr="009E7D84">
              <w:rPr>
                <w:bCs/>
              </w:rPr>
              <w:t>Children's Schools and Families</w:t>
            </w:r>
            <w:r w:rsidR="00E7030F">
              <w:rPr>
                <w:bCs/>
              </w:rPr>
              <w:t xml:space="preserve"> </w:t>
            </w:r>
          </w:p>
        </w:tc>
        <w:tc>
          <w:tcPr>
            <w:tcW w:w="340" w:type="dxa"/>
            <w:shd w:val="clear" w:color="auto" w:fill="auto"/>
            <w:noWrap/>
            <w:vAlign w:val="bottom"/>
            <w:hideMark/>
          </w:tcPr>
          <w:p w:rsidR="00B478D0" w:rsidRPr="005934A5" w:rsidRDefault="00B478D0" w:rsidP="00AA5FFF">
            <w:pPr>
              <w:jc w:val="right"/>
            </w:pPr>
          </w:p>
        </w:tc>
        <w:tc>
          <w:tcPr>
            <w:tcW w:w="1840" w:type="dxa"/>
            <w:shd w:val="clear" w:color="auto" w:fill="auto"/>
            <w:noWrap/>
            <w:vAlign w:val="bottom"/>
            <w:hideMark/>
          </w:tcPr>
          <w:p w:rsidR="00B478D0" w:rsidRPr="005934A5" w:rsidRDefault="004C7E84" w:rsidP="00AA5FFF">
            <w:pPr>
              <w:jc w:val="right"/>
            </w:pPr>
            <w:r w:rsidRPr="005934A5">
              <w:t>-</w:t>
            </w:r>
          </w:p>
        </w:tc>
        <w:tc>
          <w:tcPr>
            <w:tcW w:w="1780" w:type="dxa"/>
            <w:gridSpan w:val="2"/>
            <w:shd w:val="clear" w:color="auto" w:fill="auto"/>
            <w:noWrap/>
            <w:vAlign w:val="bottom"/>
            <w:hideMark/>
          </w:tcPr>
          <w:p w:rsidR="00B478D0" w:rsidRPr="005934A5" w:rsidRDefault="00B478D0" w:rsidP="00B478D0">
            <w:pPr>
              <w:jc w:val="right"/>
            </w:pPr>
            <w:r w:rsidRPr="005934A5">
              <w:t>20,821</w:t>
            </w:r>
          </w:p>
        </w:tc>
      </w:tr>
      <w:tr w:rsidR="00B478D0" w:rsidRPr="00286C0E" w:rsidTr="005934A5">
        <w:trPr>
          <w:trHeight w:val="255"/>
        </w:trPr>
        <w:tc>
          <w:tcPr>
            <w:tcW w:w="5500" w:type="dxa"/>
            <w:gridSpan w:val="2"/>
            <w:shd w:val="clear" w:color="auto" w:fill="auto"/>
            <w:noWrap/>
            <w:vAlign w:val="bottom"/>
            <w:hideMark/>
          </w:tcPr>
          <w:p w:rsidR="00B478D0" w:rsidRPr="009E7D84" w:rsidRDefault="00B478D0" w:rsidP="00AA5FFF">
            <w:pPr>
              <w:rPr>
                <w:bCs/>
              </w:rPr>
            </w:pPr>
            <w:r w:rsidRPr="009E7D84">
              <w:rPr>
                <w:bCs/>
              </w:rPr>
              <w:t xml:space="preserve">Health </w:t>
            </w:r>
          </w:p>
        </w:tc>
        <w:tc>
          <w:tcPr>
            <w:tcW w:w="340" w:type="dxa"/>
            <w:shd w:val="clear" w:color="auto" w:fill="auto"/>
            <w:noWrap/>
            <w:vAlign w:val="bottom"/>
            <w:hideMark/>
          </w:tcPr>
          <w:p w:rsidR="00B478D0" w:rsidRPr="005934A5" w:rsidRDefault="00B478D0" w:rsidP="00AA5FFF">
            <w:pPr>
              <w:jc w:val="right"/>
            </w:pPr>
          </w:p>
        </w:tc>
        <w:tc>
          <w:tcPr>
            <w:tcW w:w="1840" w:type="dxa"/>
            <w:shd w:val="clear" w:color="auto" w:fill="auto"/>
            <w:noWrap/>
            <w:vAlign w:val="bottom"/>
            <w:hideMark/>
          </w:tcPr>
          <w:p w:rsidR="00B478D0" w:rsidRPr="005934A5" w:rsidRDefault="004C7E84" w:rsidP="00AA5FFF">
            <w:pPr>
              <w:jc w:val="right"/>
            </w:pPr>
            <w:r w:rsidRPr="005934A5">
              <w:t>-</w:t>
            </w:r>
          </w:p>
        </w:tc>
        <w:tc>
          <w:tcPr>
            <w:tcW w:w="1780" w:type="dxa"/>
            <w:gridSpan w:val="2"/>
            <w:shd w:val="clear" w:color="auto" w:fill="auto"/>
            <w:noWrap/>
            <w:vAlign w:val="bottom"/>
            <w:hideMark/>
          </w:tcPr>
          <w:p w:rsidR="00B478D0" w:rsidRPr="005934A5" w:rsidRDefault="00B478D0" w:rsidP="00B478D0">
            <w:pPr>
              <w:jc w:val="right"/>
            </w:pPr>
            <w:r w:rsidRPr="005934A5">
              <w:t>21,735</w:t>
            </w:r>
          </w:p>
        </w:tc>
      </w:tr>
      <w:tr w:rsidR="00B478D0" w:rsidRPr="00286C0E" w:rsidTr="005934A5">
        <w:trPr>
          <w:trHeight w:val="255"/>
        </w:trPr>
        <w:tc>
          <w:tcPr>
            <w:tcW w:w="5500" w:type="dxa"/>
            <w:gridSpan w:val="2"/>
            <w:shd w:val="clear" w:color="auto" w:fill="auto"/>
            <w:noWrap/>
            <w:vAlign w:val="bottom"/>
            <w:hideMark/>
          </w:tcPr>
          <w:p w:rsidR="00B478D0" w:rsidRPr="009E7D84" w:rsidRDefault="00B478D0" w:rsidP="00AA5FFF">
            <w:pPr>
              <w:rPr>
                <w:bCs/>
              </w:rPr>
            </w:pPr>
            <w:r w:rsidRPr="009E7D84">
              <w:rPr>
                <w:bCs/>
              </w:rPr>
              <w:t>Transport</w:t>
            </w:r>
          </w:p>
        </w:tc>
        <w:tc>
          <w:tcPr>
            <w:tcW w:w="340" w:type="dxa"/>
            <w:shd w:val="clear" w:color="auto" w:fill="auto"/>
            <w:noWrap/>
            <w:vAlign w:val="bottom"/>
            <w:hideMark/>
          </w:tcPr>
          <w:p w:rsidR="00B478D0" w:rsidRPr="005934A5" w:rsidRDefault="00B478D0" w:rsidP="00AA5FFF">
            <w:pPr>
              <w:jc w:val="right"/>
            </w:pPr>
          </w:p>
        </w:tc>
        <w:tc>
          <w:tcPr>
            <w:tcW w:w="1840" w:type="dxa"/>
            <w:shd w:val="clear" w:color="auto" w:fill="auto"/>
            <w:noWrap/>
            <w:vAlign w:val="bottom"/>
            <w:hideMark/>
          </w:tcPr>
          <w:p w:rsidR="00B478D0" w:rsidRPr="005934A5" w:rsidRDefault="004C7E84" w:rsidP="00FC212F">
            <w:pPr>
              <w:jc w:val="right"/>
            </w:pPr>
            <w:r w:rsidRPr="005934A5">
              <w:t>-</w:t>
            </w:r>
          </w:p>
        </w:tc>
        <w:tc>
          <w:tcPr>
            <w:tcW w:w="1780" w:type="dxa"/>
            <w:gridSpan w:val="2"/>
            <w:shd w:val="clear" w:color="auto" w:fill="auto"/>
            <w:noWrap/>
            <w:vAlign w:val="bottom"/>
            <w:hideMark/>
          </w:tcPr>
          <w:p w:rsidR="00B478D0" w:rsidRPr="005934A5" w:rsidRDefault="00B478D0" w:rsidP="00B478D0">
            <w:pPr>
              <w:jc w:val="right"/>
            </w:pPr>
            <w:r w:rsidRPr="005934A5">
              <w:t>5,332</w:t>
            </w:r>
          </w:p>
        </w:tc>
      </w:tr>
      <w:tr w:rsidR="00B478D0" w:rsidRPr="00286C0E" w:rsidTr="005934A5">
        <w:trPr>
          <w:trHeight w:val="255"/>
        </w:trPr>
        <w:tc>
          <w:tcPr>
            <w:tcW w:w="5500" w:type="dxa"/>
            <w:gridSpan w:val="2"/>
            <w:shd w:val="clear" w:color="auto" w:fill="auto"/>
            <w:noWrap/>
            <w:vAlign w:val="bottom"/>
            <w:hideMark/>
          </w:tcPr>
          <w:p w:rsidR="00B478D0" w:rsidRPr="009E7D84" w:rsidRDefault="00B478D0" w:rsidP="00AA5FFF">
            <w:pPr>
              <w:rPr>
                <w:bCs/>
              </w:rPr>
            </w:pPr>
            <w:r w:rsidRPr="009E7D84">
              <w:rPr>
                <w:bCs/>
              </w:rPr>
              <w:t>Other</w:t>
            </w:r>
          </w:p>
        </w:tc>
        <w:tc>
          <w:tcPr>
            <w:tcW w:w="340" w:type="dxa"/>
            <w:shd w:val="clear" w:color="auto" w:fill="auto"/>
            <w:noWrap/>
            <w:vAlign w:val="bottom"/>
            <w:hideMark/>
          </w:tcPr>
          <w:p w:rsidR="00B478D0" w:rsidRPr="005934A5" w:rsidRDefault="00B478D0" w:rsidP="00AA5FFF">
            <w:pPr>
              <w:jc w:val="right"/>
            </w:pPr>
          </w:p>
        </w:tc>
        <w:tc>
          <w:tcPr>
            <w:tcW w:w="1840" w:type="dxa"/>
            <w:shd w:val="clear" w:color="auto" w:fill="auto"/>
            <w:noWrap/>
            <w:vAlign w:val="bottom"/>
            <w:hideMark/>
          </w:tcPr>
          <w:p w:rsidR="00B478D0" w:rsidRPr="005934A5" w:rsidRDefault="004C7E84" w:rsidP="00AA5FFF">
            <w:pPr>
              <w:jc w:val="right"/>
            </w:pPr>
            <w:r w:rsidRPr="005934A5">
              <w:t>-</w:t>
            </w:r>
          </w:p>
        </w:tc>
        <w:tc>
          <w:tcPr>
            <w:tcW w:w="1780" w:type="dxa"/>
            <w:gridSpan w:val="2"/>
            <w:shd w:val="clear" w:color="auto" w:fill="auto"/>
            <w:noWrap/>
            <w:vAlign w:val="bottom"/>
            <w:hideMark/>
          </w:tcPr>
          <w:p w:rsidR="00B478D0" w:rsidRPr="005934A5" w:rsidRDefault="00B478D0" w:rsidP="00B478D0">
            <w:pPr>
              <w:jc w:val="right"/>
            </w:pPr>
            <w:r w:rsidRPr="005934A5">
              <w:t>1,777</w:t>
            </w:r>
          </w:p>
        </w:tc>
      </w:tr>
      <w:tr w:rsidR="00B478D0" w:rsidRPr="00286C0E" w:rsidTr="005934A5">
        <w:trPr>
          <w:trHeight w:val="255"/>
        </w:trPr>
        <w:tc>
          <w:tcPr>
            <w:tcW w:w="5500" w:type="dxa"/>
            <w:gridSpan w:val="2"/>
            <w:shd w:val="clear" w:color="auto" w:fill="auto"/>
            <w:noWrap/>
            <w:vAlign w:val="bottom"/>
            <w:hideMark/>
          </w:tcPr>
          <w:p w:rsidR="00B478D0" w:rsidRPr="005934A5" w:rsidRDefault="00B478D0" w:rsidP="00AA5FFF">
            <w:pPr>
              <w:rPr>
                <w:b/>
                <w:bCs/>
              </w:rPr>
            </w:pPr>
            <w:r w:rsidRPr="005934A5">
              <w:rPr>
                <w:b/>
                <w:bCs/>
              </w:rPr>
              <w:t>Total Non Service Related Government Grants</w:t>
            </w:r>
          </w:p>
        </w:tc>
        <w:tc>
          <w:tcPr>
            <w:tcW w:w="340" w:type="dxa"/>
            <w:shd w:val="clear" w:color="auto" w:fill="auto"/>
            <w:noWrap/>
            <w:vAlign w:val="bottom"/>
            <w:hideMark/>
          </w:tcPr>
          <w:p w:rsidR="00B478D0" w:rsidRPr="005934A5" w:rsidRDefault="00B478D0" w:rsidP="00AA5FFF">
            <w:pPr>
              <w:jc w:val="right"/>
            </w:pPr>
          </w:p>
        </w:tc>
        <w:tc>
          <w:tcPr>
            <w:tcW w:w="1840" w:type="dxa"/>
            <w:shd w:val="clear" w:color="auto" w:fill="auto"/>
            <w:noWrap/>
            <w:vAlign w:val="bottom"/>
            <w:hideMark/>
          </w:tcPr>
          <w:p w:rsidR="00B478D0" w:rsidRPr="005934A5" w:rsidRDefault="004C7E84" w:rsidP="00AA5FFF">
            <w:pPr>
              <w:jc w:val="right"/>
            </w:pPr>
            <w:r w:rsidRPr="005934A5">
              <w:t>-</w:t>
            </w:r>
          </w:p>
        </w:tc>
        <w:tc>
          <w:tcPr>
            <w:tcW w:w="1780" w:type="dxa"/>
            <w:gridSpan w:val="2"/>
            <w:shd w:val="clear" w:color="auto" w:fill="auto"/>
            <w:noWrap/>
            <w:vAlign w:val="bottom"/>
            <w:hideMark/>
          </w:tcPr>
          <w:p w:rsidR="00B478D0" w:rsidRPr="005934A5" w:rsidRDefault="00B478D0" w:rsidP="00B478D0">
            <w:pPr>
              <w:jc w:val="right"/>
            </w:pPr>
            <w:r w:rsidRPr="005934A5">
              <w:t>78,783</w:t>
            </w:r>
          </w:p>
        </w:tc>
      </w:tr>
      <w:tr w:rsidR="00B478D0" w:rsidRPr="00286C0E" w:rsidTr="005934A5">
        <w:trPr>
          <w:trHeight w:val="255"/>
        </w:trPr>
        <w:tc>
          <w:tcPr>
            <w:tcW w:w="5500" w:type="dxa"/>
            <w:gridSpan w:val="2"/>
            <w:shd w:val="clear" w:color="auto" w:fill="auto"/>
            <w:noWrap/>
            <w:vAlign w:val="bottom"/>
            <w:hideMark/>
          </w:tcPr>
          <w:p w:rsidR="00B478D0" w:rsidRPr="005934A5" w:rsidRDefault="00B478D0" w:rsidP="00AA5FFF">
            <w:pPr>
              <w:rPr>
                <w:b/>
                <w:bCs/>
              </w:rPr>
            </w:pPr>
          </w:p>
        </w:tc>
        <w:tc>
          <w:tcPr>
            <w:tcW w:w="340" w:type="dxa"/>
            <w:shd w:val="clear" w:color="auto" w:fill="auto"/>
            <w:noWrap/>
            <w:vAlign w:val="bottom"/>
            <w:hideMark/>
          </w:tcPr>
          <w:p w:rsidR="00B478D0" w:rsidRPr="005934A5" w:rsidRDefault="00B478D0" w:rsidP="00AA5FFF">
            <w:pPr>
              <w:jc w:val="right"/>
            </w:pPr>
          </w:p>
        </w:tc>
        <w:tc>
          <w:tcPr>
            <w:tcW w:w="1840" w:type="dxa"/>
            <w:shd w:val="clear" w:color="auto" w:fill="auto"/>
            <w:noWrap/>
            <w:vAlign w:val="bottom"/>
            <w:hideMark/>
          </w:tcPr>
          <w:p w:rsidR="00B478D0" w:rsidRPr="005934A5" w:rsidRDefault="00B478D0" w:rsidP="00AA5FFF">
            <w:pPr>
              <w:jc w:val="right"/>
            </w:pPr>
          </w:p>
        </w:tc>
        <w:tc>
          <w:tcPr>
            <w:tcW w:w="1780" w:type="dxa"/>
            <w:gridSpan w:val="2"/>
            <w:shd w:val="clear" w:color="auto" w:fill="auto"/>
            <w:noWrap/>
            <w:vAlign w:val="bottom"/>
            <w:hideMark/>
          </w:tcPr>
          <w:p w:rsidR="00B478D0" w:rsidRPr="005934A5" w:rsidRDefault="00B478D0" w:rsidP="00AA5FFF">
            <w:pPr>
              <w:jc w:val="right"/>
            </w:pPr>
          </w:p>
        </w:tc>
      </w:tr>
      <w:tr w:rsidR="00B478D0" w:rsidRPr="00286C0E" w:rsidTr="005934A5">
        <w:trPr>
          <w:trHeight w:val="255"/>
        </w:trPr>
        <w:tc>
          <w:tcPr>
            <w:tcW w:w="5500" w:type="dxa"/>
            <w:gridSpan w:val="2"/>
            <w:shd w:val="clear" w:color="auto" w:fill="auto"/>
            <w:noWrap/>
            <w:vAlign w:val="bottom"/>
            <w:hideMark/>
          </w:tcPr>
          <w:p w:rsidR="00B478D0" w:rsidRPr="005934A5" w:rsidRDefault="00B478D0" w:rsidP="00AA5FFF">
            <w:pPr>
              <w:rPr>
                <w:b/>
                <w:bCs/>
              </w:rPr>
            </w:pPr>
            <w:r w:rsidRPr="005934A5">
              <w:rPr>
                <w:b/>
                <w:bCs/>
              </w:rPr>
              <w:t>Credited to Services - All Services</w:t>
            </w:r>
          </w:p>
        </w:tc>
        <w:tc>
          <w:tcPr>
            <w:tcW w:w="340" w:type="dxa"/>
            <w:shd w:val="clear" w:color="auto" w:fill="auto"/>
            <w:noWrap/>
            <w:vAlign w:val="bottom"/>
            <w:hideMark/>
          </w:tcPr>
          <w:p w:rsidR="00B478D0" w:rsidRPr="005934A5" w:rsidRDefault="00B478D0" w:rsidP="00AA5FFF">
            <w:pPr>
              <w:jc w:val="right"/>
            </w:pPr>
          </w:p>
        </w:tc>
        <w:tc>
          <w:tcPr>
            <w:tcW w:w="1840" w:type="dxa"/>
            <w:shd w:val="clear" w:color="auto" w:fill="auto"/>
            <w:noWrap/>
            <w:vAlign w:val="bottom"/>
            <w:hideMark/>
          </w:tcPr>
          <w:p w:rsidR="00B478D0" w:rsidRPr="005934A5" w:rsidRDefault="00B478D0" w:rsidP="00AA5FFF">
            <w:pPr>
              <w:jc w:val="right"/>
            </w:pPr>
          </w:p>
        </w:tc>
        <w:tc>
          <w:tcPr>
            <w:tcW w:w="1780" w:type="dxa"/>
            <w:gridSpan w:val="2"/>
            <w:shd w:val="clear" w:color="auto" w:fill="auto"/>
            <w:noWrap/>
            <w:vAlign w:val="bottom"/>
            <w:hideMark/>
          </w:tcPr>
          <w:p w:rsidR="00B478D0" w:rsidRPr="005934A5" w:rsidRDefault="00B478D0" w:rsidP="00AA5FFF">
            <w:pPr>
              <w:jc w:val="right"/>
            </w:pPr>
          </w:p>
        </w:tc>
      </w:tr>
      <w:tr w:rsidR="00B478D0" w:rsidRPr="00286C0E" w:rsidTr="005934A5">
        <w:trPr>
          <w:trHeight w:val="255"/>
        </w:trPr>
        <w:tc>
          <w:tcPr>
            <w:tcW w:w="3660" w:type="dxa"/>
            <w:shd w:val="clear" w:color="auto" w:fill="auto"/>
            <w:noWrap/>
            <w:vAlign w:val="bottom"/>
            <w:hideMark/>
          </w:tcPr>
          <w:p w:rsidR="00B478D0" w:rsidRPr="005934A5" w:rsidRDefault="00B478D0" w:rsidP="00AA5FFF">
            <w:pPr>
              <w:rPr>
                <w:b/>
                <w:bCs/>
              </w:rPr>
            </w:pPr>
            <w:r w:rsidRPr="005934A5">
              <w:rPr>
                <w:b/>
                <w:bCs/>
              </w:rPr>
              <w:t>Revenue Grants</w:t>
            </w:r>
          </w:p>
        </w:tc>
        <w:tc>
          <w:tcPr>
            <w:tcW w:w="1840" w:type="dxa"/>
            <w:shd w:val="clear" w:color="auto" w:fill="auto"/>
            <w:noWrap/>
            <w:vAlign w:val="bottom"/>
            <w:hideMark/>
          </w:tcPr>
          <w:p w:rsidR="00B478D0" w:rsidRPr="005934A5" w:rsidRDefault="00B478D0" w:rsidP="00AA5FFF">
            <w:pPr>
              <w:rPr>
                <w:b/>
                <w:bCs/>
              </w:rPr>
            </w:pPr>
          </w:p>
        </w:tc>
        <w:tc>
          <w:tcPr>
            <w:tcW w:w="340" w:type="dxa"/>
            <w:shd w:val="clear" w:color="auto" w:fill="auto"/>
            <w:noWrap/>
            <w:vAlign w:val="bottom"/>
            <w:hideMark/>
          </w:tcPr>
          <w:p w:rsidR="00B478D0" w:rsidRPr="005934A5" w:rsidRDefault="00B478D0" w:rsidP="00AA5FFF">
            <w:pPr>
              <w:jc w:val="right"/>
            </w:pPr>
          </w:p>
        </w:tc>
        <w:tc>
          <w:tcPr>
            <w:tcW w:w="1840" w:type="dxa"/>
            <w:shd w:val="clear" w:color="auto" w:fill="auto"/>
            <w:noWrap/>
            <w:vAlign w:val="bottom"/>
            <w:hideMark/>
          </w:tcPr>
          <w:p w:rsidR="00B478D0" w:rsidRPr="005934A5" w:rsidRDefault="00B478D0" w:rsidP="00AA5FFF">
            <w:pPr>
              <w:jc w:val="right"/>
            </w:pPr>
            <w:r w:rsidRPr="005934A5">
              <w:t> </w:t>
            </w:r>
          </w:p>
        </w:tc>
        <w:tc>
          <w:tcPr>
            <w:tcW w:w="1780" w:type="dxa"/>
            <w:gridSpan w:val="2"/>
            <w:shd w:val="clear" w:color="auto" w:fill="auto"/>
            <w:noWrap/>
            <w:vAlign w:val="bottom"/>
            <w:hideMark/>
          </w:tcPr>
          <w:p w:rsidR="00B478D0" w:rsidRPr="005934A5" w:rsidRDefault="00B478D0" w:rsidP="00AA5FFF">
            <w:pPr>
              <w:jc w:val="right"/>
            </w:pPr>
            <w:r w:rsidRPr="005934A5">
              <w:t> </w:t>
            </w:r>
          </w:p>
        </w:tc>
      </w:tr>
      <w:tr w:rsidR="0072558C" w:rsidRPr="00286C0E" w:rsidTr="005934A5">
        <w:trPr>
          <w:trHeight w:val="255"/>
        </w:trPr>
        <w:tc>
          <w:tcPr>
            <w:tcW w:w="3660" w:type="dxa"/>
            <w:shd w:val="clear" w:color="auto" w:fill="auto"/>
            <w:noWrap/>
            <w:vAlign w:val="bottom"/>
            <w:hideMark/>
          </w:tcPr>
          <w:p w:rsidR="0072558C" w:rsidRPr="005934A5" w:rsidRDefault="00AF4F05" w:rsidP="00AA5FFF">
            <w:r w:rsidRPr="005934A5">
              <w:t>Skills Funding Agency</w:t>
            </w:r>
          </w:p>
        </w:tc>
        <w:tc>
          <w:tcPr>
            <w:tcW w:w="1840" w:type="dxa"/>
            <w:shd w:val="clear" w:color="auto" w:fill="auto"/>
            <w:noWrap/>
            <w:vAlign w:val="bottom"/>
            <w:hideMark/>
          </w:tcPr>
          <w:p w:rsidR="0072558C" w:rsidRPr="005934A5" w:rsidRDefault="0072558C" w:rsidP="00AA5FFF">
            <w:pPr>
              <w:rPr>
                <w:color w:val="000000"/>
              </w:rPr>
            </w:pPr>
          </w:p>
        </w:tc>
        <w:tc>
          <w:tcPr>
            <w:tcW w:w="340" w:type="dxa"/>
            <w:shd w:val="clear" w:color="auto" w:fill="auto"/>
            <w:noWrap/>
            <w:vAlign w:val="bottom"/>
            <w:hideMark/>
          </w:tcPr>
          <w:p w:rsidR="0072558C" w:rsidRPr="005934A5" w:rsidRDefault="0072558C" w:rsidP="00AA5FFF">
            <w:pPr>
              <w:jc w:val="right"/>
            </w:pPr>
          </w:p>
        </w:tc>
        <w:tc>
          <w:tcPr>
            <w:tcW w:w="1840" w:type="dxa"/>
            <w:shd w:val="clear" w:color="auto" w:fill="auto"/>
            <w:noWrap/>
            <w:vAlign w:val="bottom"/>
            <w:hideMark/>
          </w:tcPr>
          <w:p w:rsidR="0072558C" w:rsidRPr="005934A5" w:rsidRDefault="00AF4F05" w:rsidP="00AA5FFF">
            <w:pPr>
              <w:jc w:val="right"/>
            </w:pPr>
            <w:r w:rsidRPr="005934A5">
              <w:t>7,789</w:t>
            </w:r>
          </w:p>
        </w:tc>
        <w:tc>
          <w:tcPr>
            <w:tcW w:w="1780" w:type="dxa"/>
            <w:gridSpan w:val="2"/>
            <w:shd w:val="clear" w:color="auto" w:fill="auto"/>
            <w:noWrap/>
            <w:vAlign w:val="bottom"/>
            <w:hideMark/>
          </w:tcPr>
          <w:p w:rsidR="0072558C" w:rsidRPr="005934A5" w:rsidRDefault="00AF4F05" w:rsidP="00D94674">
            <w:pPr>
              <w:jc w:val="right"/>
            </w:pPr>
            <w:r w:rsidRPr="005934A5">
              <w:t>8,337</w:t>
            </w:r>
          </w:p>
        </w:tc>
      </w:tr>
      <w:tr w:rsidR="0072558C" w:rsidRPr="00286C0E" w:rsidTr="005934A5">
        <w:trPr>
          <w:trHeight w:val="255"/>
        </w:trPr>
        <w:tc>
          <w:tcPr>
            <w:tcW w:w="3660" w:type="dxa"/>
            <w:shd w:val="clear" w:color="auto" w:fill="auto"/>
            <w:noWrap/>
            <w:vAlign w:val="bottom"/>
            <w:hideMark/>
          </w:tcPr>
          <w:p w:rsidR="0072558C" w:rsidRPr="005934A5" w:rsidRDefault="00AF4F05" w:rsidP="00AA5FFF">
            <w:r w:rsidRPr="005934A5">
              <w:t>Department of Health</w:t>
            </w:r>
          </w:p>
        </w:tc>
        <w:tc>
          <w:tcPr>
            <w:tcW w:w="1840" w:type="dxa"/>
            <w:shd w:val="clear" w:color="auto" w:fill="auto"/>
            <w:noWrap/>
            <w:vAlign w:val="bottom"/>
            <w:hideMark/>
          </w:tcPr>
          <w:p w:rsidR="0072558C" w:rsidRPr="005934A5" w:rsidRDefault="0072558C" w:rsidP="00AA5FFF">
            <w:pPr>
              <w:rPr>
                <w:color w:val="000000"/>
              </w:rPr>
            </w:pPr>
          </w:p>
        </w:tc>
        <w:tc>
          <w:tcPr>
            <w:tcW w:w="340" w:type="dxa"/>
            <w:shd w:val="clear" w:color="auto" w:fill="auto"/>
            <w:noWrap/>
            <w:vAlign w:val="bottom"/>
            <w:hideMark/>
          </w:tcPr>
          <w:p w:rsidR="0072558C" w:rsidRPr="005934A5" w:rsidRDefault="0072558C" w:rsidP="00AA5FFF">
            <w:pPr>
              <w:jc w:val="right"/>
            </w:pPr>
          </w:p>
        </w:tc>
        <w:tc>
          <w:tcPr>
            <w:tcW w:w="1840" w:type="dxa"/>
            <w:shd w:val="clear" w:color="auto" w:fill="auto"/>
            <w:noWrap/>
            <w:vAlign w:val="bottom"/>
            <w:hideMark/>
          </w:tcPr>
          <w:p w:rsidR="0072558C" w:rsidRPr="005934A5" w:rsidRDefault="00AF4F05" w:rsidP="00AA5FFF">
            <w:pPr>
              <w:jc w:val="right"/>
            </w:pPr>
            <w:r w:rsidRPr="005934A5">
              <w:t>474</w:t>
            </w:r>
          </w:p>
        </w:tc>
        <w:tc>
          <w:tcPr>
            <w:tcW w:w="1780" w:type="dxa"/>
            <w:gridSpan w:val="2"/>
            <w:shd w:val="clear" w:color="auto" w:fill="auto"/>
            <w:noWrap/>
            <w:vAlign w:val="bottom"/>
            <w:hideMark/>
          </w:tcPr>
          <w:p w:rsidR="0072558C" w:rsidRPr="005934A5" w:rsidRDefault="00AF4F05" w:rsidP="00D94674">
            <w:pPr>
              <w:jc w:val="right"/>
            </w:pPr>
            <w:r w:rsidRPr="005934A5">
              <w:t>2,884</w:t>
            </w:r>
          </w:p>
        </w:tc>
      </w:tr>
      <w:tr w:rsidR="0072558C" w:rsidRPr="00286C0E" w:rsidTr="005934A5">
        <w:trPr>
          <w:trHeight w:val="255"/>
        </w:trPr>
        <w:tc>
          <w:tcPr>
            <w:tcW w:w="3660" w:type="dxa"/>
            <w:shd w:val="clear" w:color="auto" w:fill="auto"/>
            <w:noWrap/>
            <w:vAlign w:val="bottom"/>
            <w:hideMark/>
          </w:tcPr>
          <w:p w:rsidR="0072558C" w:rsidRPr="005934A5" w:rsidRDefault="00AF4F05" w:rsidP="00AA5FFF">
            <w:r w:rsidRPr="005934A5">
              <w:t>Department for Education</w:t>
            </w:r>
          </w:p>
        </w:tc>
        <w:tc>
          <w:tcPr>
            <w:tcW w:w="1840" w:type="dxa"/>
            <w:shd w:val="clear" w:color="auto" w:fill="auto"/>
            <w:noWrap/>
            <w:vAlign w:val="bottom"/>
            <w:hideMark/>
          </w:tcPr>
          <w:p w:rsidR="0072558C" w:rsidRPr="005934A5" w:rsidRDefault="0072558C" w:rsidP="00AA5FFF">
            <w:pPr>
              <w:rPr>
                <w:color w:val="000000"/>
              </w:rPr>
            </w:pPr>
          </w:p>
        </w:tc>
        <w:tc>
          <w:tcPr>
            <w:tcW w:w="340" w:type="dxa"/>
            <w:shd w:val="clear" w:color="auto" w:fill="auto"/>
            <w:noWrap/>
            <w:vAlign w:val="bottom"/>
            <w:hideMark/>
          </w:tcPr>
          <w:p w:rsidR="0072558C" w:rsidRPr="005934A5" w:rsidRDefault="0072558C" w:rsidP="00AA5FFF">
            <w:pPr>
              <w:jc w:val="right"/>
            </w:pPr>
          </w:p>
        </w:tc>
        <w:tc>
          <w:tcPr>
            <w:tcW w:w="1840" w:type="dxa"/>
            <w:shd w:val="clear" w:color="auto" w:fill="auto"/>
            <w:noWrap/>
            <w:vAlign w:val="bottom"/>
            <w:hideMark/>
          </w:tcPr>
          <w:p w:rsidR="0072558C" w:rsidRPr="005934A5" w:rsidRDefault="00AF4F05" w:rsidP="00AA5FFF">
            <w:pPr>
              <w:jc w:val="right"/>
            </w:pPr>
            <w:r w:rsidRPr="005934A5">
              <w:t>829,304</w:t>
            </w:r>
          </w:p>
        </w:tc>
        <w:tc>
          <w:tcPr>
            <w:tcW w:w="1780" w:type="dxa"/>
            <w:gridSpan w:val="2"/>
            <w:shd w:val="clear" w:color="auto" w:fill="auto"/>
            <w:noWrap/>
            <w:vAlign w:val="bottom"/>
            <w:hideMark/>
          </w:tcPr>
          <w:p w:rsidR="0072558C" w:rsidRPr="005934A5" w:rsidRDefault="00AF4F05" w:rsidP="00D94674">
            <w:pPr>
              <w:jc w:val="right"/>
            </w:pPr>
            <w:r w:rsidRPr="005934A5">
              <w:t>844,157</w:t>
            </w:r>
          </w:p>
        </w:tc>
      </w:tr>
      <w:tr w:rsidR="0072558C" w:rsidRPr="00286C0E" w:rsidTr="005934A5">
        <w:trPr>
          <w:trHeight w:val="255"/>
        </w:trPr>
        <w:tc>
          <w:tcPr>
            <w:tcW w:w="3660" w:type="dxa"/>
            <w:shd w:val="clear" w:color="auto" w:fill="auto"/>
            <w:noWrap/>
            <w:vAlign w:val="bottom"/>
            <w:hideMark/>
          </w:tcPr>
          <w:p w:rsidR="0072558C" w:rsidRPr="005934A5" w:rsidRDefault="00AF4F05" w:rsidP="00AA5FFF">
            <w:r w:rsidRPr="005934A5">
              <w:lastRenderedPageBreak/>
              <w:t>Department for Communities and Local Government</w:t>
            </w:r>
          </w:p>
        </w:tc>
        <w:tc>
          <w:tcPr>
            <w:tcW w:w="1840" w:type="dxa"/>
            <w:shd w:val="clear" w:color="auto" w:fill="auto"/>
            <w:noWrap/>
            <w:vAlign w:val="bottom"/>
            <w:hideMark/>
          </w:tcPr>
          <w:p w:rsidR="0072558C" w:rsidRPr="005934A5" w:rsidRDefault="0072558C" w:rsidP="00AA5FFF">
            <w:pPr>
              <w:rPr>
                <w:color w:val="000000"/>
              </w:rPr>
            </w:pPr>
          </w:p>
        </w:tc>
        <w:tc>
          <w:tcPr>
            <w:tcW w:w="340" w:type="dxa"/>
            <w:shd w:val="clear" w:color="auto" w:fill="auto"/>
            <w:noWrap/>
            <w:vAlign w:val="bottom"/>
            <w:hideMark/>
          </w:tcPr>
          <w:p w:rsidR="0072558C" w:rsidRPr="005934A5" w:rsidRDefault="0072558C" w:rsidP="00AA5FFF">
            <w:pPr>
              <w:jc w:val="right"/>
            </w:pPr>
          </w:p>
        </w:tc>
        <w:tc>
          <w:tcPr>
            <w:tcW w:w="1840" w:type="dxa"/>
            <w:shd w:val="clear" w:color="auto" w:fill="auto"/>
            <w:noWrap/>
            <w:vAlign w:val="bottom"/>
            <w:hideMark/>
          </w:tcPr>
          <w:p w:rsidR="0072558C" w:rsidRPr="005934A5" w:rsidRDefault="007B6F23" w:rsidP="00AA5FFF">
            <w:pPr>
              <w:jc w:val="right"/>
            </w:pPr>
            <w:r>
              <w:t>28,712</w:t>
            </w:r>
          </w:p>
        </w:tc>
        <w:tc>
          <w:tcPr>
            <w:tcW w:w="1780" w:type="dxa"/>
            <w:gridSpan w:val="2"/>
            <w:shd w:val="clear" w:color="auto" w:fill="auto"/>
            <w:noWrap/>
            <w:vAlign w:val="bottom"/>
            <w:hideMark/>
          </w:tcPr>
          <w:p w:rsidR="0072558C" w:rsidRPr="005934A5" w:rsidRDefault="007B6F23" w:rsidP="00D94674">
            <w:pPr>
              <w:jc w:val="right"/>
            </w:pPr>
            <w:r>
              <w:t>24,995</w:t>
            </w:r>
          </w:p>
        </w:tc>
      </w:tr>
      <w:tr w:rsidR="0072558C" w:rsidRPr="00286C0E" w:rsidTr="005934A5">
        <w:trPr>
          <w:trHeight w:val="255"/>
        </w:trPr>
        <w:tc>
          <w:tcPr>
            <w:tcW w:w="3660" w:type="dxa"/>
            <w:shd w:val="clear" w:color="auto" w:fill="auto"/>
            <w:noWrap/>
            <w:vAlign w:val="bottom"/>
            <w:hideMark/>
          </w:tcPr>
          <w:p w:rsidR="0072558C" w:rsidRPr="005934A5" w:rsidRDefault="00AF4F05" w:rsidP="00AA5FFF">
            <w:r w:rsidRPr="005934A5">
              <w:t>Education Funding Agency (DfE)</w:t>
            </w:r>
          </w:p>
        </w:tc>
        <w:tc>
          <w:tcPr>
            <w:tcW w:w="1840" w:type="dxa"/>
            <w:shd w:val="clear" w:color="auto" w:fill="auto"/>
            <w:noWrap/>
            <w:vAlign w:val="bottom"/>
            <w:hideMark/>
          </w:tcPr>
          <w:p w:rsidR="0072558C" w:rsidRPr="005934A5" w:rsidRDefault="0072558C" w:rsidP="00AA5FFF">
            <w:pPr>
              <w:rPr>
                <w:color w:val="000000"/>
              </w:rPr>
            </w:pPr>
          </w:p>
        </w:tc>
        <w:tc>
          <w:tcPr>
            <w:tcW w:w="340" w:type="dxa"/>
            <w:shd w:val="clear" w:color="auto" w:fill="auto"/>
            <w:noWrap/>
            <w:vAlign w:val="bottom"/>
            <w:hideMark/>
          </w:tcPr>
          <w:p w:rsidR="0072558C" w:rsidRPr="005934A5" w:rsidRDefault="0072558C" w:rsidP="00AA5FFF">
            <w:pPr>
              <w:jc w:val="right"/>
            </w:pPr>
          </w:p>
        </w:tc>
        <w:tc>
          <w:tcPr>
            <w:tcW w:w="1840" w:type="dxa"/>
            <w:shd w:val="clear" w:color="auto" w:fill="auto"/>
            <w:noWrap/>
            <w:vAlign w:val="bottom"/>
            <w:hideMark/>
          </w:tcPr>
          <w:p w:rsidR="0072558C" w:rsidRPr="005934A5" w:rsidRDefault="00AF4F05" w:rsidP="00AA5FFF">
            <w:pPr>
              <w:jc w:val="right"/>
            </w:pPr>
            <w:r w:rsidRPr="005934A5">
              <w:t>19,277</w:t>
            </w:r>
          </w:p>
        </w:tc>
        <w:tc>
          <w:tcPr>
            <w:tcW w:w="1780" w:type="dxa"/>
            <w:gridSpan w:val="2"/>
            <w:shd w:val="clear" w:color="auto" w:fill="auto"/>
            <w:noWrap/>
            <w:vAlign w:val="bottom"/>
            <w:hideMark/>
          </w:tcPr>
          <w:p w:rsidR="0072558C" w:rsidRPr="005934A5" w:rsidRDefault="00AF4F05" w:rsidP="00D94674">
            <w:pPr>
              <w:jc w:val="right"/>
            </w:pPr>
            <w:r w:rsidRPr="005934A5">
              <w:t>64,156</w:t>
            </w:r>
          </w:p>
        </w:tc>
      </w:tr>
      <w:tr w:rsidR="0072558C" w:rsidRPr="00286C0E" w:rsidTr="005934A5">
        <w:trPr>
          <w:trHeight w:val="255"/>
        </w:trPr>
        <w:tc>
          <w:tcPr>
            <w:tcW w:w="3660" w:type="dxa"/>
            <w:shd w:val="clear" w:color="auto" w:fill="auto"/>
            <w:noWrap/>
            <w:vAlign w:val="bottom"/>
            <w:hideMark/>
          </w:tcPr>
          <w:p w:rsidR="0072558C" w:rsidRPr="005934A5" w:rsidRDefault="00B00D27" w:rsidP="00AA5FFF">
            <w:r w:rsidRPr="005934A5">
              <w:t>Various Misc</w:t>
            </w:r>
            <w:r w:rsidR="00AF4F05" w:rsidRPr="005934A5">
              <w:t xml:space="preserve"> Grants</w:t>
            </w:r>
          </w:p>
        </w:tc>
        <w:tc>
          <w:tcPr>
            <w:tcW w:w="1840" w:type="dxa"/>
            <w:shd w:val="clear" w:color="auto" w:fill="auto"/>
            <w:noWrap/>
            <w:vAlign w:val="bottom"/>
            <w:hideMark/>
          </w:tcPr>
          <w:p w:rsidR="0072558C" w:rsidRPr="005934A5" w:rsidRDefault="0072558C" w:rsidP="00AA5FFF">
            <w:pPr>
              <w:rPr>
                <w:color w:val="000000"/>
              </w:rPr>
            </w:pPr>
          </w:p>
        </w:tc>
        <w:tc>
          <w:tcPr>
            <w:tcW w:w="340" w:type="dxa"/>
            <w:shd w:val="clear" w:color="auto" w:fill="auto"/>
            <w:noWrap/>
            <w:vAlign w:val="bottom"/>
            <w:hideMark/>
          </w:tcPr>
          <w:p w:rsidR="0072558C" w:rsidRPr="005934A5" w:rsidRDefault="0072558C" w:rsidP="00AA5FFF">
            <w:pPr>
              <w:jc w:val="right"/>
            </w:pPr>
          </w:p>
        </w:tc>
        <w:tc>
          <w:tcPr>
            <w:tcW w:w="1840" w:type="dxa"/>
            <w:shd w:val="clear" w:color="auto" w:fill="auto"/>
            <w:noWrap/>
            <w:vAlign w:val="bottom"/>
            <w:hideMark/>
          </w:tcPr>
          <w:p w:rsidR="0072558C" w:rsidRPr="005934A5" w:rsidRDefault="00AF4F05" w:rsidP="00AA5FFF">
            <w:pPr>
              <w:jc w:val="right"/>
            </w:pPr>
            <w:r w:rsidRPr="005934A5">
              <w:t>7,548</w:t>
            </w:r>
          </w:p>
        </w:tc>
        <w:tc>
          <w:tcPr>
            <w:tcW w:w="1780" w:type="dxa"/>
            <w:gridSpan w:val="2"/>
            <w:shd w:val="clear" w:color="auto" w:fill="auto"/>
            <w:noWrap/>
            <w:vAlign w:val="bottom"/>
            <w:hideMark/>
          </w:tcPr>
          <w:p w:rsidR="0072558C" w:rsidRPr="005934A5" w:rsidRDefault="00AF4F05" w:rsidP="00D94674">
            <w:pPr>
              <w:jc w:val="right"/>
            </w:pPr>
            <w:r w:rsidRPr="005934A5">
              <w:t>13,672</w:t>
            </w:r>
          </w:p>
        </w:tc>
      </w:tr>
      <w:tr w:rsidR="0072558C" w:rsidRPr="00286C0E" w:rsidTr="005934A5">
        <w:trPr>
          <w:trHeight w:val="255"/>
        </w:trPr>
        <w:tc>
          <w:tcPr>
            <w:tcW w:w="3660" w:type="dxa"/>
            <w:shd w:val="clear" w:color="auto" w:fill="auto"/>
            <w:noWrap/>
            <w:vAlign w:val="bottom"/>
            <w:hideMark/>
          </w:tcPr>
          <w:p w:rsidR="0072558C" w:rsidRPr="005934A5" w:rsidRDefault="00AF4F05" w:rsidP="00AA5FFF">
            <w:pPr>
              <w:rPr>
                <w:b/>
              </w:rPr>
            </w:pPr>
            <w:r w:rsidRPr="005934A5">
              <w:rPr>
                <w:b/>
              </w:rPr>
              <w:t>Contributions</w:t>
            </w:r>
          </w:p>
        </w:tc>
        <w:tc>
          <w:tcPr>
            <w:tcW w:w="1840" w:type="dxa"/>
            <w:shd w:val="clear" w:color="auto" w:fill="auto"/>
            <w:noWrap/>
            <w:vAlign w:val="bottom"/>
            <w:hideMark/>
          </w:tcPr>
          <w:p w:rsidR="0072558C" w:rsidRPr="005934A5" w:rsidRDefault="0072558C" w:rsidP="00AA5FFF">
            <w:pPr>
              <w:rPr>
                <w:color w:val="000000"/>
              </w:rPr>
            </w:pPr>
          </w:p>
        </w:tc>
        <w:tc>
          <w:tcPr>
            <w:tcW w:w="340" w:type="dxa"/>
            <w:shd w:val="clear" w:color="auto" w:fill="auto"/>
            <w:noWrap/>
            <w:vAlign w:val="bottom"/>
            <w:hideMark/>
          </w:tcPr>
          <w:p w:rsidR="0072558C" w:rsidRPr="005934A5" w:rsidRDefault="0072558C" w:rsidP="00AA5FFF">
            <w:pPr>
              <w:jc w:val="right"/>
            </w:pPr>
          </w:p>
        </w:tc>
        <w:tc>
          <w:tcPr>
            <w:tcW w:w="1840" w:type="dxa"/>
            <w:shd w:val="clear" w:color="auto" w:fill="auto"/>
            <w:noWrap/>
            <w:vAlign w:val="bottom"/>
            <w:hideMark/>
          </w:tcPr>
          <w:p w:rsidR="0072558C" w:rsidRPr="005934A5" w:rsidRDefault="0072558C" w:rsidP="00AA5FFF">
            <w:pPr>
              <w:jc w:val="right"/>
            </w:pPr>
          </w:p>
        </w:tc>
        <w:tc>
          <w:tcPr>
            <w:tcW w:w="1780" w:type="dxa"/>
            <w:gridSpan w:val="2"/>
            <w:shd w:val="clear" w:color="auto" w:fill="auto"/>
            <w:noWrap/>
            <w:vAlign w:val="bottom"/>
            <w:hideMark/>
          </w:tcPr>
          <w:p w:rsidR="0072558C" w:rsidRPr="005934A5" w:rsidRDefault="0072558C" w:rsidP="00D94674">
            <w:pPr>
              <w:jc w:val="right"/>
            </w:pPr>
          </w:p>
        </w:tc>
      </w:tr>
      <w:tr w:rsidR="0072558C" w:rsidRPr="00286C0E" w:rsidTr="005934A5">
        <w:trPr>
          <w:trHeight w:val="255"/>
        </w:trPr>
        <w:tc>
          <w:tcPr>
            <w:tcW w:w="3660" w:type="dxa"/>
            <w:shd w:val="clear" w:color="auto" w:fill="auto"/>
            <w:noWrap/>
            <w:vAlign w:val="bottom"/>
            <w:hideMark/>
          </w:tcPr>
          <w:p w:rsidR="0072558C" w:rsidRPr="005934A5" w:rsidRDefault="00AF4F05" w:rsidP="00AA5FFF">
            <w:r w:rsidRPr="005934A5">
              <w:t>Primary Care Trust</w:t>
            </w:r>
            <w:r w:rsidR="00222252">
              <w:t>s</w:t>
            </w:r>
          </w:p>
        </w:tc>
        <w:tc>
          <w:tcPr>
            <w:tcW w:w="1840" w:type="dxa"/>
            <w:shd w:val="clear" w:color="auto" w:fill="auto"/>
            <w:noWrap/>
            <w:vAlign w:val="bottom"/>
            <w:hideMark/>
          </w:tcPr>
          <w:p w:rsidR="0072558C" w:rsidRPr="005934A5" w:rsidRDefault="0072558C" w:rsidP="00AA5FFF">
            <w:pPr>
              <w:rPr>
                <w:color w:val="000000"/>
              </w:rPr>
            </w:pPr>
          </w:p>
        </w:tc>
        <w:tc>
          <w:tcPr>
            <w:tcW w:w="340" w:type="dxa"/>
            <w:shd w:val="clear" w:color="auto" w:fill="auto"/>
            <w:noWrap/>
            <w:vAlign w:val="bottom"/>
            <w:hideMark/>
          </w:tcPr>
          <w:p w:rsidR="0072558C" w:rsidRPr="005934A5" w:rsidRDefault="0072558C" w:rsidP="00AA5FFF">
            <w:pPr>
              <w:jc w:val="right"/>
            </w:pPr>
          </w:p>
        </w:tc>
        <w:tc>
          <w:tcPr>
            <w:tcW w:w="1840" w:type="dxa"/>
            <w:shd w:val="clear" w:color="auto" w:fill="auto"/>
            <w:noWrap/>
            <w:vAlign w:val="bottom"/>
            <w:hideMark/>
          </w:tcPr>
          <w:p w:rsidR="0072558C" w:rsidRPr="005934A5" w:rsidRDefault="00AF4F05" w:rsidP="00AA5FFF">
            <w:pPr>
              <w:jc w:val="right"/>
            </w:pPr>
            <w:r w:rsidRPr="005934A5">
              <w:t>3,342</w:t>
            </w:r>
          </w:p>
        </w:tc>
        <w:tc>
          <w:tcPr>
            <w:tcW w:w="1780" w:type="dxa"/>
            <w:gridSpan w:val="2"/>
            <w:shd w:val="clear" w:color="auto" w:fill="auto"/>
            <w:noWrap/>
            <w:vAlign w:val="bottom"/>
            <w:hideMark/>
          </w:tcPr>
          <w:p w:rsidR="0072558C" w:rsidRPr="005934A5" w:rsidRDefault="00B00D27" w:rsidP="00D94674">
            <w:pPr>
              <w:jc w:val="right"/>
            </w:pPr>
            <w:r w:rsidRPr="005934A5">
              <w:t>3,528</w:t>
            </w:r>
          </w:p>
        </w:tc>
      </w:tr>
      <w:tr w:rsidR="0072558C" w:rsidRPr="00286C0E" w:rsidTr="005934A5">
        <w:trPr>
          <w:trHeight w:val="255"/>
        </w:trPr>
        <w:tc>
          <w:tcPr>
            <w:tcW w:w="3660" w:type="dxa"/>
            <w:shd w:val="clear" w:color="auto" w:fill="auto"/>
            <w:noWrap/>
            <w:vAlign w:val="bottom"/>
            <w:hideMark/>
          </w:tcPr>
          <w:p w:rsidR="0072558C" w:rsidRPr="005934A5" w:rsidRDefault="00B00D27" w:rsidP="00AA5FFF">
            <w:r w:rsidRPr="005934A5">
              <w:t>Department of Health</w:t>
            </w:r>
          </w:p>
        </w:tc>
        <w:tc>
          <w:tcPr>
            <w:tcW w:w="1840" w:type="dxa"/>
            <w:shd w:val="clear" w:color="auto" w:fill="auto"/>
            <w:noWrap/>
            <w:vAlign w:val="bottom"/>
            <w:hideMark/>
          </w:tcPr>
          <w:p w:rsidR="0072558C" w:rsidRPr="005934A5" w:rsidRDefault="0072558C" w:rsidP="00AA5FFF">
            <w:pPr>
              <w:rPr>
                <w:color w:val="000000"/>
              </w:rPr>
            </w:pPr>
          </w:p>
        </w:tc>
        <w:tc>
          <w:tcPr>
            <w:tcW w:w="340" w:type="dxa"/>
            <w:shd w:val="clear" w:color="auto" w:fill="auto"/>
            <w:noWrap/>
            <w:vAlign w:val="bottom"/>
            <w:hideMark/>
          </w:tcPr>
          <w:p w:rsidR="0072558C" w:rsidRPr="005934A5" w:rsidRDefault="0072558C" w:rsidP="00AA5FFF">
            <w:pPr>
              <w:jc w:val="right"/>
            </w:pPr>
          </w:p>
        </w:tc>
        <w:tc>
          <w:tcPr>
            <w:tcW w:w="1840" w:type="dxa"/>
            <w:shd w:val="clear" w:color="auto" w:fill="auto"/>
            <w:noWrap/>
            <w:vAlign w:val="bottom"/>
            <w:hideMark/>
          </w:tcPr>
          <w:p w:rsidR="0072558C" w:rsidRPr="005934A5" w:rsidRDefault="00B00D27" w:rsidP="00AA5FFF">
            <w:pPr>
              <w:jc w:val="right"/>
            </w:pPr>
            <w:r w:rsidRPr="005934A5">
              <w:t>32,852</w:t>
            </w:r>
          </w:p>
        </w:tc>
        <w:tc>
          <w:tcPr>
            <w:tcW w:w="1780" w:type="dxa"/>
            <w:gridSpan w:val="2"/>
            <w:shd w:val="clear" w:color="auto" w:fill="auto"/>
            <w:noWrap/>
            <w:vAlign w:val="bottom"/>
            <w:hideMark/>
          </w:tcPr>
          <w:p w:rsidR="0072558C" w:rsidRPr="005934A5" w:rsidRDefault="00B00D27" w:rsidP="00D94674">
            <w:pPr>
              <w:jc w:val="right"/>
            </w:pPr>
            <w:r w:rsidRPr="005934A5">
              <w:t>32,852</w:t>
            </w:r>
          </w:p>
        </w:tc>
      </w:tr>
      <w:tr w:rsidR="0072558C" w:rsidRPr="00286C0E" w:rsidTr="005934A5">
        <w:trPr>
          <w:trHeight w:val="255"/>
        </w:trPr>
        <w:tc>
          <w:tcPr>
            <w:tcW w:w="3660" w:type="dxa"/>
            <w:shd w:val="clear" w:color="auto" w:fill="auto"/>
            <w:noWrap/>
            <w:vAlign w:val="bottom"/>
            <w:hideMark/>
          </w:tcPr>
          <w:p w:rsidR="0072558C" w:rsidRPr="005934A5" w:rsidRDefault="00B00D27" w:rsidP="00AA5FFF">
            <w:pPr>
              <w:rPr>
                <w:color w:val="000000"/>
              </w:rPr>
            </w:pPr>
            <w:r w:rsidRPr="005934A5">
              <w:rPr>
                <w:color w:val="000000"/>
              </w:rPr>
              <w:t>Various Misc Contributions</w:t>
            </w:r>
          </w:p>
        </w:tc>
        <w:tc>
          <w:tcPr>
            <w:tcW w:w="1840" w:type="dxa"/>
            <w:shd w:val="clear" w:color="auto" w:fill="auto"/>
            <w:noWrap/>
            <w:vAlign w:val="bottom"/>
            <w:hideMark/>
          </w:tcPr>
          <w:p w:rsidR="0072558C" w:rsidRPr="005934A5" w:rsidRDefault="0072558C" w:rsidP="00AA5FFF">
            <w:pPr>
              <w:rPr>
                <w:color w:val="000000"/>
              </w:rPr>
            </w:pPr>
          </w:p>
        </w:tc>
        <w:tc>
          <w:tcPr>
            <w:tcW w:w="340" w:type="dxa"/>
            <w:shd w:val="clear" w:color="auto" w:fill="auto"/>
            <w:noWrap/>
            <w:vAlign w:val="bottom"/>
            <w:hideMark/>
          </w:tcPr>
          <w:p w:rsidR="0072558C" w:rsidRPr="005934A5" w:rsidRDefault="0072558C" w:rsidP="00AA5FFF">
            <w:pPr>
              <w:jc w:val="right"/>
            </w:pPr>
          </w:p>
        </w:tc>
        <w:tc>
          <w:tcPr>
            <w:tcW w:w="1840" w:type="dxa"/>
            <w:shd w:val="clear" w:color="auto" w:fill="auto"/>
            <w:noWrap/>
            <w:vAlign w:val="bottom"/>
            <w:hideMark/>
          </w:tcPr>
          <w:p w:rsidR="0072558C" w:rsidRPr="005934A5" w:rsidRDefault="00B00D27" w:rsidP="00AA5FFF">
            <w:pPr>
              <w:jc w:val="right"/>
              <w:rPr>
                <w:color w:val="000000"/>
              </w:rPr>
            </w:pPr>
            <w:r w:rsidRPr="005934A5">
              <w:rPr>
                <w:color w:val="000000"/>
              </w:rPr>
              <w:t>1,165</w:t>
            </w:r>
          </w:p>
        </w:tc>
        <w:tc>
          <w:tcPr>
            <w:tcW w:w="1780" w:type="dxa"/>
            <w:gridSpan w:val="2"/>
            <w:shd w:val="clear" w:color="auto" w:fill="auto"/>
            <w:noWrap/>
            <w:vAlign w:val="bottom"/>
            <w:hideMark/>
          </w:tcPr>
          <w:p w:rsidR="0072558C" w:rsidRPr="005934A5" w:rsidRDefault="00B00D27" w:rsidP="00D94674">
            <w:pPr>
              <w:jc w:val="right"/>
              <w:rPr>
                <w:color w:val="000000"/>
              </w:rPr>
            </w:pPr>
            <w:r w:rsidRPr="005934A5">
              <w:rPr>
                <w:color w:val="000000"/>
              </w:rPr>
              <w:t>2,378</w:t>
            </w:r>
          </w:p>
        </w:tc>
      </w:tr>
      <w:tr w:rsidR="00B478D0" w:rsidRPr="00286C0E" w:rsidTr="005934A5">
        <w:trPr>
          <w:trHeight w:val="255"/>
        </w:trPr>
        <w:tc>
          <w:tcPr>
            <w:tcW w:w="5500" w:type="dxa"/>
            <w:gridSpan w:val="2"/>
            <w:shd w:val="clear" w:color="auto" w:fill="auto"/>
            <w:vAlign w:val="bottom"/>
            <w:hideMark/>
          </w:tcPr>
          <w:p w:rsidR="00B478D0" w:rsidRPr="005934A5" w:rsidRDefault="00B478D0" w:rsidP="00AA5FFF">
            <w:pPr>
              <w:rPr>
                <w:b/>
                <w:bCs/>
              </w:rPr>
            </w:pPr>
            <w:r w:rsidRPr="005934A5">
              <w:rPr>
                <w:b/>
                <w:bCs/>
              </w:rPr>
              <w:t>Total</w:t>
            </w:r>
          </w:p>
        </w:tc>
        <w:tc>
          <w:tcPr>
            <w:tcW w:w="340" w:type="dxa"/>
            <w:shd w:val="clear" w:color="auto" w:fill="auto"/>
            <w:noWrap/>
            <w:vAlign w:val="bottom"/>
            <w:hideMark/>
          </w:tcPr>
          <w:p w:rsidR="00B478D0" w:rsidRPr="005934A5" w:rsidRDefault="00B478D0" w:rsidP="00AA5FFF">
            <w:pPr>
              <w:jc w:val="right"/>
            </w:pPr>
          </w:p>
        </w:tc>
        <w:tc>
          <w:tcPr>
            <w:tcW w:w="1840" w:type="dxa"/>
            <w:shd w:val="clear" w:color="auto" w:fill="auto"/>
            <w:noWrap/>
            <w:vAlign w:val="bottom"/>
            <w:hideMark/>
          </w:tcPr>
          <w:p w:rsidR="00B478D0" w:rsidRPr="005934A5" w:rsidRDefault="00B00D27" w:rsidP="00AA5FFF">
            <w:pPr>
              <w:jc w:val="right"/>
              <w:rPr>
                <w:b/>
              </w:rPr>
            </w:pPr>
            <w:r w:rsidRPr="005934A5">
              <w:rPr>
                <w:b/>
              </w:rPr>
              <w:t>930,464</w:t>
            </w:r>
          </w:p>
        </w:tc>
        <w:tc>
          <w:tcPr>
            <w:tcW w:w="1780" w:type="dxa"/>
            <w:gridSpan w:val="2"/>
            <w:shd w:val="clear" w:color="auto" w:fill="auto"/>
            <w:noWrap/>
            <w:vAlign w:val="bottom"/>
            <w:hideMark/>
          </w:tcPr>
          <w:p w:rsidR="00B478D0" w:rsidRPr="005934A5" w:rsidRDefault="0072558C" w:rsidP="00AA5FFF">
            <w:pPr>
              <w:jc w:val="right"/>
              <w:rPr>
                <w:b/>
              </w:rPr>
            </w:pPr>
            <w:r w:rsidRPr="005934A5">
              <w:rPr>
                <w:b/>
              </w:rPr>
              <w:t>996,959</w:t>
            </w:r>
          </w:p>
        </w:tc>
      </w:tr>
      <w:tr w:rsidR="00B478D0" w:rsidRPr="00286C0E" w:rsidTr="005934A5">
        <w:trPr>
          <w:trHeight w:val="354"/>
        </w:trPr>
        <w:tc>
          <w:tcPr>
            <w:tcW w:w="3660" w:type="dxa"/>
            <w:shd w:val="clear" w:color="auto" w:fill="auto"/>
            <w:vAlign w:val="bottom"/>
            <w:hideMark/>
          </w:tcPr>
          <w:p w:rsidR="00B478D0" w:rsidRPr="005934A5" w:rsidRDefault="00B478D0" w:rsidP="00AA5FFF">
            <w:pPr>
              <w:jc w:val="right"/>
              <w:rPr>
                <w:sz w:val="20"/>
                <w:szCs w:val="20"/>
              </w:rPr>
            </w:pPr>
          </w:p>
        </w:tc>
        <w:tc>
          <w:tcPr>
            <w:tcW w:w="1840" w:type="dxa"/>
            <w:shd w:val="clear" w:color="auto" w:fill="auto"/>
            <w:vAlign w:val="bottom"/>
            <w:hideMark/>
          </w:tcPr>
          <w:p w:rsidR="00B478D0" w:rsidRPr="005934A5" w:rsidRDefault="00B478D0" w:rsidP="00AA5FFF">
            <w:pPr>
              <w:jc w:val="right"/>
              <w:rPr>
                <w:sz w:val="20"/>
                <w:szCs w:val="20"/>
              </w:rPr>
            </w:pPr>
          </w:p>
        </w:tc>
        <w:tc>
          <w:tcPr>
            <w:tcW w:w="340" w:type="dxa"/>
            <w:shd w:val="clear" w:color="auto" w:fill="auto"/>
            <w:noWrap/>
            <w:vAlign w:val="bottom"/>
            <w:hideMark/>
          </w:tcPr>
          <w:p w:rsidR="00B478D0" w:rsidRPr="005934A5" w:rsidRDefault="00B478D0" w:rsidP="00AA5FFF">
            <w:pPr>
              <w:jc w:val="right"/>
              <w:rPr>
                <w:sz w:val="20"/>
                <w:szCs w:val="20"/>
              </w:rPr>
            </w:pPr>
          </w:p>
        </w:tc>
        <w:tc>
          <w:tcPr>
            <w:tcW w:w="1840" w:type="dxa"/>
            <w:shd w:val="clear" w:color="auto" w:fill="auto"/>
            <w:noWrap/>
            <w:vAlign w:val="bottom"/>
            <w:hideMark/>
          </w:tcPr>
          <w:p w:rsidR="00B478D0" w:rsidRPr="005934A5" w:rsidRDefault="00B478D0" w:rsidP="00AA5FFF">
            <w:pPr>
              <w:jc w:val="right"/>
              <w:rPr>
                <w:sz w:val="20"/>
                <w:szCs w:val="20"/>
              </w:rPr>
            </w:pPr>
          </w:p>
        </w:tc>
        <w:tc>
          <w:tcPr>
            <w:tcW w:w="1780" w:type="dxa"/>
            <w:gridSpan w:val="2"/>
            <w:shd w:val="clear" w:color="auto" w:fill="auto"/>
            <w:noWrap/>
            <w:vAlign w:val="bottom"/>
            <w:hideMark/>
          </w:tcPr>
          <w:p w:rsidR="00B478D0" w:rsidRPr="005934A5" w:rsidRDefault="00B478D0" w:rsidP="00AA5FFF">
            <w:pPr>
              <w:jc w:val="right"/>
              <w:rPr>
                <w:sz w:val="20"/>
                <w:szCs w:val="20"/>
              </w:rPr>
            </w:pPr>
          </w:p>
        </w:tc>
      </w:tr>
      <w:tr w:rsidR="00B478D0" w:rsidRPr="00286C0E" w:rsidTr="005934A5">
        <w:trPr>
          <w:trHeight w:val="255"/>
        </w:trPr>
        <w:tc>
          <w:tcPr>
            <w:tcW w:w="3660" w:type="dxa"/>
            <w:shd w:val="clear" w:color="auto" w:fill="auto"/>
            <w:vAlign w:val="bottom"/>
            <w:hideMark/>
          </w:tcPr>
          <w:p w:rsidR="00B478D0" w:rsidRPr="005934A5" w:rsidRDefault="00B478D0" w:rsidP="00AA5FFF">
            <w:pPr>
              <w:jc w:val="right"/>
              <w:rPr>
                <w:sz w:val="20"/>
                <w:szCs w:val="20"/>
              </w:rPr>
            </w:pPr>
          </w:p>
        </w:tc>
        <w:tc>
          <w:tcPr>
            <w:tcW w:w="1840" w:type="dxa"/>
            <w:shd w:val="clear" w:color="auto" w:fill="auto"/>
            <w:vAlign w:val="bottom"/>
            <w:hideMark/>
          </w:tcPr>
          <w:p w:rsidR="00B478D0" w:rsidRPr="005934A5" w:rsidRDefault="00B478D0" w:rsidP="00AA5FFF">
            <w:pPr>
              <w:jc w:val="right"/>
              <w:rPr>
                <w:sz w:val="20"/>
                <w:szCs w:val="20"/>
              </w:rPr>
            </w:pPr>
          </w:p>
        </w:tc>
        <w:tc>
          <w:tcPr>
            <w:tcW w:w="340" w:type="dxa"/>
            <w:shd w:val="clear" w:color="auto" w:fill="auto"/>
            <w:noWrap/>
            <w:vAlign w:val="bottom"/>
            <w:hideMark/>
          </w:tcPr>
          <w:p w:rsidR="00B478D0" w:rsidRPr="005934A5" w:rsidRDefault="00B478D0" w:rsidP="00AA5FFF">
            <w:pPr>
              <w:jc w:val="right"/>
              <w:rPr>
                <w:sz w:val="20"/>
                <w:szCs w:val="20"/>
              </w:rPr>
            </w:pPr>
          </w:p>
        </w:tc>
        <w:tc>
          <w:tcPr>
            <w:tcW w:w="1840" w:type="dxa"/>
            <w:shd w:val="clear" w:color="auto" w:fill="auto"/>
            <w:noWrap/>
            <w:vAlign w:val="bottom"/>
            <w:hideMark/>
          </w:tcPr>
          <w:p w:rsidR="00B478D0" w:rsidRPr="005934A5" w:rsidRDefault="00B478D0" w:rsidP="00AA5FFF">
            <w:pPr>
              <w:jc w:val="right"/>
              <w:rPr>
                <w:sz w:val="20"/>
                <w:szCs w:val="20"/>
              </w:rPr>
            </w:pPr>
          </w:p>
        </w:tc>
        <w:tc>
          <w:tcPr>
            <w:tcW w:w="1780" w:type="dxa"/>
            <w:gridSpan w:val="2"/>
            <w:shd w:val="clear" w:color="auto" w:fill="auto"/>
            <w:noWrap/>
            <w:vAlign w:val="bottom"/>
            <w:hideMark/>
          </w:tcPr>
          <w:p w:rsidR="00B478D0" w:rsidRPr="005934A5" w:rsidRDefault="00B478D0" w:rsidP="00AA5FFF">
            <w:pPr>
              <w:jc w:val="right"/>
              <w:rPr>
                <w:sz w:val="20"/>
                <w:szCs w:val="20"/>
              </w:rPr>
            </w:pPr>
          </w:p>
        </w:tc>
      </w:tr>
      <w:tr w:rsidR="00B478D0" w:rsidRPr="00286C0E" w:rsidTr="005934A5">
        <w:trPr>
          <w:trHeight w:val="1005"/>
        </w:trPr>
        <w:tc>
          <w:tcPr>
            <w:tcW w:w="9224" w:type="dxa"/>
            <w:gridSpan w:val="5"/>
            <w:shd w:val="clear" w:color="auto" w:fill="auto"/>
            <w:vAlign w:val="bottom"/>
            <w:hideMark/>
          </w:tcPr>
          <w:p w:rsidR="00B478D0" w:rsidRPr="005934A5" w:rsidRDefault="00B478D0" w:rsidP="00BC6A99">
            <w:pPr>
              <w:jc w:val="both"/>
            </w:pPr>
            <w:r w:rsidRPr="005934A5">
              <w:t>The Authority has received a number of grants, contributions and donations that have yet to be recognised as income as they have conditions attached to them that will require the monies or property to be returned to the giver. The balances at year end are as follows;</w:t>
            </w:r>
          </w:p>
        </w:tc>
        <w:tc>
          <w:tcPr>
            <w:tcW w:w="236" w:type="dxa"/>
            <w:shd w:val="clear" w:color="auto" w:fill="auto"/>
            <w:vAlign w:val="bottom"/>
            <w:hideMark/>
          </w:tcPr>
          <w:p w:rsidR="00B478D0" w:rsidRPr="005934A5" w:rsidRDefault="00B478D0" w:rsidP="00AA5FFF">
            <w:pPr>
              <w:jc w:val="right"/>
              <w:rPr>
                <w:sz w:val="20"/>
                <w:szCs w:val="20"/>
              </w:rPr>
            </w:pPr>
          </w:p>
        </w:tc>
      </w:tr>
      <w:tr w:rsidR="00B478D0" w:rsidRPr="00286C0E" w:rsidTr="005934A5">
        <w:trPr>
          <w:trHeight w:val="255"/>
        </w:trPr>
        <w:tc>
          <w:tcPr>
            <w:tcW w:w="3660" w:type="dxa"/>
            <w:shd w:val="clear" w:color="auto" w:fill="auto"/>
            <w:vAlign w:val="bottom"/>
            <w:hideMark/>
          </w:tcPr>
          <w:p w:rsidR="00B478D0" w:rsidRPr="005934A5" w:rsidRDefault="00B478D0" w:rsidP="00AA5FFF">
            <w:pPr>
              <w:jc w:val="right"/>
              <w:rPr>
                <w:sz w:val="20"/>
                <w:szCs w:val="20"/>
              </w:rPr>
            </w:pPr>
          </w:p>
        </w:tc>
        <w:tc>
          <w:tcPr>
            <w:tcW w:w="1840" w:type="dxa"/>
            <w:shd w:val="clear" w:color="auto" w:fill="auto"/>
            <w:vAlign w:val="bottom"/>
            <w:hideMark/>
          </w:tcPr>
          <w:p w:rsidR="00B478D0" w:rsidRPr="005934A5" w:rsidRDefault="00B478D0" w:rsidP="00AA5FFF">
            <w:pPr>
              <w:jc w:val="right"/>
              <w:rPr>
                <w:sz w:val="20"/>
                <w:szCs w:val="20"/>
              </w:rPr>
            </w:pPr>
          </w:p>
        </w:tc>
        <w:tc>
          <w:tcPr>
            <w:tcW w:w="340" w:type="dxa"/>
            <w:shd w:val="clear" w:color="auto" w:fill="auto"/>
            <w:vAlign w:val="bottom"/>
            <w:hideMark/>
          </w:tcPr>
          <w:p w:rsidR="00B478D0" w:rsidRPr="005934A5" w:rsidRDefault="00B478D0" w:rsidP="00AA5FFF">
            <w:pPr>
              <w:jc w:val="right"/>
              <w:rPr>
                <w:sz w:val="20"/>
                <w:szCs w:val="20"/>
              </w:rPr>
            </w:pPr>
          </w:p>
        </w:tc>
        <w:tc>
          <w:tcPr>
            <w:tcW w:w="1840" w:type="dxa"/>
            <w:shd w:val="clear" w:color="auto" w:fill="auto"/>
            <w:vAlign w:val="bottom"/>
            <w:hideMark/>
          </w:tcPr>
          <w:p w:rsidR="00B478D0" w:rsidRPr="005934A5" w:rsidRDefault="00B478D0" w:rsidP="00AA5FFF">
            <w:pPr>
              <w:jc w:val="right"/>
              <w:rPr>
                <w:sz w:val="20"/>
                <w:szCs w:val="20"/>
              </w:rPr>
            </w:pPr>
          </w:p>
        </w:tc>
        <w:tc>
          <w:tcPr>
            <w:tcW w:w="1780" w:type="dxa"/>
            <w:gridSpan w:val="2"/>
            <w:shd w:val="clear" w:color="auto" w:fill="auto"/>
            <w:vAlign w:val="bottom"/>
            <w:hideMark/>
          </w:tcPr>
          <w:p w:rsidR="00B478D0" w:rsidRPr="005934A5" w:rsidRDefault="00B478D0" w:rsidP="00AA5FFF">
            <w:pPr>
              <w:jc w:val="right"/>
              <w:rPr>
                <w:sz w:val="20"/>
                <w:szCs w:val="20"/>
              </w:rPr>
            </w:pPr>
          </w:p>
        </w:tc>
      </w:tr>
      <w:tr w:rsidR="00B478D0" w:rsidRPr="003F1DC7" w:rsidTr="005934A5">
        <w:trPr>
          <w:trHeight w:val="255"/>
        </w:trPr>
        <w:tc>
          <w:tcPr>
            <w:tcW w:w="3660" w:type="dxa"/>
            <w:shd w:val="clear" w:color="auto" w:fill="auto"/>
            <w:vAlign w:val="bottom"/>
            <w:hideMark/>
          </w:tcPr>
          <w:p w:rsidR="00B478D0" w:rsidRPr="005934A5" w:rsidRDefault="00B478D0" w:rsidP="00AA5FFF">
            <w:pPr>
              <w:jc w:val="right"/>
            </w:pPr>
          </w:p>
        </w:tc>
        <w:tc>
          <w:tcPr>
            <w:tcW w:w="1840" w:type="dxa"/>
            <w:shd w:val="clear" w:color="auto" w:fill="auto"/>
            <w:vAlign w:val="bottom"/>
            <w:hideMark/>
          </w:tcPr>
          <w:p w:rsidR="00B478D0" w:rsidRPr="005934A5" w:rsidRDefault="00B478D0" w:rsidP="00AA5FFF">
            <w:pPr>
              <w:jc w:val="right"/>
            </w:pPr>
          </w:p>
        </w:tc>
        <w:tc>
          <w:tcPr>
            <w:tcW w:w="340" w:type="dxa"/>
            <w:shd w:val="clear" w:color="auto" w:fill="auto"/>
            <w:vAlign w:val="bottom"/>
            <w:hideMark/>
          </w:tcPr>
          <w:p w:rsidR="00B478D0" w:rsidRPr="005934A5" w:rsidRDefault="00B478D0" w:rsidP="00AA5FFF">
            <w:pPr>
              <w:jc w:val="right"/>
            </w:pPr>
          </w:p>
        </w:tc>
        <w:tc>
          <w:tcPr>
            <w:tcW w:w="1840" w:type="dxa"/>
            <w:shd w:val="clear" w:color="auto" w:fill="auto"/>
            <w:vAlign w:val="bottom"/>
            <w:hideMark/>
          </w:tcPr>
          <w:p w:rsidR="00B478D0" w:rsidRPr="005934A5" w:rsidRDefault="0072558C" w:rsidP="0072558C">
            <w:pPr>
              <w:jc w:val="right"/>
              <w:rPr>
                <w:b/>
                <w:bCs/>
              </w:rPr>
            </w:pPr>
            <w:r w:rsidRPr="005934A5">
              <w:rPr>
                <w:b/>
                <w:bCs/>
              </w:rPr>
              <w:t>2011</w:t>
            </w:r>
            <w:r w:rsidR="00B478D0" w:rsidRPr="005934A5">
              <w:rPr>
                <w:b/>
                <w:bCs/>
              </w:rPr>
              <w:t>/1</w:t>
            </w:r>
            <w:r w:rsidRPr="005934A5">
              <w:rPr>
                <w:b/>
                <w:bCs/>
              </w:rPr>
              <w:t>2</w:t>
            </w:r>
          </w:p>
        </w:tc>
        <w:tc>
          <w:tcPr>
            <w:tcW w:w="1780" w:type="dxa"/>
            <w:gridSpan w:val="2"/>
            <w:shd w:val="clear" w:color="auto" w:fill="auto"/>
            <w:vAlign w:val="bottom"/>
            <w:hideMark/>
          </w:tcPr>
          <w:p w:rsidR="00B478D0" w:rsidRPr="005934A5" w:rsidRDefault="003F1DC7" w:rsidP="00AA5FFF">
            <w:pPr>
              <w:jc w:val="right"/>
              <w:rPr>
                <w:b/>
              </w:rPr>
            </w:pPr>
            <w:r w:rsidRPr="005934A5">
              <w:rPr>
                <w:b/>
              </w:rPr>
              <w:t>2010/11</w:t>
            </w:r>
          </w:p>
        </w:tc>
      </w:tr>
      <w:tr w:rsidR="00B478D0" w:rsidRPr="003F1DC7" w:rsidTr="005934A5">
        <w:trPr>
          <w:trHeight w:val="255"/>
        </w:trPr>
        <w:tc>
          <w:tcPr>
            <w:tcW w:w="3660" w:type="dxa"/>
            <w:shd w:val="clear" w:color="auto" w:fill="auto"/>
            <w:vAlign w:val="bottom"/>
            <w:hideMark/>
          </w:tcPr>
          <w:p w:rsidR="00B478D0" w:rsidRPr="005934A5" w:rsidRDefault="00B478D0" w:rsidP="00AA5FFF">
            <w:pPr>
              <w:jc w:val="right"/>
            </w:pPr>
          </w:p>
        </w:tc>
        <w:tc>
          <w:tcPr>
            <w:tcW w:w="1840" w:type="dxa"/>
            <w:shd w:val="clear" w:color="auto" w:fill="auto"/>
            <w:vAlign w:val="bottom"/>
            <w:hideMark/>
          </w:tcPr>
          <w:p w:rsidR="00B478D0" w:rsidRPr="005934A5" w:rsidRDefault="00B478D0" w:rsidP="00AA5FFF">
            <w:pPr>
              <w:jc w:val="right"/>
            </w:pPr>
          </w:p>
        </w:tc>
        <w:tc>
          <w:tcPr>
            <w:tcW w:w="340" w:type="dxa"/>
            <w:shd w:val="clear" w:color="auto" w:fill="auto"/>
            <w:noWrap/>
            <w:vAlign w:val="bottom"/>
            <w:hideMark/>
          </w:tcPr>
          <w:p w:rsidR="00B478D0" w:rsidRPr="005934A5" w:rsidRDefault="00B478D0" w:rsidP="00AA5FFF">
            <w:pPr>
              <w:jc w:val="right"/>
            </w:pPr>
          </w:p>
        </w:tc>
        <w:tc>
          <w:tcPr>
            <w:tcW w:w="1840" w:type="dxa"/>
            <w:shd w:val="clear" w:color="auto" w:fill="auto"/>
            <w:noWrap/>
            <w:vAlign w:val="center"/>
            <w:hideMark/>
          </w:tcPr>
          <w:p w:rsidR="00B478D0" w:rsidRPr="005934A5" w:rsidRDefault="00B478D0" w:rsidP="00AA5FFF">
            <w:pPr>
              <w:jc w:val="right"/>
              <w:rPr>
                <w:b/>
                <w:bCs/>
              </w:rPr>
            </w:pPr>
            <w:r w:rsidRPr="005934A5">
              <w:rPr>
                <w:b/>
                <w:bCs/>
              </w:rPr>
              <w:t>£000</w:t>
            </w:r>
          </w:p>
        </w:tc>
        <w:tc>
          <w:tcPr>
            <w:tcW w:w="1780" w:type="dxa"/>
            <w:gridSpan w:val="2"/>
            <w:shd w:val="clear" w:color="auto" w:fill="auto"/>
            <w:noWrap/>
            <w:vAlign w:val="bottom"/>
            <w:hideMark/>
          </w:tcPr>
          <w:p w:rsidR="00B478D0" w:rsidRPr="005934A5" w:rsidRDefault="003F1DC7" w:rsidP="00AA5FFF">
            <w:pPr>
              <w:jc w:val="right"/>
              <w:rPr>
                <w:b/>
              </w:rPr>
            </w:pPr>
            <w:r w:rsidRPr="005934A5">
              <w:rPr>
                <w:b/>
              </w:rPr>
              <w:t>£000</w:t>
            </w:r>
          </w:p>
        </w:tc>
      </w:tr>
      <w:tr w:rsidR="00B478D0" w:rsidRPr="00286C0E" w:rsidTr="005934A5">
        <w:trPr>
          <w:trHeight w:val="255"/>
        </w:trPr>
        <w:tc>
          <w:tcPr>
            <w:tcW w:w="3660" w:type="dxa"/>
            <w:shd w:val="clear" w:color="auto" w:fill="auto"/>
            <w:noWrap/>
            <w:vAlign w:val="bottom"/>
            <w:hideMark/>
          </w:tcPr>
          <w:p w:rsidR="00B478D0" w:rsidRPr="005934A5" w:rsidRDefault="00B478D0" w:rsidP="00AA5FFF">
            <w:pPr>
              <w:rPr>
                <w:b/>
                <w:bCs/>
              </w:rPr>
            </w:pPr>
            <w:r w:rsidRPr="005934A5">
              <w:rPr>
                <w:b/>
                <w:bCs/>
              </w:rPr>
              <w:t>Capital Grant Receipts in Advance</w:t>
            </w:r>
          </w:p>
        </w:tc>
        <w:tc>
          <w:tcPr>
            <w:tcW w:w="1840" w:type="dxa"/>
            <w:shd w:val="clear" w:color="auto" w:fill="auto"/>
            <w:noWrap/>
            <w:vAlign w:val="bottom"/>
            <w:hideMark/>
          </w:tcPr>
          <w:p w:rsidR="00B478D0" w:rsidRPr="005934A5" w:rsidRDefault="00B478D0" w:rsidP="00AA5FFF">
            <w:pPr>
              <w:jc w:val="right"/>
            </w:pPr>
          </w:p>
        </w:tc>
        <w:tc>
          <w:tcPr>
            <w:tcW w:w="340" w:type="dxa"/>
            <w:shd w:val="clear" w:color="auto" w:fill="auto"/>
            <w:noWrap/>
            <w:vAlign w:val="bottom"/>
            <w:hideMark/>
          </w:tcPr>
          <w:p w:rsidR="00B478D0" w:rsidRPr="005934A5" w:rsidRDefault="00B478D0" w:rsidP="00AA5FFF">
            <w:pPr>
              <w:jc w:val="right"/>
              <w:rPr>
                <w:color w:val="D8D8D8"/>
              </w:rPr>
            </w:pPr>
          </w:p>
        </w:tc>
        <w:tc>
          <w:tcPr>
            <w:tcW w:w="1840" w:type="dxa"/>
            <w:shd w:val="clear" w:color="auto" w:fill="auto"/>
            <w:noWrap/>
            <w:vAlign w:val="bottom"/>
            <w:hideMark/>
          </w:tcPr>
          <w:p w:rsidR="00B478D0" w:rsidRPr="005934A5" w:rsidRDefault="003F1DC7" w:rsidP="00AA5FFF">
            <w:pPr>
              <w:jc w:val="right"/>
            </w:pPr>
            <w:r w:rsidRPr="005934A5">
              <w:t>-</w:t>
            </w:r>
          </w:p>
        </w:tc>
        <w:tc>
          <w:tcPr>
            <w:tcW w:w="1780" w:type="dxa"/>
            <w:gridSpan w:val="2"/>
            <w:shd w:val="clear" w:color="auto" w:fill="auto"/>
            <w:noWrap/>
            <w:vAlign w:val="bottom"/>
            <w:hideMark/>
          </w:tcPr>
          <w:p w:rsidR="00B478D0" w:rsidRPr="005934A5" w:rsidRDefault="003F1DC7" w:rsidP="003F1DC7">
            <w:pPr>
              <w:jc w:val="right"/>
              <w:rPr>
                <w:color w:val="0D0D0D" w:themeColor="text1" w:themeTint="F2"/>
              </w:rPr>
            </w:pPr>
            <w:r w:rsidRPr="005934A5">
              <w:rPr>
                <w:color w:val="0D0D0D" w:themeColor="text1" w:themeTint="F2"/>
              </w:rPr>
              <w:t>174</w:t>
            </w:r>
          </w:p>
        </w:tc>
      </w:tr>
      <w:tr w:rsidR="00B478D0" w:rsidRPr="00286C0E" w:rsidTr="005934A5">
        <w:trPr>
          <w:trHeight w:val="255"/>
        </w:trPr>
        <w:tc>
          <w:tcPr>
            <w:tcW w:w="3660" w:type="dxa"/>
            <w:shd w:val="clear" w:color="auto" w:fill="auto"/>
            <w:noWrap/>
            <w:vAlign w:val="bottom"/>
            <w:hideMark/>
          </w:tcPr>
          <w:p w:rsidR="00B478D0" w:rsidRPr="005934A5" w:rsidRDefault="00B478D0" w:rsidP="00AA5FFF">
            <w:pPr>
              <w:rPr>
                <w:b/>
                <w:bCs/>
              </w:rPr>
            </w:pPr>
            <w:r w:rsidRPr="005934A5">
              <w:rPr>
                <w:b/>
                <w:bCs/>
              </w:rPr>
              <w:t>Revenue Grants and Contributions</w:t>
            </w:r>
          </w:p>
        </w:tc>
        <w:tc>
          <w:tcPr>
            <w:tcW w:w="1840" w:type="dxa"/>
            <w:shd w:val="clear" w:color="auto" w:fill="auto"/>
            <w:vAlign w:val="bottom"/>
            <w:hideMark/>
          </w:tcPr>
          <w:p w:rsidR="00B478D0" w:rsidRPr="005934A5" w:rsidRDefault="00B478D0" w:rsidP="00AA5FFF">
            <w:pPr>
              <w:jc w:val="right"/>
            </w:pPr>
          </w:p>
        </w:tc>
        <w:tc>
          <w:tcPr>
            <w:tcW w:w="340" w:type="dxa"/>
            <w:shd w:val="clear" w:color="auto" w:fill="auto"/>
            <w:noWrap/>
            <w:vAlign w:val="bottom"/>
            <w:hideMark/>
          </w:tcPr>
          <w:p w:rsidR="00B478D0" w:rsidRPr="005934A5" w:rsidRDefault="00B478D0" w:rsidP="00AA5FFF">
            <w:pPr>
              <w:jc w:val="right"/>
              <w:rPr>
                <w:color w:val="D8D8D8"/>
              </w:rPr>
            </w:pPr>
          </w:p>
        </w:tc>
        <w:tc>
          <w:tcPr>
            <w:tcW w:w="1840" w:type="dxa"/>
            <w:shd w:val="clear" w:color="auto" w:fill="auto"/>
            <w:noWrap/>
            <w:vAlign w:val="bottom"/>
            <w:hideMark/>
          </w:tcPr>
          <w:p w:rsidR="00B478D0" w:rsidRPr="005934A5" w:rsidRDefault="00B478D0" w:rsidP="00AA5FFF">
            <w:pPr>
              <w:jc w:val="right"/>
              <w:rPr>
                <w:color w:val="D8D8D8"/>
              </w:rPr>
            </w:pPr>
          </w:p>
        </w:tc>
        <w:tc>
          <w:tcPr>
            <w:tcW w:w="1780" w:type="dxa"/>
            <w:gridSpan w:val="2"/>
            <w:shd w:val="clear" w:color="auto" w:fill="auto"/>
            <w:noWrap/>
            <w:vAlign w:val="bottom"/>
            <w:hideMark/>
          </w:tcPr>
          <w:p w:rsidR="00B478D0" w:rsidRPr="005934A5" w:rsidRDefault="00B478D0" w:rsidP="00AA5FFF">
            <w:pPr>
              <w:jc w:val="right"/>
              <w:rPr>
                <w:color w:val="D8D8D8"/>
                <w:sz w:val="20"/>
                <w:szCs w:val="20"/>
              </w:rPr>
            </w:pPr>
          </w:p>
        </w:tc>
      </w:tr>
      <w:tr w:rsidR="00B478D0" w:rsidRPr="00286C0E" w:rsidTr="005934A5">
        <w:trPr>
          <w:trHeight w:val="255"/>
        </w:trPr>
        <w:tc>
          <w:tcPr>
            <w:tcW w:w="3660" w:type="dxa"/>
            <w:shd w:val="clear" w:color="auto" w:fill="auto"/>
            <w:noWrap/>
            <w:vAlign w:val="bottom"/>
            <w:hideMark/>
          </w:tcPr>
          <w:p w:rsidR="00B478D0" w:rsidRPr="005934A5" w:rsidRDefault="003F1DC7" w:rsidP="00AA5FFF">
            <w:r w:rsidRPr="005934A5">
              <w:t>Department of Health</w:t>
            </w:r>
          </w:p>
        </w:tc>
        <w:tc>
          <w:tcPr>
            <w:tcW w:w="1840" w:type="dxa"/>
            <w:shd w:val="clear" w:color="auto" w:fill="auto"/>
            <w:vAlign w:val="bottom"/>
            <w:hideMark/>
          </w:tcPr>
          <w:p w:rsidR="00B478D0" w:rsidRPr="005934A5" w:rsidRDefault="00B478D0" w:rsidP="00AA5FFF">
            <w:pPr>
              <w:jc w:val="right"/>
            </w:pPr>
          </w:p>
        </w:tc>
        <w:tc>
          <w:tcPr>
            <w:tcW w:w="340" w:type="dxa"/>
            <w:shd w:val="clear" w:color="auto" w:fill="auto"/>
            <w:noWrap/>
            <w:vAlign w:val="bottom"/>
            <w:hideMark/>
          </w:tcPr>
          <w:p w:rsidR="00B478D0" w:rsidRPr="005934A5" w:rsidRDefault="00B478D0" w:rsidP="00AA5FFF">
            <w:pPr>
              <w:jc w:val="right"/>
              <w:rPr>
                <w:color w:val="D8D8D8"/>
              </w:rPr>
            </w:pPr>
          </w:p>
        </w:tc>
        <w:tc>
          <w:tcPr>
            <w:tcW w:w="1840" w:type="dxa"/>
            <w:shd w:val="clear" w:color="auto" w:fill="auto"/>
            <w:noWrap/>
            <w:vAlign w:val="bottom"/>
            <w:hideMark/>
          </w:tcPr>
          <w:p w:rsidR="00B478D0" w:rsidRPr="005934A5" w:rsidRDefault="003F1DC7" w:rsidP="00AA5FFF">
            <w:pPr>
              <w:jc w:val="right"/>
            </w:pPr>
            <w:r w:rsidRPr="005934A5">
              <w:t>7,108</w:t>
            </w:r>
          </w:p>
        </w:tc>
        <w:tc>
          <w:tcPr>
            <w:tcW w:w="1780" w:type="dxa"/>
            <w:gridSpan w:val="2"/>
            <w:shd w:val="clear" w:color="auto" w:fill="auto"/>
            <w:noWrap/>
            <w:vAlign w:val="bottom"/>
            <w:hideMark/>
          </w:tcPr>
          <w:p w:rsidR="00B478D0" w:rsidRPr="005934A5" w:rsidRDefault="003F1DC7" w:rsidP="00AA5FFF">
            <w:pPr>
              <w:jc w:val="right"/>
              <w:rPr>
                <w:color w:val="0D0D0D" w:themeColor="text1" w:themeTint="F2"/>
              </w:rPr>
            </w:pPr>
            <w:r w:rsidRPr="005934A5">
              <w:rPr>
                <w:color w:val="0D0D0D" w:themeColor="text1" w:themeTint="F2"/>
              </w:rPr>
              <w:t>7,582</w:t>
            </w:r>
          </w:p>
        </w:tc>
      </w:tr>
      <w:tr w:rsidR="00B478D0" w:rsidRPr="00286C0E" w:rsidTr="005934A5">
        <w:trPr>
          <w:trHeight w:val="255"/>
        </w:trPr>
        <w:tc>
          <w:tcPr>
            <w:tcW w:w="3660" w:type="dxa"/>
            <w:shd w:val="clear" w:color="auto" w:fill="auto"/>
            <w:noWrap/>
            <w:vAlign w:val="bottom"/>
            <w:hideMark/>
          </w:tcPr>
          <w:p w:rsidR="00B478D0" w:rsidRPr="005934A5" w:rsidRDefault="003F1DC7" w:rsidP="00AA5FFF">
            <w:r w:rsidRPr="005934A5">
              <w:t>Department for Communities and Local Government</w:t>
            </w:r>
          </w:p>
        </w:tc>
        <w:tc>
          <w:tcPr>
            <w:tcW w:w="1840" w:type="dxa"/>
            <w:shd w:val="clear" w:color="auto" w:fill="auto"/>
            <w:vAlign w:val="bottom"/>
            <w:hideMark/>
          </w:tcPr>
          <w:p w:rsidR="00B478D0" w:rsidRPr="005934A5" w:rsidRDefault="00B478D0" w:rsidP="00AA5FFF">
            <w:pPr>
              <w:jc w:val="right"/>
              <w:rPr>
                <w:color w:val="D8D8D8"/>
              </w:rPr>
            </w:pPr>
          </w:p>
        </w:tc>
        <w:tc>
          <w:tcPr>
            <w:tcW w:w="340" w:type="dxa"/>
            <w:shd w:val="clear" w:color="auto" w:fill="auto"/>
            <w:noWrap/>
            <w:vAlign w:val="bottom"/>
            <w:hideMark/>
          </w:tcPr>
          <w:p w:rsidR="00B478D0" w:rsidRPr="005934A5" w:rsidRDefault="00B478D0" w:rsidP="00AA5FFF">
            <w:pPr>
              <w:jc w:val="right"/>
              <w:rPr>
                <w:color w:val="000000"/>
              </w:rPr>
            </w:pPr>
          </w:p>
        </w:tc>
        <w:tc>
          <w:tcPr>
            <w:tcW w:w="1840" w:type="dxa"/>
            <w:shd w:val="clear" w:color="auto" w:fill="auto"/>
            <w:noWrap/>
            <w:vAlign w:val="bottom"/>
            <w:hideMark/>
          </w:tcPr>
          <w:p w:rsidR="00B478D0" w:rsidRPr="005934A5" w:rsidRDefault="003F1DC7" w:rsidP="00AA5FFF">
            <w:pPr>
              <w:jc w:val="right"/>
              <w:rPr>
                <w:color w:val="000000"/>
              </w:rPr>
            </w:pPr>
            <w:r w:rsidRPr="005934A5">
              <w:rPr>
                <w:color w:val="000000"/>
              </w:rPr>
              <w:t>5,023</w:t>
            </w:r>
          </w:p>
        </w:tc>
        <w:tc>
          <w:tcPr>
            <w:tcW w:w="1780" w:type="dxa"/>
            <w:gridSpan w:val="2"/>
            <w:shd w:val="clear" w:color="auto" w:fill="auto"/>
            <w:noWrap/>
            <w:vAlign w:val="bottom"/>
            <w:hideMark/>
          </w:tcPr>
          <w:p w:rsidR="00B478D0" w:rsidRPr="005934A5" w:rsidRDefault="003F1DC7" w:rsidP="00AA5FFF">
            <w:pPr>
              <w:jc w:val="right"/>
              <w:rPr>
                <w:color w:val="0D0D0D" w:themeColor="text1" w:themeTint="F2"/>
              </w:rPr>
            </w:pPr>
            <w:r w:rsidRPr="005934A5">
              <w:rPr>
                <w:color w:val="0D0D0D" w:themeColor="text1" w:themeTint="F2"/>
              </w:rPr>
              <w:t>5,023</w:t>
            </w:r>
          </w:p>
        </w:tc>
      </w:tr>
      <w:tr w:rsidR="00B478D0" w:rsidRPr="00286C0E" w:rsidTr="005934A5">
        <w:trPr>
          <w:trHeight w:val="255"/>
        </w:trPr>
        <w:tc>
          <w:tcPr>
            <w:tcW w:w="3660" w:type="dxa"/>
            <w:shd w:val="clear" w:color="auto" w:fill="auto"/>
            <w:vAlign w:val="bottom"/>
            <w:hideMark/>
          </w:tcPr>
          <w:p w:rsidR="00B478D0" w:rsidRPr="005934A5" w:rsidRDefault="003F1DC7" w:rsidP="00AA5FFF">
            <w:r w:rsidRPr="005934A5">
              <w:t>Skills Funding Agency</w:t>
            </w:r>
          </w:p>
        </w:tc>
        <w:tc>
          <w:tcPr>
            <w:tcW w:w="1840" w:type="dxa"/>
            <w:shd w:val="clear" w:color="auto" w:fill="auto"/>
            <w:noWrap/>
            <w:vAlign w:val="bottom"/>
            <w:hideMark/>
          </w:tcPr>
          <w:p w:rsidR="00B478D0" w:rsidRPr="005934A5" w:rsidRDefault="00B478D0" w:rsidP="00AA5FFF">
            <w:pPr>
              <w:jc w:val="right"/>
            </w:pPr>
          </w:p>
        </w:tc>
        <w:tc>
          <w:tcPr>
            <w:tcW w:w="340" w:type="dxa"/>
            <w:shd w:val="clear" w:color="auto" w:fill="auto"/>
            <w:noWrap/>
            <w:vAlign w:val="bottom"/>
            <w:hideMark/>
          </w:tcPr>
          <w:p w:rsidR="00B478D0" w:rsidRPr="005934A5" w:rsidRDefault="00B478D0" w:rsidP="00AA5FFF">
            <w:pPr>
              <w:jc w:val="right"/>
              <w:rPr>
                <w:color w:val="D8D8D8"/>
              </w:rPr>
            </w:pPr>
          </w:p>
        </w:tc>
        <w:tc>
          <w:tcPr>
            <w:tcW w:w="1840" w:type="dxa"/>
            <w:shd w:val="clear" w:color="auto" w:fill="auto"/>
            <w:noWrap/>
            <w:vAlign w:val="bottom"/>
            <w:hideMark/>
          </w:tcPr>
          <w:p w:rsidR="00B478D0" w:rsidRPr="005934A5" w:rsidRDefault="003F1DC7" w:rsidP="00AA5FFF">
            <w:pPr>
              <w:jc w:val="right"/>
            </w:pPr>
            <w:r w:rsidRPr="005934A5">
              <w:t>2,098</w:t>
            </w:r>
          </w:p>
        </w:tc>
        <w:tc>
          <w:tcPr>
            <w:tcW w:w="1780" w:type="dxa"/>
            <w:gridSpan w:val="2"/>
            <w:shd w:val="clear" w:color="auto" w:fill="auto"/>
            <w:noWrap/>
            <w:vAlign w:val="bottom"/>
            <w:hideMark/>
          </w:tcPr>
          <w:p w:rsidR="00B478D0" w:rsidRPr="005934A5" w:rsidRDefault="003F1DC7" w:rsidP="00AA5FFF">
            <w:pPr>
              <w:jc w:val="right"/>
              <w:rPr>
                <w:color w:val="0D0D0D" w:themeColor="text1" w:themeTint="F2"/>
              </w:rPr>
            </w:pPr>
            <w:r w:rsidRPr="005934A5">
              <w:rPr>
                <w:color w:val="0D0D0D" w:themeColor="text1" w:themeTint="F2"/>
              </w:rPr>
              <w:t>1,220</w:t>
            </w:r>
          </w:p>
        </w:tc>
      </w:tr>
      <w:tr w:rsidR="003F1DC7" w:rsidRPr="00286C0E" w:rsidTr="005934A5">
        <w:trPr>
          <w:trHeight w:val="255"/>
        </w:trPr>
        <w:tc>
          <w:tcPr>
            <w:tcW w:w="3660" w:type="dxa"/>
            <w:shd w:val="clear" w:color="auto" w:fill="auto"/>
            <w:vAlign w:val="bottom"/>
            <w:hideMark/>
          </w:tcPr>
          <w:p w:rsidR="003F1DC7" w:rsidRPr="005934A5" w:rsidRDefault="003F1DC7" w:rsidP="00AA5FFF">
            <w:r w:rsidRPr="005934A5">
              <w:t>Homes and Community Agency</w:t>
            </w:r>
          </w:p>
        </w:tc>
        <w:tc>
          <w:tcPr>
            <w:tcW w:w="1840" w:type="dxa"/>
            <w:shd w:val="clear" w:color="auto" w:fill="auto"/>
            <w:noWrap/>
            <w:vAlign w:val="bottom"/>
            <w:hideMark/>
          </w:tcPr>
          <w:p w:rsidR="003F1DC7" w:rsidRPr="005934A5" w:rsidRDefault="003F1DC7" w:rsidP="00AA5FFF">
            <w:pPr>
              <w:jc w:val="right"/>
            </w:pPr>
          </w:p>
        </w:tc>
        <w:tc>
          <w:tcPr>
            <w:tcW w:w="340" w:type="dxa"/>
            <w:shd w:val="clear" w:color="auto" w:fill="auto"/>
            <w:noWrap/>
            <w:vAlign w:val="bottom"/>
            <w:hideMark/>
          </w:tcPr>
          <w:p w:rsidR="003F1DC7" w:rsidRPr="005934A5" w:rsidRDefault="003F1DC7" w:rsidP="00AA5FFF">
            <w:pPr>
              <w:jc w:val="right"/>
              <w:rPr>
                <w:color w:val="D8D8D8"/>
              </w:rPr>
            </w:pPr>
          </w:p>
        </w:tc>
        <w:tc>
          <w:tcPr>
            <w:tcW w:w="1840" w:type="dxa"/>
            <w:shd w:val="clear" w:color="auto" w:fill="auto"/>
            <w:noWrap/>
            <w:vAlign w:val="bottom"/>
            <w:hideMark/>
          </w:tcPr>
          <w:p w:rsidR="003F1DC7" w:rsidRPr="005934A5" w:rsidRDefault="003F1DC7" w:rsidP="00AA5FFF">
            <w:pPr>
              <w:jc w:val="right"/>
            </w:pPr>
            <w:r w:rsidRPr="005934A5">
              <w:t>505</w:t>
            </w:r>
          </w:p>
        </w:tc>
        <w:tc>
          <w:tcPr>
            <w:tcW w:w="1780" w:type="dxa"/>
            <w:gridSpan w:val="2"/>
            <w:shd w:val="clear" w:color="auto" w:fill="auto"/>
            <w:noWrap/>
            <w:vAlign w:val="bottom"/>
            <w:hideMark/>
          </w:tcPr>
          <w:p w:rsidR="003F1DC7" w:rsidRPr="005934A5" w:rsidRDefault="003F1DC7" w:rsidP="00AA5FFF">
            <w:pPr>
              <w:jc w:val="right"/>
              <w:rPr>
                <w:color w:val="0D0D0D" w:themeColor="text1" w:themeTint="F2"/>
              </w:rPr>
            </w:pPr>
            <w:r w:rsidRPr="005934A5">
              <w:rPr>
                <w:color w:val="0D0D0D" w:themeColor="text1" w:themeTint="F2"/>
              </w:rPr>
              <w:t>1,914</w:t>
            </w:r>
          </w:p>
        </w:tc>
      </w:tr>
      <w:tr w:rsidR="003F1DC7" w:rsidRPr="00286C0E" w:rsidTr="005934A5">
        <w:trPr>
          <w:trHeight w:val="255"/>
        </w:trPr>
        <w:tc>
          <w:tcPr>
            <w:tcW w:w="3660" w:type="dxa"/>
            <w:shd w:val="clear" w:color="auto" w:fill="auto"/>
            <w:vAlign w:val="bottom"/>
            <w:hideMark/>
          </w:tcPr>
          <w:p w:rsidR="003F1DC7" w:rsidRPr="005934A5" w:rsidRDefault="003F1DC7" w:rsidP="00AA5FFF">
            <w:r w:rsidRPr="005934A5">
              <w:t>Other Grants</w:t>
            </w:r>
          </w:p>
        </w:tc>
        <w:tc>
          <w:tcPr>
            <w:tcW w:w="1840" w:type="dxa"/>
            <w:shd w:val="clear" w:color="auto" w:fill="auto"/>
            <w:noWrap/>
            <w:vAlign w:val="bottom"/>
            <w:hideMark/>
          </w:tcPr>
          <w:p w:rsidR="003F1DC7" w:rsidRPr="005934A5" w:rsidRDefault="003F1DC7" w:rsidP="00AA5FFF">
            <w:pPr>
              <w:jc w:val="right"/>
            </w:pPr>
          </w:p>
        </w:tc>
        <w:tc>
          <w:tcPr>
            <w:tcW w:w="340" w:type="dxa"/>
            <w:shd w:val="clear" w:color="auto" w:fill="auto"/>
            <w:noWrap/>
            <w:vAlign w:val="bottom"/>
            <w:hideMark/>
          </w:tcPr>
          <w:p w:rsidR="003F1DC7" w:rsidRPr="005934A5" w:rsidRDefault="003F1DC7" w:rsidP="00AA5FFF">
            <w:pPr>
              <w:jc w:val="right"/>
              <w:rPr>
                <w:color w:val="D8D8D8"/>
              </w:rPr>
            </w:pPr>
          </w:p>
        </w:tc>
        <w:tc>
          <w:tcPr>
            <w:tcW w:w="1840" w:type="dxa"/>
            <w:shd w:val="clear" w:color="auto" w:fill="auto"/>
            <w:noWrap/>
            <w:vAlign w:val="bottom"/>
            <w:hideMark/>
          </w:tcPr>
          <w:p w:rsidR="003F1DC7" w:rsidRPr="005934A5" w:rsidRDefault="003F1DC7" w:rsidP="00AA5FFF">
            <w:pPr>
              <w:jc w:val="right"/>
            </w:pPr>
            <w:r w:rsidRPr="005934A5">
              <w:t>756</w:t>
            </w:r>
          </w:p>
        </w:tc>
        <w:tc>
          <w:tcPr>
            <w:tcW w:w="1780" w:type="dxa"/>
            <w:gridSpan w:val="2"/>
            <w:shd w:val="clear" w:color="auto" w:fill="auto"/>
            <w:noWrap/>
            <w:vAlign w:val="bottom"/>
            <w:hideMark/>
          </w:tcPr>
          <w:p w:rsidR="003F1DC7" w:rsidRPr="005934A5" w:rsidRDefault="003F1DC7" w:rsidP="00AA5FFF">
            <w:pPr>
              <w:jc w:val="right"/>
              <w:rPr>
                <w:color w:val="0D0D0D" w:themeColor="text1" w:themeTint="F2"/>
              </w:rPr>
            </w:pPr>
            <w:r w:rsidRPr="005934A5">
              <w:rPr>
                <w:color w:val="0D0D0D" w:themeColor="text1" w:themeTint="F2"/>
              </w:rPr>
              <w:t>1,038</w:t>
            </w:r>
          </w:p>
        </w:tc>
      </w:tr>
      <w:tr w:rsidR="003F1DC7" w:rsidRPr="00286C0E" w:rsidTr="005934A5">
        <w:trPr>
          <w:trHeight w:val="255"/>
        </w:trPr>
        <w:tc>
          <w:tcPr>
            <w:tcW w:w="3660" w:type="dxa"/>
            <w:shd w:val="clear" w:color="auto" w:fill="auto"/>
            <w:vAlign w:val="bottom"/>
            <w:hideMark/>
          </w:tcPr>
          <w:p w:rsidR="003F1DC7" w:rsidRPr="005934A5" w:rsidRDefault="003F1DC7" w:rsidP="00AA5FFF">
            <w:pPr>
              <w:rPr>
                <w:b/>
              </w:rPr>
            </w:pPr>
            <w:r w:rsidRPr="005934A5">
              <w:rPr>
                <w:b/>
              </w:rPr>
              <w:t>Contributions</w:t>
            </w:r>
          </w:p>
        </w:tc>
        <w:tc>
          <w:tcPr>
            <w:tcW w:w="1840" w:type="dxa"/>
            <w:shd w:val="clear" w:color="auto" w:fill="auto"/>
            <w:noWrap/>
            <w:vAlign w:val="bottom"/>
            <w:hideMark/>
          </w:tcPr>
          <w:p w:rsidR="003F1DC7" w:rsidRPr="005934A5" w:rsidRDefault="003F1DC7" w:rsidP="00AA5FFF">
            <w:pPr>
              <w:jc w:val="right"/>
            </w:pPr>
          </w:p>
        </w:tc>
        <w:tc>
          <w:tcPr>
            <w:tcW w:w="340" w:type="dxa"/>
            <w:shd w:val="clear" w:color="auto" w:fill="auto"/>
            <w:noWrap/>
            <w:vAlign w:val="bottom"/>
            <w:hideMark/>
          </w:tcPr>
          <w:p w:rsidR="003F1DC7" w:rsidRPr="005934A5" w:rsidRDefault="003F1DC7" w:rsidP="00AA5FFF">
            <w:pPr>
              <w:jc w:val="right"/>
              <w:rPr>
                <w:color w:val="D8D8D8"/>
              </w:rPr>
            </w:pPr>
          </w:p>
        </w:tc>
        <w:tc>
          <w:tcPr>
            <w:tcW w:w="1840" w:type="dxa"/>
            <w:shd w:val="clear" w:color="auto" w:fill="auto"/>
            <w:noWrap/>
            <w:vAlign w:val="bottom"/>
            <w:hideMark/>
          </w:tcPr>
          <w:p w:rsidR="003F1DC7" w:rsidRPr="005934A5" w:rsidRDefault="003F1DC7" w:rsidP="00AA5FFF">
            <w:pPr>
              <w:jc w:val="right"/>
            </w:pPr>
          </w:p>
        </w:tc>
        <w:tc>
          <w:tcPr>
            <w:tcW w:w="1780" w:type="dxa"/>
            <w:gridSpan w:val="2"/>
            <w:shd w:val="clear" w:color="auto" w:fill="auto"/>
            <w:noWrap/>
            <w:vAlign w:val="bottom"/>
            <w:hideMark/>
          </w:tcPr>
          <w:p w:rsidR="003F1DC7" w:rsidRPr="005934A5" w:rsidRDefault="003F1DC7" w:rsidP="00AA5FFF">
            <w:pPr>
              <w:jc w:val="right"/>
              <w:rPr>
                <w:color w:val="0D0D0D" w:themeColor="text1" w:themeTint="F2"/>
              </w:rPr>
            </w:pPr>
          </w:p>
        </w:tc>
      </w:tr>
      <w:tr w:rsidR="003F1DC7" w:rsidRPr="00286C0E" w:rsidTr="005934A5">
        <w:trPr>
          <w:trHeight w:val="255"/>
        </w:trPr>
        <w:tc>
          <w:tcPr>
            <w:tcW w:w="3660" w:type="dxa"/>
            <w:shd w:val="clear" w:color="auto" w:fill="auto"/>
            <w:vAlign w:val="bottom"/>
            <w:hideMark/>
          </w:tcPr>
          <w:p w:rsidR="003F1DC7" w:rsidRPr="005934A5" w:rsidRDefault="003F1DC7" w:rsidP="00AA5FFF">
            <w:r w:rsidRPr="005934A5">
              <w:t>Private Works</w:t>
            </w:r>
          </w:p>
        </w:tc>
        <w:tc>
          <w:tcPr>
            <w:tcW w:w="1840" w:type="dxa"/>
            <w:shd w:val="clear" w:color="auto" w:fill="auto"/>
            <w:noWrap/>
            <w:vAlign w:val="bottom"/>
            <w:hideMark/>
          </w:tcPr>
          <w:p w:rsidR="003F1DC7" w:rsidRPr="005934A5" w:rsidRDefault="003F1DC7" w:rsidP="00AA5FFF">
            <w:pPr>
              <w:jc w:val="right"/>
            </w:pPr>
          </w:p>
        </w:tc>
        <w:tc>
          <w:tcPr>
            <w:tcW w:w="340" w:type="dxa"/>
            <w:shd w:val="clear" w:color="auto" w:fill="auto"/>
            <w:noWrap/>
            <w:vAlign w:val="bottom"/>
            <w:hideMark/>
          </w:tcPr>
          <w:p w:rsidR="003F1DC7" w:rsidRPr="005934A5" w:rsidRDefault="003F1DC7" w:rsidP="00AA5FFF">
            <w:pPr>
              <w:jc w:val="right"/>
              <w:rPr>
                <w:color w:val="D8D8D8"/>
              </w:rPr>
            </w:pPr>
          </w:p>
        </w:tc>
        <w:tc>
          <w:tcPr>
            <w:tcW w:w="1840" w:type="dxa"/>
            <w:shd w:val="clear" w:color="auto" w:fill="auto"/>
            <w:noWrap/>
            <w:vAlign w:val="bottom"/>
            <w:hideMark/>
          </w:tcPr>
          <w:p w:rsidR="003F1DC7" w:rsidRPr="005934A5" w:rsidRDefault="003F1DC7" w:rsidP="00AA5FFF">
            <w:pPr>
              <w:jc w:val="right"/>
            </w:pPr>
            <w:r w:rsidRPr="005934A5">
              <w:t>294</w:t>
            </w:r>
          </w:p>
        </w:tc>
        <w:tc>
          <w:tcPr>
            <w:tcW w:w="1780" w:type="dxa"/>
            <w:gridSpan w:val="2"/>
            <w:shd w:val="clear" w:color="auto" w:fill="auto"/>
            <w:noWrap/>
            <w:vAlign w:val="bottom"/>
            <w:hideMark/>
          </w:tcPr>
          <w:p w:rsidR="003F1DC7" w:rsidRPr="005934A5" w:rsidRDefault="003F1DC7" w:rsidP="00AA5FFF">
            <w:pPr>
              <w:jc w:val="right"/>
              <w:rPr>
                <w:color w:val="0D0D0D" w:themeColor="text1" w:themeTint="F2"/>
              </w:rPr>
            </w:pPr>
            <w:r w:rsidRPr="005934A5">
              <w:rPr>
                <w:color w:val="0D0D0D" w:themeColor="text1" w:themeTint="F2"/>
              </w:rPr>
              <w:t>6,890</w:t>
            </w:r>
          </w:p>
        </w:tc>
      </w:tr>
      <w:tr w:rsidR="003F1DC7" w:rsidRPr="00286C0E" w:rsidTr="005934A5">
        <w:trPr>
          <w:trHeight w:val="255"/>
        </w:trPr>
        <w:tc>
          <w:tcPr>
            <w:tcW w:w="3660" w:type="dxa"/>
            <w:shd w:val="clear" w:color="auto" w:fill="auto"/>
            <w:vAlign w:val="bottom"/>
            <w:hideMark/>
          </w:tcPr>
          <w:p w:rsidR="003F1DC7" w:rsidRPr="005934A5" w:rsidRDefault="003F1DC7" w:rsidP="00AA5FFF">
            <w:r w:rsidRPr="005934A5">
              <w:t>Advance Payment Deposits</w:t>
            </w:r>
          </w:p>
        </w:tc>
        <w:tc>
          <w:tcPr>
            <w:tcW w:w="1840" w:type="dxa"/>
            <w:shd w:val="clear" w:color="auto" w:fill="auto"/>
            <w:noWrap/>
            <w:vAlign w:val="bottom"/>
            <w:hideMark/>
          </w:tcPr>
          <w:p w:rsidR="003F1DC7" w:rsidRPr="005934A5" w:rsidRDefault="003F1DC7" w:rsidP="00AA5FFF">
            <w:pPr>
              <w:jc w:val="right"/>
            </w:pPr>
          </w:p>
        </w:tc>
        <w:tc>
          <w:tcPr>
            <w:tcW w:w="340" w:type="dxa"/>
            <w:shd w:val="clear" w:color="auto" w:fill="auto"/>
            <w:noWrap/>
            <w:vAlign w:val="bottom"/>
            <w:hideMark/>
          </w:tcPr>
          <w:p w:rsidR="003F1DC7" w:rsidRPr="005934A5" w:rsidRDefault="003F1DC7" w:rsidP="00AA5FFF">
            <w:pPr>
              <w:jc w:val="right"/>
              <w:rPr>
                <w:color w:val="D8D8D8"/>
              </w:rPr>
            </w:pPr>
          </w:p>
        </w:tc>
        <w:tc>
          <w:tcPr>
            <w:tcW w:w="1840" w:type="dxa"/>
            <w:shd w:val="clear" w:color="auto" w:fill="auto"/>
            <w:noWrap/>
            <w:vAlign w:val="bottom"/>
            <w:hideMark/>
          </w:tcPr>
          <w:p w:rsidR="003F1DC7" w:rsidRPr="005934A5" w:rsidRDefault="003F1DC7" w:rsidP="00AA5FFF">
            <w:pPr>
              <w:jc w:val="right"/>
            </w:pPr>
            <w:r w:rsidRPr="005934A5">
              <w:t>1,073</w:t>
            </w:r>
          </w:p>
        </w:tc>
        <w:tc>
          <w:tcPr>
            <w:tcW w:w="1780" w:type="dxa"/>
            <w:gridSpan w:val="2"/>
            <w:shd w:val="clear" w:color="auto" w:fill="auto"/>
            <w:noWrap/>
            <w:vAlign w:val="bottom"/>
            <w:hideMark/>
          </w:tcPr>
          <w:p w:rsidR="003F1DC7" w:rsidRPr="005934A5" w:rsidRDefault="003F1DC7" w:rsidP="00AA5FFF">
            <w:pPr>
              <w:jc w:val="right"/>
              <w:rPr>
                <w:color w:val="0D0D0D" w:themeColor="text1" w:themeTint="F2"/>
              </w:rPr>
            </w:pPr>
            <w:r w:rsidRPr="005934A5">
              <w:rPr>
                <w:color w:val="0D0D0D" w:themeColor="text1" w:themeTint="F2"/>
              </w:rPr>
              <w:t>1,151</w:t>
            </w:r>
          </w:p>
        </w:tc>
      </w:tr>
      <w:tr w:rsidR="003F1DC7" w:rsidRPr="00286C0E" w:rsidTr="005934A5">
        <w:trPr>
          <w:trHeight w:val="255"/>
        </w:trPr>
        <w:tc>
          <w:tcPr>
            <w:tcW w:w="3660" w:type="dxa"/>
            <w:shd w:val="clear" w:color="auto" w:fill="auto"/>
            <w:vAlign w:val="bottom"/>
            <w:hideMark/>
          </w:tcPr>
          <w:p w:rsidR="003F1DC7" w:rsidRPr="005934A5" w:rsidRDefault="003F1DC7" w:rsidP="00AA5FFF">
            <w:r w:rsidRPr="005934A5">
              <w:t>Contributions from Developers</w:t>
            </w:r>
          </w:p>
        </w:tc>
        <w:tc>
          <w:tcPr>
            <w:tcW w:w="1840" w:type="dxa"/>
            <w:shd w:val="clear" w:color="auto" w:fill="auto"/>
            <w:noWrap/>
            <w:vAlign w:val="bottom"/>
            <w:hideMark/>
          </w:tcPr>
          <w:p w:rsidR="003F1DC7" w:rsidRPr="005934A5" w:rsidRDefault="003F1DC7" w:rsidP="00AA5FFF">
            <w:pPr>
              <w:jc w:val="right"/>
            </w:pPr>
          </w:p>
        </w:tc>
        <w:tc>
          <w:tcPr>
            <w:tcW w:w="340" w:type="dxa"/>
            <w:shd w:val="clear" w:color="auto" w:fill="auto"/>
            <w:noWrap/>
            <w:vAlign w:val="bottom"/>
            <w:hideMark/>
          </w:tcPr>
          <w:p w:rsidR="003F1DC7" w:rsidRPr="005934A5" w:rsidRDefault="003F1DC7" w:rsidP="00AA5FFF">
            <w:pPr>
              <w:jc w:val="right"/>
              <w:rPr>
                <w:color w:val="D8D8D8"/>
              </w:rPr>
            </w:pPr>
          </w:p>
        </w:tc>
        <w:tc>
          <w:tcPr>
            <w:tcW w:w="1840" w:type="dxa"/>
            <w:shd w:val="clear" w:color="auto" w:fill="auto"/>
            <w:noWrap/>
            <w:vAlign w:val="bottom"/>
            <w:hideMark/>
          </w:tcPr>
          <w:p w:rsidR="003F1DC7" w:rsidRPr="005934A5" w:rsidRDefault="003F1DC7" w:rsidP="00AA5FFF">
            <w:pPr>
              <w:jc w:val="right"/>
            </w:pPr>
            <w:r w:rsidRPr="005934A5">
              <w:t>1,303</w:t>
            </w:r>
          </w:p>
        </w:tc>
        <w:tc>
          <w:tcPr>
            <w:tcW w:w="1780" w:type="dxa"/>
            <w:gridSpan w:val="2"/>
            <w:shd w:val="clear" w:color="auto" w:fill="auto"/>
            <w:noWrap/>
            <w:vAlign w:val="bottom"/>
            <w:hideMark/>
          </w:tcPr>
          <w:p w:rsidR="003F1DC7" w:rsidRPr="005934A5" w:rsidRDefault="003F1DC7" w:rsidP="00AA5FFF">
            <w:pPr>
              <w:jc w:val="right"/>
              <w:rPr>
                <w:color w:val="0D0D0D" w:themeColor="text1" w:themeTint="F2"/>
              </w:rPr>
            </w:pPr>
            <w:r w:rsidRPr="005934A5">
              <w:rPr>
                <w:color w:val="0D0D0D" w:themeColor="text1" w:themeTint="F2"/>
              </w:rPr>
              <w:t>1,401</w:t>
            </w:r>
          </w:p>
        </w:tc>
      </w:tr>
      <w:tr w:rsidR="00B478D0" w:rsidRPr="00286C0E" w:rsidTr="005934A5">
        <w:trPr>
          <w:trHeight w:val="255"/>
        </w:trPr>
        <w:tc>
          <w:tcPr>
            <w:tcW w:w="3660" w:type="dxa"/>
            <w:shd w:val="clear" w:color="auto" w:fill="auto"/>
            <w:noWrap/>
            <w:vAlign w:val="bottom"/>
            <w:hideMark/>
          </w:tcPr>
          <w:p w:rsidR="00B478D0" w:rsidRPr="005934A5" w:rsidRDefault="008538B6" w:rsidP="00AA5FFF">
            <w:r w:rsidRPr="005934A5">
              <w:t>Various Other Contributions</w:t>
            </w:r>
          </w:p>
        </w:tc>
        <w:tc>
          <w:tcPr>
            <w:tcW w:w="1840" w:type="dxa"/>
            <w:shd w:val="clear" w:color="auto" w:fill="auto"/>
            <w:vAlign w:val="bottom"/>
            <w:hideMark/>
          </w:tcPr>
          <w:p w:rsidR="00B478D0" w:rsidRPr="005934A5" w:rsidRDefault="00B478D0" w:rsidP="00AA5FFF">
            <w:pPr>
              <w:jc w:val="right"/>
              <w:rPr>
                <w:color w:val="D8D8D8"/>
              </w:rPr>
            </w:pPr>
          </w:p>
        </w:tc>
        <w:tc>
          <w:tcPr>
            <w:tcW w:w="340" w:type="dxa"/>
            <w:shd w:val="clear" w:color="auto" w:fill="auto"/>
            <w:noWrap/>
            <w:vAlign w:val="bottom"/>
            <w:hideMark/>
          </w:tcPr>
          <w:p w:rsidR="00B478D0" w:rsidRPr="005934A5" w:rsidRDefault="00B478D0" w:rsidP="00AA5FFF">
            <w:pPr>
              <w:jc w:val="right"/>
              <w:rPr>
                <w:color w:val="000000"/>
              </w:rPr>
            </w:pPr>
          </w:p>
        </w:tc>
        <w:tc>
          <w:tcPr>
            <w:tcW w:w="1840" w:type="dxa"/>
            <w:shd w:val="clear" w:color="auto" w:fill="auto"/>
            <w:noWrap/>
            <w:vAlign w:val="bottom"/>
            <w:hideMark/>
          </w:tcPr>
          <w:p w:rsidR="00B478D0" w:rsidRPr="005934A5" w:rsidRDefault="008538B6" w:rsidP="00AA5FFF">
            <w:pPr>
              <w:jc w:val="right"/>
              <w:rPr>
                <w:color w:val="000000"/>
              </w:rPr>
            </w:pPr>
            <w:r w:rsidRPr="005934A5">
              <w:rPr>
                <w:color w:val="000000"/>
              </w:rPr>
              <w:t>1,263</w:t>
            </w:r>
          </w:p>
        </w:tc>
        <w:tc>
          <w:tcPr>
            <w:tcW w:w="1780" w:type="dxa"/>
            <w:gridSpan w:val="2"/>
            <w:shd w:val="clear" w:color="auto" w:fill="auto"/>
            <w:noWrap/>
            <w:vAlign w:val="bottom"/>
            <w:hideMark/>
          </w:tcPr>
          <w:p w:rsidR="00B478D0" w:rsidRPr="005934A5" w:rsidRDefault="008538B6" w:rsidP="00AA5FFF">
            <w:pPr>
              <w:jc w:val="right"/>
              <w:rPr>
                <w:color w:val="0D0D0D" w:themeColor="text1" w:themeTint="F2"/>
              </w:rPr>
            </w:pPr>
            <w:r w:rsidRPr="005934A5">
              <w:rPr>
                <w:color w:val="0D0D0D" w:themeColor="text1" w:themeTint="F2"/>
              </w:rPr>
              <w:t>473</w:t>
            </w:r>
          </w:p>
        </w:tc>
      </w:tr>
      <w:tr w:rsidR="00B478D0" w:rsidRPr="005934A5" w:rsidTr="005934A5">
        <w:trPr>
          <w:trHeight w:val="255"/>
        </w:trPr>
        <w:tc>
          <w:tcPr>
            <w:tcW w:w="3660" w:type="dxa"/>
            <w:shd w:val="clear" w:color="auto" w:fill="auto"/>
            <w:vAlign w:val="bottom"/>
            <w:hideMark/>
          </w:tcPr>
          <w:p w:rsidR="00B478D0" w:rsidRPr="005934A5" w:rsidRDefault="00B478D0" w:rsidP="00AA5FFF">
            <w:pPr>
              <w:rPr>
                <w:b/>
                <w:bCs/>
              </w:rPr>
            </w:pPr>
            <w:r w:rsidRPr="005934A5">
              <w:rPr>
                <w:b/>
                <w:bCs/>
              </w:rPr>
              <w:t>Total</w:t>
            </w:r>
          </w:p>
        </w:tc>
        <w:tc>
          <w:tcPr>
            <w:tcW w:w="1840" w:type="dxa"/>
            <w:shd w:val="clear" w:color="auto" w:fill="auto"/>
            <w:noWrap/>
            <w:vAlign w:val="bottom"/>
            <w:hideMark/>
          </w:tcPr>
          <w:p w:rsidR="00B478D0" w:rsidRPr="005934A5" w:rsidRDefault="00B478D0" w:rsidP="00AA5FFF">
            <w:pPr>
              <w:jc w:val="right"/>
              <w:rPr>
                <w:color w:val="D8D8D8"/>
              </w:rPr>
            </w:pPr>
          </w:p>
        </w:tc>
        <w:tc>
          <w:tcPr>
            <w:tcW w:w="340" w:type="dxa"/>
            <w:shd w:val="clear" w:color="auto" w:fill="auto"/>
            <w:noWrap/>
            <w:vAlign w:val="bottom"/>
            <w:hideMark/>
          </w:tcPr>
          <w:p w:rsidR="00B478D0" w:rsidRPr="005934A5" w:rsidRDefault="00B478D0" w:rsidP="00AA5FFF">
            <w:pPr>
              <w:jc w:val="right"/>
              <w:rPr>
                <w:color w:val="000000"/>
              </w:rPr>
            </w:pPr>
          </w:p>
        </w:tc>
        <w:tc>
          <w:tcPr>
            <w:tcW w:w="1840" w:type="dxa"/>
            <w:shd w:val="clear" w:color="auto" w:fill="auto"/>
            <w:noWrap/>
            <w:vAlign w:val="bottom"/>
            <w:hideMark/>
          </w:tcPr>
          <w:p w:rsidR="00B478D0" w:rsidRPr="005934A5" w:rsidRDefault="008538B6" w:rsidP="00AA5FFF">
            <w:pPr>
              <w:jc w:val="right"/>
              <w:rPr>
                <w:b/>
              </w:rPr>
            </w:pPr>
            <w:r w:rsidRPr="005934A5">
              <w:rPr>
                <w:b/>
              </w:rPr>
              <w:t>19,422</w:t>
            </w:r>
          </w:p>
        </w:tc>
        <w:tc>
          <w:tcPr>
            <w:tcW w:w="1780" w:type="dxa"/>
            <w:gridSpan w:val="2"/>
            <w:shd w:val="clear" w:color="auto" w:fill="auto"/>
            <w:noWrap/>
            <w:vAlign w:val="bottom"/>
            <w:hideMark/>
          </w:tcPr>
          <w:p w:rsidR="00B478D0" w:rsidRPr="005934A5" w:rsidRDefault="008538B6" w:rsidP="00AA5FFF">
            <w:pPr>
              <w:jc w:val="right"/>
              <w:rPr>
                <w:b/>
                <w:color w:val="0D0D0D" w:themeColor="text1" w:themeTint="F2"/>
              </w:rPr>
            </w:pPr>
            <w:r w:rsidRPr="005934A5">
              <w:rPr>
                <w:b/>
                <w:color w:val="0D0D0D" w:themeColor="text1" w:themeTint="F2"/>
              </w:rPr>
              <w:t>26,691</w:t>
            </w:r>
          </w:p>
        </w:tc>
      </w:tr>
      <w:tr w:rsidR="00B478D0" w:rsidRPr="00286C0E" w:rsidTr="005934A5">
        <w:trPr>
          <w:trHeight w:val="255"/>
        </w:trPr>
        <w:tc>
          <w:tcPr>
            <w:tcW w:w="3660" w:type="dxa"/>
            <w:shd w:val="clear" w:color="auto" w:fill="auto"/>
            <w:vAlign w:val="bottom"/>
            <w:hideMark/>
          </w:tcPr>
          <w:p w:rsidR="00B478D0" w:rsidRPr="00286C0E" w:rsidRDefault="00B478D0" w:rsidP="00AA5FFF">
            <w:pPr>
              <w:jc w:val="right"/>
              <w:rPr>
                <w:sz w:val="20"/>
                <w:szCs w:val="20"/>
                <w:highlight w:val="yellow"/>
              </w:rPr>
            </w:pPr>
          </w:p>
        </w:tc>
        <w:tc>
          <w:tcPr>
            <w:tcW w:w="1840" w:type="dxa"/>
            <w:shd w:val="clear" w:color="auto" w:fill="auto"/>
            <w:noWrap/>
            <w:vAlign w:val="bottom"/>
            <w:hideMark/>
          </w:tcPr>
          <w:p w:rsidR="00B478D0" w:rsidRPr="00286C0E" w:rsidRDefault="00B478D0" w:rsidP="00AA5FFF">
            <w:pPr>
              <w:jc w:val="right"/>
              <w:rPr>
                <w:color w:val="D8D8D8"/>
                <w:sz w:val="20"/>
                <w:szCs w:val="20"/>
                <w:highlight w:val="yellow"/>
              </w:rPr>
            </w:pPr>
          </w:p>
        </w:tc>
        <w:tc>
          <w:tcPr>
            <w:tcW w:w="340" w:type="dxa"/>
            <w:shd w:val="clear" w:color="auto" w:fill="auto"/>
            <w:noWrap/>
            <w:vAlign w:val="bottom"/>
            <w:hideMark/>
          </w:tcPr>
          <w:p w:rsidR="00B478D0" w:rsidRPr="00286C0E" w:rsidRDefault="00B478D0" w:rsidP="00AA5FFF">
            <w:pPr>
              <w:jc w:val="right"/>
              <w:rPr>
                <w:color w:val="000000"/>
                <w:sz w:val="20"/>
                <w:szCs w:val="20"/>
                <w:highlight w:val="yellow"/>
              </w:rPr>
            </w:pPr>
          </w:p>
        </w:tc>
        <w:tc>
          <w:tcPr>
            <w:tcW w:w="1840" w:type="dxa"/>
            <w:shd w:val="clear" w:color="auto" w:fill="auto"/>
            <w:noWrap/>
            <w:vAlign w:val="bottom"/>
            <w:hideMark/>
          </w:tcPr>
          <w:p w:rsidR="00B478D0" w:rsidRPr="00286C0E" w:rsidRDefault="00B478D0" w:rsidP="00AA5FFF">
            <w:pPr>
              <w:jc w:val="right"/>
              <w:rPr>
                <w:color w:val="000000"/>
                <w:sz w:val="20"/>
                <w:szCs w:val="20"/>
                <w:highlight w:val="yellow"/>
              </w:rPr>
            </w:pPr>
          </w:p>
        </w:tc>
        <w:tc>
          <w:tcPr>
            <w:tcW w:w="1780" w:type="dxa"/>
            <w:gridSpan w:val="2"/>
            <w:shd w:val="clear" w:color="auto" w:fill="auto"/>
            <w:noWrap/>
            <w:vAlign w:val="bottom"/>
            <w:hideMark/>
          </w:tcPr>
          <w:p w:rsidR="00B478D0" w:rsidRPr="00286C0E" w:rsidRDefault="00B478D0" w:rsidP="00AA5FFF">
            <w:pPr>
              <w:jc w:val="right"/>
              <w:rPr>
                <w:color w:val="000000"/>
                <w:sz w:val="20"/>
                <w:szCs w:val="20"/>
                <w:highlight w:val="yellow"/>
              </w:rPr>
            </w:pPr>
          </w:p>
        </w:tc>
      </w:tr>
      <w:tr w:rsidR="00B478D0" w:rsidRPr="00286C0E" w:rsidTr="005934A5">
        <w:trPr>
          <w:trHeight w:val="255"/>
        </w:trPr>
        <w:tc>
          <w:tcPr>
            <w:tcW w:w="3660" w:type="dxa"/>
            <w:shd w:val="clear" w:color="auto" w:fill="auto"/>
            <w:vAlign w:val="bottom"/>
            <w:hideMark/>
          </w:tcPr>
          <w:p w:rsidR="00B478D0" w:rsidRPr="00286C0E" w:rsidRDefault="00B478D0" w:rsidP="00AA5FFF">
            <w:pPr>
              <w:jc w:val="right"/>
              <w:rPr>
                <w:sz w:val="20"/>
                <w:szCs w:val="20"/>
                <w:highlight w:val="yellow"/>
              </w:rPr>
            </w:pPr>
          </w:p>
        </w:tc>
        <w:tc>
          <w:tcPr>
            <w:tcW w:w="1840" w:type="dxa"/>
            <w:shd w:val="clear" w:color="auto" w:fill="auto"/>
            <w:noWrap/>
            <w:vAlign w:val="bottom"/>
            <w:hideMark/>
          </w:tcPr>
          <w:p w:rsidR="00B478D0" w:rsidRPr="00286C0E" w:rsidRDefault="00B478D0" w:rsidP="00AA5FFF">
            <w:pPr>
              <w:jc w:val="right"/>
              <w:rPr>
                <w:color w:val="D8D8D8"/>
                <w:sz w:val="20"/>
                <w:szCs w:val="20"/>
                <w:highlight w:val="yellow"/>
              </w:rPr>
            </w:pPr>
          </w:p>
        </w:tc>
        <w:tc>
          <w:tcPr>
            <w:tcW w:w="340" w:type="dxa"/>
            <w:shd w:val="clear" w:color="auto" w:fill="auto"/>
            <w:noWrap/>
            <w:vAlign w:val="bottom"/>
            <w:hideMark/>
          </w:tcPr>
          <w:p w:rsidR="00B478D0" w:rsidRPr="00286C0E" w:rsidRDefault="00B478D0" w:rsidP="00AA5FFF">
            <w:pPr>
              <w:jc w:val="right"/>
              <w:rPr>
                <w:color w:val="000000"/>
                <w:sz w:val="20"/>
                <w:szCs w:val="20"/>
                <w:highlight w:val="yellow"/>
              </w:rPr>
            </w:pPr>
          </w:p>
        </w:tc>
        <w:tc>
          <w:tcPr>
            <w:tcW w:w="1840" w:type="dxa"/>
            <w:shd w:val="clear" w:color="auto" w:fill="auto"/>
            <w:noWrap/>
            <w:vAlign w:val="bottom"/>
            <w:hideMark/>
          </w:tcPr>
          <w:p w:rsidR="00B478D0" w:rsidRPr="00286C0E" w:rsidRDefault="00B478D0" w:rsidP="00AA5FFF">
            <w:pPr>
              <w:jc w:val="right"/>
              <w:rPr>
                <w:color w:val="000000"/>
                <w:sz w:val="20"/>
                <w:szCs w:val="20"/>
                <w:highlight w:val="yellow"/>
              </w:rPr>
            </w:pPr>
          </w:p>
        </w:tc>
        <w:tc>
          <w:tcPr>
            <w:tcW w:w="1780" w:type="dxa"/>
            <w:gridSpan w:val="2"/>
            <w:shd w:val="clear" w:color="auto" w:fill="auto"/>
            <w:noWrap/>
            <w:vAlign w:val="bottom"/>
            <w:hideMark/>
          </w:tcPr>
          <w:p w:rsidR="00B478D0" w:rsidRPr="00286C0E" w:rsidRDefault="00B478D0" w:rsidP="00AA5FFF">
            <w:pPr>
              <w:jc w:val="right"/>
              <w:rPr>
                <w:color w:val="000000"/>
                <w:sz w:val="20"/>
                <w:szCs w:val="20"/>
                <w:highlight w:val="yellow"/>
              </w:rPr>
            </w:pPr>
          </w:p>
        </w:tc>
      </w:tr>
    </w:tbl>
    <w:p w:rsidR="00D12C1E" w:rsidRPr="00280D65" w:rsidRDefault="00D12C1E" w:rsidP="00BC19C7"/>
    <w:p w:rsidR="003422EB" w:rsidRPr="00280D65" w:rsidRDefault="003422EB" w:rsidP="00BD07E4">
      <w:pPr>
        <w:numPr>
          <w:ilvl w:val="0"/>
          <w:numId w:val="21"/>
        </w:numPr>
        <w:spacing w:after="240"/>
        <w:jc w:val="both"/>
        <w:rPr>
          <w:b/>
        </w:rPr>
      </w:pPr>
      <w:r w:rsidRPr="00280D65">
        <w:rPr>
          <w:b/>
        </w:rPr>
        <w:t>Dedicated Schools Grant</w:t>
      </w:r>
    </w:p>
    <w:p w:rsidR="005F6162" w:rsidRPr="00280D65" w:rsidRDefault="00CA6985" w:rsidP="003422EB">
      <w:pPr>
        <w:spacing w:after="240"/>
        <w:ind w:left="720"/>
        <w:jc w:val="both"/>
      </w:pPr>
      <w:r w:rsidRPr="00280D65">
        <w:t>Our spending on schools is funded by the Dedicated Schools Grant (DSG)</w:t>
      </w:r>
      <w:r w:rsidR="00695862" w:rsidRPr="00280D65">
        <w:t>:</w:t>
      </w:r>
      <w:r w:rsidRPr="00280D65">
        <w:t xml:space="preserve"> a grant provided by the Department for Children Schools and Families. DSG can only be used for spending which has been properly included in the schools budget.</w:t>
      </w:r>
    </w:p>
    <w:p w:rsidR="003A1123" w:rsidRPr="00280D65" w:rsidRDefault="00CA6985" w:rsidP="004C3A61">
      <w:pPr>
        <w:spacing w:after="240"/>
        <w:ind w:left="720"/>
      </w:pPr>
      <w:r w:rsidRPr="00280D65">
        <w:t>This includes:</w:t>
      </w:r>
    </w:p>
    <w:p w:rsidR="00F3675F" w:rsidRPr="00280D65" w:rsidRDefault="00CA6985" w:rsidP="00BD07E4">
      <w:pPr>
        <w:numPr>
          <w:ilvl w:val="0"/>
          <w:numId w:val="28"/>
        </w:numPr>
        <w:spacing w:after="240"/>
        <w:ind w:left="1134" w:hanging="425"/>
      </w:pPr>
      <w:r w:rsidRPr="00280D65">
        <w:t xml:space="preserve">some parts of a restricted range of services which we provide across the county (central services); and </w:t>
      </w:r>
    </w:p>
    <w:p w:rsidR="00CA6985" w:rsidRPr="00280D65" w:rsidRDefault="00F3675F" w:rsidP="00BD07E4">
      <w:pPr>
        <w:numPr>
          <w:ilvl w:val="0"/>
          <w:numId w:val="28"/>
        </w:numPr>
        <w:spacing w:after="240"/>
        <w:ind w:left="1134" w:hanging="425"/>
      </w:pPr>
      <w:r w:rsidRPr="00280D65">
        <w:t>t</w:t>
      </w:r>
      <w:r w:rsidR="00CA6985" w:rsidRPr="00280D65">
        <w:t xml:space="preserve">he individual schools </w:t>
      </w:r>
      <w:r w:rsidR="00CA3296" w:rsidRPr="00280D65">
        <w:t>budget,</w:t>
      </w:r>
      <w:r w:rsidR="00CA6985" w:rsidRPr="00280D65">
        <w:t xml:space="preserve"> which is divided into a budget share for each school</w:t>
      </w:r>
    </w:p>
    <w:p w:rsidR="0062005F" w:rsidRPr="00280D65" w:rsidRDefault="0062005F" w:rsidP="0062005F">
      <w:pPr>
        <w:spacing w:after="240"/>
        <w:ind w:left="709"/>
      </w:pPr>
      <w:r w:rsidRPr="00280D65">
        <w:lastRenderedPageBreak/>
        <w:t xml:space="preserve">The table below shows how DSG was used for </w:t>
      </w:r>
      <w:r w:rsidR="00E7030F">
        <w:t>2011/12</w:t>
      </w:r>
      <w:r w:rsidR="003422EB" w:rsidRPr="00280D65">
        <w:t>:</w:t>
      </w:r>
    </w:p>
    <w:tbl>
      <w:tblPr>
        <w:tblW w:w="13547" w:type="dxa"/>
        <w:tblInd w:w="-34" w:type="dxa"/>
        <w:tblLook w:val="0000"/>
      </w:tblPr>
      <w:tblGrid>
        <w:gridCol w:w="5387"/>
        <w:gridCol w:w="142"/>
        <w:gridCol w:w="689"/>
        <w:gridCol w:w="284"/>
        <w:gridCol w:w="895"/>
        <w:gridCol w:w="349"/>
        <w:gridCol w:w="1244"/>
        <w:gridCol w:w="173"/>
        <w:gridCol w:w="1555"/>
        <w:gridCol w:w="688"/>
        <w:gridCol w:w="167"/>
        <w:gridCol w:w="1974"/>
      </w:tblGrid>
      <w:tr w:rsidR="00FC6B96" w:rsidRPr="00280D65" w:rsidTr="00C76B8E">
        <w:trPr>
          <w:gridAfter w:val="3"/>
          <w:wAfter w:w="2829" w:type="dxa"/>
          <w:trHeight w:val="510"/>
        </w:trPr>
        <w:tc>
          <w:tcPr>
            <w:tcW w:w="5529" w:type="dxa"/>
            <w:gridSpan w:val="2"/>
            <w:tcBorders>
              <w:top w:val="nil"/>
              <w:left w:val="nil"/>
              <w:bottom w:val="nil"/>
              <w:right w:val="nil"/>
            </w:tcBorders>
            <w:shd w:val="clear" w:color="auto" w:fill="auto"/>
            <w:noWrap/>
            <w:vAlign w:val="bottom"/>
          </w:tcPr>
          <w:p w:rsidR="00FC6B96" w:rsidRPr="00280D65" w:rsidRDefault="00FC6B96" w:rsidP="00CA6985">
            <w:pPr>
              <w:rPr>
                <w:b/>
              </w:rPr>
            </w:pPr>
          </w:p>
        </w:tc>
        <w:tc>
          <w:tcPr>
            <w:tcW w:w="1868" w:type="dxa"/>
            <w:gridSpan w:val="3"/>
            <w:tcBorders>
              <w:top w:val="nil"/>
              <w:left w:val="nil"/>
              <w:right w:val="nil"/>
            </w:tcBorders>
            <w:shd w:val="clear" w:color="auto" w:fill="auto"/>
            <w:vAlign w:val="bottom"/>
          </w:tcPr>
          <w:p w:rsidR="00FC6B96" w:rsidRPr="00280D65" w:rsidRDefault="00FC6B96" w:rsidP="00F41B77">
            <w:pPr>
              <w:jc w:val="right"/>
              <w:rPr>
                <w:b/>
              </w:rPr>
            </w:pPr>
            <w:r w:rsidRPr="00280D65">
              <w:rPr>
                <w:b/>
              </w:rPr>
              <w:t>Central Expenditure</w:t>
            </w:r>
          </w:p>
        </w:tc>
        <w:tc>
          <w:tcPr>
            <w:tcW w:w="1766" w:type="dxa"/>
            <w:gridSpan w:val="3"/>
            <w:tcBorders>
              <w:top w:val="nil"/>
              <w:left w:val="nil"/>
              <w:right w:val="nil"/>
            </w:tcBorders>
            <w:shd w:val="clear" w:color="auto" w:fill="auto"/>
            <w:vAlign w:val="bottom"/>
          </w:tcPr>
          <w:p w:rsidR="00FC6B96" w:rsidRPr="00280D65" w:rsidRDefault="00FC6B96" w:rsidP="00F41B77">
            <w:pPr>
              <w:jc w:val="right"/>
              <w:rPr>
                <w:b/>
              </w:rPr>
            </w:pPr>
            <w:r w:rsidRPr="00280D65">
              <w:rPr>
                <w:b/>
              </w:rPr>
              <w:t>Individual Schools Budget</w:t>
            </w:r>
          </w:p>
        </w:tc>
        <w:tc>
          <w:tcPr>
            <w:tcW w:w="1555" w:type="dxa"/>
            <w:tcBorders>
              <w:top w:val="nil"/>
              <w:left w:val="nil"/>
              <w:right w:val="nil"/>
            </w:tcBorders>
            <w:shd w:val="clear" w:color="auto" w:fill="auto"/>
            <w:vAlign w:val="bottom"/>
          </w:tcPr>
          <w:p w:rsidR="00FC6B96" w:rsidRPr="00280D65" w:rsidRDefault="00FC6B96" w:rsidP="00F41B77">
            <w:pPr>
              <w:jc w:val="right"/>
              <w:rPr>
                <w:b/>
              </w:rPr>
            </w:pPr>
            <w:r w:rsidRPr="00280D65">
              <w:rPr>
                <w:b/>
              </w:rPr>
              <w:t>Total</w:t>
            </w:r>
          </w:p>
        </w:tc>
      </w:tr>
      <w:tr w:rsidR="00FC6B96" w:rsidRPr="00280D65" w:rsidTr="00C76B8E">
        <w:trPr>
          <w:gridAfter w:val="3"/>
          <w:wAfter w:w="2829" w:type="dxa"/>
          <w:trHeight w:val="270"/>
        </w:trPr>
        <w:tc>
          <w:tcPr>
            <w:tcW w:w="5529" w:type="dxa"/>
            <w:gridSpan w:val="2"/>
            <w:tcBorders>
              <w:top w:val="nil"/>
              <w:left w:val="nil"/>
              <w:bottom w:val="nil"/>
              <w:right w:val="nil"/>
            </w:tcBorders>
            <w:shd w:val="clear" w:color="auto" w:fill="auto"/>
            <w:noWrap/>
            <w:vAlign w:val="bottom"/>
          </w:tcPr>
          <w:p w:rsidR="00FC6B96" w:rsidRPr="00280D65" w:rsidRDefault="00FC6B96" w:rsidP="00CA6985">
            <w:pPr>
              <w:rPr>
                <w:b/>
              </w:rPr>
            </w:pPr>
          </w:p>
        </w:tc>
        <w:tc>
          <w:tcPr>
            <w:tcW w:w="1868" w:type="dxa"/>
            <w:gridSpan w:val="3"/>
            <w:tcBorders>
              <w:top w:val="nil"/>
              <w:left w:val="nil"/>
              <w:bottom w:val="single" w:sz="12" w:space="0" w:color="auto"/>
              <w:right w:val="nil"/>
            </w:tcBorders>
            <w:shd w:val="clear" w:color="auto" w:fill="auto"/>
            <w:noWrap/>
            <w:vAlign w:val="bottom"/>
          </w:tcPr>
          <w:p w:rsidR="00FC6B96" w:rsidRPr="00280D65" w:rsidRDefault="00FC6B96" w:rsidP="00F41B77">
            <w:pPr>
              <w:jc w:val="right"/>
              <w:rPr>
                <w:b/>
              </w:rPr>
            </w:pPr>
            <w:r w:rsidRPr="00280D65">
              <w:rPr>
                <w:b/>
              </w:rPr>
              <w:t>£000</w:t>
            </w:r>
          </w:p>
        </w:tc>
        <w:tc>
          <w:tcPr>
            <w:tcW w:w="1766" w:type="dxa"/>
            <w:gridSpan w:val="3"/>
            <w:tcBorders>
              <w:top w:val="nil"/>
              <w:left w:val="nil"/>
              <w:bottom w:val="single" w:sz="12" w:space="0" w:color="auto"/>
              <w:right w:val="nil"/>
            </w:tcBorders>
            <w:shd w:val="clear" w:color="auto" w:fill="auto"/>
            <w:noWrap/>
            <w:vAlign w:val="bottom"/>
          </w:tcPr>
          <w:p w:rsidR="00FC6B96" w:rsidRPr="00280D65" w:rsidRDefault="00FC6B96" w:rsidP="00F41B77">
            <w:pPr>
              <w:jc w:val="right"/>
              <w:rPr>
                <w:b/>
              </w:rPr>
            </w:pPr>
            <w:r w:rsidRPr="00280D65">
              <w:rPr>
                <w:b/>
              </w:rPr>
              <w:t>£000</w:t>
            </w:r>
          </w:p>
        </w:tc>
        <w:tc>
          <w:tcPr>
            <w:tcW w:w="1555" w:type="dxa"/>
            <w:tcBorders>
              <w:top w:val="nil"/>
              <w:left w:val="nil"/>
              <w:bottom w:val="single" w:sz="12" w:space="0" w:color="auto"/>
              <w:right w:val="nil"/>
            </w:tcBorders>
            <w:shd w:val="clear" w:color="auto" w:fill="auto"/>
            <w:noWrap/>
            <w:vAlign w:val="bottom"/>
          </w:tcPr>
          <w:p w:rsidR="00FC6B96" w:rsidRPr="00280D65" w:rsidRDefault="00FC6B96" w:rsidP="00F41B77">
            <w:pPr>
              <w:jc w:val="right"/>
              <w:rPr>
                <w:b/>
              </w:rPr>
            </w:pPr>
            <w:r w:rsidRPr="00280D65">
              <w:rPr>
                <w:b/>
              </w:rPr>
              <w:t>£000</w:t>
            </w:r>
          </w:p>
        </w:tc>
      </w:tr>
      <w:tr w:rsidR="00FC6B96" w:rsidRPr="00280D65" w:rsidTr="00C76B8E">
        <w:trPr>
          <w:gridAfter w:val="9"/>
          <w:wAfter w:w="7329" w:type="dxa"/>
          <w:trHeight w:val="93"/>
        </w:trPr>
        <w:tc>
          <w:tcPr>
            <w:tcW w:w="5387" w:type="dxa"/>
            <w:tcBorders>
              <w:top w:val="nil"/>
              <w:left w:val="nil"/>
              <w:bottom w:val="nil"/>
              <w:right w:val="nil"/>
            </w:tcBorders>
            <w:shd w:val="clear" w:color="auto" w:fill="auto"/>
            <w:noWrap/>
            <w:vAlign w:val="bottom"/>
          </w:tcPr>
          <w:p w:rsidR="00FC6B96" w:rsidRPr="00280D65" w:rsidRDefault="00FC6B96" w:rsidP="00CA6985"/>
        </w:tc>
        <w:tc>
          <w:tcPr>
            <w:tcW w:w="831" w:type="dxa"/>
            <w:gridSpan w:val="2"/>
            <w:tcBorders>
              <w:top w:val="single" w:sz="12" w:space="0" w:color="auto"/>
              <w:left w:val="nil"/>
              <w:bottom w:val="nil"/>
              <w:right w:val="nil"/>
            </w:tcBorders>
            <w:shd w:val="clear" w:color="auto" w:fill="auto"/>
            <w:noWrap/>
            <w:vAlign w:val="bottom"/>
          </w:tcPr>
          <w:p w:rsidR="00FC6B96" w:rsidRPr="00280D65" w:rsidRDefault="00FC6B96" w:rsidP="00F41B77">
            <w:pPr>
              <w:jc w:val="right"/>
            </w:pPr>
          </w:p>
        </w:tc>
      </w:tr>
      <w:tr w:rsidR="00FC6B96" w:rsidRPr="00280D65" w:rsidTr="00C76B8E">
        <w:trPr>
          <w:gridAfter w:val="3"/>
          <w:wAfter w:w="2829" w:type="dxa"/>
          <w:trHeight w:val="510"/>
        </w:trPr>
        <w:tc>
          <w:tcPr>
            <w:tcW w:w="5529" w:type="dxa"/>
            <w:gridSpan w:val="2"/>
            <w:tcBorders>
              <w:top w:val="nil"/>
              <w:left w:val="nil"/>
              <w:bottom w:val="nil"/>
              <w:right w:val="nil"/>
            </w:tcBorders>
            <w:shd w:val="clear" w:color="auto" w:fill="auto"/>
            <w:vAlign w:val="bottom"/>
          </w:tcPr>
          <w:p w:rsidR="00FC6B96" w:rsidRPr="00280D65" w:rsidRDefault="00FC6B96" w:rsidP="00CA6985">
            <w:r w:rsidRPr="00280D65">
              <w:t>Final DSG for 201</w:t>
            </w:r>
            <w:r w:rsidR="00CA34E9" w:rsidRPr="00280D65">
              <w:t>1</w:t>
            </w:r>
            <w:r w:rsidRPr="00280D65">
              <w:t>/1</w:t>
            </w:r>
            <w:r w:rsidR="00CA34E9" w:rsidRPr="00280D65">
              <w:t>2</w:t>
            </w:r>
          </w:p>
          <w:p w:rsidR="00FC6B96" w:rsidRPr="00280D65" w:rsidRDefault="00FC6B96" w:rsidP="003D451F">
            <w:r w:rsidRPr="00280D65">
              <w:t>(am</w:t>
            </w:r>
            <w:r w:rsidR="00CA34E9" w:rsidRPr="00280D65">
              <w:t>ended for academies October 2011</w:t>
            </w:r>
            <w:r w:rsidRPr="00280D65">
              <w:t>)</w:t>
            </w:r>
          </w:p>
        </w:tc>
        <w:tc>
          <w:tcPr>
            <w:tcW w:w="2217" w:type="dxa"/>
            <w:gridSpan w:val="4"/>
            <w:tcBorders>
              <w:top w:val="nil"/>
              <w:left w:val="nil"/>
              <w:bottom w:val="nil"/>
              <w:right w:val="nil"/>
            </w:tcBorders>
            <w:shd w:val="clear" w:color="auto" w:fill="auto"/>
            <w:noWrap/>
            <w:vAlign w:val="bottom"/>
          </w:tcPr>
          <w:p w:rsidR="00FC6B96" w:rsidRPr="00280D65" w:rsidRDefault="007B1A11" w:rsidP="00F41B77">
            <w:pPr>
              <w:jc w:val="right"/>
            </w:pPr>
            <w:r w:rsidRPr="00280D65">
              <w:t>48,478</w:t>
            </w:r>
          </w:p>
        </w:tc>
        <w:tc>
          <w:tcPr>
            <w:tcW w:w="1417" w:type="dxa"/>
            <w:gridSpan w:val="2"/>
            <w:tcBorders>
              <w:top w:val="nil"/>
              <w:left w:val="nil"/>
              <w:bottom w:val="nil"/>
              <w:right w:val="nil"/>
            </w:tcBorders>
            <w:shd w:val="clear" w:color="auto" w:fill="auto"/>
            <w:noWrap/>
            <w:vAlign w:val="bottom"/>
          </w:tcPr>
          <w:p w:rsidR="00FC6B96" w:rsidRPr="00280D65" w:rsidRDefault="007B1A11" w:rsidP="00F41B77">
            <w:pPr>
              <w:jc w:val="right"/>
            </w:pPr>
            <w:r w:rsidRPr="00280D65">
              <w:t>711,707</w:t>
            </w:r>
          </w:p>
        </w:tc>
        <w:tc>
          <w:tcPr>
            <w:tcW w:w="1555" w:type="dxa"/>
            <w:tcBorders>
              <w:top w:val="nil"/>
              <w:left w:val="nil"/>
              <w:bottom w:val="nil"/>
              <w:right w:val="nil"/>
            </w:tcBorders>
            <w:shd w:val="clear" w:color="auto" w:fill="auto"/>
            <w:noWrap/>
            <w:vAlign w:val="bottom"/>
          </w:tcPr>
          <w:p w:rsidR="00FC6B96" w:rsidRPr="00280D65" w:rsidRDefault="007B1A11" w:rsidP="00F41B77">
            <w:pPr>
              <w:jc w:val="right"/>
            </w:pPr>
            <w:r w:rsidRPr="00280D65">
              <w:t>760,185</w:t>
            </w:r>
          </w:p>
        </w:tc>
      </w:tr>
      <w:tr w:rsidR="00CA34E9" w:rsidRPr="00280D65" w:rsidTr="00C76B8E">
        <w:trPr>
          <w:gridAfter w:val="3"/>
          <w:wAfter w:w="2829" w:type="dxa"/>
          <w:trHeight w:val="255"/>
        </w:trPr>
        <w:tc>
          <w:tcPr>
            <w:tcW w:w="5529" w:type="dxa"/>
            <w:gridSpan w:val="2"/>
            <w:tcBorders>
              <w:top w:val="nil"/>
              <w:left w:val="nil"/>
              <w:bottom w:val="nil"/>
              <w:right w:val="nil"/>
            </w:tcBorders>
            <w:shd w:val="clear" w:color="auto" w:fill="auto"/>
            <w:noWrap/>
            <w:vAlign w:val="bottom"/>
          </w:tcPr>
          <w:p w:rsidR="00CA34E9" w:rsidRPr="00280D65" w:rsidRDefault="00CA34E9" w:rsidP="00CA34E9">
            <w:r w:rsidRPr="00280D65">
              <w:t>Brought forward from 2010/11</w:t>
            </w:r>
          </w:p>
        </w:tc>
        <w:tc>
          <w:tcPr>
            <w:tcW w:w="2217" w:type="dxa"/>
            <w:gridSpan w:val="4"/>
            <w:tcBorders>
              <w:top w:val="nil"/>
              <w:left w:val="nil"/>
              <w:bottom w:val="nil"/>
              <w:right w:val="nil"/>
            </w:tcBorders>
            <w:shd w:val="clear" w:color="auto" w:fill="auto"/>
            <w:noWrap/>
            <w:vAlign w:val="bottom"/>
          </w:tcPr>
          <w:p w:rsidR="00CA34E9" w:rsidRPr="00280D65" w:rsidRDefault="00CA34E9" w:rsidP="00CA34E9">
            <w:pPr>
              <w:jc w:val="right"/>
            </w:pPr>
            <w:r w:rsidRPr="00280D65">
              <w:t>6,090</w:t>
            </w:r>
          </w:p>
        </w:tc>
        <w:tc>
          <w:tcPr>
            <w:tcW w:w="1417" w:type="dxa"/>
            <w:gridSpan w:val="2"/>
            <w:tcBorders>
              <w:top w:val="nil"/>
              <w:left w:val="nil"/>
              <w:bottom w:val="nil"/>
              <w:right w:val="nil"/>
            </w:tcBorders>
            <w:shd w:val="clear" w:color="auto" w:fill="auto"/>
            <w:noWrap/>
            <w:vAlign w:val="bottom"/>
          </w:tcPr>
          <w:p w:rsidR="00CA34E9" w:rsidRPr="00280D65" w:rsidRDefault="00CA34E9" w:rsidP="00CA34E9">
            <w:pPr>
              <w:jc w:val="right"/>
            </w:pPr>
            <w:r w:rsidRPr="00280D65">
              <w:t>-</w:t>
            </w:r>
          </w:p>
        </w:tc>
        <w:tc>
          <w:tcPr>
            <w:tcW w:w="1555" w:type="dxa"/>
            <w:tcBorders>
              <w:top w:val="nil"/>
              <w:left w:val="nil"/>
              <w:bottom w:val="nil"/>
              <w:right w:val="nil"/>
            </w:tcBorders>
            <w:shd w:val="clear" w:color="auto" w:fill="auto"/>
            <w:noWrap/>
            <w:vAlign w:val="bottom"/>
          </w:tcPr>
          <w:p w:rsidR="00CA34E9" w:rsidRPr="00280D65" w:rsidRDefault="00CA34E9" w:rsidP="00CA34E9">
            <w:pPr>
              <w:jc w:val="right"/>
            </w:pPr>
            <w:r w:rsidRPr="00280D65">
              <w:t>6,090</w:t>
            </w:r>
          </w:p>
        </w:tc>
      </w:tr>
      <w:tr w:rsidR="00CA34E9" w:rsidRPr="00280D65" w:rsidTr="00C76B8E">
        <w:trPr>
          <w:gridAfter w:val="3"/>
          <w:wAfter w:w="2829" w:type="dxa"/>
          <w:trHeight w:val="270"/>
        </w:trPr>
        <w:tc>
          <w:tcPr>
            <w:tcW w:w="5529" w:type="dxa"/>
            <w:gridSpan w:val="2"/>
            <w:tcBorders>
              <w:top w:val="nil"/>
              <w:left w:val="nil"/>
              <w:bottom w:val="nil"/>
              <w:right w:val="nil"/>
            </w:tcBorders>
            <w:shd w:val="clear" w:color="auto" w:fill="auto"/>
            <w:vAlign w:val="bottom"/>
          </w:tcPr>
          <w:p w:rsidR="00CA34E9" w:rsidRPr="00280D65" w:rsidRDefault="00CA34E9" w:rsidP="00CA34E9">
            <w:r w:rsidRPr="00280D65">
              <w:t>Carry forward to 2012/13 agreed in advance</w:t>
            </w:r>
          </w:p>
        </w:tc>
        <w:tc>
          <w:tcPr>
            <w:tcW w:w="2217" w:type="dxa"/>
            <w:gridSpan w:val="4"/>
            <w:tcBorders>
              <w:top w:val="nil"/>
              <w:left w:val="nil"/>
              <w:bottom w:val="single" w:sz="12" w:space="0" w:color="auto"/>
              <w:right w:val="nil"/>
            </w:tcBorders>
            <w:shd w:val="clear" w:color="auto" w:fill="auto"/>
            <w:noWrap/>
            <w:vAlign w:val="bottom"/>
          </w:tcPr>
          <w:p w:rsidR="00CA34E9" w:rsidRPr="00280D65" w:rsidRDefault="00CA34E9" w:rsidP="00F41B77">
            <w:pPr>
              <w:jc w:val="right"/>
            </w:pPr>
            <w:r w:rsidRPr="00280D65">
              <w:t>-</w:t>
            </w:r>
          </w:p>
        </w:tc>
        <w:tc>
          <w:tcPr>
            <w:tcW w:w="1417" w:type="dxa"/>
            <w:gridSpan w:val="2"/>
            <w:tcBorders>
              <w:top w:val="nil"/>
              <w:left w:val="nil"/>
              <w:bottom w:val="single" w:sz="12" w:space="0" w:color="auto"/>
              <w:right w:val="nil"/>
            </w:tcBorders>
            <w:shd w:val="clear" w:color="auto" w:fill="auto"/>
            <w:noWrap/>
            <w:vAlign w:val="bottom"/>
          </w:tcPr>
          <w:p w:rsidR="00CA34E9" w:rsidRPr="00280D65" w:rsidRDefault="00CA34E9" w:rsidP="00F41B77">
            <w:pPr>
              <w:jc w:val="right"/>
            </w:pPr>
            <w:r w:rsidRPr="00280D65">
              <w:t>-</w:t>
            </w:r>
          </w:p>
        </w:tc>
        <w:tc>
          <w:tcPr>
            <w:tcW w:w="1555" w:type="dxa"/>
            <w:tcBorders>
              <w:top w:val="nil"/>
              <w:left w:val="nil"/>
              <w:bottom w:val="single" w:sz="12" w:space="0" w:color="auto"/>
              <w:right w:val="nil"/>
            </w:tcBorders>
            <w:shd w:val="clear" w:color="auto" w:fill="auto"/>
            <w:noWrap/>
            <w:vAlign w:val="bottom"/>
          </w:tcPr>
          <w:p w:rsidR="00CA34E9" w:rsidRPr="00280D65" w:rsidRDefault="00CA34E9" w:rsidP="00F41B77">
            <w:pPr>
              <w:jc w:val="right"/>
            </w:pPr>
            <w:r w:rsidRPr="00280D65">
              <w:t>-</w:t>
            </w:r>
          </w:p>
        </w:tc>
      </w:tr>
      <w:tr w:rsidR="00CA34E9" w:rsidRPr="00280D65" w:rsidTr="00C76B8E">
        <w:trPr>
          <w:gridAfter w:val="3"/>
          <w:wAfter w:w="2829" w:type="dxa"/>
          <w:trHeight w:val="270"/>
        </w:trPr>
        <w:tc>
          <w:tcPr>
            <w:tcW w:w="5529" w:type="dxa"/>
            <w:gridSpan w:val="2"/>
            <w:tcBorders>
              <w:top w:val="nil"/>
              <w:left w:val="nil"/>
              <w:bottom w:val="nil"/>
              <w:right w:val="nil"/>
            </w:tcBorders>
            <w:shd w:val="clear" w:color="auto" w:fill="auto"/>
            <w:vAlign w:val="bottom"/>
          </w:tcPr>
          <w:p w:rsidR="00CA34E9" w:rsidRPr="00280D65" w:rsidRDefault="00CA34E9" w:rsidP="00CA34E9">
            <w:r w:rsidRPr="00280D65">
              <w:t>Agreed budgeted distribution in 2011/12</w:t>
            </w:r>
          </w:p>
        </w:tc>
        <w:tc>
          <w:tcPr>
            <w:tcW w:w="2217" w:type="dxa"/>
            <w:gridSpan w:val="4"/>
            <w:tcBorders>
              <w:top w:val="nil"/>
              <w:left w:val="nil"/>
              <w:bottom w:val="nil"/>
              <w:right w:val="nil"/>
            </w:tcBorders>
            <w:shd w:val="clear" w:color="auto" w:fill="auto"/>
            <w:noWrap/>
            <w:vAlign w:val="bottom"/>
          </w:tcPr>
          <w:p w:rsidR="00CA34E9" w:rsidRPr="00280D65" w:rsidRDefault="007B1A11" w:rsidP="00F41B77">
            <w:pPr>
              <w:jc w:val="right"/>
            </w:pPr>
            <w:r w:rsidRPr="00280D65">
              <w:t>54,568</w:t>
            </w:r>
          </w:p>
        </w:tc>
        <w:tc>
          <w:tcPr>
            <w:tcW w:w="1417" w:type="dxa"/>
            <w:gridSpan w:val="2"/>
            <w:tcBorders>
              <w:top w:val="nil"/>
              <w:left w:val="nil"/>
              <w:bottom w:val="nil"/>
              <w:right w:val="nil"/>
            </w:tcBorders>
            <w:shd w:val="clear" w:color="auto" w:fill="auto"/>
            <w:noWrap/>
            <w:vAlign w:val="bottom"/>
          </w:tcPr>
          <w:p w:rsidR="00CA34E9" w:rsidRPr="00280D65" w:rsidRDefault="007B1A11" w:rsidP="00F41B77">
            <w:pPr>
              <w:jc w:val="right"/>
            </w:pPr>
            <w:r w:rsidRPr="00280D65">
              <w:t>711,707</w:t>
            </w:r>
          </w:p>
        </w:tc>
        <w:tc>
          <w:tcPr>
            <w:tcW w:w="1555" w:type="dxa"/>
            <w:tcBorders>
              <w:top w:val="nil"/>
              <w:left w:val="nil"/>
              <w:bottom w:val="nil"/>
              <w:right w:val="nil"/>
            </w:tcBorders>
            <w:shd w:val="clear" w:color="auto" w:fill="auto"/>
            <w:noWrap/>
            <w:vAlign w:val="bottom"/>
          </w:tcPr>
          <w:p w:rsidR="00CA34E9" w:rsidRPr="00280D65" w:rsidRDefault="007B1A11" w:rsidP="00F41B77">
            <w:pPr>
              <w:jc w:val="right"/>
            </w:pPr>
            <w:r w:rsidRPr="00280D65">
              <w:t>766,275</w:t>
            </w:r>
          </w:p>
        </w:tc>
      </w:tr>
      <w:tr w:rsidR="00CA34E9" w:rsidRPr="00280D65" w:rsidTr="00C76B8E">
        <w:trPr>
          <w:gridAfter w:val="3"/>
          <w:wAfter w:w="2829" w:type="dxa"/>
          <w:trHeight w:val="255"/>
        </w:trPr>
        <w:tc>
          <w:tcPr>
            <w:tcW w:w="5529" w:type="dxa"/>
            <w:gridSpan w:val="2"/>
            <w:tcBorders>
              <w:top w:val="nil"/>
              <w:left w:val="nil"/>
              <w:bottom w:val="nil"/>
              <w:right w:val="nil"/>
            </w:tcBorders>
            <w:shd w:val="clear" w:color="auto" w:fill="auto"/>
            <w:noWrap/>
            <w:vAlign w:val="bottom"/>
          </w:tcPr>
          <w:p w:rsidR="00CA34E9" w:rsidRPr="00280D65" w:rsidRDefault="007B1A11" w:rsidP="00CA6985">
            <w:r w:rsidRPr="00280D65">
              <w:t>In year adjustment</w:t>
            </w:r>
          </w:p>
        </w:tc>
        <w:tc>
          <w:tcPr>
            <w:tcW w:w="2217" w:type="dxa"/>
            <w:gridSpan w:val="4"/>
            <w:tcBorders>
              <w:top w:val="nil"/>
              <w:left w:val="nil"/>
              <w:bottom w:val="nil"/>
              <w:right w:val="nil"/>
            </w:tcBorders>
            <w:shd w:val="clear" w:color="auto" w:fill="auto"/>
            <w:noWrap/>
            <w:vAlign w:val="bottom"/>
          </w:tcPr>
          <w:p w:rsidR="00CA34E9" w:rsidRPr="00280D65" w:rsidRDefault="00ED02D2" w:rsidP="00F41B77">
            <w:pPr>
              <w:jc w:val="right"/>
            </w:pPr>
            <w:r>
              <w:t>(38,056)</w:t>
            </w:r>
          </w:p>
        </w:tc>
        <w:tc>
          <w:tcPr>
            <w:tcW w:w="1417" w:type="dxa"/>
            <w:gridSpan w:val="2"/>
            <w:tcBorders>
              <w:top w:val="nil"/>
              <w:left w:val="nil"/>
              <w:bottom w:val="nil"/>
              <w:right w:val="nil"/>
            </w:tcBorders>
            <w:shd w:val="clear" w:color="auto" w:fill="auto"/>
            <w:noWrap/>
            <w:vAlign w:val="bottom"/>
          </w:tcPr>
          <w:p w:rsidR="00CA34E9" w:rsidRPr="00280D65" w:rsidRDefault="00CA34E9" w:rsidP="00F41B77">
            <w:pPr>
              <w:jc w:val="right"/>
            </w:pPr>
          </w:p>
        </w:tc>
        <w:tc>
          <w:tcPr>
            <w:tcW w:w="1555" w:type="dxa"/>
            <w:tcBorders>
              <w:top w:val="nil"/>
              <w:left w:val="nil"/>
              <w:bottom w:val="nil"/>
              <w:right w:val="nil"/>
            </w:tcBorders>
            <w:shd w:val="clear" w:color="auto" w:fill="auto"/>
            <w:noWrap/>
            <w:vAlign w:val="bottom"/>
          </w:tcPr>
          <w:p w:rsidR="00CA34E9" w:rsidRPr="00280D65" w:rsidRDefault="007B1A11" w:rsidP="00F41B77">
            <w:pPr>
              <w:jc w:val="right"/>
            </w:pPr>
            <w:r w:rsidRPr="00280D65">
              <w:t>(38,056)</w:t>
            </w:r>
          </w:p>
        </w:tc>
      </w:tr>
      <w:tr w:rsidR="00CA34E9" w:rsidRPr="00280D65" w:rsidTr="00C76B8E">
        <w:trPr>
          <w:gridAfter w:val="3"/>
          <w:wAfter w:w="2829" w:type="dxa"/>
          <w:trHeight w:val="285"/>
        </w:trPr>
        <w:tc>
          <w:tcPr>
            <w:tcW w:w="5529" w:type="dxa"/>
            <w:gridSpan w:val="2"/>
            <w:tcBorders>
              <w:top w:val="nil"/>
              <w:left w:val="nil"/>
              <w:bottom w:val="nil"/>
              <w:right w:val="nil"/>
            </w:tcBorders>
            <w:shd w:val="clear" w:color="auto" w:fill="auto"/>
            <w:noWrap/>
            <w:vAlign w:val="bottom"/>
          </w:tcPr>
          <w:p w:rsidR="00CA34E9" w:rsidRPr="00280D65" w:rsidRDefault="00280D65" w:rsidP="00CA34E9">
            <w:r w:rsidRPr="00280D65">
              <w:t>Final budget distribution for 2011/12</w:t>
            </w:r>
          </w:p>
        </w:tc>
        <w:tc>
          <w:tcPr>
            <w:tcW w:w="2217" w:type="dxa"/>
            <w:gridSpan w:val="4"/>
            <w:tcBorders>
              <w:top w:val="single" w:sz="12" w:space="0" w:color="auto"/>
              <w:left w:val="nil"/>
              <w:right w:val="nil"/>
            </w:tcBorders>
            <w:shd w:val="clear" w:color="auto" w:fill="auto"/>
            <w:noWrap/>
            <w:vAlign w:val="bottom"/>
          </w:tcPr>
          <w:p w:rsidR="00CA34E9" w:rsidRPr="00280D65" w:rsidRDefault="00280D65" w:rsidP="00F41B77">
            <w:pPr>
              <w:jc w:val="right"/>
            </w:pPr>
            <w:r w:rsidRPr="00280D65">
              <w:t>16,512</w:t>
            </w:r>
          </w:p>
        </w:tc>
        <w:tc>
          <w:tcPr>
            <w:tcW w:w="1417" w:type="dxa"/>
            <w:gridSpan w:val="2"/>
            <w:tcBorders>
              <w:top w:val="single" w:sz="12" w:space="0" w:color="auto"/>
              <w:left w:val="nil"/>
              <w:right w:val="nil"/>
            </w:tcBorders>
            <w:shd w:val="clear" w:color="auto" w:fill="auto"/>
            <w:noWrap/>
            <w:vAlign w:val="bottom"/>
          </w:tcPr>
          <w:p w:rsidR="00CA34E9" w:rsidRPr="00280D65" w:rsidRDefault="00280D65" w:rsidP="00F41B77">
            <w:pPr>
              <w:jc w:val="right"/>
            </w:pPr>
            <w:r w:rsidRPr="00280D65">
              <w:t>711,707</w:t>
            </w:r>
          </w:p>
        </w:tc>
        <w:tc>
          <w:tcPr>
            <w:tcW w:w="1555" w:type="dxa"/>
            <w:tcBorders>
              <w:top w:val="single" w:sz="12" w:space="0" w:color="auto"/>
              <w:left w:val="nil"/>
              <w:right w:val="nil"/>
            </w:tcBorders>
            <w:shd w:val="clear" w:color="auto" w:fill="auto"/>
            <w:noWrap/>
            <w:vAlign w:val="bottom"/>
          </w:tcPr>
          <w:p w:rsidR="00CA34E9" w:rsidRPr="00280D65" w:rsidRDefault="00280D65" w:rsidP="00F41B77">
            <w:pPr>
              <w:jc w:val="right"/>
            </w:pPr>
            <w:r w:rsidRPr="00280D65">
              <w:t>728,219</w:t>
            </w:r>
          </w:p>
        </w:tc>
      </w:tr>
      <w:tr w:rsidR="00280D65" w:rsidRPr="00280D65" w:rsidTr="00C76B8E">
        <w:trPr>
          <w:gridAfter w:val="3"/>
          <w:wAfter w:w="2829" w:type="dxa"/>
          <w:trHeight w:val="285"/>
        </w:trPr>
        <w:tc>
          <w:tcPr>
            <w:tcW w:w="5529" w:type="dxa"/>
            <w:gridSpan w:val="2"/>
            <w:tcBorders>
              <w:top w:val="nil"/>
              <w:left w:val="nil"/>
              <w:bottom w:val="nil"/>
              <w:right w:val="nil"/>
            </w:tcBorders>
            <w:shd w:val="clear" w:color="auto" w:fill="auto"/>
            <w:noWrap/>
            <w:vAlign w:val="bottom"/>
          </w:tcPr>
          <w:p w:rsidR="00280D65" w:rsidRPr="00280D65" w:rsidRDefault="00280D65" w:rsidP="00CA34E9">
            <w:r w:rsidRPr="00280D65">
              <w:t>Actual Central expenditure</w:t>
            </w:r>
          </w:p>
        </w:tc>
        <w:tc>
          <w:tcPr>
            <w:tcW w:w="2217" w:type="dxa"/>
            <w:gridSpan w:val="4"/>
            <w:tcBorders>
              <w:left w:val="nil"/>
              <w:right w:val="nil"/>
            </w:tcBorders>
            <w:shd w:val="clear" w:color="auto" w:fill="auto"/>
            <w:noWrap/>
            <w:vAlign w:val="bottom"/>
          </w:tcPr>
          <w:p w:rsidR="00280D65" w:rsidRPr="00280D65" w:rsidRDefault="00280D65" w:rsidP="00F41B77">
            <w:pPr>
              <w:jc w:val="right"/>
            </w:pPr>
            <w:r w:rsidRPr="00280D65">
              <w:t>-</w:t>
            </w:r>
          </w:p>
        </w:tc>
        <w:tc>
          <w:tcPr>
            <w:tcW w:w="1417" w:type="dxa"/>
            <w:gridSpan w:val="2"/>
            <w:tcBorders>
              <w:left w:val="nil"/>
              <w:right w:val="nil"/>
            </w:tcBorders>
            <w:shd w:val="clear" w:color="auto" w:fill="auto"/>
            <w:noWrap/>
            <w:vAlign w:val="bottom"/>
          </w:tcPr>
          <w:p w:rsidR="00280D65" w:rsidRPr="00280D65" w:rsidRDefault="00280D65" w:rsidP="00F41B77">
            <w:pPr>
              <w:jc w:val="right"/>
            </w:pPr>
            <w:r w:rsidRPr="00280D65">
              <w:t>-</w:t>
            </w:r>
          </w:p>
        </w:tc>
        <w:tc>
          <w:tcPr>
            <w:tcW w:w="1555" w:type="dxa"/>
            <w:tcBorders>
              <w:left w:val="nil"/>
              <w:right w:val="nil"/>
            </w:tcBorders>
            <w:shd w:val="clear" w:color="auto" w:fill="auto"/>
            <w:noWrap/>
            <w:vAlign w:val="bottom"/>
          </w:tcPr>
          <w:p w:rsidR="00280D65" w:rsidRPr="00280D65" w:rsidRDefault="00280D65" w:rsidP="00F41B77">
            <w:pPr>
              <w:jc w:val="right"/>
            </w:pPr>
            <w:r w:rsidRPr="00280D65">
              <w:t>-</w:t>
            </w:r>
          </w:p>
        </w:tc>
      </w:tr>
      <w:tr w:rsidR="00280D65" w:rsidRPr="00280D65" w:rsidTr="00C76B8E">
        <w:trPr>
          <w:gridAfter w:val="3"/>
          <w:wAfter w:w="2829" w:type="dxa"/>
          <w:trHeight w:val="285"/>
        </w:trPr>
        <w:tc>
          <w:tcPr>
            <w:tcW w:w="5529" w:type="dxa"/>
            <w:gridSpan w:val="2"/>
            <w:tcBorders>
              <w:top w:val="nil"/>
              <w:left w:val="nil"/>
              <w:bottom w:val="nil"/>
              <w:right w:val="nil"/>
            </w:tcBorders>
            <w:shd w:val="clear" w:color="auto" w:fill="auto"/>
            <w:noWrap/>
            <w:vAlign w:val="bottom"/>
          </w:tcPr>
          <w:p w:rsidR="00280D65" w:rsidRPr="00280D65" w:rsidRDefault="00280D65" w:rsidP="00CA34E9">
            <w:r w:rsidRPr="00280D65">
              <w:t>Actual ISB deployed to schools</w:t>
            </w:r>
          </w:p>
        </w:tc>
        <w:tc>
          <w:tcPr>
            <w:tcW w:w="2217" w:type="dxa"/>
            <w:gridSpan w:val="4"/>
            <w:tcBorders>
              <w:left w:val="nil"/>
              <w:right w:val="nil"/>
            </w:tcBorders>
            <w:shd w:val="clear" w:color="auto" w:fill="auto"/>
            <w:noWrap/>
            <w:vAlign w:val="bottom"/>
          </w:tcPr>
          <w:p w:rsidR="00280D65" w:rsidRPr="00280D65" w:rsidRDefault="00280D65" w:rsidP="00F41B77">
            <w:pPr>
              <w:jc w:val="right"/>
            </w:pPr>
            <w:r w:rsidRPr="00280D65">
              <w:t>-</w:t>
            </w:r>
          </w:p>
        </w:tc>
        <w:tc>
          <w:tcPr>
            <w:tcW w:w="1417" w:type="dxa"/>
            <w:gridSpan w:val="2"/>
            <w:tcBorders>
              <w:left w:val="nil"/>
              <w:right w:val="nil"/>
            </w:tcBorders>
            <w:shd w:val="clear" w:color="auto" w:fill="auto"/>
            <w:noWrap/>
            <w:vAlign w:val="bottom"/>
          </w:tcPr>
          <w:p w:rsidR="00280D65" w:rsidRPr="00280D65" w:rsidRDefault="00280D65" w:rsidP="00F41B77">
            <w:pPr>
              <w:jc w:val="right"/>
            </w:pPr>
            <w:r w:rsidRPr="00280D65">
              <w:t>(711,707)</w:t>
            </w:r>
          </w:p>
        </w:tc>
        <w:tc>
          <w:tcPr>
            <w:tcW w:w="1555" w:type="dxa"/>
            <w:tcBorders>
              <w:left w:val="nil"/>
              <w:right w:val="nil"/>
            </w:tcBorders>
            <w:shd w:val="clear" w:color="auto" w:fill="auto"/>
            <w:noWrap/>
            <w:vAlign w:val="bottom"/>
          </w:tcPr>
          <w:p w:rsidR="00280D65" w:rsidRPr="00280D65" w:rsidRDefault="00280D65" w:rsidP="00F41B77">
            <w:pPr>
              <w:jc w:val="right"/>
            </w:pPr>
            <w:r w:rsidRPr="00280D65">
              <w:t>(711,707)</w:t>
            </w:r>
          </w:p>
        </w:tc>
      </w:tr>
      <w:tr w:rsidR="00280D65" w:rsidRPr="00280D65" w:rsidTr="00C76B8E">
        <w:trPr>
          <w:gridAfter w:val="3"/>
          <w:wAfter w:w="2829" w:type="dxa"/>
          <w:trHeight w:val="285"/>
        </w:trPr>
        <w:tc>
          <w:tcPr>
            <w:tcW w:w="5529" w:type="dxa"/>
            <w:gridSpan w:val="2"/>
            <w:tcBorders>
              <w:top w:val="nil"/>
              <w:left w:val="nil"/>
              <w:bottom w:val="nil"/>
              <w:right w:val="nil"/>
            </w:tcBorders>
            <w:shd w:val="clear" w:color="auto" w:fill="auto"/>
            <w:noWrap/>
            <w:vAlign w:val="bottom"/>
          </w:tcPr>
          <w:p w:rsidR="00280D65" w:rsidRPr="00280D65" w:rsidRDefault="00280D65" w:rsidP="00CA34E9">
            <w:r w:rsidRPr="00280D65">
              <w:t>Local Authority contribution for 2011/12</w:t>
            </w:r>
          </w:p>
        </w:tc>
        <w:tc>
          <w:tcPr>
            <w:tcW w:w="2217" w:type="dxa"/>
            <w:gridSpan w:val="4"/>
            <w:tcBorders>
              <w:left w:val="nil"/>
              <w:bottom w:val="single" w:sz="12" w:space="0" w:color="auto"/>
              <w:right w:val="nil"/>
            </w:tcBorders>
            <w:shd w:val="clear" w:color="auto" w:fill="auto"/>
            <w:noWrap/>
            <w:vAlign w:val="bottom"/>
          </w:tcPr>
          <w:p w:rsidR="00280D65" w:rsidRPr="00280D65" w:rsidRDefault="00280D65" w:rsidP="00F41B77">
            <w:pPr>
              <w:jc w:val="right"/>
            </w:pPr>
            <w:r w:rsidRPr="00280D65">
              <w:t>-</w:t>
            </w:r>
          </w:p>
        </w:tc>
        <w:tc>
          <w:tcPr>
            <w:tcW w:w="1417" w:type="dxa"/>
            <w:gridSpan w:val="2"/>
            <w:tcBorders>
              <w:left w:val="nil"/>
              <w:bottom w:val="single" w:sz="12" w:space="0" w:color="auto"/>
              <w:right w:val="nil"/>
            </w:tcBorders>
            <w:shd w:val="clear" w:color="auto" w:fill="auto"/>
            <w:noWrap/>
            <w:vAlign w:val="bottom"/>
          </w:tcPr>
          <w:p w:rsidR="00280D65" w:rsidRPr="00280D65" w:rsidRDefault="00280D65" w:rsidP="00F41B77">
            <w:pPr>
              <w:jc w:val="right"/>
            </w:pPr>
            <w:r w:rsidRPr="00280D65">
              <w:t>-</w:t>
            </w:r>
          </w:p>
        </w:tc>
        <w:tc>
          <w:tcPr>
            <w:tcW w:w="1555" w:type="dxa"/>
            <w:tcBorders>
              <w:left w:val="nil"/>
              <w:bottom w:val="single" w:sz="12" w:space="0" w:color="auto"/>
              <w:right w:val="nil"/>
            </w:tcBorders>
            <w:shd w:val="clear" w:color="auto" w:fill="auto"/>
            <w:noWrap/>
            <w:vAlign w:val="bottom"/>
          </w:tcPr>
          <w:p w:rsidR="00280D65" w:rsidRPr="00280D65" w:rsidRDefault="00280D65" w:rsidP="00F41B77">
            <w:pPr>
              <w:jc w:val="right"/>
            </w:pPr>
            <w:r w:rsidRPr="00280D65">
              <w:t>-</w:t>
            </w:r>
          </w:p>
        </w:tc>
      </w:tr>
      <w:tr w:rsidR="00280D65" w:rsidRPr="00280D65" w:rsidTr="00C76B8E">
        <w:trPr>
          <w:gridAfter w:val="3"/>
          <w:wAfter w:w="2829" w:type="dxa"/>
          <w:trHeight w:val="285"/>
        </w:trPr>
        <w:tc>
          <w:tcPr>
            <w:tcW w:w="5529" w:type="dxa"/>
            <w:gridSpan w:val="2"/>
            <w:tcBorders>
              <w:top w:val="nil"/>
              <w:left w:val="nil"/>
              <w:bottom w:val="nil"/>
              <w:right w:val="nil"/>
            </w:tcBorders>
            <w:shd w:val="clear" w:color="auto" w:fill="auto"/>
            <w:noWrap/>
            <w:vAlign w:val="bottom"/>
          </w:tcPr>
          <w:p w:rsidR="00280D65" w:rsidRPr="00280D65" w:rsidRDefault="00280D65" w:rsidP="00CA34E9">
            <w:r w:rsidRPr="00280D65">
              <w:t>Carry forward to 2012/13</w:t>
            </w:r>
          </w:p>
        </w:tc>
        <w:tc>
          <w:tcPr>
            <w:tcW w:w="2217" w:type="dxa"/>
            <w:gridSpan w:val="4"/>
            <w:tcBorders>
              <w:top w:val="single" w:sz="12" w:space="0" w:color="auto"/>
              <w:left w:val="nil"/>
              <w:bottom w:val="single" w:sz="12" w:space="0" w:color="auto"/>
              <w:right w:val="nil"/>
            </w:tcBorders>
            <w:shd w:val="clear" w:color="auto" w:fill="auto"/>
            <w:noWrap/>
            <w:vAlign w:val="bottom"/>
          </w:tcPr>
          <w:p w:rsidR="00280D65" w:rsidRPr="00280D65" w:rsidRDefault="00280D65" w:rsidP="00F41B77">
            <w:pPr>
              <w:jc w:val="right"/>
            </w:pPr>
            <w:r w:rsidRPr="00280D65">
              <w:t>16,512</w:t>
            </w:r>
          </w:p>
        </w:tc>
        <w:tc>
          <w:tcPr>
            <w:tcW w:w="1417" w:type="dxa"/>
            <w:gridSpan w:val="2"/>
            <w:tcBorders>
              <w:top w:val="single" w:sz="12" w:space="0" w:color="auto"/>
              <w:left w:val="nil"/>
              <w:bottom w:val="single" w:sz="12" w:space="0" w:color="auto"/>
              <w:right w:val="nil"/>
            </w:tcBorders>
            <w:shd w:val="clear" w:color="auto" w:fill="auto"/>
            <w:noWrap/>
            <w:vAlign w:val="bottom"/>
          </w:tcPr>
          <w:p w:rsidR="00280D65" w:rsidRPr="00280D65" w:rsidRDefault="00280D65" w:rsidP="00F41B77">
            <w:pPr>
              <w:jc w:val="right"/>
            </w:pPr>
            <w:r w:rsidRPr="00280D65">
              <w:t>-</w:t>
            </w:r>
          </w:p>
        </w:tc>
        <w:tc>
          <w:tcPr>
            <w:tcW w:w="1555" w:type="dxa"/>
            <w:tcBorders>
              <w:top w:val="single" w:sz="12" w:space="0" w:color="auto"/>
              <w:left w:val="nil"/>
              <w:bottom w:val="single" w:sz="12" w:space="0" w:color="auto"/>
              <w:right w:val="nil"/>
            </w:tcBorders>
            <w:shd w:val="clear" w:color="auto" w:fill="auto"/>
            <w:noWrap/>
            <w:vAlign w:val="bottom"/>
          </w:tcPr>
          <w:p w:rsidR="00280D65" w:rsidRPr="00280D65" w:rsidRDefault="00280D65" w:rsidP="00F41B77">
            <w:pPr>
              <w:jc w:val="right"/>
            </w:pPr>
            <w:r w:rsidRPr="00280D65">
              <w:t>16,512</w:t>
            </w:r>
          </w:p>
        </w:tc>
      </w:tr>
      <w:tr w:rsidR="00CA34E9" w:rsidRPr="00280D65" w:rsidTr="00C76B8E">
        <w:trPr>
          <w:trHeight w:val="270"/>
        </w:trPr>
        <w:tc>
          <w:tcPr>
            <w:tcW w:w="6502" w:type="dxa"/>
            <w:gridSpan w:val="4"/>
            <w:tcBorders>
              <w:top w:val="nil"/>
              <w:left w:val="nil"/>
              <w:bottom w:val="nil"/>
              <w:right w:val="nil"/>
            </w:tcBorders>
            <w:shd w:val="clear" w:color="auto" w:fill="auto"/>
            <w:noWrap/>
            <w:vAlign w:val="bottom"/>
          </w:tcPr>
          <w:p w:rsidR="00CA34E9" w:rsidRPr="00280D65" w:rsidRDefault="00CA34E9" w:rsidP="00CA6985">
            <w:pPr>
              <w:rPr>
                <w:sz w:val="22"/>
              </w:rPr>
            </w:pPr>
            <w:r w:rsidRPr="00280D65">
              <w:rPr>
                <w:sz w:val="22"/>
              </w:rPr>
              <w:t xml:space="preserve"> </w:t>
            </w:r>
          </w:p>
        </w:tc>
        <w:tc>
          <w:tcPr>
            <w:tcW w:w="1244" w:type="dxa"/>
            <w:gridSpan w:val="2"/>
            <w:tcBorders>
              <w:top w:val="nil"/>
              <w:left w:val="nil"/>
              <w:bottom w:val="nil"/>
              <w:right w:val="nil"/>
            </w:tcBorders>
          </w:tcPr>
          <w:p w:rsidR="00CA34E9" w:rsidRPr="00280D65" w:rsidRDefault="00CA34E9" w:rsidP="00C85477">
            <w:pPr>
              <w:jc w:val="center"/>
              <w:rPr>
                <w:sz w:val="22"/>
              </w:rPr>
            </w:pPr>
          </w:p>
        </w:tc>
        <w:tc>
          <w:tcPr>
            <w:tcW w:w="1244" w:type="dxa"/>
            <w:tcBorders>
              <w:top w:val="nil"/>
              <w:left w:val="nil"/>
              <w:bottom w:val="nil"/>
              <w:right w:val="nil"/>
            </w:tcBorders>
            <w:shd w:val="clear" w:color="auto" w:fill="auto"/>
            <w:noWrap/>
            <w:vAlign w:val="bottom"/>
          </w:tcPr>
          <w:p w:rsidR="00CA34E9" w:rsidRPr="00280D65" w:rsidRDefault="00CA34E9" w:rsidP="00C85477">
            <w:pPr>
              <w:jc w:val="center"/>
              <w:rPr>
                <w:sz w:val="22"/>
              </w:rPr>
            </w:pPr>
          </w:p>
        </w:tc>
        <w:tc>
          <w:tcPr>
            <w:tcW w:w="2583" w:type="dxa"/>
            <w:gridSpan w:val="4"/>
            <w:tcBorders>
              <w:top w:val="nil"/>
              <w:left w:val="nil"/>
              <w:bottom w:val="nil"/>
              <w:right w:val="nil"/>
            </w:tcBorders>
            <w:shd w:val="clear" w:color="auto" w:fill="auto"/>
            <w:noWrap/>
            <w:vAlign w:val="bottom"/>
          </w:tcPr>
          <w:p w:rsidR="00CA34E9" w:rsidRPr="00280D65" w:rsidRDefault="00CA34E9" w:rsidP="00C85477">
            <w:pPr>
              <w:jc w:val="center"/>
              <w:rPr>
                <w:sz w:val="22"/>
              </w:rPr>
            </w:pPr>
          </w:p>
        </w:tc>
        <w:tc>
          <w:tcPr>
            <w:tcW w:w="1974" w:type="dxa"/>
            <w:tcBorders>
              <w:top w:val="nil"/>
              <w:left w:val="nil"/>
              <w:bottom w:val="nil"/>
              <w:right w:val="nil"/>
            </w:tcBorders>
            <w:shd w:val="clear" w:color="auto" w:fill="auto"/>
            <w:noWrap/>
            <w:vAlign w:val="bottom"/>
          </w:tcPr>
          <w:p w:rsidR="00CA34E9" w:rsidRPr="00280D65" w:rsidRDefault="00CA34E9" w:rsidP="00C85477">
            <w:pPr>
              <w:jc w:val="center"/>
              <w:rPr>
                <w:sz w:val="22"/>
              </w:rPr>
            </w:pPr>
          </w:p>
        </w:tc>
      </w:tr>
      <w:tr w:rsidR="00C76B8E" w:rsidRPr="00280D65" w:rsidTr="000A6733">
        <w:trPr>
          <w:trHeight w:val="255"/>
        </w:trPr>
        <w:tc>
          <w:tcPr>
            <w:tcW w:w="11573" w:type="dxa"/>
            <w:gridSpan w:val="11"/>
            <w:tcBorders>
              <w:top w:val="nil"/>
              <w:left w:val="nil"/>
              <w:bottom w:val="nil"/>
              <w:right w:val="nil"/>
            </w:tcBorders>
            <w:vAlign w:val="center"/>
          </w:tcPr>
          <w:p w:rsidR="00C76B8E" w:rsidRPr="00280D65" w:rsidRDefault="00C76B8E" w:rsidP="000A6733">
            <w:pPr>
              <w:rPr>
                <w:sz w:val="22"/>
              </w:rPr>
            </w:pPr>
          </w:p>
          <w:p w:rsidR="00C76B8E" w:rsidRPr="00280D65" w:rsidRDefault="00C76B8E" w:rsidP="000A6733">
            <w:pPr>
              <w:rPr>
                <w:sz w:val="22"/>
              </w:rPr>
            </w:pPr>
            <w:r w:rsidRPr="00280D65">
              <w:t>NB: The Individual Schools Budget, and spending by schools, is funded by sources other than Dedicated Schools Grant as set out below.</w:t>
            </w:r>
          </w:p>
        </w:tc>
        <w:tc>
          <w:tcPr>
            <w:tcW w:w="1974" w:type="dxa"/>
            <w:tcBorders>
              <w:top w:val="nil"/>
              <w:left w:val="nil"/>
              <w:right w:val="nil"/>
            </w:tcBorders>
            <w:shd w:val="clear" w:color="auto" w:fill="auto"/>
            <w:noWrap/>
            <w:vAlign w:val="bottom"/>
          </w:tcPr>
          <w:p w:rsidR="00C76B8E" w:rsidRPr="00280D65" w:rsidRDefault="00C76B8E" w:rsidP="00C85477">
            <w:pPr>
              <w:jc w:val="center"/>
              <w:rPr>
                <w:sz w:val="22"/>
              </w:rPr>
            </w:pPr>
          </w:p>
        </w:tc>
      </w:tr>
      <w:tr w:rsidR="00CA34E9" w:rsidRPr="00280D65" w:rsidTr="00C76B8E">
        <w:trPr>
          <w:gridAfter w:val="2"/>
          <w:wAfter w:w="2141" w:type="dxa"/>
          <w:trHeight w:val="765"/>
        </w:trPr>
        <w:tc>
          <w:tcPr>
            <w:tcW w:w="6502" w:type="dxa"/>
            <w:gridSpan w:val="4"/>
            <w:tcBorders>
              <w:top w:val="nil"/>
              <w:left w:val="nil"/>
              <w:bottom w:val="nil"/>
              <w:right w:val="nil"/>
            </w:tcBorders>
            <w:shd w:val="clear" w:color="auto" w:fill="auto"/>
            <w:vAlign w:val="bottom"/>
          </w:tcPr>
          <w:p w:rsidR="00CA34E9" w:rsidRPr="00280D65" w:rsidRDefault="00CA34E9" w:rsidP="00CA6985"/>
        </w:tc>
        <w:tc>
          <w:tcPr>
            <w:tcW w:w="1244" w:type="dxa"/>
            <w:gridSpan w:val="2"/>
            <w:tcBorders>
              <w:top w:val="nil"/>
              <w:left w:val="nil"/>
              <w:bottom w:val="nil"/>
              <w:right w:val="nil"/>
            </w:tcBorders>
            <w:vAlign w:val="bottom"/>
          </w:tcPr>
          <w:p w:rsidR="00CA34E9" w:rsidRPr="00280D65" w:rsidRDefault="00896742" w:rsidP="00896742">
            <w:pPr>
              <w:jc w:val="right"/>
              <w:rPr>
                <w:b/>
              </w:rPr>
            </w:pPr>
            <w:r w:rsidRPr="00280D65">
              <w:rPr>
                <w:b/>
              </w:rPr>
              <w:t>2011</w:t>
            </w:r>
            <w:r w:rsidR="00CA34E9" w:rsidRPr="00280D65">
              <w:rPr>
                <w:b/>
              </w:rPr>
              <w:t>/1</w:t>
            </w:r>
            <w:r w:rsidRPr="00280D65">
              <w:rPr>
                <w:b/>
              </w:rPr>
              <w:t>2</w:t>
            </w:r>
          </w:p>
        </w:tc>
        <w:tc>
          <w:tcPr>
            <w:tcW w:w="1244" w:type="dxa"/>
            <w:tcBorders>
              <w:top w:val="nil"/>
              <w:left w:val="nil"/>
              <w:bottom w:val="nil"/>
              <w:right w:val="nil"/>
            </w:tcBorders>
            <w:shd w:val="clear" w:color="auto" w:fill="auto"/>
            <w:noWrap/>
            <w:vAlign w:val="bottom"/>
          </w:tcPr>
          <w:p w:rsidR="00CA34E9" w:rsidRPr="00280D65" w:rsidRDefault="00CA34E9" w:rsidP="00896742">
            <w:pPr>
              <w:jc w:val="right"/>
              <w:rPr>
                <w:b/>
              </w:rPr>
            </w:pPr>
            <w:r w:rsidRPr="00280D65">
              <w:rPr>
                <w:b/>
              </w:rPr>
              <w:t>20</w:t>
            </w:r>
            <w:r w:rsidR="00896742" w:rsidRPr="00280D65">
              <w:rPr>
                <w:b/>
              </w:rPr>
              <w:t>10</w:t>
            </w:r>
            <w:r w:rsidRPr="00280D65">
              <w:rPr>
                <w:b/>
              </w:rPr>
              <w:t>/1</w:t>
            </w:r>
            <w:r w:rsidR="00896742" w:rsidRPr="00280D65">
              <w:rPr>
                <w:b/>
              </w:rPr>
              <w:t>1</w:t>
            </w:r>
          </w:p>
        </w:tc>
        <w:tc>
          <w:tcPr>
            <w:tcW w:w="2416" w:type="dxa"/>
            <w:gridSpan w:val="3"/>
            <w:tcBorders>
              <w:top w:val="nil"/>
              <w:left w:val="nil"/>
              <w:bottom w:val="nil"/>
              <w:right w:val="nil"/>
            </w:tcBorders>
            <w:shd w:val="clear" w:color="auto" w:fill="auto"/>
            <w:noWrap/>
            <w:vAlign w:val="bottom"/>
          </w:tcPr>
          <w:p w:rsidR="00CA34E9" w:rsidRPr="00280D65" w:rsidRDefault="00CA34E9" w:rsidP="00C85477">
            <w:pPr>
              <w:jc w:val="center"/>
              <w:rPr>
                <w:sz w:val="22"/>
              </w:rPr>
            </w:pPr>
          </w:p>
        </w:tc>
      </w:tr>
      <w:tr w:rsidR="00CA34E9" w:rsidRPr="00280D65" w:rsidTr="00C76B8E">
        <w:trPr>
          <w:gridAfter w:val="2"/>
          <w:wAfter w:w="2141" w:type="dxa"/>
          <w:trHeight w:val="100"/>
        </w:trPr>
        <w:tc>
          <w:tcPr>
            <w:tcW w:w="6502" w:type="dxa"/>
            <w:gridSpan w:val="4"/>
            <w:tcBorders>
              <w:top w:val="nil"/>
              <w:left w:val="nil"/>
              <w:bottom w:val="nil"/>
              <w:right w:val="nil"/>
            </w:tcBorders>
            <w:shd w:val="clear" w:color="auto" w:fill="auto"/>
            <w:vAlign w:val="bottom"/>
          </w:tcPr>
          <w:p w:rsidR="00CA34E9" w:rsidRPr="00280D65" w:rsidRDefault="00CA34E9" w:rsidP="00CA6985"/>
        </w:tc>
        <w:tc>
          <w:tcPr>
            <w:tcW w:w="1244" w:type="dxa"/>
            <w:gridSpan w:val="2"/>
            <w:tcBorders>
              <w:top w:val="nil"/>
              <w:left w:val="nil"/>
              <w:bottom w:val="nil"/>
              <w:right w:val="nil"/>
            </w:tcBorders>
            <w:vAlign w:val="bottom"/>
          </w:tcPr>
          <w:p w:rsidR="00CA34E9" w:rsidRPr="00280D65" w:rsidRDefault="00CA34E9" w:rsidP="00C72BC3">
            <w:pPr>
              <w:jc w:val="right"/>
              <w:rPr>
                <w:b/>
              </w:rPr>
            </w:pPr>
            <w:r w:rsidRPr="00280D65">
              <w:rPr>
                <w:b/>
              </w:rPr>
              <w:t>£000</w:t>
            </w:r>
          </w:p>
        </w:tc>
        <w:tc>
          <w:tcPr>
            <w:tcW w:w="1244" w:type="dxa"/>
            <w:tcBorders>
              <w:top w:val="nil"/>
              <w:left w:val="nil"/>
              <w:bottom w:val="nil"/>
              <w:right w:val="nil"/>
            </w:tcBorders>
            <w:shd w:val="clear" w:color="auto" w:fill="auto"/>
            <w:noWrap/>
            <w:vAlign w:val="bottom"/>
          </w:tcPr>
          <w:p w:rsidR="00CA34E9" w:rsidRPr="00280D65" w:rsidRDefault="00CA34E9" w:rsidP="00C72BC3">
            <w:pPr>
              <w:jc w:val="right"/>
              <w:rPr>
                <w:b/>
              </w:rPr>
            </w:pPr>
            <w:r w:rsidRPr="00280D65">
              <w:rPr>
                <w:b/>
              </w:rPr>
              <w:t>£000</w:t>
            </w:r>
          </w:p>
        </w:tc>
        <w:tc>
          <w:tcPr>
            <w:tcW w:w="2416" w:type="dxa"/>
            <w:gridSpan w:val="3"/>
            <w:tcBorders>
              <w:top w:val="nil"/>
              <w:left w:val="nil"/>
              <w:bottom w:val="nil"/>
              <w:right w:val="nil"/>
            </w:tcBorders>
            <w:shd w:val="clear" w:color="auto" w:fill="auto"/>
            <w:noWrap/>
            <w:vAlign w:val="bottom"/>
          </w:tcPr>
          <w:p w:rsidR="00CA34E9" w:rsidRPr="00280D65" w:rsidRDefault="00CA34E9" w:rsidP="00C85477">
            <w:pPr>
              <w:jc w:val="center"/>
              <w:rPr>
                <w:sz w:val="22"/>
              </w:rPr>
            </w:pPr>
          </w:p>
        </w:tc>
      </w:tr>
      <w:tr w:rsidR="00896742" w:rsidRPr="00280D65" w:rsidTr="00C76B8E">
        <w:trPr>
          <w:gridAfter w:val="2"/>
          <w:wAfter w:w="2141" w:type="dxa"/>
          <w:trHeight w:val="255"/>
        </w:trPr>
        <w:tc>
          <w:tcPr>
            <w:tcW w:w="6502" w:type="dxa"/>
            <w:gridSpan w:val="4"/>
            <w:tcBorders>
              <w:top w:val="nil"/>
              <w:left w:val="nil"/>
              <w:bottom w:val="nil"/>
              <w:right w:val="nil"/>
            </w:tcBorders>
            <w:shd w:val="clear" w:color="auto" w:fill="auto"/>
            <w:vAlign w:val="bottom"/>
          </w:tcPr>
          <w:p w:rsidR="00896742" w:rsidRPr="00280D65" w:rsidRDefault="00896742" w:rsidP="00CA6985">
            <w:r w:rsidRPr="00280D65">
              <w:t>Dedicated Schools Grant</w:t>
            </w:r>
          </w:p>
        </w:tc>
        <w:tc>
          <w:tcPr>
            <w:tcW w:w="1244" w:type="dxa"/>
            <w:gridSpan w:val="2"/>
            <w:tcBorders>
              <w:top w:val="nil"/>
              <w:left w:val="nil"/>
              <w:bottom w:val="nil"/>
              <w:right w:val="nil"/>
            </w:tcBorders>
            <w:vAlign w:val="bottom"/>
          </w:tcPr>
          <w:p w:rsidR="00896742" w:rsidRPr="00280D65" w:rsidRDefault="00280D65" w:rsidP="003D451F">
            <w:pPr>
              <w:jc w:val="right"/>
            </w:pPr>
            <w:r w:rsidRPr="00280D65">
              <w:t>711,707</w:t>
            </w:r>
          </w:p>
        </w:tc>
        <w:tc>
          <w:tcPr>
            <w:tcW w:w="1244" w:type="dxa"/>
            <w:tcBorders>
              <w:top w:val="nil"/>
              <w:left w:val="nil"/>
              <w:bottom w:val="nil"/>
              <w:right w:val="nil"/>
            </w:tcBorders>
            <w:shd w:val="clear" w:color="auto" w:fill="auto"/>
            <w:noWrap/>
            <w:vAlign w:val="bottom"/>
          </w:tcPr>
          <w:p w:rsidR="00896742" w:rsidRPr="00280D65" w:rsidRDefault="00896742" w:rsidP="00896742">
            <w:pPr>
              <w:jc w:val="right"/>
            </w:pPr>
            <w:r w:rsidRPr="00280D65">
              <w:t>620,341</w:t>
            </w:r>
          </w:p>
        </w:tc>
        <w:tc>
          <w:tcPr>
            <w:tcW w:w="2416" w:type="dxa"/>
            <w:gridSpan w:val="3"/>
            <w:tcBorders>
              <w:top w:val="nil"/>
              <w:left w:val="nil"/>
              <w:bottom w:val="nil"/>
              <w:right w:val="nil"/>
            </w:tcBorders>
            <w:shd w:val="clear" w:color="auto" w:fill="auto"/>
            <w:noWrap/>
            <w:vAlign w:val="bottom"/>
          </w:tcPr>
          <w:p w:rsidR="00896742" w:rsidRPr="00280D65" w:rsidRDefault="00896742" w:rsidP="00C85477">
            <w:pPr>
              <w:jc w:val="center"/>
              <w:rPr>
                <w:sz w:val="22"/>
              </w:rPr>
            </w:pPr>
          </w:p>
        </w:tc>
      </w:tr>
      <w:tr w:rsidR="00896742" w:rsidRPr="00280D65" w:rsidTr="00C76B8E">
        <w:trPr>
          <w:gridAfter w:val="2"/>
          <w:wAfter w:w="2141" w:type="dxa"/>
          <w:trHeight w:val="255"/>
        </w:trPr>
        <w:tc>
          <w:tcPr>
            <w:tcW w:w="6502" w:type="dxa"/>
            <w:gridSpan w:val="4"/>
            <w:tcBorders>
              <w:top w:val="nil"/>
              <w:left w:val="nil"/>
              <w:bottom w:val="nil"/>
              <w:right w:val="nil"/>
            </w:tcBorders>
            <w:shd w:val="clear" w:color="auto" w:fill="auto"/>
            <w:vAlign w:val="bottom"/>
          </w:tcPr>
          <w:p w:rsidR="00896742" w:rsidRPr="00280D65" w:rsidRDefault="00896742" w:rsidP="00CA6985">
            <w:r w:rsidRPr="00280D65">
              <w:t>Learning and Skills Council</w:t>
            </w:r>
          </w:p>
        </w:tc>
        <w:tc>
          <w:tcPr>
            <w:tcW w:w="1244" w:type="dxa"/>
            <w:gridSpan w:val="2"/>
            <w:tcBorders>
              <w:top w:val="nil"/>
              <w:left w:val="nil"/>
              <w:bottom w:val="nil"/>
              <w:right w:val="nil"/>
            </w:tcBorders>
            <w:vAlign w:val="bottom"/>
          </w:tcPr>
          <w:p w:rsidR="00896742" w:rsidRPr="00280D65" w:rsidRDefault="00280D65" w:rsidP="003D451F">
            <w:pPr>
              <w:jc w:val="right"/>
            </w:pPr>
            <w:r w:rsidRPr="00280D65">
              <w:t>19,501</w:t>
            </w:r>
          </w:p>
        </w:tc>
        <w:tc>
          <w:tcPr>
            <w:tcW w:w="1244" w:type="dxa"/>
            <w:tcBorders>
              <w:top w:val="nil"/>
              <w:left w:val="nil"/>
              <w:bottom w:val="nil"/>
              <w:right w:val="nil"/>
            </w:tcBorders>
            <w:shd w:val="clear" w:color="auto" w:fill="auto"/>
            <w:noWrap/>
            <w:vAlign w:val="bottom"/>
          </w:tcPr>
          <w:p w:rsidR="00896742" w:rsidRPr="00280D65" w:rsidRDefault="00896742" w:rsidP="00896742">
            <w:pPr>
              <w:jc w:val="right"/>
            </w:pPr>
            <w:r w:rsidRPr="00280D65">
              <w:t>26,019</w:t>
            </w:r>
          </w:p>
        </w:tc>
        <w:tc>
          <w:tcPr>
            <w:tcW w:w="2416" w:type="dxa"/>
            <w:gridSpan w:val="3"/>
            <w:tcBorders>
              <w:top w:val="nil"/>
              <w:left w:val="nil"/>
              <w:bottom w:val="nil"/>
              <w:right w:val="nil"/>
            </w:tcBorders>
            <w:shd w:val="clear" w:color="auto" w:fill="auto"/>
            <w:noWrap/>
            <w:vAlign w:val="bottom"/>
          </w:tcPr>
          <w:p w:rsidR="00896742" w:rsidRPr="00280D65" w:rsidRDefault="00896742" w:rsidP="00C85477">
            <w:pPr>
              <w:jc w:val="center"/>
              <w:rPr>
                <w:sz w:val="22"/>
              </w:rPr>
            </w:pPr>
          </w:p>
        </w:tc>
      </w:tr>
      <w:tr w:rsidR="00896742" w:rsidRPr="00280D65" w:rsidTr="00C76B8E">
        <w:trPr>
          <w:gridAfter w:val="2"/>
          <w:wAfter w:w="2141" w:type="dxa"/>
          <w:trHeight w:val="255"/>
        </w:trPr>
        <w:tc>
          <w:tcPr>
            <w:tcW w:w="6502" w:type="dxa"/>
            <w:gridSpan w:val="4"/>
            <w:tcBorders>
              <w:top w:val="nil"/>
              <w:left w:val="nil"/>
              <w:bottom w:val="nil"/>
              <w:right w:val="nil"/>
            </w:tcBorders>
            <w:shd w:val="clear" w:color="auto" w:fill="auto"/>
            <w:vAlign w:val="bottom"/>
          </w:tcPr>
          <w:p w:rsidR="00896742" w:rsidRPr="00280D65" w:rsidRDefault="00896742" w:rsidP="00CA6985">
            <w:r w:rsidRPr="00280D65">
              <w:t>School Standards Grant</w:t>
            </w:r>
          </w:p>
        </w:tc>
        <w:tc>
          <w:tcPr>
            <w:tcW w:w="1244" w:type="dxa"/>
            <w:gridSpan w:val="2"/>
            <w:tcBorders>
              <w:top w:val="nil"/>
              <w:left w:val="nil"/>
              <w:right w:val="nil"/>
            </w:tcBorders>
            <w:vAlign w:val="bottom"/>
          </w:tcPr>
          <w:p w:rsidR="00896742" w:rsidRPr="00280D65" w:rsidRDefault="00280D65" w:rsidP="003D451F">
            <w:pPr>
              <w:jc w:val="right"/>
            </w:pPr>
            <w:r w:rsidRPr="00280D65">
              <w:t>-</w:t>
            </w:r>
          </w:p>
        </w:tc>
        <w:tc>
          <w:tcPr>
            <w:tcW w:w="1244" w:type="dxa"/>
            <w:tcBorders>
              <w:top w:val="nil"/>
              <w:left w:val="nil"/>
              <w:right w:val="nil"/>
            </w:tcBorders>
            <w:shd w:val="clear" w:color="auto" w:fill="auto"/>
            <w:noWrap/>
            <w:vAlign w:val="bottom"/>
          </w:tcPr>
          <w:p w:rsidR="00896742" w:rsidRPr="00280D65" w:rsidRDefault="00896742" w:rsidP="00896742">
            <w:pPr>
              <w:jc w:val="right"/>
            </w:pPr>
            <w:r w:rsidRPr="00280D65">
              <w:t>36,848</w:t>
            </w:r>
          </w:p>
        </w:tc>
        <w:tc>
          <w:tcPr>
            <w:tcW w:w="2416" w:type="dxa"/>
            <w:gridSpan w:val="3"/>
            <w:tcBorders>
              <w:top w:val="nil"/>
              <w:left w:val="nil"/>
              <w:bottom w:val="nil"/>
              <w:right w:val="nil"/>
            </w:tcBorders>
            <w:shd w:val="clear" w:color="auto" w:fill="auto"/>
            <w:noWrap/>
            <w:vAlign w:val="bottom"/>
          </w:tcPr>
          <w:p w:rsidR="00896742" w:rsidRPr="00280D65" w:rsidRDefault="00896742" w:rsidP="00C85477">
            <w:pPr>
              <w:jc w:val="center"/>
              <w:rPr>
                <w:sz w:val="22"/>
              </w:rPr>
            </w:pPr>
          </w:p>
        </w:tc>
      </w:tr>
      <w:tr w:rsidR="00896742" w:rsidRPr="00280D65" w:rsidTr="00C76B8E">
        <w:trPr>
          <w:gridAfter w:val="2"/>
          <w:wAfter w:w="2141" w:type="dxa"/>
          <w:trHeight w:val="255"/>
        </w:trPr>
        <w:tc>
          <w:tcPr>
            <w:tcW w:w="6502" w:type="dxa"/>
            <w:gridSpan w:val="4"/>
            <w:tcBorders>
              <w:top w:val="nil"/>
              <w:left w:val="nil"/>
              <w:bottom w:val="nil"/>
              <w:right w:val="nil"/>
            </w:tcBorders>
            <w:shd w:val="clear" w:color="auto" w:fill="auto"/>
            <w:vAlign w:val="bottom"/>
          </w:tcPr>
          <w:p w:rsidR="00896742" w:rsidRPr="00280D65" w:rsidRDefault="00896742" w:rsidP="00CA6985">
            <w:r w:rsidRPr="00280D65">
              <w:t>Allocations from Central Items (Contingency, Schools in Difficulty etc)</w:t>
            </w:r>
          </w:p>
        </w:tc>
        <w:tc>
          <w:tcPr>
            <w:tcW w:w="1244" w:type="dxa"/>
            <w:gridSpan w:val="2"/>
            <w:tcBorders>
              <w:top w:val="nil"/>
              <w:left w:val="nil"/>
              <w:bottom w:val="single" w:sz="4" w:space="0" w:color="auto"/>
              <w:right w:val="nil"/>
            </w:tcBorders>
            <w:vAlign w:val="bottom"/>
          </w:tcPr>
          <w:p w:rsidR="00896742" w:rsidRPr="00280D65" w:rsidRDefault="00280D65" w:rsidP="003D451F">
            <w:pPr>
              <w:jc w:val="right"/>
            </w:pPr>
            <w:r w:rsidRPr="00280D65">
              <w:t>5,454</w:t>
            </w:r>
          </w:p>
        </w:tc>
        <w:tc>
          <w:tcPr>
            <w:tcW w:w="1244" w:type="dxa"/>
            <w:tcBorders>
              <w:top w:val="nil"/>
              <w:left w:val="nil"/>
              <w:bottom w:val="single" w:sz="4" w:space="0" w:color="auto"/>
              <w:right w:val="nil"/>
            </w:tcBorders>
            <w:shd w:val="clear" w:color="auto" w:fill="auto"/>
            <w:noWrap/>
            <w:vAlign w:val="bottom"/>
          </w:tcPr>
          <w:p w:rsidR="00896742" w:rsidRPr="00280D65" w:rsidRDefault="00896742" w:rsidP="00896742">
            <w:pPr>
              <w:jc w:val="right"/>
            </w:pPr>
            <w:r w:rsidRPr="00280D65">
              <w:t>2,152</w:t>
            </w:r>
          </w:p>
        </w:tc>
        <w:tc>
          <w:tcPr>
            <w:tcW w:w="2416" w:type="dxa"/>
            <w:gridSpan w:val="3"/>
            <w:tcBorders>
              <w:top w:val="nil"/>
              <w:left w:val="nil"/>
              <w:right w:val="nil"/>
            </w:tcBorders>
            <w:shd w:val="clear" w:color="auto" w:fill="auto"/>
            <w:noWrap/>
            <w:vAlign w:val="bottom"/>
          </w:tcPr>
          <w:p w:rsidR="00896742" w:rsidRPr="00280D65" w:rsidRDefault="00896742" w:rsidP="00C85477">
            <w:pPr>
              <w:jc w:val="center"/>
              <w:rPr>
                <w:sz w:val="22"/>
              </w:rPr>
            </w:pPr>
          </w:p>
        </w:tc>
      </w:tr>
      <w:tr w:rsidR="00896742" w:rsidRPr="00280D65" w:rsidTr="00C76B8E">
        <w:trPr>
          <w:gridAfter w:val="2"/>
          <w:wAfter w:w="2141" w:type="dxa"/>
          <w:trHeight w:val="255"/>
        </w:trPr>
        <w:tc>
          <w:tcPr>
            <w:tcW w:w="6502" w:type="dxa"/>
            <w:gridSpan w:val="4"/>
            <w:tcBorders>
              <w:top w:val="nil"/>
              <w:left w:val="nil"/>
              <w:bottom w:val="nil"/>
              <w:right w:val="nil"/>
            </w:tcBorders>
            <w:shd w:val="clear" w:color="auto" w:fill="auto"/>
            <w:vAlign w:val="bottom"/>
          </w:tcPr>
          <w:p w:rsidR="00896742" w:rsidRPr="00280D65" w:rsidRDefault="00896742" w:rsidP="00CA6985"/>
        </w:tc>
        <w:tc>
          <w:tcPr>
            <w:tcW w:w="1244" w:type="dxa"/>
            <w:gridSpan w:val="2"/>
            <w:tcBorders>
              <w:top w:val="single" w:sz="4" w:space="0" w:color="auto"/>
              <w:left w:val="nil"/>
              <w:right w:val="nil"/>
            </w:tcBorders>
            <w:vAlign w:val="bottom"/>
          </w:tcPr>
          <w:p w:rsidR="00896742" w:rsidRPr="00280D65" w:rsidRDefault="00280D65" w:rsidP="003D451F">
            <w:pPr>
              <w:jc w:val="right"/>
            </w:pPr>
            <w:r w:rsidRPr="00280D65">
              <w:t>736,662</w:t>
            </w:r>
          </w:p>
        </w:tc>
        <w:tc>
          <w:tcPr>
            <w:tcW w:w="1244" w:type="dxa"/>
            <w:tcBorders>
              <w:top w:val="single" w:sz="4" w:space="0" w:color="auto"/>
              <w:left w:val="nil"/>
              <w:right w:val="nil"/>
            </w:tcBorders>
            <w:shd w:val="clear" w:color="auto" w:fill="auto"/>
            <w:noWrap/>
            <w:vAlign w:val="bottom"/>
          </w:tcPr>
          <w:p w:rsidR="00896742" w:rsidRPr="00280D65" w:rsidRDefault="00896742" w:rsidP="00896742">
            <w:pPr>
              <w:jc w:val="right"/>
            </w:pPr>
            <w:r w:rsidRPr="00280D65">
              <w:t>685,360</w:t>
            </w:r>
          </w:p>
        </w:tc>
        <w:tc>
          <w:tcPr>
            <w:tcW w:w="2416" w:type="dxa"/>
            <w:gridSpan w:val="3"/>
            <w:tcBorders>
              <w:top w:val="nil"/>
              <w:left w:val="nil"/>
              <w:bottom w:val="nil"/>
              <w:right w:val="nil"/>
            </w:tcBorders>
            <w:shd w:val="clear" w:color="auto" w:fill="auto"/>
            <w:noWrap/>
            <w:vAlign w:val="bottom"/>
          </w:tcPr>
          <w:p w:rsidR="00896742" w:rsidRPr="00280D65" w:rsidRDefault="00896742" w:rsidP="00C85477">
            <w:pPr>
              <w:jc w:val="center"/>
              <w:rPr>
                <w:sz w:val="22"/>
              </w:rPr>
            </w:pPr>
          </w:p>
        </w:tc>
      </w:tr>
      <w:tr w:rsidR="00896742" w:rsidRPr="00280D65" w:rsidTr="00C76B8E">
        <w:trPr>
          <w:gridAfter w:val="2"/>
          <w:wAfter w:w="2141" w:type="dxa"/>
          <w:trHeight w:val="270"/>
        </w:trPr>
        <w:tc>
          <w:tcPr>
            <w:tcW w:w="6502" w:type="dxa"/>
            <w:gridSpan w:val="4"/>
            <w:tcBorders>
              <w:top w:val="nil"/>
              <w:left w:val="nil"/>
              <w:bottom w:val="nil"/>
              <w:right w:val="nil"/>
            </w:tcBorders>
            <w:shd w:val="clear" w:color="auto" w:fill="auto"/>
            <w:vAlign w:val="bottom"/>
          </w:tcPr>
          <w:p w:rsidR="00896742" w:rsidRPr="00280D65" w:rsidRDefault="00896742" w:rsidP="00CA6985">
            <w:r w:rsidRPr="00280D65">
              <w:t>Less Individual Schools Budget total expenditure</w:t>
            </w:r>
          </w:p>
        </w:tc>
        <w:tc>
          <w:tcPr>
            <w:tcW w:w="1244" w:type="dxa"/>
            <w:gridSpan w:val="2"/>
            <w:tcBorders>
              <w:top w:val="nil"/>
              <w:left w:val="nil"/>
              <w:bottom w:val="single" w:sz="4" w:space="0" w:color="auto"/>
              <w:right w:val="nil"/>
            </w:tcBorders>
            <w:vAlign w:val="bottom"/>
          </w:tcPr>
          <w:p w:rsidR="00896742" w:rsidRPr="00280D65" w:rsidRDefault="00E7030F" w:rsidP="003D451F">
            <w:pPr>
              <w:jc w:val="right"/>
            </w:pPr>
            <w:r>
              <w:t>(</w:t>
            </w:r>
            <w:r w:rsidR="00280D65" w:rsidRPr="00280D65">
              <w:t>733,881</w:t>
            </w:r>
            <w:r>
              <w:t>)</w:t>
            </w:r>
          </w:p>
        </w:tc>
        <w:tc>
          <w:tcPr>
            <w:tcW w:w="1244" w:type="dxa"/>
            <w:tcBorders>
              <w:top w:val="nil"/>
              <w:left w:val="nil"/>
              <w:bottom w:val="single" w:sz="4" w:space="0" w:color="auto"/>
              <w:right w:val="nil"/>
            </w:tcBorders>
            <w:shd w:val="clear" w:color="auto" w:fill="auto"/>
            <w:noWrap/>
            <w:vAlign w:val="bottom"/>
          </w:tcPr>
          <w:p w:rsidR="00896742" w:rsidRPr="00280D65" w:rsidRDefault="00896742" w:rsidP="00896742">
            <w:pPr>
              <w:jc w:val="right"/>
            </w:pPr>
            <w:r w:rsidRPr="00280D65">
              <w:t>(677,093)</w:t>
            </w:r>
          </w:p>
        </w:tc>
        <w:tc>
          <w:tcPr>
            <w:tcW w:w="2416" w:type="dxa"/>
            <w:gridSpan w:val="3"/>
            <w:tcBorders>
              <w:top w:val="nil"/>
              <w:left w:val="nil"/>
              <w:right w:val="nil"/>
            </w:tcBorders>
            <w:shd w:val="clear" w:color="auto" w:fill="auto"/>
            <w:noWrap/>
            <w:vAlign w:val="bottom"/>
          </w:tcPr>
          <w:p w:rsidR="00896742" w:rsidRPr="00280D65" w:rsidRDefault="00896742" w:rsidP="00C85477">
            <w:pPr>
              <w:jc w:val="center"/>
              <w:rPr>
                <w:sz w:val="22"/>
              </w:rPr>
            </w:pPr>
          </w:p>
        </w:tc>
      </w:tr>
      <w:tr w:rsidR="00896742" w:rsidRPr="00286C0E" w:rsidTr="00C76B8E">
        <w:trPr>
          <w:gridAfter w:val="2"/>
          <w:wAfter w:w="2141" w:type="dxa"/>
          <w:trHeight w:val="270"/>
        </w:trPr>
        <w:tc>
          <w:tcPr>
            <w:tcW w:w="6502" w:type="dxa"/>
            <w:gridSpan w:val="4"/>
            <w:tcBorders>
              <w:top w:val="nil"/>
              <w:left w:val="nil"/>
              <w:bottom w:val="nil"/>
              <w:right w:val="nil"/>
            </w:tcBorders>
            <w:shd w:val="clear" w:color="auto" w:fill="auto"/>
            <w:vAlign w:val="bottom"/>
          </w:tcPr>
          <w:p w:rsidR="00896742" w:rsidRPr="00280D65" w:rsidRDefault="00222252" w:rsidP="00CA6985">
            <w:r>
              <w:t>Contributions to</w:t>
            </w:r>
            <w:r w:rsidR="00896742" w:rsidRPr="00280D65">
              <w:t xml:space="preserve"> Individual School Balances</w:t>
            </w:r>
          </w:p>
        </w:tc>
        <w:tc>
          <w:tcPr>
            <w:tcW w:w="1244" w:type="dxa"/>
            <w:gridSpan w:val="2"/>
            <w:tcBorders>
              <w:top w:val="single" w:sz="4" w:space="0" w:color="auto"/>
              <w:left w:val="nil"/>
              <w:right w:val="nil"/>
            </w:tcBorders>
          </w:tcPr>
          <w:p w:rsidR="00896742" w:rsidRPr="00280D65" w:rsidRDefault="00280D65" w:rsidP="003D451F">
            <w:pPr>
              <w:jc w:val="right"/>
            </w:pPr>
            <w:r w:rsidRPr="00280D65">
              <w:t>2,781</w:t>
            </w:r>
          </w:p>
        </w:tc>
        <w:tc>
          <w:tcPr>
            <w:tcW w:w="1244" w:type="dxa"/>
            <w:tcBorders>
              <w:top w:val="single" w:sz="4" w:space="0" w:color="auto"/>
              <w:left w:val="nil"/>
              <w:right w:val="nil"/>
            </w:tcBorders>
            <w:shd w:val="clear" w:color="auto" w:fill="auto"/>
            <w:noWrap/>
          </w:tcPr>
          <w:p w:rsidR="00896742" w:rsidRPr="00280D65" w:rsidRDefault="00896742" w:rsidP="00896742">
            <w:pPr>
              <w:jc w:val="right"/>
            </w:pPr>
            <w:r w:rsidRPr="00280D65">
              <w:t>8,267</w:t>
            </w:r>
          </w:p>
        </w:tc>
        <w:tc>
          <w:tcPr>
            <w:tcW w:w="2416" w:type="dxa"/>
            <w:gridSpan w:val="3"/>
            <w:tcBorders>
              <w:top w:val="nil"/>
              <w:left w:val="nil"/>
              <w:right w:val="nil"/>
            </w:tcBorders>
            <w:shd w:val="clear" w:color="auto" w:fill="auto"/>
            <w:noWrap/>
            <w:vAlign w:val="bottom"/>
          </w:tcPr>
          <w:p w:rsidR="00896742" w:rsidRPr="00280D65" w:rsidRDefault="00896742" w:rsidP="00C85477">
            <w:pPr>
              <w:jc w:val="center"/>
              <w:rPr>
                <w:sz w:val="22"/>
              </w:rPr>
            </w:pPr>
          </w:p>
        </w:tc>
      </w:tr>
      <w:tr w:rsidR="00896742" w:rsidRPr="00F20241" w:rsidTr="00C76B8E">
        <w:trPr>
          <w:gridAfter w:val="2"/>
          <w:wAfter w:w="2141" w:type="dxa"/>
          <w:trHeight w:val="434"/>
        </w:trPr>
        <w:tc>
          <w:tcPr>
            <w:tcW w:w="6502" w:type="dxa"/>
            <w:gridSpan w:val="4"/>
            <w:tcBorders>
              <w:top w:val="nil"/>
              <w:left w:val="nil"/>
              <w:bottom w:val="nil"/>
              <w:right w:val="nil"/>
            </w:tcBorders>
            <w:shd w:val="clear" w:color="auto" w:fill="auto"/>
            <w:noWrap/>
            <w:vAlign w:val="bottom"/>
          </w:tcPr>
          <w:p w:rsidR="00896742" w:rsidRPr="00F20241" w:rsidRDefault="00896742" w:rsidP="00A165AC">
            <w:pPr>
              <w:rPr>
                <w:sz w:val="22"/>
              </w:rPr>
            </w:pPr>
          </w:p>
          <w:p w:rsidR="00F20241" w:rsidRPr="00F20241" w:rsidRDefault="00F20241" w:rsidP="00A165AC">
            <w:pPr>
              <w:rPr>
                <w:sz w:val="22"/>
              </w:rPr>
            </w:pPr>
          </w:p>
          <w:p w:rsidR="00F20241" w:rsidRPr="00F20241" w:rsidRDefault="00F20241" w:rsidP="00A165AC">
            <w:pPr>
              <w:rPr>
                <w:sz w:val="22"/>
              </w:rPr>
            </w:pPr>
          </w:p>
          <w:p w:rsidR="00F20241" w:rsidRPr="00F20241" w:rsidRDefault="00F20241" w:rsidP="00A165AC">
            <w:pPr>
              <w:rPr>
                <w:sz w:val="22"/>
              </w:rPr>
            </w:pPr>
          </w:p>
          <w:p w:rsidR="00F20241" w:rsidRPr="00F20241" w:rsidRDefault="00F20241" w:rsidP="00A165AC">
            <w:pPr>
              <w:rPr>
                <w:sz w:val="22"/>
              </w:rPr>
            </w:pPr>
          </w:p>
          <w:p w:rsidR="00F20241" w:rsidRPr="00F20241" w:rsidRDefault="00F20241" w:rsidP="00A165AC">
            <w:pPr>
              <w:rPr>
                <w:sz w:val="22"/>
              </w:rPr>
            </w:pPr>
          </w:p>
          <w:p w:rsidR="00896742" w:rsidRPr="00F20241" w:rsidRDefault="00896742" w:rsidP="00A165AC">
            <w:pPr>
              <w:rPr>
                <w:sz w:val="22"/>
              </w:rPr>
            </w:pPr>
          </w:p>
        </w:tc>
        <w:tc>
          <w:tcPr>
            <w:tcW w:w="1244" w:type="dxa"/>
            <w:gridSpan w:val="2"/>
            <w:tcBorders>
              <w:left w:val="nil"/>
              <w:bottom w:val="nil"/>
              <w:right w:val="nil"/>
            </w:tcBorders>
          </w:tcPr>
          <w:p w:rsidR="00896742" w:rsidRPr="00F20241" w:rsidRDefault="00896742" w:rsidP="00C85477">
            <w:pPr>
              <w:jc w:val="center"/>
              <w:rPr>
                <w:sz w:val="22"/>
              </w:rPr>
            </w:pPr>
          </w:p>
        </w:tc>
        <w:tc>
          <w:tcPr>
            <w:tcW w:w="1244" w:type="dxa"/>
            <w:tcBorders>
              <w:left w:val="nil"/>
              <w:bottom w:val="nil"/>
              <w:right w:val="nil"/>
            </w:tcBorders>
            <w:shd w:val="clear" w:color="auto" w:fill="auto"/>
            <w:noWrap/>
            <w:vAlign w:val="bottom"/>
          </w:tcPr>
          <w:p w:rsidR="00896742" w:rsidRPr="00F20241" w:rsidRDefault="00896742" w:rsidP="00C85477">
            <w:pPr>
              <w:jc w:val="center"/>
              <w:rPr>
                <w:sz w:val="22"/>
              </w:rPr>
            </w:pPr>
          </w:p>
        </w:tc>
        <w:tc>
          <w:tcPr>
            <w:tcW w:w="2416" w:type="dxa"/>
            <w:gridSpan w:val="3"/>
            <w:tcBorders>
              <w:left w:val="nil"/>
              <w:bottom w:val="nil"/>
              <w:right w:val="nil"/>
            </w:tcBorders>
            <w:shd w:val="clear" w:color="auto" w:fill="auto"/>
            <w:noWrap/>
            <w:vAlign w:val="bottom"/>
          </w:tcPr>
          <w:p w:rsidR="00896742" w:rsidRPr="00F20241" w:rsidRDefault="00896742" w:rsidP="00C85477">
            <w:pPr>
              <w:jc w:val="center"/>
              <w:rPr>
                <w:sz w:val="22"/>
              </w:rPr>
            </w:pPr>
          </w:p>
        </w:tc>
      </w:tr>
    </w:tbl>
    <w:p w:rsidR="00A165AC" w:rsidRPr="00F20241" w:rsidRDefault="00A165AC" w:rsidP="00BD07E4">
      <w:pPr>
        <w:numPr>
          <w:ilvl w:val="0"/>
          <w:numId w:val="21"/>
        </w:numPr>
        <w:spacing w:after="240"/>
        <w:rPr>
          <w:b/>
        </w:rPr>
      </w:pPr>
      <w:r w:rsidRPr="00F20241">
        <w:rPr>
          <w:b/>
        </w:rPr>
        <w:t>Council Tax</w:t>
      </w:r>
    </w:p>
    <w:p w:rsidR="00A165AC" w:rsidRDefault="00A165AC" w:rsidP="00A165AC">
      <w:pPr>
        <w:spacing w:after="240"/>
        <w:ind w:left="720"/>
        <w:jc w:val="both"/>
      </w:pPr>
      <w:r w:rsidRPr="00F20241">
        <w:t>Each district council (the "billing authority") collects Council Tax on our behalf and pays it into their collection fund.  We then levy a precept on those collection funds to raise the Council's council tax income.  We also receive a share of any surplus or deficit in respect of previous year's council tax collections.</w:t>
      </w:r>
    </w:p>
    <w:p w:rsidR="000F6D80" w:rsidRPr="00F20241" w:rsidRDefault="000F6D80" w:rsidP="00A165AC">
      <w:pPr>
        <w:spacing w:after="240"/>
        <w:ind w:left="720"/>
        <w:jc w:val="both"/>
      </w:pPr>
    </w:p>
    <w:tbl>
      <w:tblPr>
        <w:tblW w:w="10394" w:type="dxa"/>
        <w:tblLook w:val="04A0"/>
      </w:tblPr>
      <w:tblGrid>
        <w:gridCol w:w="7490"/>
        <w:gridCol w:w="1452"/>
        <w:gridCol w:w="1452"/>
      </w:tblGrid>
      <w:tr w:rsidR="00DF60C4" w:rsidRPr="00F20241" w:rsidTr="00D87413">
        <w:trPr>
          <w:trHeight w:val="284"/>
        </w:trPr>
        <w:tc>
          <w:tcPr>
            <w:tcW w:w="0" w:type="auto"/>
          </w:tcPr>
          <w:p w:rsidR="00DF60C4" w:rsidRPr="00F20241" w:rsidRDefault="00DF60C4" w:rsidP="00E74F2D">
            <w:pPr>
              <w:spacing w:after="240"/>
              <w:jc w:val="both"/>
            </w:pPr>
          </w:p>
        </w:tc>
        <w:tc>
          <w:tcPr>
            <w:tcW w:w="0" w:type="auto"/>
            <w:vAlign w:val="bottom"/>
          </w:tcPr>
          <w:p w:rsidR="00DF60C4" w:rsidRPr="00F20241" w:rsidRDefault="00DF60C4" w:rsidP="00896742">
            <w:pPr>
              <w:spacing w:after="240"/>
              <w:jc w:val="right"/>
              <w:rPr>
                <w:b/>
              </w:rPr>
            </w:pPr>
            <w:r>
              <w:rPr>
                <w:b/>
                <w:bCs/>
              </w:rPr>
              <w:t>2011/12</w:t>
            </w:r>
          </w:p>
        </w:tc>
        <w:tc>
          <w:tcPr>
            <w:tcW w:w="0" w:type="auto"/>
            <w:vAlign w:val="center"/>
          </w:tcPr>
          <w:p w:rsidR="00DF60C4" w:rsidRPr="00F20241" w:rsidRDefault="00DF60C4" w:rsidP="00896742">
            <w:pPr>
              <w:spacing w:after="240"/>
              <w:jc w:val="right"/>
              <w:rPr>
                <w:b/>
              </w:rPr>
            </w:pPr>
            <w:r w:rsidRPr="00F20241">
              <w:rPr>
                <w:b/>
              </w:rPr>
              <w:t>2010/11</w:t>
            </w:r>
          </w:p>
        </w:tc>
      </w:tr>
      <w:tr w:rsidR="00DF60C4" w:rsidRPr="00F20241" w:rsidTr="00D87413">
        <w:trPr>
          <w:trHeight w:val="284"/>
        </w:trPr>
        <w:tc>
          <w:tcPr>
            <w:tcW w:w="0" w:type="auto"/>
          </w:tcPr>
          <w:p w:rsidR="00DF60C4" w:rsidRPr="00F20241" w:rsidRDefault="00DF60C4" w:rsidP="00E74F2D">
            <w:pPr>
              <w:spacing w:after="240"/>
              <w:jc w:val="both"/>
            </w:pPr>
          </w:p>
        </w:tc>
        <w:tc>
          <w:tcPr>
            <w:tcW w:w="0" w:type="auto"/>
            <w:tcBorders>
              <w:bottom w:val="single" w:sz="4" w:space="0" w:color="auto"/>
            </w:tcBorders>
            <w:vAlign w:val="bottom"/>
          </w:tcPr>
          <w:p w:rsidR="00DF60C4" w:rsidRPr="00F20241" w:rsidRDefault="00DF60C4" w:rsidP="00C72BC3">
            <w:pPr>
              <w:spacing w:after="240"/>
              <w:jc w:val="right"/>
              <w:rPr>
                <w:b/>
              </w:rPr>
            </w:pPr>
            <w:r>
              <w:rPr>
                <w:b/>
                <w:bCs/>
              </w:rPr>
              <w:t>£'000's</w:t>
            </w:r>
          </w:p>
        </w:tc>
        <w:tc>
          <w:tcPr>
            <w:tcW w:w="0" w:type="auto"/>
            <w:tcBorders>
              <w:bottom w:val="single" w:sz="4" w:space="0" w:color="auto"/>
            </w:tcBorders>
            <w:vAlign w:val="center"/>
          </w:tcPr>
          <w:p w:rsidR="00DF60C4" w:rsidRPr="00F20241" w:rsidRDefault="00DF60C4" w:rsidP="00C72BC3">
            <w:pPr>
              <w:spacing w:after="240"/>
              <w:jc w:val="right"/>
              <w:rPr>
                <w:b/>
              </w:rPr>
            </w:pPr>
            <w:r w:rsidRPr="00F20241">
              <w:rPr>
                <w:b/>
              </w:rPr>
              <w:t>£000</w:t>
            </w:r>
            <w:r w:rsidR="00432AE2">
              <w:rPr>
                <w:b/>
              </w:rPr>
              <w:t>'s</w:t>
            </w:r>
          </w:p>
        </w:tc>
      </w:tr>
      <w:tr w:rsidR="00DF60C4" w:rsidRPr="00F20241" w:rsidTr="00D87413">
        <w:trPr>
          <w:trHeight w:val="500"/>
        </w:trPr>
        <w:tc>
          <w:tcPr>
            <w:tcW w:w="0" w:type="auto"/>
          </w:tcPr>
          <w:p w:rsidR="00DF60C4" w:rsidRPr="00F20241" w:rsidRDefault="00DF60C4" w:rsidP="00E74F2D">
            <w:pPr>
              <w:spacing w:after="240"/>
              <w:jc w:val="both"/>
            </w:pPr>
            <w:r w:rsidRPr="00F20241">
              <w:t>Precept from district council collection funds</w:t>
            </w:r>
          </w:p>
        </w:tc>
        <w:tc>
          <w:tcPr>
            <w:tcW w:w="0" w:type="auto"/>
            <w:tcBorders>
              <w:top w:val="single" w:sz="4" w:space="0" w:color="auto"/>
            </w:tcBorders>
            <w:vAlign w:val="bottom"/>
          </w:tcPr>
          <w:p w:rsidR="00DF60C4" w:rsidRPr="00432AE2" w:rsidRDefault="00DF60C4" w:rsidP="000601B1">
            <w:pPr>
              <w:spacing w:after="240"/>
              <w:jc w:val="right"/>
            </w:pPr>
            <w:r w:rsidRPr="00432AE2">
              <w:t>(426,349)</w:t>
            </w:r>
          </w:p>
        </w:tc>
        <w:tc>
          <w:tcPr>
            <w:tcW w:w="0" w:type="auto"/>
            <w:tcBorders>
              <w:top w:val="single" w:sz="4" w:space="0" w:color="auto"/>
            </w:tcBorders>
          </w:tcPr>
          <w:p w:rsidR="00DF60C4" w:rsidRPr="00F20241" w:rsidRDefault="00DF60C4" w:rsidP="00896742">
            <w:pPr>
              <w:spacing w:after="240"/>
              <w:jc w:val="right"/>
            </w:pPr>
            <w:r w:rsidRPr="00F20241">
              <w:t>(423,623)</w:t>
            </w:r>
          </w:p>
        </w:tc>
      </w:tr>
      <w:tr w:rsidR="00DF60C4" w:rsidRPr="00F20241" w:rsidTr="00D87413">
        <w:trPr>
          <w:trHeight w:val="500"/>
        </w:trPr>
        <w:tc>
          <w:tcPr>
            <w:tcW w:w="0" w:type="auto"/>
          </w:tcPr>
          <w:p w:rsidR="00DF60C4" w:rsidRPr="00F20241" w:rsidRDefault="00DF60C4" w:rsidP="00EB4420">
            <w:pPr>
              <w:spacing w:after="240"/>
              <w:jc w:val="both"/>
            </w:pPr>
            <w:r w:rsidRPr="00F20241">
              <w:t xml:space="preserve">Collection fund </w:t>
            </w:r>
            <w:r>
              <w:t>(</w:t>
            </w:r>
            <w:r w:rsidRPr="00F20241">
              <w:t>surplus</w:t>
            </w:r>
            <w:r>
              <w:t>)</w:t>
            </w:r>
            <w:r w:rsidRPr="00F20241">
              <w:t xml:space="preserve">/losses </w:t>
            </w:r>
          </w:p>
        </w:tc>
        <w:tc>
          <w:tcPr>
            <w:tcW w:w="0" w:type="auto"/>
            <w:tcBorders>
              <w:bottom w:val="single" w:sz="4" w:space="0" w:color="auto"/>
            </w:tcBorders>
            <w:vAlign w:val="bottom"/>
          </w:tcPr>
          <w:p w:rsidR="00DF60C4" w:rsidRPr="00432AE2" w:rsidRDefault="00DF60C4" w:rsidP="009D5D50">
            <w:pPr>
              <w:spacing w:after="240"/>
              <w:jc w:val="right"/>
            </w:pPr>
            <w:r w:rsidRPr="00432AE2">
              <w:t>1,521</w:t>
            </w:r>
          </w:p>
        </w:tc>
        <w:tc>
          <w:tcPr>
            <w:tcW w:w="0" w:type="auto"/>
            <w:tcBorders>
              <w:bottom w:val="single" w:sz="4" w:space="0" w:color="auto"/>
            </w:tcBorders>
          </w:tcPr>
          <w:p w:rsidR="00DF60C4" w:rsidRPr="00F20241" w:rsidRDefault="00DF60C4" w:rsidP="00896742">
            <w:pPr>
              <w:spacing w:after="240"/>
              <w:jc w:val="right"/>
            </w:pPr>
            <w:r w:rsidRPr="00F20241">
              <w:t>1,170</w:t>
            </w:r>
          </w:p>
        </w:tc>
      </w:tr>
      <w:tr w:rsidR="00DF60C4" w:rsidRPr="00F20241" w:rsidTr="00D87413">
        <w:trPr>
          <w:trHeight w:val="520"/>
        </w:trPr>
        <w:tc>
          <w:tcPr>
            <w:tcW w:w="0" w:type="auto"/>
          </w:tcPr>
          <w:p w:rsidR="00DF60C4" w:rsidRPr="00F20241" w:rsidRDefault="00DF60C4" w:rsidP="00E74F2D">
            <w:pPr>
              <w:spacing w:after="240"/>
              <w:jc w:val="both"/>
            </w:pPr>
            <w:r w:rsidRPr="00F20241">
              <w:t>Budgeted council tax for the year paid by billing authorities</w:t>
            </w:r>
          </w:p>
        </w:tc>
        <w:tc>
          <w:tcPr>
            <w:tcW w:w="0" w:type="auto"/>
            <w:tcBorders>
              <w:top w:val="single" w:sz="4" w:space="0" w:color="auto"/>
            </w:tcBorders>
            <w:vAlign w:val="bottom"/>
          </w:tcPr>
          <w:p w:rsidR="00DF60C4" w:rsidRPr="00432AE2" w:rsidRDefault="00DF60C4" w:rsidP="00E94123">
            <w:pPr>
              <w:spacing w:after="240"/>
              <w:jc w:val="right"/>
            </w:pPr>
            <w:r w:rsidRPr="00432AE2">
              <w:t>(424,828)</w:t>
            </w:r>
          </w:p>
        </w:tc>
        <w:tc>
          <w:tcPr>
            <w:tcW w:w="0" w:type="auto"/>
            <w:tcBorders>
              <w:top w:val="single" w:sz="4" w:space="0" w:color="auto"/>
            </w:tcBorders>
          </w:tcPr>
          <w:p w:rsidR="00DF60C4" w:rsidRPr="00F20241" w:rsidRDefault="00DF60C4" w:rsidP="00896742">
            <w:pPr>
              <w:spacing w:after="240"/>
              <w:jc w:val="right"/>
            </w:pPr>
            <w:r w:rsidRPr="00F20241">
              <w:t>(422,453)</w:t>
            </w:r>
          </w:p>
        </w:tc>
      </w:tr>
      <w:tr w:rsidR="00DF60C4" w:rsidRPr="00F20241" w:rsidTr="00D87413">
        <w:trPr>
          <w:trHeight w:val="500"/>
        </w:trPr>
        <w:tc>
          <w:tcPr>
            <w:tcW w:w="0" w:type="auto"/>
          </w:tcPr>
          <w:p w:rsidR="00DF60C4" w:rsidRPr="00F20241" w:rsidRDefault="00DF60C4" w:rsidP="00E74F2D">
            <w:pPr>
              <w:spacing w:after="240"/>
              <w:jc w:val="both"/>
            </w:pPr>
            <w:r w:rsidRPr="00F20241">
              <w:t>Billing authorities collection fund accruals</w:t>
            </w:r>
          </w:p>
        </w:tc>
        <w:tc>
          <w:tcPr>
            <w:tcW w:w="0" w:type="auto"/>
            <w:tcBorders>
              <w:bottom w:val="single" w:sz="4" w:space="0" w:color="auto"/>
            </w:tcBorders>
            <w:vAlign w:val="bottom"/>
          </w:tcPr>
          <w:p w:rsidR="00DF60C4" w:rsidRPr="00432AE2" w:rsidRDefault="00DF60C4" w:rsidP="00E94123">
            <w:pPr>
              <w:spacing w:after="240"/>
              <w:jc w:val="right"/>
            </w:pPr>
            <w:r w:rsidRPr="00432AE2">
              <w:t>(351)</w:t>
            </w:r>
          </w:p>
        </w:tc>
        <w:tc>
          <w:tcPr>
            <w:tcW w:w="0" w:type="auto"/>
            <w:tcBorders>
              <w:bottom w:val="single" w:sz="4" w:space="0" w:color="auto"/>
            </w:tcBorders>
          </w:tcPr>
          <w:p w:rsidR="00DF60C4" w:rsidRPr="00F20241" w:rsidRDefault="00DF60C4" w:rsidP="00896742">
            <w:pPr>
              <w:spacing w:after="240"/>
              <w:jc w:val="right"/>
            </w:pPr>
            <w:r w:rsidRPr="00F20241">
              <w:t>(2,425)</w:t>
            </w:r>
          </w:p>
        </w:tc>
      </w:tr>
      <w:tr w:rsidR="00DF60C4" w:rsidRPr="00286C0E" w:rsidTr="00D87413">
        <w:trPr>
          <w:trHeight w:val="520"/>
        </w:trPr>
        <w:tc>
          <w:tcPr>
            <w:tcW w:w="0" w:type="auto"/>
          </w:tcPr>
          <w:p w:rsidR="00DF60C4" w:rsidRPr="00F20241" w:rsidRDefault="00DF60C4" w:rsidP="00E74F2D">
            <w:pPr>
              <w:spacing w:after="240"/>
              <w:jc w:val="both"/>
              <w:rPr>
                <w:b/>
              </w:rPr>
            </w:pPr>
            <w:r w:rsidRPr="00F20241">
              <w:rPr>
                <w:b/>
              </w:rPr>
              <w:t>Total Council Tax income shown in the accounts</w:t>
            </w:r>
          </w:p>
        </w:tc>
        <w:tc>
          <w:tcPr>
            <w:tcW w:w="0" w:type="auto"/>
            <w:tcBorders>
              <w:top w:val="single" w:sz="4" w:space="0" w:color="auto"/>
              <w:bottom w:val="double" w:sz="6" w:space="0" w:color="auto"/>
            </w:tcBorders>
            <w:vAlign w:val="bottom"/>
          </w:tcPr>
          <w:p w:rsidR="00DF60C4" w:rsidRPr="00432AE2" w:rsidRDefault="00DF60C4" w:rsidP="00E94123">
            <w:pPr>
              <w:spacing w:after="240"/>
              <w:jc w:val="right"/>
              <w:rPr>
                <w:b/>
              </w:rPr>
            </w:pPr>
            <w:r w:rsidRPr="00432AE2">
              <w:t>(425,179)</w:t>
            </w:r>
          </w:p>
        </w:tc>
        <w:tc>
          <w:tcPr>
            <w:tcW w:w="0" w:type="auto"/>
            <w:tcBorders>
              <w:top w:val="single" w:sz="4" w:space="0" w:color="auto"/>
              <w:bottom w:val="double" w:sz="6" w:space="0" w:color="auto"/>
            </w:tcBorders>
          </w:tcPr>
          <w:p w:rsidR="00DF60C4" w:rsidRPr="00F20241" w:rsidRDefault="00DF60C4" w:rsidP="00896742">
            <w:pPr>
              <w:spacing w:after="240"/>
              <w:jc w:val="right"/>
              <w:rPr>
                <w:b/>
              </w:rPr>
            </w:pPr>
            <w:r w:rsidRPr="00F20241">
              <w:rPr>
                <w:b/>
              </w:rPr>
              <w:t>(424,878)</w:t>
            </w:r>
          </w:p>
        </w:tc>
      </w:tr>
    </w:tbl>
    <w:p w:rsidR="007A2FDC" w:rsidRPr="00F20241" w:rsidRDefault="007A2FDC" w:rsidP="00EC667A">
      <w:pPr>
        <w:spacing w:after="240"/>
        <w:rPr>
          <w:b/>
        </w:rPr>
      </w:pPr>
    </w:p>
    <w:p w:rsidR="00BC1301" w:rsidRPr="00F20241" w:rsidRDefault="00BC1301" w:rsidP="00BD07E4">
      <w:pPr>
        <w:numPr>
          <w:ilvl w:val="0"/>
          <w:numId w:val="21"/>
        </w:numPr>
        <w:spacing w:after="240"/>
        <w:rPr>
          <w:b/>
        </w:rPr>
      </w:pPr>
      <w:r w:rsidRPr="00F20241">
        <w:rPr>
          <w:b/>
        </w:rPr>
        <w:t>Publicity</w:t>
      </w:r>
    </w:p>
    <w:p w:rsidR="00BC1301" w:rsidRPr="00F20241" w:rsidRDefault="00BC1301" w:rsidP="00BC1301">
      <w:pPr>
        <w:spacing w:after="240"/>
        <w:ind w:left="720"/>
        <w:jc w:val="both"/>
      </w:pPr>
      <w:r w:rsidRPr="00F20241">
        <w:t>Under section 5 of the Local Government Act 1986 we must declare separately our spending on pu</w:t>
      </w:r>
      <w:r w:rsidR="00896742" w:rsidRPr="00F20241">
        <w:t>blicity during the year. In 2011</w:t>
      </w:r>
      <w:r w:rsidRPr="00F20241">
        <w:t>/1</w:t>
      </w:r>
      <w:r w:rsidR="00896742" w:rsidRPr="00F20241">
        <w:t>2</w:t>
      </w:r>
      <w:r w:rsidRPr="00F20241">
        <w:t xml:space="preserve"> we spent £</w:t>
      </w:r>
      <w:r w:rsidR="00F20241" w:rsidRPr="00F20241">
        <w:t>1,754</w:t>
      </w:r>
      <w:r w:rsidR="00896742" w:rsidRPr="00F20241">
        <w:t xml:space="preserve"> </w:t>
      </w:r>
      <w:r w:rsidRPr="00F20241">
        <w:t>million on publicity as set out below.</w:t>
      </w:r>
    </w:p>
    <w:tbl>
      <w:tblPr>
        <w:tblW w:w="0" w:type="auto"/>
        <w:tblInd w:w="738" w:type="dxa"/>
        <w:tblLayout w:type="fixed"/>
        <w:tblLook w:val="0000"/>
      </w:tblPr>
      <w:tblGrid>
        <w:gridCol w:w="5112"/>
        <w:gridCol w:w="1688"/>
        <w:gridCol w:w="1642"/>
      </w:tblGrid>
      <w:tr w:rsidR="00BC1301" w:rsidRPr="00F20241" w:rsidTr="00E51FE0">
        <w:trPr>
          <w:cantSplit/>
        </w:trPr>
        <w:tc>
          <w:tcPr>
            <w:tcW w:w="5112" w:type="dxa"/>
          </w:tcPr>
          <w:p w:rsidR="00BC1301" w:rsidRPr="00F20241" w:rsidRDefault="00BC1301" w:rsidP="00D335FF">
            <w:pPr>
              <w:rPr>
                <w:sz w:val="22"/>
              </w:rPr>
            </w:pPr>
          </w:p>
        </w:tc>
        <w:tc>
          <w:tcPr>
            <w:tcW w:w="1688" w:type="dxa"/>
          </w:tcPr>
          <w:p w:rsidR="00BC1301" w:rsidRPr="00F20241" w:rsidRDefault="00BC1301" w:rsidP="00C72BC3">
            <w:pPr>
              <w:jc w:val="right"/>
              <w:rPr>
                <w:b/>
                <w:sz w:val="22"/>
              </w:rPr>
            </w:pPr>
          </w:p>
        </w:tc>
        <w:tc>
          <w:tcPr>
            <w:tcW w:w="1642" w:type="dxa"/>
            <w:shd w:val="clear" w:color="00FFFF" w:fill="auto"/>
          </w:tcPr>
          <w:p w:rsidR="00BC1301" w:rsidRPr="00F20241" w:rsidRDefault="00BC1301" w:rsidP="00C72BC3">
            <w:pPr>
              <w:jc w:val="right"/>
              <w:rPr>
                <w:b/>
                <w:sz w:val="22"/>
              </w:rPr>
            </w:pPr>
          </w:p>
        </w:tc>
      </w:tr>
      <w:tr w:rsidR="00E51FE0" w:rsidRPr="00F20241" w:rsidTr="00E51FE0">
        <w:trPr>
          <w:cantSplit/>
        </w:trPr>
        <w:tc>
          <w:tcPr>
            <w:tcW w:w="5112" w:type="dxa"/>
          </w:tcPr>
          <w:p w:rsidR="00E51FE0" w:rsidRPr="00F20241" w:rsidRDefault="00E51FE0" w:rsidP="00D335FF"/>
        </w:tc>
        <w:tc>
          <w:tcPr>
            <w:tcW w:w="1688" w:type="dxa"/>
          </w:tcPr>
          <w:p w:rsidR="00E51FE0" w:rsidRPr="00F20241" w:rsidRDefault="00896742" w:rsidP="00896742">
            <w:pPr>
              <w:jc w:val="right"/>
              <w:rPr>
                <w:b/>
              </w:rPr>
            </w:pPr>
            <w:r w:rsidRPr="00F20241">
              <w:rPr>
                <w:b/>
              </w:rPr>
              <w:t>2011</w:t>
            </w:r>
            <w:r w:rsidR="00E51FE0" w:rsidRPr="00F20241">
              <w:rPr>
                <w:b/>
              </w:rPr>
              <w:t>/1</w:t>
            </w:r>
            <w:r w:rsidRPr="00F20241">
              <w:rPr>
                <w:b/>
              </w:rPr>
              <w:t>2</w:t>
            </w:r>
          </w:p>
        </w:tc>
        <w:tc>
          <w:tcPr>
            <w:tcW w:w="1642" w:type="dxa"/>
            <w:shd w:val="clear" w:color="00FFFF" w:fill="auto"/>
          </w:tcPr>
          <w:p w:rsidR="00E51FE0" w:rsidRPr="00F20241" w:rsidRDefault="00896742" w:rsidP="00896742">
            <w:pPr>
              <w:jc w:val="right"/>
            </w:pPr>
            <w:r w:rsidRPr="00F20241">
              <w:rPr>
                <w:b/>
              </w:rPr>
              <w:t>2010</w:t>
            </w:r>
            <w:r w:rsidR="00E51FE0" w:rsidRPr="00F20241">
              <w:rPr>
                <w:b/>
              </w:rPr>
              <w:t>/1</w:t>
            </w:r>
            <w:r w:rsidRPr="00F20241">
              <w:rPr>
                <w:b/>
              </w:rPr>
              <w:t>1</w:t>
            </w:r>
          </w:p>
        </w:tc>
      </w:tr>
      <w:tr w:rsidR="00E51FE0" w:rsidRPr="00F20241" w:rsidTr="00E51FE0">
        <w:trPr>
          <w:cantSplit/>
        </w:trPr>
        <w:tc>
          <w:tcPr>
            <w:tcW w:w="5112" w:type="dxa"/>
          </w:tcPr>
          <w:p w:rsidR="00E51FE0" w:rsidRPr="00F20241" w:rsidRDefault="00E51FE0" w:rsidP="00D335FF"/>
        </w:tc>
        <w:tc>
          <w:tcPr>
            <w:tcW w:w="1688" w:type="dxa"/>
            <w:tcBorders>
              <w:bottom w:val="single" w:sz="4" w:space="0" w:color="auto"/>
            </w:tcBorders>
          </w:tcPr>
          <w:p w:rsidR="00E51FE0" w:rsidRPr="00F20241" w:rsidRDefault="00E51FE0" w:rsidP="00C72BC3">
            <w:pPr>
              <w:jc w:val="right"/>
              <w:rPr>
                <w:b/>
              </w:rPr>
            </w:pPr>
            <w:r w:rsidRPr="00F20241">
              <w:rPr>
                <w:b/>
              </w:rPr>
              <w:t>£000</w:t>
            </w:r>
          </w:p>
        </w:tc>
        <w:tc>
          <w:tcPr>
            <w:tcW w:w="1642" w:type="dxa"/>
            <w:tcBorders>
              <w:bottom w:val="single" w:sz="4" w:space="0" w:color="auto"/>
            </w:tcBorders>
            <w:shd w:val="clear" w:color="00FFFF" w:fill="auto"/>
          </w:tcPr>
          <w:p w:rsidR="00E51FE0" w:rsidRPr="00F20241" w:rsidRDefault="00E51FE0" w:rsidP="00C72BC3">
            <w:pPr>
              <w:jc w:val="right"/>
              <w:rPr>
                <w:b/>
              </w:rPr>
            </w:pPr>
            <w:r w:rsidRPr="00F20241">
              <w:rPr>
                <w:b/>
              </w:rPr>
              <w:t>£000</w:t>
            </w:r>
          </w:p>
        </w:tc>
      </w:tr>
      <w:tr w:rsidR="00896742" w:rsidRPr="00F20241" w:rsidTr="00E51FE0">
        <w:trPr>
          <w:cantSplit/>
          <w:trHeight w:val="288"/>
        </w:trPr>
        <w:tc>
          <w:tcPr>
            <w:tcW w:w="5112" w:type="dxa"/>
            <w:vAlign w:val="bottom"/>
          </w:tcPr>
          <w:p w:rsidR="00896742" w:rsidRPr="00F20241" w:rsidRDefault="00896742" w:rsidP="00D335FF">
            <w:pPr>
              <w:tabs>
                <w:tab w:val="left" w:pos="0"/>
              </w:tabs>
              <w:spacing w:after="120"/>
            </w:pPr>
            <w:r w:rsidRPr="00F20241">
              <w:t>Recruitment advertising</w:t>
            </w:r>
          </w:p>
        </w:tc>
        <w:tc>
          <w:tcPr>
            <w:tcW w:w="1688" w:type="dxa"/>
          </w:tcPr>
          <w:p w:rsidR="00896742" w:rsidRPr="00F20241" w:rsidRDefault="00F20241" w:rsidP="001011DC">
            <w:pPr>
              <w:pStyle w:val="Footer"/>
              <w:tabs>
                <w:tab w:val="clear" w:pos="4153"/>
                <w:tab w:val="clear" w:pos="8306"/>
                <w:tab w:val="decimal" w:pos="1102"/>
              </w:tabs>
              <w:spacing w:after="120"/>
              <w:jc w:val="right"/>
            </w:pPr>
            <w:r w:rsidRPr="00F20241">
              <w:t>109</w:t>
            </w:r>
          </w:p>
        </w:tc>
        <w:tc>
          <w:tcPr>
            <w:tcW w:w="1642" w:type="dxa"/>
            <w:shd w:val="clear" w:color="00FFFF" w:fill="auto"/>
          </w:tcPr>
          <w:p w:rsidR="00896742" w:rsidRPr="00F20241" w:rsidRDefault="00896742" w:rsidP="00896742">
            <w:pPr>
              <w:pStyle w:val="Footer"/>
              <w:tabs>
                <w:tab w:val="clear" w:pos="4153"/>
                <w:tab w:val="clear" w:pos="8306"/>
                <w:tab w:val="decimal" w:pos="1102"/>
              </w:tabs>
              <w:spacing w:after="120"/>
              <w:jc w:val="right"/>
            </w:pPr>
            <w:r w:rsidRPr="00F20241">
              <w:t>393</w:t>
            </w:r>
          </w:p>
        </w:tc>
      </w:tr>
      <w:tr w:rsidR="00896742" w:rsidRPr="00F20241" w:rsidTr="00E51FE0">
        <w:trPr>
          <w:cantSplit/>
        </w:trPr>
        <w:tc>
          <w:tcPr>
            <w:tcW w:w="5112" w:type="dxa"/>
            <w:vAlign w:val="bottom"/>
          </w:tcPr>
          <w:p w:rsidR="00896742" w:rsidRPr="00F20241" w:rsidRDefault="00896742" w:rsidP="00D335FF">
            <w:pPr>
              <w:tabs>
                <w:tab w:val="left" w:pos="0"/>
              </w:tabs>
              <w:spacing w:after="120"/>
            </w:pPr>
            <w:r w:rsidRPr="00F20241">
              <w:t>County information centres</w:t>
            </w:r>
          </w:p>
        </w:tc>
        <w:tc>
          <w:tcPr>
            <w:tcW w:w="1688" w:type="dxa"/>
          </w:tcPr>
          <w:p w:rsidR="00896742" w:rsidRPr="00F20241" w:rsidRDefault="00F20241" w:rsidP="001011DC">
            <w:pPr>
              <w:pStyle w:val="Footer"/>
              <w:tabs>
                <w:tab w:val="clear" w:pos="4153"/>
                <w:tab w:val="clear" w:pos="8306"/>
                <w:tab w:val="decimal" w:pos="1102"/>
              </w:tabs>
              <w:spacing w:after="120"/>
              <w:jc w:val="right"/>
            </w:pPr>
            <w:r w:rsidRPr="00F20241">
              <w:t>40</w:t>
            </w:r>
          </w:p>
        </w:tc>
        <w:tc>
          <w:tcPr>
            <w:tcW w:w="1642" w:type="dxa"/>
            <w:shd w:val="clear" w:color="00FFFF" w:fill="auto"/>
          </w:tcPr>
          <w:p w:rsidR="00896742" w:rsidRPr="00F20241" w:rsidRDefault="00896742" w:rsidP="00896742">
            <w:pPr>
              <w:pStyle w:val="Footer"/>
              <w:tabs>
                <w:tab w:val="clear" w:pos="4153"/>
                <w:tab w:val="clear" w:pos="8306"/>
                <w:tab w:val="decimal" w:pos="1102"/>
              </w:tabs>
              <w:spacing w:after="120"/>
              <w:jc w:val="right"/>
            </w:pPr>
            <w:r w:rsidRPr="00F20241">
              <w:t>39</w:t>
            </w:r>
          </w:p>
        </w:tc>
      </w:tr>
      <w:tr w:rsidR="00896742" w:rsidRPr="00F20241" w:rsidTr="00E51FE0">
        <w:trPr>
          <w:cantSplit/>
        </w:trPr>
        <w:tc>
          <w:tcPr>
            <w:tcW w:w="5112" w:type="dxa"/>
            <w:vAlign w:val="bottom"/>
          </w:tcPr>
          <w:p w:rsidR="00896742" w:rsidRPr="00F20241" w:rsidRDefault="00896742" w:rsidP="00D335FF">
            <w:pPr>
              <w:tabs>
                <w:tab w:val="left" w:pos="0"/>
              </w:tabs>
              <w:spacing w:after="120"/>
            </w:pPr>
            <w:r w:rsidRPr="00F20241">
              <w:t>Welfare rights</w:t>
            </w:r>
          </w:p>
        </w:tc>
        <w:tc>
          <w:tcPr>
            <w:tcW w:w="1688" w:type="dxa"/>
          </w:tcPr>
          <w:p w:rsidR="00896742" w:rsidRPr="00F20241" w:rsidRDefault="00F20241" w:rsidP="001011DC">
            <w:pPr>
              <w:pStyle w:val="Footer"/>
              <w:tabs>
                <w:tab w:val="clear" w:pos="4153"/>
                <w:tab w:val="clear" w:pos="8306"/>
                <w:tab w:val="decimal" w:pos="1102"/>
              </w:tabs>
              <w:spacing w:after="120"/>
              <w:jc w:val="right"/>
            </w:pPr>
            <w:r w:rsidRPr="00F20241">
              <w:t>1,419</w:t>
            </w:r>
          </w:p>
        </w:tc>
        <w:tc>
          <w:tcPr>
            <w:tcW w:w="1642" w:type="dxa"/>
            <w:shd w:val="clear" w:color="00FFFF" w:fill="auto"/>
          </w:tcPr>
          <w:p w:rsidR="00896742" w:rsidRPr="00F20241" w:rsidRDefault="00896742" w:rsidP="00896742">
            <w:pPr>
              <w:pStyle w:val="Footer"/>
              <w:tabs>
                <w:tab w:val="clear" w:pos="4153"/>
                <w:tab w:val="clear" w:pos="8306"/>
                <w:tab w:val="decimal" w:pos="1102"/>
              </w:tabs>
              <w:spacing w:after="120"/>
              <w:jc w:val="right"/>
            </w:pPr>
            <w:r w:rsidRPr="00F20241">
              <w:t>1,598</w:t>
            </w:r>
          </w:p>
        </w:tc>
      </w:tr>
      <w:tr w:rsidR="00896742" w:rsidRPr="00F20241" w:rsidTr="00F55BF5">
        <w:trPr>
          <w:cantSplit/>
        </w:trPr>
        <w:tc>
          <w:tcPr>
            <w:tcW w:w="5112" w:type="dxa"/>
            <w:vAlign w:val="bottom"/>
          </w:tcPr>
          <w:p w:rsidR="00896742" w:rsidRPr="00F20241" w:rsidRDefault="00896742" w:rsidP="00D335FF">
            <w:pPr>
              <w:tabs>
                <w:tab w:val="left" w:pos="702"/>
              </w:tabs>
              <w:spacing w:after="120"/>
            </w:pPr>
            <w:r w:rsidRPr="00F20241">
              <w:t>Other publicity, including corporate communications and information for Council Tax payers</w:t>
            </w:r>
          </w:p>
        </w:tc>
        <w:tc>
          <w:tcPr>
            <w:tcW w:w="1688" w:type="dxa"/>
            <w:tcBorders>
              <w:bottom w:val="single" w:sz="4" w:space="0" w:color="auto"/>
            </w:tcBorders>
            <w:vAlign w:val="center"/>
          </w:tcPr>
          <w:p w:rsidR="00896742" w:rsidRPr="00F20241" w:rsidRDefault="00F20241" w:rsidP="001011DC">
            <w:pPr>
              <w:pStyle w:val="Footer"/>
              <w:tabs>
                <w:tab w:val="clear" w:pos="4153"/>
                <w:tab w:val="clear" w:pos="8306"/>
                <w:tab w:val="decimal" w:pos="1102"/>
              </w:tabs>
              <w:spacing w:after="120"/>
              <w:jc w:val="right"/>
            </w:pPr>
            <w:r w:rsidRPr="00F20241">
              <w:t>186</w:t>
            </w:r>
          </w:p>
        </w:tc>
        <w:tc>
          <w:tcPr>
            <w:tcW w:w="1642" w:type="dxa"/>
            <w:tcBorders>
              <w:bottom w:val="single" w:sz="4" w:space="0" w:color="auto"/>
            </w:tcBorders>
            <w:shd w:val="clear" w:color="00FFFF" w:fill="auto"/>
            <w:vAlign w:val="center"/>
          </w:tcPr>
          <w:p w:rsidR="00896742" w:rsidRPr="00F20241" w:rsidRDefault="00896742" w:rsidP="00896742">
            <w:pPr>
              <w:pStyle w:val="Footer"/>
              <w:tabs>
                <w:tab w:val="clear" w:pos="4153"/>
                <w:tab w:val="clear" w:pos="8306"/>
                <w:tab w:val="decimal" w:pos="1102"/>
              </w:tabs>
              <w:spacing w:after="120"/>
              <w:jc w:val="right"/>
            </w:pPr>
            <w:r w:rsidRPr="00F20241">
              <w:t>595</w:t>
            </w:r>
          </w:p>
        </w:tc>
      </w:tr>
      <w:tr w:rsidR="00896742" w:rsidRPr="00286C0E" w:rsidTr="00F55BF5">
        <w:trPr>
          <w:cantSplit/>
        </w:trPr>
        <w:tc>
          <w:tcPr>
            <w:tcW w:w="5112" w:type="dxa"/>
            <w:vAlign w:val="bottom"/>
          </w:tcPr>
          <w:p w:rsidR="00896742" w:rsidRPr="00F20241" w:rsidRDefault="00896742" w:rsidP="00D335FF">
            <w:pPr>
              <w:ind w:hanging="720"/>
              <w:rPr>
                <w:b/>
              </w:rPr>
            </w:pPr>
          </w:p>
        </w:tc>
        <w:tc>
          <w:tcPr>
            <w:tcW w:w="1688" w:type="dxa"/>
            <w:tcBorders>
              <w:top w:val="single" w:sz="4" w:space="0" w:color="auto"/>
              <w:bottom w:val="double" w:sz="6" w:space="0" w:color="auto"/>
            </w:tcBorders>
          </w:tcPr>
          <w:p w:rsidR="00896742" w:rsidRPr="00F20241" w:rsidRDefault="00F20241" w:rsidP="001011DC">
            <w:pPr>
              <w:pStyle w:val="Footer"/>
              <w:tabs>
                <w:tab w:val="clear" w:pos="4153"/>
                <w:tab w:val="clear" w:pos="8306"/>
                <w:tab w:val="decimal" w:pos="1102"/>
              </w:tabs>
              <w:jc w:val="right"/>
              <w:rPr>
                <w:b/>
              </w:rPr>
            </w:pPr>
            <w:r w:rsidRPr="00F20241">
              <w:rPr>
                <w:b/>
              </w:rPr>
              <w:t>1,754</w:t>
            </w:r>
          </w:p>
        </w:tc>
        <w:tc>
          <w:tcPr>
            <w:tcW w:w="1642" w:type="dxa"/>
            <w:tcBorders>
              <w:top w:val="single" w:sz="4" w:space="0" w:color="auto"/>
              <w:bottom w:val="double" w:sz="6" w:space="0" w:color="auto"/>
            </w:tcBorders>
            <w:shd w:val="clear" w:color="00FFFF" w:fill="auto"/>
          </w:tcPr>
          <w:p w:rsidR="00896742" w:rsidRPr="00F20241" w:rsidRDefault="00896742" w:rsidP="00896742">
            <w:pPr>
              <w:pStyle w:val="Footer"/>
              <w:tabs>
                <w:tab w:val="clear" w:pos="4153"/>
                <w:tab w:val="clear" w:pos="8306"/>
                <w:tab w:val="decimal" w:pos="1102"/>
              </w:tabs>
              <w:jc w:val="right"/>
              <w:rPr>
                <w:b/>
              </w:rPr>
            </w:pPr>
            <w:r w:rsidRPr="00F20241">
              <w:rPr>
                <w:b/>
              </w:rPr>
              <w:t>2,625</w:t>
            </w:r>
          </w:p>
        </w:tc>
      </w:tr>
    </w:tbl>
    <w:p w:rsidR="00E54714" w:rsidRDefault="00E54714" w:rsidP="00BC1301">
      <w:pPr>
        <w:rPr>
          <w:highlight w:val="yellow"/>
        </w:rPr>
      </w:pPr>
    </w:p>
    <w:p w:rsidR="00E54714" w:rsidRDefault="00E54714" w:rsidP="00BC1301">
      <w:pPr>
        <w:rPr>
          <w:highlight w:val="yellow"/>
        </w:rPr>
      </w:pPr>
    </w:p>
    <w:p w:rsidR="00F43C3A" w:rsidRDefault="00162380" w:rsidP="00162380">
      <w:pPr>
        <w:spacing w:after="240"/>
        <w:ind w:left="1004"/>
        <w:rPr>
          <w:b/>
        </w:rPr>
        <w:sectPr w:rsidR="00F43C3A" w:rsidSect="003018D5">
          <w:pgSz w:w="11906" w:h="16838" w:code="9"/>
          <w:pgMar w:top="720" w:right="720" w:bottom="720" w:left="720" w:header="709" w:footer="709" w:gutter="0"/>
          <w:cols w:space="708"/>
          <w:docGrid w:linePitch="360"/>
        </w:sectPr>
      </w:pPr>
      <w:r>
        <w:rPr>
          <w:b/>
        </w:rPr>
        <w:t xml:space="preserve"> </w:t>
      </w:r>
    </w:p>
    <w:p w:rsidR="00F20241" w:rsidRPr="00422E48" w:rsidRDefault="00BC1301" w:rsidP="00BD07E4">
      <w:pPr>
        <w:numPr>
          <w:ilvl w:val="0"/>
          <w:numId w:val="21"/>
        </w:numPr>
        <w:spacing w:after="240"/>
      </w:pPr>
      <w:r w:rsidRPr="00422E48">
        <w:rPr>
          <w:b/>
        </w:rPr>
        <w:lastRenderedPageBreak/>
        <w:t xml:space="preserve">Local Authority (Goods and Services) Act 1970 </w:t>
      </w:r>
    </w:p>
    <w:p w:rsidR="00F43C3A" w:rsidRPr="00F43C3A" w:rsidRDefault="00F43C3A" w:rsidP="00F43C3A">
      <w:pPr>
        <w:ind w:left="720"/>
      </w:pPr>
      <w:r w:rsidRPr="00F43C3A">
        <w:t>Income and expenditure under this heading relates to arrangements entered into by local authorities that are authorised by section 1 of the Local Authority (Goods and Services) 1970 Act. The 1970 Act specifies the conditions under which authorities can enter int</w:t>
      </w:r>
      <w:r>
        <w:t>o</w:t>
      </w:r>
      <w:r w:rsidRPr="00F43C3A">
        <w:t xml:space="preserve"> agreements to supply goods and services to each other and to other public bodies.</w:t>
      </w:r>
    </w:p>
    <w:p w:rsidR="00F43C3A" w:rsidRDefault="00F43C3A" w:rsidP="00BC1301">
      <w:pPr>
        <w:spacing w:after="240"/>
        <w:ind w:left="720"/>
      </w:pPr>
    </w:p>
    <w:tbl>
      <w:tblPr>
        <w:tblW w:w="5000" w:type="pct"/>
        <w:tblLook w:val="04A0"/>
      </w:tblPr>
      <w:tblGrid>
        <w:gridCol w:w="4260"/>
        <w:gridCol w:w="1462"/>
        <w:gridCol w:w="1825"/>
        <w:gridCol w:w="2510"/>
        <w:gridCol w:w="1428"/>
        <w:gridCol w:w="1619"/>
        <w:gridCol w:w="2510"/>
      </w:tblGrid>
      <w:tr w:rsidR="00F43C3A" w:rsidRPr="00F43C3A" w:rsidTr="000F6D80">
        <w:trPr>
          <w:trHeight w:val="945"/>
        </w:trPr>
        <w:tc>
          <w:tcPr>
            <w:tcW w:w="1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43C3A" w:rsidRPr="00F43C3A" w:rsidRDefault="00F43C3A" w:rsidP="00F43C3A">
            <w:r w:rsidRPr="00F43C3A">
              <w:t>Purpose of work - i.e. one of the four purposes specified by the 1970 Act)</w:t>
            </w:r>
          </w:p>
        </w:tc>
        <w:tc>
          <w:tcPr>
            <w:tcW w:w="507" w:type="pct"/>
            <w:tcBorders>
              <w:top w:val="single" w:sz="4" w:space="0" w:color="auto"/>
              <w:left w:val="nil"/>
              <w:bottom w:val="single" w:sz="4" w:space="0" w:color="auto"/>
              <w:right w:val="single" w:sz="4" w:space="0" w:color="auto"/>
            </w:tcBorders>
            <w:shd w:val="clear" w:color="000000" w:fill="CCFFFF"/>
            <w:vAlign w:val="center"/>
            <w:hideMark/>
          </w:tcPr>
          <w:p w:rsidR="00F43C3A" w:rsidRPr="00F43C3A" w:rsidRDefault="00F43C3A" w:rsidP="00F43C3A">
            <w:pPr>
              <w:jc w:val="center"/>
              <w:rPr>
                <w:b/>
                <w:bCs/>
              </w:rPr>
            </w:pPr>
            <w:r w:rsidRPr="00F43C3A">
              <w:rPr>
                <w:b/>
                <w:bCs/>
              </w:rPr>
              <w:t>Related Income for 2011/12</w:t>
            </w:r>
          </w:p>
        </w:tc>
        <w:tc>
          <w:tcPr>
            <w:tcW w:w="623" w:type="pct"/>
            <w:tcBorders>
              <w:top w:val="single" w:sz="4" w:space="0" w:color="auto"/>
              <w:left w:val="nil"/>
              <w:bottom w:val="single" w:sz="4" w:space="0" w:color="auto"/>
              <w:right w:val="single" w:sz="4" w:space="0" w:color="auto"/>
            </w:tcBorders>
            <w:shd w:val="clear" w:color="000000" w:fill="CCFFFF"/>
            <w:vAlign w:val="center"/>
            <w:hideMark/>
          </w:tcPr>
          <w:p w:rsidR="00F43C3A" w:rsidRPr="00F43C3A" w:rsidRDefault="00F43C3A" w:rsidP="00F43C3A">
            <w:pPr>
              <w:jc w:val="center"/>
              <w:rPr>
                <w:b/>
                <w:bCs/>
              </w:rPr>
            </w:pPr>
            <w:r w:rsidRPr="00F43C3A">
              <w:rPr>
                <w:b/>
                <w:bCs/>
              </w:rPr>
              <w:t>Related Expenditure for 2011/12</w:t>
            </w:r>
          </w:p>
        </w:tc>
        <w:tc>
          <w:tcPr>
            <w:tcW w:w="722" w:type="pct"/>
            <w:tcBorders>
              <w:top w:val="single" w:sz="4" w:space="0" w:color="auto"/>
              <w:left w:val="nil"/>
              <w:bottom w:val="single" w:sz="4" w:space="0" w:color="auto"/>
              <w:right w:val="single" w:sz="4" w:space="0" w:color="auto"/>
            </w:tcBorders>
            <w:shd w:val="clear" w:color="000000" w:fill="CCFFFF"/>
            <w:vAlign w:val="center"/>
            <w:hideMark/>
          </w:tcPr>
          <w:p w:rsidR="00F43C3A" w:rsidRPr="00F43C3A" w:rsidRDefault="00F43C3A" w:rsidP="00F43C3A">
            <w:pPr>
              <w:jc w:val="center"/>
              <w:rPr>
                <w:b/>
                <w:bCs/>
              </w:rPr>
            </w:pPr>
            <w:r w:rsidRPr="00F43C3A">
              <w:rPr>
                <w:b/>
                <w:bCs/>
              </w:rPr>
              <w:t>Net Income/Expenditure for 2011/12</w:t>
            </w:r>
          </w:p>
        </w:tc>
        <w:tc>
          <w:tcPr>
            <w:tcW w:w="496" w:type="pct"/>
            <w:tcBorders>
              <w:top w:val="single" w:sz="4" w:space="0" w:color="auto"/>
              <w:left w:val="nil"/>
              <w:bottom w:val="single" w:sz="4" w:space="0" w:color="auto"/>
              <w:right w:val="single" w:sz="4" w:space="0" w:color="auto"/>
            </w:tcBorders>
            <w:shd w:val="clear" w:color="000000" w:fill="D8D8D8"/>
            <w:vAlign w:val="center"/>
            <w:hideMark/>
          </w:tcPr>
          <w:p w:rsidR="00F43C3A" w:rsidRPr="00F43C3A" w:rsidRDefault="00F43C3A" w:rsidP="00F43C3A">
            <w:pPr>
              <w:jc w:val="center"/>
              <w:rPr>
                <w:b/>
                <w:bCs/>
              </w:rPr>
            </w:pPr>
            <w:r w:rsidRPr="00F43C3A">
              <w:rPr>
                <w:b/>
                <w:bCs/>
              </w:rPr>
              <w:t>Related Income for 2010/11</w:t>
            </w:r>
          </w:p>
        </w:tc>
        <w:tc>
          <w:tcPr>
            <w:tcW w:w="557" w:type="pct"/>
            <w:tcBorders>
              <w:top w:val="single" w:sz="4" w:space="0" w:color="auto"/>
              <w:left w:val="nil"/>
              <w:bottom w:val="single" w:sz="4" w:space="0" w:color="auto"/>
              <w:right w:val="single" w:sz="4" w:space="0" w:color="auto"/>
            </w:tcBorders>
            <w:shd w:val="clear" w:color="000000" w:fill="D8D8D8"/>
            <w:vAlign w:val="center"/>
            <w:hideMark/>
          </w:tcPr>
          <w:p w:rsidR="00F43C3A" w:rsidRPr="00F43C3A" w:rsidRDefault="00F43C3A" w:rsidP="00F43C3A">
            <w:pPr>
              <w:jc w:val="center"/>
              <w:rPr>
                <w:b/>
                <w:bCs/>
              </w:rPr>
            </w:pPr>
            <w:r w:rsidRPr="00F43C3A">
              <w:rPr>
                <w:b/>
                <w:bCs/>
              </w:rPr>
              <w:t>Related Expenditure for 2010/11</w:t>
            </w:r>
          </w:p>
        </w:tc>
        <w:tc>
          <w:tcPr>
            <w:tcW w:w="692" w:type="pct"/>
            <w:tcBorders>
              <w:top w:val="single" w:sz="4" w:space="0" w:color="auto"/>
              <w:left w:val="nil"/>
              <w:bottom w:val="single" w:sz="4" w:space="0" w:color="auto"/>
              <w:right w:val="single" w:sz="4" w:space="0" w:color="auto"/>
            </w:tcBorders>
            <w:shd w:val="clear" w:color="000000" w:fill="D8D8D8"/>
            <w:vAlign w:val="center"/>
            <w:hideMark/>
          </w:tcPr>
          <w:p w:rsidR="00F43C3A" w:rsidRPr="00F43C3A" w:rsidRDefault="00F43C3A" w:rsidP="00F43C3A">
            <w:pPr>
              <w:jc w:val="center"/>
              <w:rPr>
                <w:b/>
                <w:bCs/>
              </w:rPr>
            </w:pPr>
            <w:r w:rsidRPr="00F43C3A">
              <w:rPr>
                <w:b/>
                <w:bCs/>
              </w:rPr>
              <w:t>Net Income/Expenditure for 2010/11</w:t>
            </w:r>
          </w:p>
        </w:tc>
      </w:tr>
      <w:tr w:rsidR="00F43C3A" w:rsidRPr="00F43C3A" w:rsidTr="000F6D80">
        <w:trPr>
          <w:trHeight w:val="315"/>
        </w:trPr>
        <w:tc>
          <w:tcPr>
            <w:tcW w:w="1403" w:type="pct"/>
            <w:tcBorders>
              <w:top w:val="nil"/>
              <w:left w:val="single" w:sz="4" w:space="0" w:color="auto"/>
              <w:bottom w:val="single" w:sz="4" w:space="0" w:color="auto"/>
              <w:right w:val="single" w:sz="4" w:space="0" w:color="auto"/>
            </w:tcBorders>
            <w:shd w:val="clear" w:color="auto" w:fill="auto"/>
            <w:vAlign w:val="bottom"/>
            <w:hideMark/>
          </w:tcPr>
          <w:p w:rsidR="00F43C3A" w:rsidRPr="00F43C3A" w:rsidRDefault="00F43C3A" w:rsidP="00F43C3A">
            <w:r w:rsidRPr="00F43C3A">
              <w:t> </w:t>
            </w:r>
          </w:p>
        </w:tc>
        <w:tc>
          <w:tcPr>
            <w:tcW w:w="507" w:type="pct"/>
            <w:tcBorders>
              <w:top w:val="nil"/>
              <w:left w:val="nil"/>
              <w:bottom w:val="single" w:sz="4" w:space="0" w:color="auto"/>
              <w:right w:val="single" w:sz="4" w:space="0" w:color="auto"/>
            </w:tcBorders>
            <w:shd w:val="clear" w:color="000000" w:fill="CCFFFF"/>
            <w:vAlign w:val="bottom"/>
            <w:hideMark/>
          </w:tcPr>
          <w:p w:rsidR="00F43C3A" w:rsidRPr="00F43C3A" w:rsidRDefault="000F6D80" w:rsidP="00F43C3A">
            <w:pPr>
              <w:jc w:val="center"/>
              <w:rPr>
                <w:b/>
                <w:bCs/>
                <w:sz w:val="22"/>
                <w:szCs w:val="22"/>
              </w:rPr>
            </w:pPr>
            <w:r>
              <w:rPr>
                <w:b/>
                <w:bCs/>
                <w:sz w:val="22"/>
                <w:szCs w:val="22"/>
              </w:rPr>
              <w:t>£0</w:t>
            </w:r>
            <w:r w:rsidR="00F43C3A" w:rsidRPr="00F43C3A">
              <w:rPr>
                <w:b/>
                <w:bCs/>
                <w:sz w:val="22"/>
                <w:szCs w:val="22"/>
              </w:rPr>
              <w:t>00</w:t>
            </w:r>
          </w:p>
        </w:tc>
        <w:tc>
          <w:tcPr>
            <w:tcW w:w="623" w:type="pct"/>
            <w:tcBorders>
              <w:top w:val="nil"/>
              <w:left w:val="nil"/>
              <w:bottom w:val="single" w:sz="4" w:space="0" w:color="auto"/>
              <w:right w:val="single" w:sz="4" w:space="0" w:color="auto"/>
            </w:tcBorders>
            <w:shd w:val="clear" w:color="000000" w:fill="CCFFFF"/>
            <w:vAlign w:val="bottom"/>
            <w:hideMark/>
          </w:tcPr>
          <w:p w:rsidR="00F43C3A" w:rsidRPr="00F43C3A" w:rsidRDefault="000F6D80" w:rsidP="00F43C3A">
            <w:pPr>
              <w:jc w:val="center"/>
              <w:rPr>
                <w:b/>
                <w:bCs/>
                <w:sz w:val="22"/>
                <w:szCs w:val="22"/>
              </w:rPr>
            </w:pPr>
            <w:r>
              <w:rPr>
                <w:b/>
                <w:bCs/>
                <w:sz w:val="22"/>
                <w:szCs w:val="22"/>
              </w:rPr>
              <w:t>£0</w:t>
            </w:r>
            <w:r w:rsidR="00F43C3A" w:rsidRPr="00F43C3A">
              <w:rPr>
                <w:b/>
                <w:bCs/>
                <w:sz w:val="22"/>
                <w:szCs w:val="22"/>
              </w:rPr>
              <w:t>00</w:t>
            </w:r>
          </w:p>
        </w:tc>
        <w:tc>
          <w:tcPr>
            <w:tcW w:w="722" w:type="pct"/>
            <w:tcBorders>
              <w:top w:val="nil"/>
              <w:left w:val="nil"/>
              <w:bottom w:val="single" w:sz="4" w:space="0" w:color="auto"/>
              <w:right w:val="single" w:sz="4" w:space="0" w:color="auto"/>
            </w:tcBorders>
            <w:shd w:val="clear" w:color="000000" w:fill="CCFFFF"/>
            <w:vAlign w:val="bottom"/>
            <w:hideMark/>
          </w:tcPr>
          <w:p w:rsidR="00F43C3A" w:rsidRPr="00F43C3A" w:rsidRDefault="000F6D80" w:rsidP="00F43C3A">
            <w:pPr>
              <w:jc w:val="center"/>
              <w:rPr>
                <w:b/>
                <w:bCs/>
                <w:sz w:val="22"/>
                <w:szCs w:val="22"/>
              </w:rPr>
            </w:pPr>
            <w:r>
              <w:rPr>
                <w:b/>
                <w:bCs/>
                <w:sz w:val="22"/>
                <w:szCs w:val="22"/>
              </w:rPr>
              <w:t>£0</w:t>
            </w:r>
            <w:r w:rsidR="00F43C3A" w:rsidRPr="00F43C3A">
              <w:rPr>
                <w:b/>
                <w:bCs/>
                <w:sz w:val="22"/>
                <w:szCs w:val="22"/>
              </w:rPr>
              <w:t>00</w:t>
            </w:r>
          </w:p>
        </w:tc>
        <w:tc>
          <w:tcPr>
            <w:tcW w:w="496" w:type="pct"/>
            <w:tcBorders>
              <w:top w:val="nil"/>
              <w:left w:val="nil"/>
              <w:bottom w:val="single" w:sz="4" w:space="0" w:color="auto"/>
              <w:right w:val="single" w:sz="4" w:space="0" w:color="auto"/>
            </w:tcBorders>
            <w:shd w:val="clear" w:color="000000" w:fill="D8D8D8"/>
            <w:vAlign w:val="center"/>
            <w:hideMark/>
          </w:tcPr>
          <w:p w:rsidR="00F43C3A" w:rsidRPr="00F43C3A" w:rsidRDefault="000F6D80" w:rsidP="00F43C3A">
            <w:pPr>
              <w:jc w:val="center"/>
              <w:rPr>
                <w:b/>
                <w:bCs/>
                <w:sz w:val="22"/>
                <w:szCs w:val="22"/>
              </w:rPr>
            </w:pPr>
            <w:r>
              <w:rPr>
                <w:b/>
                <w:bCs/>
                <w:sz w:val="22"/>
                <w:szCs w:val="22"/>
              </w:rPr>
              <w:t>£0</w:t>
            </w:r>
            <w:r w:rsidR="00F43C3A" w:rsidRPr="00F43C3A">
              <w:rPr>
                <w:b/>
                <w:bCs/>
                <w:sz w:val="22"/>
                <w:szCs w:val="22"/>
              </w:rPr>
              <w:t>00</w:t>
            </w:r>
          </w:p>
        </w:tc>
        <w:tc>
          <w:tcPr>
            <w:tcW w:w="557" w:type="pct"/>
            <w:tcBorders>
              <w:top w:val="nil"/>
              <w:left w:val="nil"/>
              <w:bottom w:val="single" w:sz="4" w:space="0" w:color="auto"/>
              <w:right w:val="single" w:sz="4" w:space="0" w:color="auto"/>
            </w:tcBorders>
            <w:shd w:val="clear" w:color="000000" w:fill="D8D8D8"/>
            <w:vAlign w:val="center"/>
            <w:hideMark/>
          </w:tcPr>
          <w:p w:rsidR="00F43C3A" w:rsidRPr="00F43C3A" w:rsidRDefault="000F6D80" w:rsidP="00F43C3A">
            <w:pPr>
              <w:jc w:val="center"/>
              <w:rPr>
                <w:b/>
                <w:bCs/>
                <w:sz w:val="22"/>
                <w:szCs w:val="22"/>
              </w:rPr>
            </w:pPr>
            <w:r>
              <w:rPr>
                <w:b/>
                <w:bCs/>
                <w:sz w:val="22"/>
                <w:szCs w:val="22"/>
              </w:rPr>
              <w:t>£0</w:t>
            </w:r>
            <w:r w:rsidR="00F43C3A" w:rsidRPr="00F43C3A">
              <w:rPr>
                <w:b/>
                <w:bCs/>
                <w:sz w:val="22"/>
                <w:szCs w:val="22"/>
              </w:rPr>
              <w:t>00</w:t>
            </w:r>
          </w:p>
        </w:tc>
        <w:tc>
          <w:tcPr>
            <w:tcW w:w="692" w:type="pct"/>
            <w:tcBorders>
              <w:top w:val="nil"/>
              <w:left w:val="nil"/>
              <w:bottom w:val="single" w:sz="4" w:space="0" w:color="auto"/>
              <w:right w:val="single" w:sz="4" w:space="0" w:color="auto"/>
            </w:tcBorders>
            <w:shd w:val="clear" w:color="000000" w:fill="D8D8D8"/>
            <w:vAlign w:val="bottom"/>
            <w:hideMark/>
          </w:tcPr>
          <w:p w:rsidR="00F43C3A" w:rsidRPr="00F43C3A" w:rsidRDefault="000F6D80" w:rsidP="00F43C3A">
            <w:pPr>
              <w:jc w:val="center"/>
              <w:rPr>
                <w:b/>
                <w:bCs/>
                <w:sz w:val="22"/>
                <w:szCs w:val="22"/>
              </w:rPr>
            </w:pPr>
            <w:r>
              <w:rPr>
                <w:b/>
                <w:bCs/>
                <w:sz w:val="22"/>
                <w:szCs w:val="22"/>
              </w:rPr>
              <w:t>£0</w:t>
            </w:r>
            <w:r w:rsidR="00F43C3A" w:rsidRPr="00F43C3A">
              <w:rPr>
                <w:b/>
                <w:bCs/>
                <w:sz w:val="22"/>
                <w:szCs w:val="22"/>
              </w:rPr>
              <w:t>00</w:t>
            </w:r>
          </w:p>
        </w:tc>
      </w:tr>
      <w:tr w:rsidR="00F43C3A" w:rsidRPr="00F43C3A" w:rsidTr="000F6D80">
        <w:trPr>
          <w:trHeight w:val="315"/>
        </w:trPr>
        <w:tc>
          <w:tcPr>
            <w:tcW w:w="1403" w:type="pct"/>
            <w:tcBorders>
              <w:top w:val="nil"/>
              <w:left w:val="single" w:sz="4" w:space="0" w:color="auto"/>
              <w:bottom w:val="single" w:sz="4" w:space="0" w:color="auto"/>
              <w:right w:val="single" w:sz="4" w:space="0" w:color="auto"/>
            </w:tcBorders>
            <w:shd w:val="clear" w:color="auto" w:fill="auto"/>
            <w:vAlign w:val="bottom"/>
            <w:hideMark/>
          </w:tcPr>
          <w:p w:rsidR="00F43C3A" w:rsidRPr="00F43C3A" w:rsidRDefault="00F43C3A" w:rsidP="00F43C3A">
            <w:r w:rsidRPr="00F43C3A">
              <w:t>Supply of goods or material</w:t>
            </w:r>
          </w:p>
        </w:tc>
        <w:tc>
          <w:tcPr>
            <w:tcW w:w="507" w:type="pct"/>
            <w:tcBorders>
              <w:top w:val="nil"/>
              <w:left w:val="nil"/>
              <w:bottom w:val="single" w:sz="4" w:space="0" w:color="auto"/>
              <w:right w:val="single" w:sz="4" w:space="0" w:color="auto"/>
            </w:tcBorders>
            <w:shd w:val="clear" w:color="000000" w:fill="CCFFFF"/>
            <w:noWrap/>
            <w:vAlign w:val="bottom"/>
            <w:hideMark/>
          </w:tcPr>
          <w:p w:rsidR="00F43C3A" w:rsidRPr="00F43C3A" w:rsidRDefault="00EA3AAE" w:rsidP="00F43C3A">
            <w:pPr>
              <w:jc w:val="right"/>
            </w:pPr>
            <w:r>
              <w:t>(</w:t>
            </w:r>
            <w:r w:rsidR="00F43C3A" w:rsidRPr="00F43C3A">
              <w:t>0.477</w:t>
            </w:r>
            <w:r>
              <w:t>)</w:t>
            </w:r>
          </w:p>
        </w:tc>
        <w:tc>
          <w:tcPr>
            <w:tcW w:w="623" w:type="pct"/>
            <w:tcBorders>
              <w:top w:val="nil"/>
              <w:left w:val="nil"/>
              <w:bottom w:val="single" w:sz="4" w:space="0" w:color="auto"/>
              <w:right w:val="single" w:sz="4" w:space="0" w:color="auto"/>
            </w:tcBorders>
            <w:shd w:val="clear" w:color="000000" w:fill="CCFFFF"/>
            <w:noWrap/>
            <w:vAlign w:val="bottom"/>
            <w:hideMark/>
          </w:tcPr>
          <w:p w:rsidR="00F43C3A" w:rsidRPr="00F43C3A" w:rsidRDefault="00F43C3A" w:rsidP="00F43C3A">
            <w:pPr>
              <w:jc w:val="right"/>
            </w:pPr>
            <w:r w:rsidRPr="00F43C3A">
              <w:t>0.477</w:t>
            </w:r>
          </w:p>
        </w:tc>
        <w:tc>
          <w:tcPr>
            <w:tcW w:w="722" w:type="pct"/>
            <w:tcBorders>
              <w:top w:val="nil"/>
              <w:left w:val="nil"/>
              <w:bottom w:val="single" w:sz="4" w:space="0" w:color="auto"/>
              <w:right w:val="single" w:sz="4" w:space="0" w:color="auto"/>
            </w:tcBorders>
            <w:shd w:val="clear" w:color="000000" w:fill="CCFFFF"/>
            <w:noWrap/>
            <w:vAlign w:val="bottom"/>
            <w:hideMark/>
          </w:tcPr>
          <w:p w:rsidR="00F43C3A" w:rsidRPr="00F43C3A" w:rsidRDefault="00F43C3A" w:rsidP="00F43C3A">
            <w:pPr>
              <w:jc w:val="right"/>
            </w:pPr>
            <w:r w:rsidRPr="00F43C3A">
              <w:t>0.000</w:t>
            </w:r>
          </w:p>
        </w:tc>
        <w:tc>
          <w:tcPr>
            <w:tcW w:w="496" w:type="pct"/>
            <w:tcBorders>
              <w:top w:val="nil"/>
              <w:left w:val="nil"/>
              <w:bottom w:val="single" w:sz="4" w:space="0" w:color="auto"/>
              <w:right w:val="single" w:sz="4" w:space="0" w:color="auto"/>
            </w:tcBorders>
            <w:shd w:val="clear" w:color="000000" w:fill="D8D8D8"/>
            <w:noWrap/>
            <w:vAlign w:val="center"/>
            <w:hideMark/>
          </w:tcPr>
          <w:p w:rsidR="00F43C3A" w:rsidRPr="00F43C3A" w:rsidRDefault="00EA3AAE" w:rsidP="00F43C3A">
            <w:pPr>
              <w:jc w:val="center"/>
            </w:pPr>
            <w:r>
              <w:t>(</w:t>
            </w:r>
            <w:r w:rsidR="00F43C3A" w:rsidRPr="00F43C3A">
              <w:t>1.037</w:t>
            </w:r>
            <w:r>
              <w:t>)</w:t>
            </w:r>
          </w:p>
        </w:tc>
        <w:tc>
          <w:tcPr>
            <w:tcW w:w="557" w:type="pct"/>
            <w:tcBorders>
              <w:top w:val="nil"/>
              <w:left w:val="nil"/>
              <w:bottom w:val="single" w:sz="4" w:space="0" w:color="auto"/>
              <w:right w:val="single" w:sz="4" w:space="0" w:color="auto"/>
            </w:tcBorders>
            <w:shd w:val="clear" w:color="000000" w:fill="D8D8D8"/>
            <w:noWrap/>
            <w:vAlign w:val="center"/>
            <w:hideMark/>
          </w:tcPr>
          <w:p w:rsidR="00F43C3A" w:rsidRPr="00F43C3A" w:rsidRDefault="00F43C3A" w:rsidP="00F43C3A">
            <w:pPr>
              <w:jc w:val="center"/>
            </w:pPr>
            <w:r w:rsidRPr="00F43C3A">
              <w:t>1.037</w:t>
            </w:r>
          </w:p>
        </w:tc>
        <w:tc>
          <w:tcPr>
            <w:tcW w:w="692" w:type="pct"/>
            <w:tcBorders>
              <w:top w:val="nil"/>
              <w:left w:val="nil"/>
              <w:bottom w:val="single" w:sz="4" w:space="0" w:color="auto"/>
              <w:right w:val="single" w:sz="4" w:space="0" w:color="auto"/>
            </w:tcBorders>
            <w:shd w:val="clear" w:color="000000" w:fill="D8D8D8"/>
            <w:noWrap/>
            <w:vAlign w:val="bottom"/>
            <w:hideMark/>
          </w:tcPr>
          <w:p w:rsidR="00F43C3A" w:rsidRPr="00F43C3A" w:rsidRDefault="00F43C3A" w:rsidP="00F43C3A">
            <w:pPr>
              <w:jc w:val="right"/>
            </w:pPr>
            <w:r w:rsidRPr="00F43C3A">
              <w:t>0.000</w:t>
            </w:r>
          </w:p>
        </w:tc>
      </w:tr>
      <w:tr w:rsidR="00F43C3A" w:rsidRPr="00F43C3A" w:rsidTr="000F6D80">
        <w:trPr>
          <w:trHeight w:val="615"/>
        </w:trPr>
        <w:tc>
          <w:tcPr>
            <w:tcW w:w="1403" w:type="pct"/>
            <w:tcBorders>
              <w:top w:val="nil"/>
              <w:left w:val="single" w:sz="4" w:space="0" w:color="auto"/>
              <w:bottom w:val="single" w:sz="4" w:space="0" w:color="auto"/>
              <w:right w:val="single" w:sz="4" w:space="0" w:color="auto"/>
            </w:tcBorders>
            <w:shd w:val="clear" w:color="auto" w:fill="auto"/>
            <w:vAlign w:val="bottom"/>
            <w:hideMark/>
          </w:tcPr>
          <w:p w:rsidR="00F43C3A" w:rsidRPr="00F43C3A" w:rsidRDefault="00F43C3A" w:rsidP="00F43C3A">
            <w:r w:rsidRPr="00F43C3A">
              <w:t>Provide administration, professional or technical services</w:t>
            </w:r>
          </w:p>
        </w:tc>
        <w:tc>
          <w:tcPr>
            <w:tcW w:w="507" w:type="pct"/>
            <w:tcBorders>
              <w:top w:val="nil"/>
              <w:left w:val="nil"/>
              <w:bottom w:val="single" w:sz="4" w:space="0" w:color="auto"/>
              <w:right w:val="single" w:sz="4" w:space="0" w:color="auto"/>
            </w:tcBorders>
            <w:shd w:val="clear" w:color="000000" w:fill="CCFFFF"/>
            <w:noWrap/>
            <w:vAlign w:val="bottom"/>
            <w:hideMark/>
          </w:tcPr>
          <w:p w:rsidR="00F43C3A" w:rsidRPr="00F43C3A" w:rsidRDefault="00EA3AAE" w:rsidP="00F43C3A">
            <w:pPr>
              <w:jc w:val="right"/>
            </w:pPr>
            <w:r>
              <w:t>(</w:t>
            </w:r>
            <w:r w:rsidR="00F43C3A" w:rsidRPr="00F43C3A">
              <w:t>31.097</w:t>
            </w:r>
            <w:r>
              <w:t>)</w:t>
            </w:r>
          </w:p>
        </w:tc>
        <w:tc>
          <w:tcPr>
            <w:tcW w:w="623" w:type="pct"/>
            <w:tcBorders>
              <w:top w:val="nil"/>
              <w:left w:val="nil"/>
              <w:bottom w:val="single" w:sz="4" w:space="0" w:color="auto"/>
              <w:right w:val="single" w:sz="4" w:space="0" w:color="auto"/>
            </w:tcBorders>
            <w:shd w:val="clear" w:color="000000" w:fill="CCFFFF"/>
            <w:noWrap/>
            <w:vAlign w:val="bottom"/>
            <w:hideMark/>
          </w:tcPr>
          <w:p w:rsidR="00F43C3A" w:rsidRPr="00F43C3A" w:rsidRDefault="00F43C3A" w:rsidP="00F43C3A">
            <w:pPr>
              <w:jc w:val="right"/>
            </w:pPr>
            <w:r w:rsidRPr="00F43C3A">
              <w:t>29.287</w:t>
            </w:r>
          </w:p>
        </w:tc>
        <w:tc>
          <w:tcPr>
            <w:tcW w:w="722" w:type="pct"/>
            <w:tcBorders>
              <w:top w:val="nil"/>
              <w:left w:val="nil"/>
              <w:bottom w:val="single" w:sz="4" w:space="0" w:color="auto"/>
              <w:right w:val="single" w:sz="4" w:space="0" w:color="auto"/>
            </w:tcBorders>
            <w:shd w:val="clear" w:color="000000" w:fill="CCFFFF"/>
            <w:noWrap/>
            <w:vAlign w:val="bottom"/>
            <w:hideMark/>
          </w:tcPr>
          <w:p w:rsidR="00F43C3A" w:rsidRPr="00F43C3A" w:rsidRDefault="00EA3AAE" w:rsidP="00F43C3A">
            <w:pPr>
              <w:jc w:val="right"/>
            </w:pPr>
            <w:r>
              <w:t>(</w:t>
            </w:r>
            <w:r w:rsidR="00F43C3A" w:rsidRPr="00F43C3A">
              <w:t>1.809</w:t>
            </w:r>
            <w:r>
              <w:t>)</w:t>
            </w:r>
          </w:p>
        </w:tc>
        <w:tc>
          <w:tcPr>
            <w:tcW w:w="496" w:type="pct"/>
            <w:tcBorders>
              <w:top w:val="nil"/>
              <w:left w:val="nil"/>
              <w:bottom w:val="single" w:sz="4" w:space="0" w:color="auto"/>
              <w:right w:val="single" w:sz="4" w:space="0" w:color="auto"/>
            </w:tcBorders>
            <w:shd w:val="clear" w:color="000000" w:fill="D8D8D8"/>
            <w:noWrap/>
            <w:vAlign w:val="center"/>
            <w:hideMark/>
          </w:tcPr>
          <w:p w:rsidR="00F43C3A" w:rsidRPr="00F43C3A" w:rsidRDefault="00EA3AAE" w:rsidP="00F43C3A">
            <w:pPr>
              <w:jc w:val="center"/>
            </w:pPr>
            <w:r>
              <w:t>(</w:t>
            </w:r>
            <w:r w:rsidR="00F43C3A" w:rsidRPr="00F43C3A">
              <w:t>19.039</w:t>
            </w:r>
            <w:r>
              <w:t>)</w:t>
            </w:r>
          </w:p>
        </w:tc>
        <w:tc>
          <w:tcPr>
            <w:tcW w:w="557" w:type="pct"/>
            <w:tcBorders>
              <w:top w:val="nil"/>
              <w:left w:val="nil"/>
              <w:bottom w:val="single" w:sz="4" w:space="0" w:color="auto"/>
              <w:right w:val="single" w:sz="4" w:space="0" w:color="auto"/>
            </w:tcBorders>
            <w:shd w:val="clear" w:color="000000" w:fill="D8D8D8"/>
            <w:noWrap/>
            <w:vAlign w:val="center"/>
            <w:hideMark/>
          </w:tcPr>
          <w:p w:rsidR="00F43C3A" w:rsidRPr="00F43C3A" w:rsidRDefault="00F43C3A" w:rsidP="00F43C3A">
            <w:pPr>
              <w:jc w:val="center"/>
            </w:pPr>
            <w:r w:rsidRPr="00F43C3A">
              <w:t>18.222</w:t>
            </w:r>
          </w:p>
        </w:tc>
        <w:tc>
          <w:tcPr>
            <w:tcW w:w="692" w:type="pct"/>
            <w:tcBorders>
              <w:top w:val="nil"/>
              <w:left w:val="nil"/>
              <w:bottom w:val="single" w:sz="4" w:space="0" w:color="auto"/>
              <w:right w:val="single" w:sz="4" w:space="0" w:color="auto"/>
            </w:tcBorders>
            <w:shd w:val="clear" w:color="000000" w:fill="D8D8D8"/>
            <w:noWrap/>
            <w:vAlign w:val="bottom"/>
            <w:hideMark/>
          </w:tcPr>
          <w:p w:rsidR="00F43C3A" w:rsidRPr="00F43C3A" w:rsidRDefault="00EA3AAE" w:rsidP="00F43C3A">
            <w:pPr>
              <w:jc w:val="right"/>
            </w:pPr>
            <w:r>
              <w:t>(</w:t>
            </w:r>
            <w:r w:rsidR="00F43C3A" w:rsidRPr="00F43C3A">
              <w:t>0.817</w:t>
            </w:r>
            <w:r>
              <w:t>)</w:t>
            </w:r>
          </w:p>
        </w:tc>
      </w:tr>
      <w:tr w:rsidR="00F43C3A" w:rsidRPr="00F43C3A" w:rsidTr="000F6D80">
        <w:trPr>
          <w:trHeight w:val="615"/>
        </w:trPr>
        <w:tc>
          <w:tcPr>
            <w:tcW w:w="1403" w:type="pct"/>
            <w:tcBorders>
              <w:top w:val="nil"/>
              <w:left w:val="single" w:sz="4" w:space="0" w:color="auto"/>
              <w:bottom w:val="single" w:sz="4" w:space="0" w:color="auto"/>
              <w:right w:val="single" w:sz="4" w:space="0" w:color="auto"/>
            </w:tcBorders>
            <w:shd w:val="clear" w:color="auto" w:fill="auto"/>
            <w:vAlign w:val="bottom"/>
            <w:hideMark/>
          </w:tcPr>
          <w:p w:rsidR="00F43C3A" w:rsidRPr="00F43C3A" w:rsidRDefault="00F43C3A" w:rsidP="00F43C3A">
            <w:r w:rsidRPr="00F43C3A">
              <w:t>Use of vehicle, plant or apparatus belonging to LCC</w:t>
            </w:r>
          </w:p>
        </w:tc>
        <w:tc>
          <w:tcPr>
            <w:tcW w:w="507" w:type="pct"/>
            <w:tcBorders>
              <w:top w:val="nil"/>
              <w:left w:val="nil"/>
              <w:bottom w:val="single" w:sz="4" w:space="0" w:color="auto"/>
              <w:right w:val="single" w:sz="4" w:space="0" w:color="auto"/>
            </w:tcBorders>
            <w:shd w:val="clear" w:color="000000" w:fill="CCFFFF"/>
            <w:noWrap/>
            <w:vAlign w:val="bottom"/>
            <w:hideMark/>
          </w:tcPr>
          <w:p w:rsidR="00F43C3A" w:rsidRPr="00F43C3A" w:rsidRDefault="00EA3AAE" w:rsidP="00F43C3A">
            <w:pPr>
              <w:jc w:val="right"/>
            </w:pPr>
            <w:r>
              <w:t>(</w:t>
            </w:r>
            <w:r w:rsidR="00F43C3A" w:rsidRPr="00F43C3A">
              <w:t>0.022</w:t>
            </w:r>
            <w:r>
              <w:t>)</w:t>
            </w:r>
          </w:p>
        </w:tc>
        <w:tc>
          <w:tcPr>
            <w:tcW w:w="623" w:type="pct"/>
            <w:tcBorders>
              <w:top w:val="nil"/>
              <w:left w:val="nil"/>
              <w:bottom w:val="single" w:sz="4" w:space="0" w:color="auto"/>
              <w:right w:val="single" w:sz="4" w:space="0" w:color="auto"/>
            </w:tcBorders>
            <w:shd w:val="clear" w:color="000000" w:fill="CCFFFF"/>
            <w:noWrap/>
            <w:vAlign w:val="bottom"/>
            <w:hideMark/>
          </w:tcPr>
          <w:p w:rsidR="00F43C3A" w:rsidRPr="00F43C3A" w:rsidRDefault="00F43C3A" w:rsidP="00F43C3A">
            <w:pPr>
              <w:jc w:val="right"/>
            </w:pPr>
            <w:r w:rsidRPr="00F43C3A">
              <w:t>0.022</w:t>
            </w:r>
          </w:p>
        </w:tc>
        <w:tc>
          <w:tcPr>
            <w:tcW w:w="722" w:type="pct"/>
            <w:tcBorders>
              <w:top w:val="nil"/>
              <w:left w:val="nil"/>
              <w:bottom w:val="single" w:sz="4" w:space="0" w:color="auto"/>
              <w:right w:val="single" w:sz="4" w:space="0" w:color="auto"/>
            </w:tcBorders>
            <w:shd w:val="clear" w:color="000000" w:fill="CCFFFF"/>
            <w:noWrap/>
            <w:vAlign w:val="bottom"/>
            <w:hideMark/>
          </w:tcPr>
          <w:p w:rsidR="00F43C3A" w:rsidRPr="00F43C3A" w:rsidRDefault="00F43C3A" w:rsidP="00F43C3A">
            <w:pPr>
              <w:jc w:val="right"/>
            </w:pPr>
            <w:r w:rsidRPr="00F43C3A">
              <w:t>0.000</w:t>
            </w:r>
          </w:p>
        </w:tc>
        <w:tc>
          <w:tcPr>
            <w:tcW w:w="496" w:type="pct"/>
            <w:tcBorders>
              <w:top w:val="nil"/>
              <w:left w:val="nil"/>
              <w:bottom w:val="single" w:sz="4" w:space="0" w:color="auto"/>
              <w:right w:val="single" w:sz="4" w:space="0" w:color="auto"/>
            </w:tcBorders>
            <w:shd w:val="clear" w:color="000000" w:fill="D8D8D8"/>
            <w:noWrap/>
            <w:vAlign w:val="center"/>
            <w:hideMark/>
          </w:tcPr>
          <w:p w:rsidR="00F43C3A" w:rsidRPr="00F43C3A" w:rsidRDefault="00EA3AAE" w:rsidP="00F43C3A">
            <w:pPr>
              <w:jc w:val="center"/>
            </w:pPr>
            <w:r>
              <w:t>(</w:t>
            </w:r>
            <w:r w:rsidR="00F43C3A" w:rsidRPr="00F43C3A">
              <w:t>0.001</w:t>
            </w:r>
            <w:r>
              <w:t>)</w:t>
            </w:r>
          </w:p>
        </w:tc>
        <w:tc>
          <w:tcPr>
            <w:tcW w:w="557" w:type="pct"/>
            <w:tcBorders>
              <w:top w:val="nil"/>
              <w:left w:val="nil"/>
              <w:bottom w:val="single" w:sz="4" w:space="0" w:color="auto"/>
              <w:right w:val="single" w:sz="4" w:space="0" w:color="auto"/>
            </w:tcBorders>
            <w:shd w:val="clear" w:color="000000" w:fill="D8D8D8"/>
            <w:noWrap/>
            <w:vAlign w:val="center"/>
            <w:hideMark/>
          </w:tcPr>
          <w:p w:rsidR="00F43C3A" w:rsidRPr="00F43C3A" w:rsidRDefault="00F43C3A" w:rsidP="00F43C3A">
            <w:pPr>
              <w:jc w:val="center"/>
            </w:pPr>
            <w:r w:rsidRPr="00F43C3A">
              <w:t>0.001</w:t>
            </w:r>
          </w:p>
        </w:tc>
        <w:tc>
          <w:tcPr>
            <w:tcW w:w="692" w:type="pct"/>
            <w:tcBorders>
              <w:top w:val="nil"/>
              <w:left w:val="nil"/>
              <w:bottom w:val="single" w:sz="4" w:space="0" w:color="auto"/>
              <w:right w:val="single" w:sz="4" w:space="0" w:color="auto"/>
            </w:tcBorders>
            <w:shd w:val="clear" w:color="000000" w:fill="D8D8D8"/>
            <w:noWrap/>
            <w:vAlign w:val="bottom"/>
            <w:hideMark/>
          </w:tcPr>
          <w:p w:rsidR="00F43C3A" w:rsidRPr="00F43C3A" w:rsidRDefault="00F43C3A" w:rsidP="00F43C3A">
            <w:pPr>
              <w:jc w:val="right"/>
            </w:pPr>
            <w:r w:rsidRPr="00F43C3A">
              <w:t>0.000</w:t>
            </w:r>
          </w:p>
        </w:tc>
      </w:tr>
      <w:tr w:rsidR="00F43C3A" w:rsidRPr="00F43C3A" w:rsidTr="000F6D80">
        <w:trPr>
          <w:trHeight w:val="915"/>
        </w:trPr>
        <w:tc>
          <w:tcPr>
            <w:tcW w:w="1403" w:type="pct"/>
            <w:tcBorders>
              <w:top w:val="nil"/>
              <w:left w:val="single" w:sz="4" w:space="0" w:color="auto"/>
              <w:bottom w:val="single" w:sz="4" w:space="0" w:color="auto"/>
              <w:right w:val="single" w:sz="4" w:space="0" w:color="auto"/>
            </w:tcBorders>
            <w:shd w:val="clear" w:color="auto" w:fill="auto"/>
            <w:vAlign w:val="bottom"/>
            <w:hideMark/>
          </w:tcPr>
          <w:p w:rsidR="00F43C3A" w:rsidRPr="00F43C3A" w:rsidRDefault="00F43C3A" w:rsidP="00F43C3A">
            <w:r w:rsidRPr="00F43C3A">
              <w:t xml:space="preserve">Lancs. </w:t>
            </w:r>
            <w:r w:rsidR="001F1A1A">
              <w:t>County Council</w:t>
            </w:r>
            <w:r w:rsidRPr="00F43C3A">
              <w:t xml:space="preserve"> carrying out works of maintenance in connection with land or buildings</w:t>
            </w:r>
          </w:p>
        </w:tc>
        <w:tc>
          <w:tcPr>
            <w:tcW w:w="507" w:type="pct"/>
            <w:tcBorders>
              <w:top w:val="nil"/>
              <w:left w:val="nil"/>
              <w:bottom w:val="single" w:sz="4" w:space="0" w:color="auto"/>
              <w:right w:val="single" w:sz="4" w:space="0" w:color="auto"/>
            </w:tcBorders>
            <w:shd w:val="clear" w:color="000000" w:fill="CCFFFF"/>
            <w:noWrap/>
            <w:vAlign w:val="bottom"/>
            <w:hideMark/>
          </w:tcPr>
          <w:p w:rsidR="00F43C3A" w:rsidRPr="00F43C3A" w:rsidRDefault="00F43C3A" w:rsidP="00F43C3A">
            <w:pPr>
              <w:jc w:val="right"/>
            </w:pPr>
            <w:r w:rsidRPr="00F43C3A">
              <w:t>0.000</w:t>
            </w:r>
          </w:p>
        </w:tc>
        <w:tc>
          <w:tcPr>
            <w:tcW w:w="623" w:type="pct"/>
            <w:tcBorders>
              <w:top w:val="nil"/>
              <w:left w:val="nil"/>
              <w:bottom w:val="single" w:sz="4" w:space="0" w:color="auto"/>
              <w:right w:val="single" w:sz="4" w:space="0" w:color="auto"/>
            </w:tcBorders>
            <w:shd w:val="clear" w:color="000000" w:fill="CCFFFF"/>
            <w:noWrap/>
            <w:vAlign w:val="bottom"/>
            <w:hideMark/>
          </w:tcPr>
          <w:p w:rsidR="00F43C3A" w:rsidRPr="00F43C3A" w:rsidRDefault="00F43C3A" w:rsidP="00F43C3A">
            <w:pPr>
              <w:jc w:val="right"/>
            </w:pPr>
            <w:r w:rsidRPr="00F43C3A">
              <w:t>0.000</w:t>
            </w:r>
          </w:p>
        </w:tc>
        <w:tc>
          <w:tcPr>
            <w:tcW w:w="722" w:type="pct"/>
            <w:tcBorders>
              <w:top w:val="nil"/>
              <w:left w:val="nil"/>
              <w:bottom w:val="single" w:sz="4" w:space="0" w:color="auto"/>
              <w:right w:val="single" w:sz="4" w:space="0" w:color="auto"/>
            </w:tcBorders>
            <w:shd w:val="clear" w:color="000000" w:fill="CCFFFF"/>
            <w:noWrap/>
            <w:vAlign w:val="bottom"/>
            <w:hideMark/>
          </w:tcPr>
          <w:p w:rsidR="00F43C3A" w:rsidRPr="00F43C3A" w:rsidRDefault="00F43C3A" w:rsidP="00F43C3A">
            <w:pPr>
              <w:jc w:val="right"/>
            </w:pPr>
            <w:r w:rsidRPr="00F43C3A">
              <w:t>0.000</w:t>
            </w:r>
          </w:p>
        </w:tc>
        <w:tc>
          <w:tcPr>
            <w:tcW w:w="496" w:type="pct"/>
            <w:tcBorders>
              <w:top w:val="nil"/>
              <w:left w:val="nil"/>
              <w:bottom w:val="single" w:sz="4" w:space="0" w:color="auto"/>
              <w:right w:val="single" w:sz="4" w:space="0" w:color="auto"/>
            </w:tcBorders>
            <w:shd w:val="clear" w:color="000000" w:fill="D8D8D8"/>
            <w:noWrap/>
            <w:vAlign w:val="center"/>
            <w:hideMark/>
          </w:tcPr>
          <w:p w:rsidR="00F43C3A" w:rsidRPr="00F43C3A" w:rsidRDefault="00EA3AAE" w:rsidP="00F43C3A">
            <w:pPr>
              <w:jc w:val="center"/>
            </w:pPr>
            <w:r>
              <w:t>(</w:t>
            </w:r>
            <w:r w:rsidR="00F43C3A" w:rsidRPr="00F43C3A">
              <w:t>0.151</w:t>
            </w:r>
            <w:r>
              <w:t>)</w:t>
            </w:r>
          </w:p>
        </w:tc>
        <w:tc>
          <w:tcPr>
            <w:tcW w:w="557" w:type="pct"/>
            <w:tcBorders>
              <w:top w:val="nil"/>
              <w:left w:val="nil"/>
              <w:bottom w:val="single" w:sz="4" w:space="0" w:color="auto"/>
              <w:right w:val="single" w:sz="4" w:space="0" w:color="auto"/>
            </w:tcBorders>
            <w:shd w:val="clear" w:color="000000" w:fill="D8D8D8"/>
            <w:noWrap/>
            <w:vAlign w:val="center"/>
            <w:hideMark/>
          </w:tcPr>
          <w:p w:rsidR="00F43C3A" w:rsidRPr="00F43C3A" w:rsidRDefault="00F43C3A" w:rsidP="00F43C3A">
            <w:pPr>
              <w:jc w:val="center"/>
            </w:pPr>
            <w:r w:rsidRPr="00F43C3A">
              <w:t>0.151</w:t>
            </w:r>
          </w:p>
        </w:tc>
        <w:tc>
          <w:tcPr>
            <w:tcW w:w="692" w:type="pct"/>
            <w:tcBorders>
              <w:top w:val="nil"/>
              <w:left w:val="nil"/>
              <w:bottom w:val="single" w:sz="4" w:space="0" w:color="auto"/>
              <w:right w:val="single" w:sz="4" w:space="0" w:color="auto"/>
            </w:tcBorders>
            <w:shd w:val="clear" w:color="000000" w:fill="D8D8D8"/>
            <w:noWrap/>
            <w:vAlign w:val="bottom"/>
            <w:hideMark/>
          </w:tcPr>
          <w:p w:rsidR="00F43C3A" w:rsidRPr="00F43C3A" w:rsidRDefault="00F43C3A" w:rsidP="00F43C3A">
            <w:pPr>
              <w:jc w:val="right"/>
            </w:pPr>
            <w:r w:rsidRPr="00F43C3A">
              <w:t>0.000</w:t>
            </w:r>
          </w:p>
        </w:tc>
      </w:tr>
      <w:tr w:rsidR="00F43C3A" w:rsidRPr="00F43C3A" w:rsidTr="000F6D80">
        <w:trPr>
          <w:trHeight w:val="315"/>
        </w:trPr>
        <w:tc>
          <w:tcPr>
            <w:tcW w:w="1403" w:type="pct"/>
            <w:tcBorders>
              <w:top w:val="nil"/>
              <w:left w:val="single" w:sz="4" w:space="0" w:color="auto"/>
              <w:bottom w:val="single" w:sz="4" w:space="0" w:color="auto"/>
              <w:right w:val="single" w:sz="4" w:space="0" w:color="auto"/>
            </w:tcBorders>
            <w:shd w:val="clear" w:color="auto" w:fill="auto"/>
            <w:vAlign w:val="bottom"/>
            <w:hideMark/>
          </w:tcPr>
          <w:p w:rsidR="00F43C3A" w:rsidRPr="00F43C3A" w:rsidRDefault="00F43C3A" w:rsidP="00F43C3A">
            <w:r w:rsidRPr="00F43C3A">
              <w:t>Total</w:t>
            </w:r>
          </w:p>
        </w:tc>
        <w:tc>
          <w:tcPr>
            <w:tcW w:w="507" w:type="pct"/>
            <w:tcBorders>
              <w:top w:val="nil"/>
              <w:left w:val="nil"/>
              <w:bottom w:val="single" w:sz="4" w:space="0" w:color="auto"/>
              <w:right w:val="single" w:sz="4" w:space="0" w:color="auto"/>
            </w:tcBorders>
            <w:shd w:val="clear" w:color="000000" w:fill="CCFFFF"/>
            <w:noWrap/>
            <w:vAlign w:val="bottom"/>
            <w:hideMark/>
          </w:tcPr>
          <w:p w:rsidR="00F43C3A" w:rsidRPr="00F43C3A" w:rsidRDefault="00EA3AAE" w:rsidP="00F43C3A">
            <w:pPr>
              <w:jc w:val="right"/>
            </w:pPr>
            <w:r>
              <w:t>(</w:t>
            </w:r>
            <w:r w:rsidR="00F43C3A" w:rsidRPr="00F43C3A">
              <w:t>31.595</w:t>
            </w:r>
            <w:r>
              <w:t>)</w:t>
            </w:r>
          </w:p>
        </w:tc>
        <w:tc>
          <w:tcPr>
            <w:tcW w:w="623" w:type="pct"/>
            <w:tcBorders>
              <w:top w:val="nil"/>
              <w:left w:val="nil"/>
              <w:bottom w:val="single" w:sz="4" w:space="0" w:color="auto"/>
              <w:right w:val="single" w:sz="4" w:space="0" w:color="auto"/>
            </w:tcBorders>
            <w:shd w:val="clear" w:color="000000" w:fill="CCFFFF"/>
            <w:noWrap/>
            <w:vAlign w:val="bottom"/>
            <w:hideMark/>
          </w:tcPr>
          <w:p w:rsidR="00F43C3A" w:rsidRPr="00F43C3A" w:rsidRDefault="00F43C3A" w:rsidP="00F43C3A">
            <w:pPr>
              <w:jc w:val="right"/>
            </w:pPr>
            <w:r w:rsidRPr="00F43C3A">
              <w:t>29.786</w:t>
            </w:r>
          </w:p>
        </w:tc>
        <w:tc>
          <w:tcPr>
            <w:tcW w:w="722" w:type="pct"/>
            <w:tcBorders>
              <w:top w:val="nil"/>
              <w:left w:val="nil"/>
              <w:bottom w:val="single" w:sz="4" w:space="0" w:color="auto"/>
              <w:right w:val="single" w:sz="4" w:space="0" w:color="auto"/>
            </w:tcBorders>
            <w:shd w:val="clear" w:color="000000" w:fill="CCFFFF"/>
            <w:noWrap/>
            <w:vAlign w:val="bottom"/>
            <w:hideMark/>
          </w:tcPr>
          <w:p w:rsidR="00F43C3A" w:rsidRPr="00F43C3A" w:rsidRDefault="00EA3AAE" w:rsidP="00F43C3A">
            <w:pPr>
              <w:jc w:val="right"/>
            </w:pPr>
            <w:r>
              <w:t>(</w:t>
            </w:r>
            <w:r w:rsidR="00F43C3A" w:rsidRPr="00F43C3A">
              <w:t>1.809</w:t>
            </w:r>
            <w:r>
              <w:t>)</w:t>
            </w:r>
          </w:p>
        </w:tc>
        <w:tc>
          <w:tcPr>
            <w:tcW w:w="496" w:type="pct"/>
            <w:tcBorders>
              <w:top w:val="nil"/>
              <w:left w:val="nil"/>
              <w:bottom w:val="single" w:sz="4" w:space="0" w:color="auto"/>
              <w:right w:val="single" w:sz="4" w:space="0" w:color="auto"/>
            </w:tcBorders>
            <w:shd w:val="clear" w:color="000000" w:fill="D8D8D8"/>
            <w:noWrap/>
            <w:vAlign w:val="center"/>
            <w:hideMark/>
          </w:tcPr>
          <w:p w:rsidR="00F43C3A" w:rsidRPr="00F43C3A" w:rsidRDefault="00EA3AAE" w:rsidP="00F43C3A">
            <w:pPr>
              <w:jc w:val="right"/>
            </w:pPr>
            <w:r>
              <w:t>(</w:t>
            </w:r>
            <w:r w:rsidR="00F43C3A" w:rsidRPr="00F43C3A">
              <w:t>20.229</w:t>
            </w:r>
            <w:r>
              <w:t>)</w:t>
            </w:r>
          </w:p>
        </w:tc>
        <w:tc>
          <w:tcPr>
            <w:tcW w:w="557" w:type="pct"/>
            <w:tcBorders>
              <w:top w:val="nil"/>
              <w:left w:val="nil"/>
              <w:bottom w:val="single" w:sz="4" w:space="0" w:color="auto"/>
              <w:right w:val="single" w:sz="4" w:space="0" w:color="auto"/>
            </w:tcBorders>
            <w:shd w:val="clear" w:color="000000" w:fill="D8D8D8"/>
            <w:noWrap/>
            <w:vAlign w:val="center"/>
            <w:hideMark/>
          </w:tcPr>
          <w:p w:rsidR="00F43C3A" w:rsidRPr="00F43C3A" w:rsidRDefault="00F43C3A" w:rsidP="00F43C3A">
            <w:pPr>
              <w:jc w:val="right"/>
            </w:pPr>
            <w:r w:rsidRPr="00F43C3A">
              <w:t>19.411</w:t>
            </w:r>
          </w:p>
        </w:tc>
        <w:tc>
          <w:tcPr>
            <w:tcW w:w="692" w:type="pct"/>
            <w:tcBorders>
              <w:top w:val="nil"/>
              <w:left w:val="nil"/>
              <w:bottom w:val="single" w:sz="4" w:space="0" w:color="auto"/>
              <w:right w:val="single" w:sz="4" w:space="0" w:color="auto"/>
            </w:tcBorders>
            <w:shd w:val="clear" w:color="000000" w:fill="D8D8D8"/>
            <w:noWrap/>
            <w:vAlign w:val="center"/>
            <w:hideMark/>
          </w:tcPr>
          <w:p w:rsidR="00F43C3A" w:rsidRPr="00F43C3A" w:rsidRDefault="00EA3AAE" w:rsidP="00F43C3A">
            <w:pPr>
              <w:jc w:val="right"/>
            </w:pPr>
            <w:r>
              <w:t>(</w:t>
            </w:r>
            <w:r w:rsidR="00F43C3A" w:rsidRPr="00F43C3A">
              <w:t>0.817</w:t>
            </w:r>
            <w:r>
              <w:t>)</w:t>
            </w:r>
          </w:p>
        </w:tc>
      </w:tr>
    </w:tbl>
    <w:p w:rsidR="00F43C3A" w:rsidRDefault="00F43C3A" w:rsidP="00BC1301">
      <w:pPr>
        <w:rPr>
          <w:b/>
          <w:highlight w:val="yellow"/>
        </w:rPr>
        <w:sectPr w:rsidR="00F43C3A" w:rsidSect="003018D5">
          <w:pgSz w:w="16838" w:h="11906" w:orient="landscape" w:code="9"/>
          <w:pgMar w:top="720" w:right="720" w:bottom="720" w:left="720" w:header="709" w:footer="709" w:gutter="0"/>
          <w:cols w:space="708"/>
          <w:docGrid w:linePitch="360"/>
        </w:sectPr>
      </w:pPr>
    </w:p>
    <w:p w:rsidR="00F43C3A" w:rsidRDefault="00F43C3A" w:rsidP="00BC1301">
      <w:pPr>
        <w:rPr>
          <w:b/>
        </w:rPr>
      </w:pPr>
    </w:p>
    <w:p w:rsidR="00F43C3A" w:rsidRDefault="00F43C3A" w:rsidP="00BC1301">
      <w:pPr>
        <w:rPr>
          <w:b/>
        </w:rPr>
      </w:pPr>
    </w:p>
    <w:p w:rsidR="00F43C3A" w:rsidRDefault="00F43C3A" w:rsidP="00BC1301">
      <w:pPr>
        <w:rPr>
          <w:b/>
        </w:rPr>
      </w:pPr>
    </w:p>
    <w:p w:rsidR="00F43C3A" w:rsidRPr="00422E48" w:rsidRDefault="00F43C3A" w:rsidP="00BC1301">
      <w:pPr>
        <w:rPr>
          <w:b/>
        </w:rPr>
      </w:pPr>
    </w:p>
    <w:p w:rsidR="00BC1301" w:rsidRPr="00422E48" w:rsidRDefault="00BC1301" w:rsidP="00BD07E4">
      <w:pPr>
        <w:numPr>
          <w:ilvl w:val="0"/>
          <w:numId w:val="21"/>
        </w:numPr>
        <w:rPr>
          <w:b/>
        </w:rPr>
      </w:pPr>
      <w:r w:rsidRPr="00422E48">
        <w:rPr>
          <w:b/>
        </w:rPr>
        <w:t>Agency Services</w:t>
      </w:r>
    </w:p>
    <w:p w:rsidR="00BC1301" w:rsidRPr="00422E48" w:rsidRDefault="00BC1301" w:rsidP="00BC1301">
      <w:pPr>
        <w:rPr>
          <w:b/>
        </w:rPr>
      </w:pPr>
    </w:p>
    <w:p w:rsidR="00422E48" w:rsidRPr="00422E48" w:rsidRDefault="00315BA9" w:rsidP="00422E48">
      <w:pPr>
        <w:ind w:left="720"/>
        <w:jc w:val="both"/>
      </w:pPr>
      <w:r>
        <w:t xml:space="preserve">District Councils carry out work as the </w:t>
      </w:r>
      <w:r w:rsidR="001F1A1A">
        <w:t>County Council</w:t>
      </w:r>
      <w:r>
        <w:t>'s agents under the street services agreement with spending of £1.526 million as shown below:</w:t>
      </w:r>
    </w:p>
    <w:p w:rsidR="00691C0A" w:rsidRDefault="00691C0A" w:rsidP="00422E48">
      <w:pPr>
        <w:ind w:left="720"/>
        <w:jc w:val="both"/>
      </w:pPr>
    </w:p>
    <w:p w:rsidR="003018D5" w:rsidRDefault="003018D5" w:rsidP="00422E48">
      <w:pPr>
        <w:ind w:left="720"/>
        <w:jc w:val="both"/>
      </w:pPr>
    </w:p>
    <w:p w:rsidR="003018D5" w:rsidRDefault="003018D5" w:rsidP="00422E48">
      <w:pPr>
        <w:ind w:left="720"/>
        <w:jc w:val="bot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0"/>
        <w:gridCol w:w="2835"/>
        <w:gridCol w:w="1701"/>
      </w:tblGrid>
      <w:tr w:rsidR="003018D5" w:rsidTr="00DD4406">
        <w:tc>
          <w:tcPr>
            <w:tcW w:w="5200" w:type="dxa"/>
          </w:tcPr>
          <w:p w:rsidR="003018D5" w:rsidRDefault="003018D5" w:rsidP="00422E48">
            <w:pPr>
              <w:jc w:val="both"/>
            </w:pPr>
          </w:p>
        </w:tc>
        <w:tc>
          <w:tcPr>
            <w:tcW w:w="2835" w:type="dxa"/>
          </w:tcPr>
          <w:p w:rsidR="003018D5" w:rsidRDefault="003018D5" w:rsidP="00DD4406">
            <w:pPr>
              <w:jc w:val="right"/>
            </w:pPr>
            <w:r w:rsidRPr="00422E48">
              <w:rPr>
                <w:b/>
              </w:rPr>
              <w:t>2010/11</w:t>
            </w:r>
          </w:p>
        </w:tc>
        <w:tc>
          <w:tcPr>
            <w:tcW w:w="1701" w:type="dxa"/>
          </w:tcPr>
          <w:p w:rsidR="003018D5" w:rsidRDefault="003018D5" w:rsidP="00DD4406">
            <w:pPr>
              <w:jc w:val="right"/>
            </w:pPr>
            <w:r w:rsidRPr="00422E48">
              <w:rPr>
                <w:b/>
              </w:rPr>
              <w:t>2010/11</w:t>
            </w:r>
          </w:p>
        </w:tc>
      </w:tr>
      <w:tr w:rsidR="003018D5" w:rsidTr="00DD4406">
        <w:tc>
          <w:tcPr>
            <w:tcW w:w="5200" w:type="dxa"/>
          </w:tcPr>
          <w:p w:rsidR="003018D5" w:rsidRDefault="003018D5" w:rsidP="00422E48">
            <w:pPr>
              <w:jc w:val="both"/>
            </w:pPr>
          </w:p>
        </w:tc>
        <w:tc>
          <w:tcPr>
            <w:tcW w:w="2835" w:type="dxa"/>
          </w:tcPr>
          <w:p w:rsidR="003018D5" w:rsidRDefault="003018D5" w:rsidP="00DD4406">
            <w:pPr>
              <w:jc w:val="right"/>
            </w:pPr>
            <w:r w:rsidRPr="00422E48">
              <w:rPr>
                <w:b/>
              </w:rPr>
              <w:t>£000</w:t>
            </w:r>
          </w:p>
        </w:tc>
        <w:tc>
          <w:tcPr>
            <w:tcW w:w="1701" w:type="dxa"/>
          </w:tcPr>
          <w:p w:rsidR="003018D5" w:rsidRDefault="003018D5" w:rsidP="00DD4406">
            <w:pPr>
              <w:jc w:val="right"/>
            </w:pPr>
            <w:r w:rsidRPr="00422E48">
              <w:rPr>
                <w:b/>
              </w:rPr>
              <w:t>£000</w:t>
            </w:r>
          </w:p>
        </w:tc>
      </w:tr>
      <w:tr w:rsidR="003018D5" w:rsidTr="00DD4406">
        <w:tc>
          <w:tcPr>
            <w:tcW w:w="5200" w:type="dxa"/>
          </w:tcPr>
          <w:p w:rsidR="003018D5" w:rsidRDefault="00DD4406" w:rsidP="00422E48">
            <w:pPr>
              <w:jc w:val="both"/>
            </w:pPr>
            <w:r w:rsidRPr="00422E48">
              <w:t>Expenditure incurred Routine Maintenance</w:t>
            </w:r>
          </w:p>
        </w:tc>
        <w:tc>
          <w:tcPr>
            <w:tcW w:w="2835" w:type="dxa"/>
          </w:tcPr>
          <w:p w:rsidR="003018D5" w:rsidRDefault="00DD4406" w:rsidP="00DD4406">
            <w:pPr>
              <w:jc w:val="right"/>
            </w:pPr>
            <w:r>
              <w:t>1,</w:t>
            </w:r>
            <w:r w:rsidRPr="00422E48">
              <w:t>462</w:t>
            </w:r>
          </w:p>
        </w:tc>
        <w:tc>
          <w:tcPr>
            <w:tcW w:w="1701" w:type="dxa"/>
          </w:tcPr>
          <w:p w:rsidR="003018D5" w:rsidRDefault="00DD4406" w:rsidP="00DD4406">
            <w:pPr>
              <w:jc w:val="right"/>
            </w:pPr>
            <w:r>
              <w:t>1,</w:t>
            </w:r>
            <w:r w:rsidRPr="00422E48">
              <w:t>083</w:t>
            </w:r>
          </w:p>
        </w:tc>
      </w:tr>
      <w:tr w:rsidR="00DD4406" w:rsidTr="00DD4406">
        <w:tc>
          <w:tcPr>
            <w:tcW w:w="5200" w:type="dxa"/>
          </w:tcPr>
          <w:p w:rsidR="00DD4406" w:rsidRPr="00422E48" w:rsidRDefault="00DD4406" w:rsidP="00422E48">
            <w:pPr>
              <w:jc w:val="both"/>
            </w:pPr>
            <w:r w:rsidRPr="00422E48">
              <w:t>Administrative Costs</w:t>
            </w:r>
          </w:p>
        </w:tc>
        <w:tc>
          <w:tcPr>
            <w:tcW w:w="2835" w:type="dxa"/>
          </w:tcPr>
          <w:p w:rsidR="00DD4406" w:rsidRDefault="00DD4406" w:rsidP="00DD4406">
            <w:pPr>
              <w:jc w:val="right"/>
            </w:pPr>
            <w:r w:rsidRPr="00422E48">
              <w:t>64</w:t>
            </w:r>
          </w:p>
        </w:tc>
        <w:tc>
          <w:tcPr>
            <w:tcW w:w="1701" w:type="dxa"/>
          </w:tcPr>
          <w:p w:rsidR="00DD4406" w:rsidRDefault="00DD4406" w:rsidP="00DD4406">
            <w:pPr>
              <w:jc w:val="right"/>
            </w:pPr>
            <w:r w:rsidRPr="00422E48">
              <w:t>92</w:t>
            </w:r>
          </w:p>
        </w:tc>
      </w:tr>
      <w:tr w:rsidR="00DD4406" w:rsidTr="00DD4406">
        <w:tc>
          <w:tcPr>
            <w:tcW w:w="5200" w:type="dxa"/>
          </w:tcPr>
          <w:p w:rsidR="00DD4406" w:rsidRPr="00422E48" w:rsidRDefault="00DD4406" w:rsidP="00422E48">
            <w:pPr>
              <w:jc w:val="both"/>
            </w:pPr>
          </w:p>
        </w:tc>
        <w:tc>
          <w:tcPr>
            <w:tcW w:w="2835" w:type="dxa"/>
          </w:tcPr>
          <w:p w:rsidR="00DD4406" w:rsidRPr="00422E48" w:rsidRDefault="00DD4406" w:rsidP="00DD4406">
            <w:pPr>
              <w:jc w:val="right"/>
            </w:pPr>
          </w:p>
        </w:tc>
        <w:tc>
          <w:tcPr>
            <w:tcW w:w="1701" w:type="dxa"/>
          </w:tcPr>
          <w:p w:rsidR="00DD4406" w:rsidRPr="00422E48" w:rsidRDefault="00DD4406" w:rsidP="00DD4406">
            <w:pPr>
              <w:jc w:val="right"/>
            </w:pPr>
          </w:p>
        </w:tc>
      </w:tr>
      <w:tr w:rsidR="00DD4406" w:rsidTr="00DD4406">
        <w:tc>
          <w:tcPr>
            <w:tcW w:w="5200" w:type="dxa"/>
          </w:tcPr>
          <w:p w:rsidR="00DD4406" w:rsidRPr="00422E48" w:rsidRDefault="00DD4406" w:rsidP="00422E48">
            <w:pPr>
              <w:jc w:val="both"/>
            </w:pPr>
            <w:r>
              <w:t>N</w:t>
            </w:r>
            <w:r w:rsidRPr="00422E48">
              <w:t>et Surplus/deficit on agency arrangement</w:t>
            </w:r>
          </w:p>
        </w:tc>
        <w:tc>
          <w:tcPr>
            <w:tcW w:w="2835" w:type="dxa"/>
          </w:tcPr>
          <w:p w:rsidR="00DD4406" w:rsidRPr="00422E48" w:rsidRDefault="00DD4406" w:rsidP="00DD4406">
            <w:pPr>
              <w:jc w:val="right"/>
            </w:pPr>
            <w:r>
              <w:t>1,</w:t>
            </w:r>
            <w:r w:rsidRPr="00422E48">
              <w:t>526</w:t>
            </w:r>
          </w:p>
        </w:tc>
        <w:tc>
          <w:tcPr>
            <w:tcW w:w="1701" w:type="dxa"/>
          </w:tcPr>
          <w:p w:rsidR="00DD4406" w:rsidRPr="00422E48" w:rsidRDefault="00DD4406" w:rsidP="00DD4406">
            <w:pPr>
              <w:jc w:val="right"/>
            </w:pPr>
            <w:r>
              <w:t>1,</w:t>
            </w:r>
            <w:r w:rsidRPr="00422E48">
              <w:t>175</w:t>
            </w:r>
          </w:p>
        </w:tc>
      </w:tr>
    </w:tbl>
    <w:p w:rsidR="003018D5" w:rsidRPr="00422E48" w:rsidRDefault="003018D5" w:rsidP="00422E48">
      <w:pPr>
        <w:ind w:left="720"/>
        <w:jc w:val="both"/>
      </w:pPr>
    </w:p>
    <w:p w:rsidR="00BC1301" w:rsidRPr="002E47EC" w:rsidRDefault="00BC1301" w:rsidP="007407FA">
      <w:pPr>
        <w:ind w:left="720"/>
        <w:jc w:val="both"/>
        <w:rPr>
          <w:u w:val="single"/>
        </w:rPr>
      </w:pPr>
      <w:r w:rsidRPr="002E47EC">
        <w:tab/>
      </w:r>
      <w:r w:rsidRPr="002E47EC">
        <w:tab/>
      </w:r>
    </w:p>
    <w:p w:rsidR="00BC1301" w:rsidRPr="002E47EC" w:rsidRDefault="00BC1301" w:rsidP="00BD07E4">
      <w:pPr>
        <w:numPr>
          <w:ilvl w:val="0"/>
          <w:numId w:val="21"/>
        </w:numPr>
        <w:spacing w:after="240"/>
        <w:rPr>
          <w:b/>
        </w:rPr>
      </w:pPr>
      <w:r w:rsidRPr="002E47EC">
        <w:rPr>
          <w:b/>
        </w:rPr>
        <w:t>Pooled budgets</w:t>
      </w:r>
    </w:p>
    <w:p w:rsidR="00BC1301" w:rsidRPr="002E47EC" w:rsidRDefault="00BC1301" w:rsidP="00BC1301">
      <w:pPr>
        <w:spacing w:after="240"/>
        <w:ind w:left="720"/>
        <w:jc w:val="both"/>
      </w:pPr>
      <w:r w:rsidRPr="002E47EC">
        <w:t>Councils and primary care trusts (PCTs) are allowed to pool funds for a particular service or initiative. We contribute to several pooled funds as described below:</w:t>
      </w:r>
    </w:p>
    <w:p w:rsidR="00BC1301" w:rsidRPr="002E47EC" w:rsidRDefault="00BC1301" w:rsidP="00C16BB2">
      <w:pPr>
        <w:spacing w:after="240"/>
        <w:ind w:left="720"/>
        <w:jc w:val="both"/>
        <w:rPr>
          <w:b/>
          <w:u w:val="single"/>
        </w:rPr>
      </w:pPr>
      <w:r w:rsidRPr="002E47EC">
        <w:rPr>
          <w:b/>
          <w:u w:val="single"/>
        </w:rPr>
        <w:t xml:space="preserve">Lancashire </w:t>
      </w:r>
      <w:r w:rsidR="001F1A1A">
        <w:rPr>
          <w:b/>
          <w:u w:val="single"/>
        </w:rPr>
        <w:t>County Council</w:t>
      </w:r>
      <w:r w:rsidRPr="002E47EC">
        <w:rPr>
          <w:b/>
          <w:u w:val="single"/>
        </w:rPr>
        <w:t xml:space="preserve"> and </w:t>
      </w:r>
      <w:r w:rsidR="00E86637" w:rsidRPr="002E47EC">
        <w:rPr>
          <w:b/>
          <w:u w:val="single"/>
        </w:rPr>
        <w:t xml:space="preserve">three </w:t>
      </w:r>
      <w:r w:rsidRPr="002E47EC">
        <w:rPr>
          <w:b/>
          <w:u w:val="single"/>
        </w:rPr>
        <w:t>PCT</w:t>
      </w:r>
      <w:r w:rsidR="00E86637" w:rsidRPr="002E47EC">
        <w:rPr>
          <w:b/>
          <w:u w:val="single"/>
        </w:rPr>
        <w:t>'s (North Lancashire, East Lancashire &amp; Central Lancashire) for the integrated commissioning of services for adults with Learning Disabilities</w:t>
      </w:r>
    </w:p>
    <w:tbl>
      <w:tblPr>
        <w:tblW w:w="9475" w:type="dxa"/>
        <w:tblInd w:w="1000" w:type="dxa"/>
        <w:tblLook w:val="04A0"/>
      </w:tblPr>
      <w:tblGrid>
        <w:gridCol w:w="736"/>
        <w:gridCol w:w="450"/>
        <w:gridCol w:w="1188"/>
        <w:gridCol w:w="1186"/>
        <w:gridCol w:w="1187"/>
        <w:gridCol w:w="1181"/>
        <w:gridCol w:w="1183"/>
        <w:gridCol w:w="1181"/>
        <w:gridCol w:w="1183"/>
      </w:tblGrid>
      <w:tr w:rsidR="00BC1301" w:rsidRPr="002E47EC" w:rsidTr="00126A3A">
        <w:trPr>
          <w:trHeight w:val="268"/>
        </w:trPr>
        <w:tc>
          <w:tcPr>
            <w:tcW w:w="1186" w:type="dxa"/>
            <w:gridSpan w:val="2"/>
            <w:tcBorders>
              <w:top w:val="single" w:sz="4" w:space="0" w:color="auto"/>
              <w:left w:val="single" w:sz="4" w:space="0" w:color="auto"/>
              <w:bottom w:val="nil"/>
              <w:right w:val="nil"/>
            </w:tcBorders>
            <w:shd w:val="clear" w:color="auto" w:fill="auto"/>
            <w:noWrap/>
            <w:vAlign w:val="bottom"/>
            <w:hideMark/>
          </w:tcPr>
          <w:p w:rsidR="00BC1301" w:rsidRPr="002E47EC" w:rsidRDefault="00BC1301" w:rsidP="00D335FF">
            <w:pPr>
              <w:rPr>
                <w:sz w:val="18"/>
                <w:szCs w:val="18"/>
              </w:rPr>
            </w:pPr>
            <w:r w:rsidRPr="002E47EC">
              <w:rPr>
                <w:sz w:val="18"/>
                <w:szCs w:val="18"/>
              </w:rPr>
              <w:t> </w:t>
            </w:r>
          </w:p>
        </w:tc>
        <w:tc>
          <w:tcPr>
            <w:tcW w:w="1188" w:type="dxa"/>
            <w:tcBorders>
              <w:top w:val="single" w:sz="4" w:space="0" w:color="auto"/>
              <w:left w:val="nil"/>
              <w:bottom w:val="nil"/>
              <w:right w:val="nil"/>
            </w:tcBorders>
            <w:shd w:val="clear" w:color="auto" w:fill="auto"/>
            <w:noWrap/>
            <w:vAlign w:val="bottom"/>
            <w:hideMark/>
          </w:tcPr>
          <w:p w:rsidR="00BC1301" w:rsidRPr="002E47EC" w:rsidRDefault="00BC1301" w:rsidP="00D335FF">
            <w:pPr>
              <w:rPr>
                <w:sz w:val="18"/>
                <w:szCs w:val="18"/>
              </w:rPr>
            </w:pPr>
            <w:r w:rsidRPr="002E47EC">
              <w:rPr>
                <w:sz w:val="18"/>
                <w:szCs w:val="18"/>
              </w:rPr>
              <w:t> </w:t>
            </w:r>
          </w:p>
        </w:tc>
        <w:tc>
          <w:tcPr>
            <w:tcW w:w="1186" w:type="dxa"/>
            <w:tcBorders>
              <w:top w:val="single" w:sz="4" w:space="0" w:color="auto"/>
              <w:left w:val="nil"/>
              <w:bottom w:val="nil"/>
              <w:right w:val="nil"/>
            </w:tcBorders>
            <w:shd w:val="clear" w:color="auto" w:fill="auto"/>
            <w:noWrap/>
            <w:vAlign w:val="bottom"/>
            <w:hideMark/>
          </w:tcPr>
          <w:p w:rsidR="00BC1301" w:rsidRPr="002E47EC" w:rsidRDefault="00BC1301" w:rsidP="00D335FF">
            <w:pPr>
              <w:rPr>
                <w:sz w:val="18"/>
                <w:szCs w:val="18"/>
              </w:rPr>
            </w:pPr>
            <w:r w:rsidRPr="002E47EC">
              <w:rPr>
                <w:sz w:val="18"/>
                <w:szCs w:val="18"/>
              </w:rPr>
              <w:t> </w:t>
            </w:r>
          </w:p>
        </w:tc>
        <w:tc>
          <w:tcPr>
            <w:tcW w:w="1187" w:type="dxa"/>
            <w:tcBorders>
              <w:top w:val="single" w:sz="4" w:space="0" w:color="auto"/>
              <w:left w:val="nil"/>
              <w:bottom w:val="nil"/>
              <w:right w:val="single" w:sz="4" w:space="0" w:color="auto"/>
            </w:tcBorders>
            <w:shd w:val="clear" w:color="auto" w:fill="auto"/>
            <w:noWrap/>
            <w:vAlign w:val="bottom"/>
            <w:hideMark/>
          </w:tcPr>
          <w:p w:rsidR="00BC1301" w:rsidRPr="002E47EC" w:rsidRDefault="00BC1301" w:rsidP="00D335FF">
            <w:pPr>
              <w:rPr>
                <w:sz w:val="18"/>
                <w:szCs w:val="18"/>
              </w:rPr>
            </w:pPr>
            <w:r w:rsidRPr="002E47EC">
              <w:rPr>
                <w:sz w:val="18"/>
                <w:szCs w:val="18"/>
              </w:rPr>
              <w:t> </w:t>
            </w:r>
          </w:p>
        </w:tc>
        <w:tc>
          <w:tcPr>
            <w:tcW w:w="23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C1301" w:rsidRPr="002E47EC" w:rsidRDefault="00A61159" w:rsidP="00A61159">
            <w:pPr>
              <w:jc w:val="center"/>
              <w:rPr>
                <w:b/>
                <w:bCs/>
                <w:sz w:val="20"/>
                <w:szCs w:val="20"/>
              </w:rPr>
            </w:pPr>
            <w:r w:rsidRPr="002E47EC">
              <w:rPr>
                <w:b/>
                <w:bCs/>
                <w:sz w:val="20"/>
                <w:szCs w:val="20"/>
              </w:rPr>
              <w:t>2011</w:t>
            </w:r>
            <w:r w:rsidR="00106A0E" w:rsidRPr="002E47EC">
              <w:rPr>
                <w:b/>
                <w:bCs/>
                <w:sz w:val="20"/>
                <w:szCs w:val="20"/>
              </w:rPr>
              <w:t>/1</w:t>
            </w:r>
            <w:r w:rsidRPr="002E47EC">
              <w:rPr>
                <w:b/>
                <w:bCs/>
                <w:sz w:val="20"/>
                <w:szCs w:val="20"/>
              </w:rPr>
              <w:t>2</w:t>
            </w:r>
          </w:p>
        </w:tc>
        <w:tc>
          <w:tcPr>
            <w:tcW w:w="23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61159" w:rsidRPr="002E47EC" w:rsidRDefault="00BC1301" w:rsidP="00A61159">
            <w:pPr>
              <w:jc w:val="center"/>
              <w:rPr>
                <w:b/>
                <w:bCs/>
                <w:sz w:val="20"/>
                <w:szCs w:val="20"/>
              </w:rPr>
            </w:pPr>
            <w:r w:rsidRPr="002E47EC">
              <w:rPr>
                <w:b/>
                <w:bCs/>
                <w:sz w:val="20"/>
                <w:szCs w:val="20"/>
              </w:rPr>
              <w:t>20</w:t>
            </w:r>
            <w:r w:rsidR="00A61159" w:rsidRPr="002E47EC">
              <w:rPr>
                <w:b/>
                <w:bCs/>
                <w:sz w:val="20"/>
                <w:szCs w:val="20"/>
              </w:rPr>
              <w:t>10</w:t>
            </w:r>
            <w:r w:rsidRPr="002E47EC">
              <w:rPr>
                <w:b/>
                <w:bCs/>
                <w:sz w:val="20"/>
                <w:szCs w:val="20"/>
              </w:rPr>
              <w:t>/1</w:t>
            </w:r>
            <w:r w:rsidR="00A61159" w:rsidRPr="002E47EC">
              <w:rPr>
                <w:b/>
                <w:bCs/>
                <w:sz w:val="20"/>
                <w:szCs w:val="20"/>
              </w:rPr>
              <w:t>1</w:t>
            </w:r>
          </w:p>
        </w:tc>
      </w:tr>
      <w:tr w:rsidR="00BC1301" w:rsidRPr="002E47EC" w:rsidTr="00126A3A">
        <w:trPr>
          <w:trHeight w:val="253"/>
        </w:trPr>
        <w:tc>
          <w:tcPr>
            <w:tcW w:w="4747" w:type="dxa"/>
            <w:gridSpan w:val="5"/>
            <w:tcBorders>
              <w:top w:val="nil"/>
              <w:left w:val="single" w:sz="4" w:space="0" w:color="auto"/>
              <w:bottom w:val="nil"/>
              <w:right w:val="single" w:sz="4" w:space="0" w:color="000000"/>
            </w:tcBorders>
            <w:shd w:val="clear" w:color="auto" w:fill="auto"/>
            <w:noWrap/>
            <w:vAlign w:val="bottom"/>
            <w:hideMark/>
          </w:tcPr>
          <w:p w:rsidR="00BC1301" w:rsidRPr="002E47EC" w:rsidRDefault="00BC1301" w:rsidP="00D335FF">
            <w:pPr>
              <w:rPr>
                <w:b/>
                <w:bCs/>
                <w:sz w:val="18"/>
                <w:szCs w:val="18"/>
              </w:rPr>
            </w:pPr>
            <w:r w:rsidRPr="002E47EC">
              <w:rPr>
                <w:b/>
                <w:bCs/>
                <w:sz w:val="18"/>
                <w:szCs w:val="18"/>
              </w:rPr>
              <w:t>Funding provided to the Pooled Budget</w:t>
            </w:r>
          </w:p>
        </w:tc>
        <w:tc>
          <w:tcPr>
            <w:tcW w:w="1181" w:type="dxa"/>
            <w:tcBorders>
              <w:top w:val="nil"/>
              <w:left w:val="nil"/>
              <w:bottom w:val="nil"/>
              <w:right w:val="nil"/>
            </w:tcBorders>
            <w:shd w:val="clear" w:color="auto" w:fill="auto"/>
            <w:noWrap/>
            <w:vAlign w:val="bottom"/>
            <w:hideMark/>
          </w:tcPr>
          <w:p w:rsidR="00BC1301" w:rsidRPr="002E47EC" w:rsidRDefault="00106A0E" w:rsidP="00106A0E">
            <w:pPr>
              <w:jc w:val="center"/>
              <w:rPr>
                <w:sz w:val="18"/>
                <w:szCs w:val="18"/>
              </w:rPr>
            </w:pPr>
            <w:r w:rsidRPr="002E47EC">
              <w:rPr>
                <w:sz w:val="18"/>
                <w:szCs w:val="18"/>
              </w:rPr>
              <w:t>£000</w:t>
            </w:r>
          </w:p>
        </w:tc>
        <w:tc>
          <w:tcPr>
            <w:tcW w:w="1183" w:type="dxa"/>
            <w:tcBorders>
              <w:top w:val="nil"/>
              <w:left w:val="nil"/>
              <w:bottom w:val="nil"/>
              <w:right w:val="single" w:sz="4" w:space="0" w:color="auto"/>
            </w:tcBorders>
            <w:shd w:val="clear" w:color="auto" w:fill="auto"/>
            <w:noWrap/>
            <w:vAlign w:val="bottom"/>
            <w:hideMark/>
          </w:tcPr>
          <w:p w:rsidR="00BC1301" w:rsidRPr="002E47EC" w:rsidRDefault="00106A0E" w:rsidP="00106A0E">
            <w:pPr>
              <w:jc w:val="center"/>
              <w:rPr>
                <w:sz w:val="18"/>
                <w:szCs w:val="18"/>
              </w:rPr>
            </w:pPr>
            <w:r w:rsidRPr="002E47EC">
              <w:rPr>
                <w:sz w:val="18"/>
                <w:szCs w:val="18"/>
              </w:rPr>
              <w:t>£000</w:t>
            </w:r>
          </w:p>
        </w:tc>
        <w:tc>
          <w:tcPr>
            <w:tcW w:w="1181" w:type="dxa"/>
            <w:tcBorders>
              <w:top w:val="nil"/>
              <w:left w:val="nil"/>
              <w:bottom w:val="nil"/>
              <w:right w:val="nil"/>
            </w:tcBorders>
            <w:shd w:val="clear" w:color="auto" w:fill="auto"/>
            <w:noWrap/>
            <w:vAlign w:val="bottom"/>
            <w:hideMark/>
          </w:tcPr>
          <w:p w:rsidR="00BC1301" w:rsidRPr="002E47EC" w:rsidRDefault="00106A0E" w:rsidP="00106A0E">
            <w:pPr>
              <w:jc w:val="center"/>
              <w:rPr>
                <w:sz w:val="18"/>
                <w:szCs w:val="18"/>
              </w:rPr>
            </w:pPr>
            <w:r w:rsidRPr="002E47EC">
              <w:rPr>
                <w:sz w:val="18"/>
                <w:szCs w:val="18"/>
              </w:rPr>
              <w:t>£000</w:t>
            </w:r>
          </w:p>
        </w:tc>
        <w:tc>
          <w:tcPr>
            <w:tcW w:w="1183" w:type="dxa"/>
            <w:tcBorders>
              <w:top w:val="nil"/>
              <w:left w:val="nil"/>
              <w:bottom w:val="nil"/>
              <w:right w:val="single" w:sz="4" w:space="0" w:color="auto"/>
            </w:tcBorders>
            <w:shd w:val="clear" w:color="auto" w:fill="auto"/>
            <w:noWrap/>
            <w:vAlign w:val="bottom"/>
            <w:hideMark/>
          </w:tcPr>
          <w:p w:rsidR="00BC1301" w:rsidRPr="002E47EC" w:rsidRDefault="00106A0E" w:rsidP="00106A0E">
            <w:pPr>
              <w:jc w:val="center"/>
              <w:rPr>
                <w:sz w:val="18"/>
                <w:szCs w:val="18"/>
              </w:rPr>
            </w:pPr>
            <w:r w:rsidRPr="002E47EC">
              <w:rPr>
                <w:sz w:val="18"/>
                <w:szCs w:val="18"/>
              </w:rPr>
              <w:t>£000</w:t>
            </w:r>
          </w:p>
        </w:tc>
      </w:tr>
      <w:tr w:rsidR="00BC1301" w:rsidRPr="002E47EC" w:rsidTr="00126A3A">
        <w:trPr>
          <w:trHeight w:val="253"/>
        </w:trPr>
        <w:tc>
          <w:tcPr>
            <w:tcW w:w="2374" w:type="dxa"/>
            <w:gridSpan w:val="3"/>
            <w:tcBorders>
              <w:top w:val="nil"/>
              <w:left w:val="single" w:sz="4" w:space="0" w:color="auto"/>
              <w:bottom w:val="nil"/>
              <w:right w:val="nil"/>
            </w:tcBorders>
            <w:shd w:val="clear" w:color="auto" w:fill="auto"/>
            <w:noWrap/>
            <w:vAlign w:val="bottom"/>
            <w:hideMark/>
          </w:tcPr>
          <w:p w:rsidR="00BC1301" w:rsidRPr="002E47EC" w:rsidRDefault="00BC1301" w:rsidP="00D335FF">
            <w:pPr>
              <w:ind w:firstLineChars="400" w:firstLine="720"/>
              <w:rPr>
                <w:sz w:val="18"/>
                <w:szCs w:val="18"/>
              </w:rPr>
            </w:pPr>
            <w:r w:rsidRPr="002E47EC">
              <w:rPr>
                <w:sz w:val="18"/>
                <w:szCs w:val="18"/>
              </w:rPr>
              <w:t>The Authority</w:t>
            </w:r>
          </w:p>
        </w:tc>
        <w:tc>
          <w:tcPr>
            <w:tcW w:w="1186" w:type="dxa"/>
            <w:tcBorders>
              <w:top w:val="nil"/>
              <w:left w:val="nil"/>
              <w:bottom w:val="nil"/>
              <w:right w:val="nil"/>
            </w:tcBorders>
            <w:shd w:val="clear" w:color="auto" w:fill="auto"/>
            <w:noWrap/>
            <w:vAlign w:val="bottom"/>
            <w:hideMark/>
          </w:tcPr>
          <w:p w:rsidR="00BC1301" w:rsidRPr="002E47EC" w:rsidRDefault="00BC1301" w:rsidP="00D335FF">
            <w:pPr>
              <w:rPr>
                <w:sz w:val="18"/>
                <w:szCs w:val="18"/>
              </w:rPr>
            </w:pPr>
          </w:p>
        </w:tc>
        <w:tc>
          <w:tcPr>
            <w:tcW w:w="1187" w:type="dxa"/>
            <w:tcBorders>
              <w:top w:val="nil"/>
              <w:left w:val="nil"/>
              <w:bottom w:val="nil"/>
              <w:right w:val="single" w:sz="4" w:space="0" w:color="auto"/>
            </w:tcBorders>
            <w:shd w:val="clear" w:color="auto" w:fill="auto"/>
            <w:noWrap/>
            <w:vAlign w:val="bottom"/>
            <w:hideMark/>
          </w:tcPr>
          <w:p w:rsidR="00BC1301" w:rsidRPr="002E47EC" w:rsidRDefault="00BC1301" w:rsidP="00D335FF">
            <w:pPr>
              <w:rPr>
                <w:sz w:val="18"/>
                <w:szCs w:val="18"/>
              </w:rPr>
            </w:pPr>
            <w:r w:rsidRPr="002E47EC">
              <w:rPr>
                <w:sz w:val="18"/>
                <w:szCs w:val="18"/>
              </w:rPr>
              <w:t> </w:t>
            </w:r>
          </w:p>
        </w:tc>
        <w:tc>
          <w:tcPr>
            <w:tcW w:w="1181" w:type="dxa"/>
            <w:tcBorders>
              <w:top w:val="nil"/>
              <w:left w:val="nil"/>
              <w:bottom w:val="nil"/>
              <w:right w:val="nil"/>
            </w:tcBorders>
            <w:shd w:val="clear" w:color="auto" w:fill="auto"/>
            <w:noWrap/>
            <w:vAlign w:val="bottom"/>
            <w:hideMark/>
          </w:tcPr>
          <w:p w:rsidR="00BC1301" w:rsidRPr="002E47EC" w:rsidRDefault="004B7BFE" w:rsidP="00106A0E">
            <w:pPr>
              <w:jc w:val="center"/>
              <w:rPr>
                <w:sz w:val="18"/>
                <w:szCs w:val="18"/>
              </w:rPr>
            </w:pPr>
            <w:r w:rsidRPr="002E47EC">
              <w:rPr>
                <w:sz w:val="18"/>
                <w:szCs w:val="18"/>
              </w:rPr>
              <w:t>(105,869)</w:t>
            </w:r>
          </w:p>
        </w:tc>
        <w:tc>
          <w:tcPr>
            <w:tcW w:w="1183" w:type="dxa"/>
            <w:tcBorders>
              <w:top w:val="nil"/>
              <w:left w:val="nil"/>
              <w:right w:val="single" w:sz="4" w:space="0" w:color="auto"/>
            </w:tcBorders>
            <w:shd w:val="clear" w:color="auto" w:fill="auto"/>
            <w:noWrap/>
            <w:vAlign w:val="bottom"/>
            <w:hideMark/>
          </w:tcPr>
          <w:p w:rsidR="00BC1301" w:rsidRPr="002E47EC" w:rsidRDefault="00BC1301" w:rsidP="00106A0E">
            <w:pPr>
              <w:jc w:val="center"/>
              <w:rPr>
                <w:sz w:val="18"/>
                <w:szCs w:val="18"/>
              </w:rPr>
            </w:pPr>
          </w:p>
        </w:tc>
        <w:tc>
          <w:tcPr>
            <w:tcW w:w="1181" w:type="dxa"/>
            <w:tcBorders>
              <w:top w:val="nil"/>
              <w:left w:val="nil"/>
              <w:bottom w:val="nil"/>
              <w:right w:val="nil"/>
            </w:tcBorders>
            <w:shd w:val="clear" w:color="auto" w:fill="auto"/>
            <w:noWrap/>
            <w:vAlign w:val="bottom"/>
            <w:hideMark/>
          </w:tcPr>
          <w:p w:rsidR="00BC1301" w:rsidRPr="002E47EC" w:rsidRDefault="00896742" w:rsidP="00106A0E">
            <w:pPr>
              <w:jc w:val="center"/>
              <w:rPr>
                <w:sz w:val="18"/>
                <w:szCs w:val="18"/>
              </w:rPr>
            </w:pPr>
            <w:r w:rsidRPr="002E47EC">
              <w:rPr>
                <w:sz w:val="18"/>
                <w:szCs w:val="18"/>
              </w:rPr>
              <w:t>(110,009)</w:t>
            </w:r>
          </w:p>
        </w:tc>
        <w:tc>
          <w:tcPr>
            <w:tcW w:w="1183" w:type="dxa"/>
            <w:tcBorders>
              <w:top w:val="nil"/>
              <w:left w:val="nil"/>
              <w:right w:val="single" w:sz="4" w:space="0" w:color="auto"/>
            </w:tcBorders>
            <w:shd w:val="clear" w:color="auto" w:fill="auto"/>
            <w:noWrap/>
            <w:vAlign w:val="bottom"/>
            <w:hideMark/>
          </w:tcPr>
          <w:p w:rsidR="00BC1301" w:rsidRPr="002E47EC" w:rsidRDefault="00BC1301" w:rsidP="00106A0E">
            <w:pPr>
              <w:jc w:val="center"/>
              <w:rPr>
                <w:sz w:val="18"/>
                <w:szCs w:val="18"/>
              </w:rPr>
            </w:pPr>
          </w:p>
        </w:tc>
      </w:tr>
      <w:tr w:rsidR="00BC1301" w:rsidRPr="002E47EC" w:rsidTr="00126A3A">
        <w:trPr>
          <w:trHeight w:val="268"/>
        </w:trPr>
        <w:tc>
          <w:tcPr>
            <w:tcW w:w="2374" w:type="dxa"/>
            <w:gridSpan w:val="3"/>
            <w:tcBorders>
              <w:top w:val="nil"/>
              <w:left w:val="single" w:sz="4" w:space="0" w:color="auto"/>
              <w:bottom w:val="nil"/>
              <w:right w:val="nil"/>
            </w:tcBorders>
            <w:shd w:val="clear" w:color="auto" w:fill="auto"/>
            <w:noWrap/>
            <w:vAlign w:val="bottom"/>
            <w:hideMark/>
          </w:tcPr>
          <w:p w:rsidR="00BC1301" w:rsidRPr="002E47EC" w:rsidRDefault="00BC1301" w:rsidP="00D335FF">
            <w:pPr>
              <w:ind w:firstLineChars="400" w:firstLine="720"/>
              <w:rPr>
                <w:sz w:val="18"/>
                <w:szCs w:val="18"/>
              </w:rPr>
            </w:pPr>
            <w:r w:rsidRPr="002E47EC">
              <w:rPr>
                <w:sz w:val="18"/>
                <w:szCs w:val="18"/>
              </w:rPr>
              <w:t>The Trust</w:t>
            </w:r>
          </w:p>
        </w:tc>
        <w:tc>
          <w:tcPr>
            <w:tcW w:w="1186" w:type="dxa"/>
            <w:tcBorders>
              <w:top w:val="nil"/>
              <w:left w:val="nil"/>
              <w:bottom w:val="nil"/>
              <w:right w:val="nil"/>
            </w:tcBorders>
            <w:shd w:val="clear" w:color="auto" w:fill="auto"/>
            <w:noWrap/>
            <w:vAlign w:val="bottom"/>
            <w:hideMark/>
          </w:tcPr>
          <w:p w:rsidR="00BC1301" w:rsidRPr="002E47EC" w:rsidRDefault="00BC1301" w:rsidP="00D335FF">
            <w:pPr>
              <w:rPr>
                <w:sz w:val="18"/>
                <w:szCs w:val="18"/>
              </w:rPr>
            </w:pPr>
          </w:p>
        </w:tc>
        <w:tc>
          <w:tcPr>
            <w:tcW w:w="1187" w:type="dxa"/>
            <w:tcBorders>
              <w:top w:val="nil"/>
              <w:left w:val="nil"/>
              <w:bottom w:val="nil"/>
              <w:right w:val="single" w:sz="4" w:space="0" w:color="auto"/>
            </w:tcBorders>
            <w:shd w:val="clear" w:color="auto" w:fill="auto"/>
            <w:noWrap/>
            <w:vAlign w:val="bottom"/>
            <w:hideMark/>
          </w:tcPr>
          <w:p w:rsidR="00BC1301" w:rsidRPr="002E47EC" w:rsidRDefault="00BC1301" w:rsidP="00D335FF">
            <w:pPr>
              <w:rPr>
                <w:sz w:val="18"/>
                <w:szCs w:val="18"/>
              </w:rPr>
            </w:pPr>
            <w:r w:rsidRPr="002E47EC">
              <w:rPr>
                <w:sz w:val="18"/>
                <w:szCs w:val="18"/>
              </w:rPr>
              <w:t> </w:t>
            </w:r>
          </w:p>
        </w:tc>
        <w:tc>
          <w:tcPr>
            <w:tcW w:w="1181" w:type="dxa"/>
            <w:tcBorders>
              <w:top w:val="nil"/>
              <w:left w:val="nil"/>
              <w:bottom w:val="nil"/>
              <w:right w:val="nil"/>
            </w:tcBorders>
            <w:shd w:val="clear" w:color="auto" w:fill="auto"/>
            <w:noWrap/>
            <w:vAlign w:val="bottom"/>
            <w:hideMark/>
          </w:tcPr>
          <w:p w:rsidR="00BC1301" w:rsidRPr="002E47EC" w:rsidRDefault="004B7BFE" w:rsidP="00106A0E">
            <w:pPr>
              <w:jc w:val="center"/>
              <w:rPr>
                <w:sz w:val="18"/>
                <w:szCs w:val="18"/>
              </w:rPr>
            </w:pPr>
            <w:r w:rsidRPr="002E47EC">
              <w:rPr>
                <w:sz w:val="18"/>
                <w:szCs w:val="18"/>
              </w:rPr>
              <w:t>(9,440)</w:t>
            </w:r>
          </w:p>
        </w:tc>
        <w:tc>
          <w:tcPr>
            <w:tcW w:w="1183" w:type="dxa"/>
            <w:tcBorders>
              <w:top w:val="nil"/>
              <w:left w:val="nil"/>
              <w:right w:val="single" w:sz="4" w:space="0" w:color="auto"/>
            </w:tcBorders>
            <w:shd w:val="clear" w:color="auto" w:fill="auto"/>
            <w:noWrap/>
            <w:vAlign w:val="bottom"/>
            <w:hideMark/>
          </w:tcPr>
          <w:p w:rsidR="00BC1301" w:rsidRPr="002E47EC" w:rsidRDefault="00BC1301" w:rsidP="00106A0E">
            <w:pPr>
              <w:jc w:val="center"/>
              <w:rPr>
                <w:sz w:val="18"/>
                <w:szCs w:val="18"/>
              </w:rPr>
            </w:pPr>
          </w:p>
        </w:tc>
        <w:tc>
          <w:tcPr>
            <w:tcW w:w="1181" w:type="dxa"/>
            <w:tcBorders>
              <w:top w:val="nil"/>
              <w:left w:val="nil"/>
              <w:bottom w:val="nil"/>
              <w:right w:val="nil"/>
            </w:tcBorders>
            <w:shd w:val="clear" w:color="auto" w:fill="auto"/>
            <w:noWrap/>
            <w:vAlign w:val="bottom"/>
            <w:hideMark/>
          </w:tcPr>
          <w:p w:rsidR="00BC1301" w:rsidRPr="002E47EC" w:rsidRDefault="00896742" w:rsidP="00106A0E">
            <w:pPr>
              <w:jc w:val="center"/>
              <w:rPr>
                <w:sz w:val="18"/>
                <w:szCs w:val="18"/>
              </w:rPr>
            </w:pPr>
            <w:r w:rsidRPr="002E47EC">
              <w:rPr>
                <w:sz w:val="18"/>
                <w:szCs w:val="18"/>
              </w:rPr>
              <w:t>(12,924)</w:t>
            </w:r>
          </w:p>
        </w:tc>
        <w:tc>
          <w:tcPr>
            <w:tcW w:w="1183" w:type="dxa"/>
            <w:tcBorders>
              <w:top w:val="nil"/>
              <w:left w:val="nil"/>
              <w:right w:val="single" w:sz="4" w:space="0" w:color="auto"/>
            </w:tcBorders>
            <w:shd w:val="clear" w:color="auto" w:fill="auto"/>
            <w:noWrap/>
            <w:vAlign w:val="bottom"/>
            <w:hideMark/>
          </w:tcPr>
          <w:p w:rsidR="00BC1301" w:rsidRPr="002E47EC" w:rsidRDefault="00BC1301" w:rsidP="00106A0E">
            <w:pPr>
              <w:jc w:val="center"/>
              <w:rPr>
                <w:sz w:val="18"/>
                <w:szCs w:val="18"/>
              </w:rPr>
            </w:pPr>
          </w:p>
        </w:tc>
      </w:tr>
      <w:tr w:rsidR="00106A0E" w:rsidRPr="002E47EC" w:rsidTr="00126A3A">
        <w:trPr>
          <w:trHeight w:val="253"/>
        </w:trPr>
        <w:tc>
          <w:tcPr>
            <w:tcW w:w="736" w:type="dxa"/>
            <w:tcBorders>
              <w:top w:val="nil"/>
              <w:left w:val="single" w:sz="4" w:space="0" w:color="auto"/>
              <w:bottom w:val="nil"/>
              <w:right w:val="nil"/>
            </w:tcBorders>
            <w:shd w:val="clear" w:color="auto" w:fill="auto"/>
            <w:noWrap/>
            <w:vAlign w:val="bottom"/>
            <w:hideMark/>
          </w:tcPr>
          <w:p w:rsidR="00106A0E" w:rsidRPr="002E47EC" w:rsidRDefault="00106A0E" w:rsidP="00D335FF">
            <w:pPr>
              <w:rPr>
                <w:sz w:val="18"/>
                <w:szCs w:val="18"/>
              </w:rPr>
            </w:pPr>
          </w:p>
        </w:tc>
        <w:tc>
          <w:tcPr>
            <w:tcW w:w="1638" w:type="dxa"/>
            <w:gridSpan w:val="2"/>
            <w:tcBorders>
              <w:top w:val="nil"/>
              <w:left w:val="nil"/>
              <w:bottom w:val="nil"/>
              <w:right w:val="nil"/>
            </w:tcBorders>
            <w:shd w:val="clear" w:color="auto" w:fill="auto"/>
            <w:noWrap/>
            <w:vAlign w:val="bottom"/>
            <w:hideMark/>
          </w:tcPr>
          <w:p w:rsidR="00106A0E" w:rsidRPr="002E47EC" w:rsidRDefault="00106A0E" w:rsidP="00D335FF">
            <w:pPr>
              <w:rPr>
                <w:sz w:val="18"/>
                <w:szCs w:val="18"/>
              </w:rPr>
            </w:pPr>
            <w:r w:rsidRPr="002E47EC">
              <w:rPr>
                <w:sz w:val="18"/>
                <w:szCs w:val="18"/>
              </w:rPr>
              <w:t>Other</w:t>
            </w:r>
          </w:p>
        </w:tc>
        <w:tc>
          <w:tcPr>
            <w:tcW w:w="1186" w:type="dxa"/>
            <w:tcBorders>
              <w:top w:val="nil"/>
              <w:left w:val="nil"/>
              <w:bottom w:val="nil"/>
              <w:right w:val="nil"/>
            </w:tcBorders>
            <w:shd w:val="clear" w:color="auto" w:fill="auto"/>
            <w:noWrap/>
            <w:vAlign w:val="bottom"/>
            <w:hideMark/>
          </w:tcPr>
          <w:p w:rsidR="00106A0E" w:rsidRPr="002E47EC" w:rsidRDefault="00106A0E" w:rsidP="00D335FF">
            <w:pPr>
              <w:rPr>
                <w:sz w:val="18"/>
                <w:szCs w:val="18"/>
              </w:rPr>
            </w:pPr>
          </w:p>
        </w:tc>
        <w:tc>
          <w:tcPr>
            <w:tcW w:w="1187" w:type="dxa"/>
            <w:tcBorders>
              <w:top w:val="nil"/>
              <w:left w:val="nil"/>
              <w:bottom w:val="nil"/>
              <w:right w:val="single" w:sz="4" w:space="0" w:color="auto"/>
            </w:tcBorders>
            <w:shd w:val="clear" w:color="auto" w:fill="auto"/>
            <w:noWrap/>
            <w:vAlign w:val="bottom"/>
            <w:hideMark/>
          </w:tcPr>
          <w:p w:rsidR="00106A0E" w:rsidRPr="002E47EC" w:rsidRDefault="00106A0E" w:rsidP="00D335FF">
            <w:pPr>
              <w:rPr>
                <w:sz w:val="18"/>
                <w:szCs w:val="18"/>
              </w:rPr>
            </w:pPr>
          </w:p>
        </w:tc>
        <w:tc>
          <w:tcPr>
            <w:tcW w:w="1181" w:type="dxa"/>
            <w:tcBorders>
              <w:top w:val="nil"/>
              <w:left w:val="nil"/>
              <w:bottom w:val="nil"/>
              <w:right w:val="nil"/>
            </w:tcBorders>
            <w:shd w:val="clear" w:color="auto" w:fill="auto"/>
            <w:noWrap/>
            <w:vAlign w:val="bottom"/>
            <w:hideMark/>
          </w:tcPr>
          <w:p w:rsidR="00106A0E" w:rsidRPr="002E47EC" w:rsidRDefault="004B7BFE" w:rsidP="00106A0E">
            <w:pPr>
              <w:jc w:val="center"/>
              <w:rPr>
                <w:sz w:val="18"/>
                <w:szCs w:val="18"/>
              </w:rPr>
            </w:pPr>
            <w:r w:rsidRPr="002E47EC">
              <w:rPr>
                <w:sz w:val="18"/>
                <w:szCs w:val="18"/>
              </w:rPr>
              <w:t>(9,515)</w:t>
            </w:r>
          </w:p>
        </w:tc>
        <w:tc>
          <w:tcPr>
            <w:tcW w:w="1183" w:type="dxa"/>
            <w:tcBorders>
              <w:left w:val="nil"/>
              <w:bottom w:val="single" w:sz="4" w:space="0" w:color="auto"/>
              <w:right w:val="single" w:sz="4" w:space="0" w:color="auto"/>
            </w:tcBorders>
            <w:shd w:val="clear" w:color="auto" w:fill="auto"/>
            <w:noWrap/>
            <w:vAlign w:val="bottom"/>
            <w:hideMark/>
          </w:tcPr>
          <w:p w:rsidR="00106A0E" w:rsidRPr="002E47EC" w:rsidRDefault="00106A0E" w:rsidP="00106A0E">
            <w:pPr>
              <w:jc w:val="center"/>
              <w:rPr>
                <w:sz w:val="18"/>
                <w:szCs w:val="18"/>
              </w:rPr>
            </w:pPr>
          </w:p>
        </w:tc>
        <w:tc>
          <w:tcPr>
            <w:tcW w:w="1181" w:type="dxa"/>
            <w:tcBorders>
              <w:top w:val="nil"/>
              <w:left w:val="nil"/>
              <w:bottom w:val="nil"/>
              <w:right w:val="nil"/>
            </w:tcBorders>
            <w:shd w:val="clear" w:color="auto" w:fill="auto"/>
            <w:noWrap/>
            <w:vAlign w:val="bottom"/>
            <w:hideMark/>
          </w:tcPr>
          <w:p w:rsidR="00106A0E" w:rsidRPr="002E47EC" w:rsidRDefault="00896742" w:rsidP="00106A0E">
            <w:pPr>
              <w:jc w:val="center"/>
              <w:rPr>
                <w:sz w:val="18"/>
                <w:szCs w:val="18"/>
              </w:rPr>
            </w:pPr>
            <w:r w:rsidRPr="002E47EC">
              <w:rPr>
                <w:sz w:val="18"/>
                <w:szCs w:val="18"/>
              </w:rPr>
              <w:t>(10,132)</w:t>
            </w:r>
          </w:p>
        </w:tc>
        <w:tc>
          <w:tcPr>
            <w:tcW w:w="1183" w:type="dxa"/>
            <w:tcBorders>
              <w:left w:val="nil"/>
              <w:bottom w:val="single" w:sz="4" w:space="0" w:color="auto"/>
              <w:right w:val="single" w:sz="4" w:space="0" w:color="auto"/>
            </w:tcBorders>
            <w:shd w:val="clear" w:color="auto" w:fill="auto"/>
            <w:noWrap/>
            <w:vAlign w:val="bottom"/>
            <w:hideMark/>
          </w:tcPr>
          <w:p w:rsidR="00106A0E" w:rsidRPr="002E47EC" w:rsidRDefault="00106A0E" w:rsidP="00106A0E">
            <w:pPr>
              <w:jc w:val="center"/>
              <w:rPr>
                <w:sz w:val="18"/>
                <w:szCs w:val="18"/>
              </w:rPr>
            </w:pPr>
          </w:p>
        </w:tc>
      </w:tr>
      <w:tr w:rsidR="00BC1301" w:rsidRPr="002E47EC" w:rsidTr="00126A3A">
        <w:trPr>
          <w:trHeight w:val="253"/>
        </w:trPr>
        <w:tc>
          <w:tcPr>
            <w:tcW w:w="1186" w:type="dxa"/>
            <w:gridSpan w:val="2"/>
            <w:tcBorders>
              <w:top w:val="nil"/>
              <w:left w:val="single" w:sz="4" w:space="0" w:color="auto"/>
              <w:bottom w:val="nil"/>
              <w:right w:val="nil"/>
            </w:tcBorders>
            <w:shd w:val="clear" w:color="auto" w:fill="auto"/>
            <w:noWrap/>
            <w:vAlign w:val="bottom"/>
            <w:hideMark/>
          </w:tcPr>
          <w:p w:rsidR="00BC1301" w:rsidRPr="002E47EC" w:rsidRDefault="00BC1301" w:rsidP="00D335FF">
            <w:pPr>
              <w:rPr>
                <w:sz w:val="18"/>
                <w:szCs w:val="18"/>
              </w:rPr>
            </w:pPr>
            <w:r w:rsidRPr="002E47EC">
              <w:rPr>
                <w:sz w:val="18"/>
                <w:szCs w:val="18"/>
              </w:rPr>
              <w:t> </w:t>
            </w:r>
          </w:p>
        </w:tc>
        <w:tc>
          <w:tcPr>
            <w:tcW w:w="1188" w:type="dxa"/>
            <w:tcBorders>
              <w:top w:val="nil"/>
              <w:left w:val="nil"/>
              <w:bottom w:val="nil"/>
              <w:right w:val="nil"/>
            </w:tcBorders>
            <w:shd w:val="clear" w:color="auto" w:fill="auto"/>
            <w:noWrap/>
            <w:vAlign w:val="bottom"/>
            <w:hideMark/>
          </w:tcPr>
          <w:p w:rsidR="00BC1301" w:rsidRPr="002E47EC" w:rsidRDefault="00BC1301" w:rsidP="00D335FF">
            <w:pPr>
              <w:rPr>
                <w:sz w:val="18"/>
                <w:szCs w:val="18"/>
              </w:rPr>
            </w:pPr>
          </w:p>
        </w:tc>
        <w:tc>
          <w:tcPr>
            <w:tcW w:w="1186" w:type="dxa"/>
            <w:tcBorders>
              <w:top w:val="nil"/>
              <w:left w:val="nil"/>
              <w:bottom w:val="nil"/>
              <w:right w:val="nil"/>
            </w:tcBorders>
            <w:shd w:val="clear" w:color="auto" w:fill="auto"/>
            <w:noWrap/>
            <w:vAlign w:val="bottom"/>
            <w:hideMark/>
          </w:tcPr>
          <w:p w:rsidR="00BC1301" w:rsidRPr="002E47EC" w:rsidRDefault="00BC1301" w:rsidP="00D335FF">
            <w:pPr>
              <w:rPr>
                <w:sz w:val="18"/>
                <w:szCs w:val="18"/>
              </w:rPr>
            </w:pPr>
          </w:p>
        </w:tc>
        <w:tc>
          <w:tcPr>
            <w:tcW w:w="1187" w:type="dxa"/>
            <w:tcBorders>
              <w:top w:val="nil"/>
              <w:left w:val="nil"/>
              <w:bottom w:val="nil"/>
              <w:right w:val="single" w:sz="4" w:space="0" w:color="auto"/>
            </w:tcBorders>
            <w:shd w:val="clear" w:color="auto" w:fill="auto"/>
            <w:noWrap/>
            <w:vAlign w:val="bottom"/>
            <w:hideMark/>
          </w:tcPr>
          <w:p w:rsidR="00BC1301" w:rsidRPr="002E47EC" w:rsidRDefault="00BC1301" w:rsidP="00D335FF">
            <w:pPr>
              <w:rPr>
                <w:sz w:val="18"/>
                <w:szCs w:val="18"/>
              </w:rPr>
            </w:pPr>
            <w:r w:rsidRPr="002E47EC">
              <w:rPr>
                <w:sz w:val="18"/>
                <w:szCs w:val="18"/>
              </w:rPr>
              <w:t> </w:t>
            </w:r>
          </w:p>
        </w:tc>
        <w:tc>
          <w:tcPr>
            <w:tcW w:w="1181" w:type="dxa"/>
            <w:tcBorders>
              <w:top w:val="nil"/>
              <w:left w:val="nil"/>
              <w:bottom w:val="nil"/>
              <w:right w:val="nil"/>
            </w:tcBorders>
            <w:shd w:val="clear" w:color="auto" w:fill="auto"/>
            <w:noWrap/>
            <w:vAlign w:val="bottom"/>
            <w:hideMark/>
          </w:tcPr>
          <w:p w:rsidR="00BC1301" w:rsidRPr="002E47EC" w:rsidRDefault="00BC1301" w:rsidP="00106A0E">
            <w:pPr>
              <w:jc w:val="center"/>
              <w:rPr>
                <w:sz w:val="18"/>
                <w:szCs w:val="18"/>
              </w:rPr>
            </w:pPr>
          </w:p>
        </w:tc>
        <w:tc>
          <w:tcPr>
            <w:tcW w:w="1183" w:type="dxa"/>
            <w:tcBorders>
              <w:top w:val="single" w:sz="4" w:space="0" w:color="auto"/>
              <w:left w:val="nil"/>
              <w:bottom w:val="nil"/>
              <w:right w:val="single" w:sz="4" w:space="0" w:color="auto"/>
            </w:tcBorders>
            <w:shd w:val="clear" w:color="auto" w:fill="auto"/>
            <w:noWrap/>
            <w:vAlign w:val="bottom"/>
            <w:hideMark/>
          </w:tcPr>
          <w:p w:rsidR="00BC1301" w:rsidRPr="002E47EC" w:rsidRDefault="004B7BFE" w:rsidP="00106A0E">
            <w:pPr>
              <w:jc w:val="center"/>
              <w:rPr>
                <w:sz w:val="18"/>
                <w:szCs w:val="18"/>
              </w:rPr>
            </w:pPr>
            <w:r w:rsidRPr="002E47EC">
              <w:rPr>
                <w:sz w:val="18"/>
                <w:szCs w:val="18"/>
              </w:rPr>
              <w:t>(124,824)</w:t>
            </w:r>
          </w:p>
        </w:tc>
        <w:tc>
          <w:tcPr>
            <w:tcW w:w="1181" w:type="dxa"/>
            <w:tcBorders>
              <w:top w:val="nil"/>
              <w:left w:val="nil"/>
              <w:bottom w:val="nil"/>
              <w:right w:val="nil"/>
            </w:tcBorders>
            <w:shd w:val="clear" w:color="auto" w:fill="auto"/>
            <w:noWrap/>
            <w:vAlign w:val="bottom"/>
            <w:hideMark/>
          </w:tcPr>
          <w:p w:rsidR="00BC1301" w:rsidRPr="002E47EC" w:rsidRDefault="00BC1301" w:rsidP="00106A0E">
            <w:pPr>
              <w:jc w:val="center"/>
              <w:rPr>
                <w:sz w:val="18"/>
                <w:szCs w:val="18"/>
              </w:rPr>
            </w:pPr>
          </w:p>
        </w:tc>
        <w:tc>
          <w:tcPr>
            <w:tcW w:w="1183" w:type="dxa"/>
            <w:tcBorders>
              <w:top w:val="single" w:sz="4" w:space="0" w:color="auto"/>
              <w:left w:val="nil"/>
              <w:bottom w:val="nil"/>
              <w:right w:val="single" w:sz="4" w:space="0" w:color="auto"/>
            </w:tcBorders>
            <w:shd w:val="clear" w:color="auto" w:fill="auto"/>
            <w:noWrap/>
            <w:vAlign w:val="bottom"/>
            <w:hideMark/>
          </w:tcPr>
          <w:p w:rsidR="00BC1301" w:rsidRPr="002E47EC" w:rsidRDefault="00896742" w:rsidP="00106A0E">
            <w:pPr>
              <w:jc w:val="center"/>
              <w:rPr>
                <w:sz w:val="18"/>
                <w:szCs w:val="18"/>
              </w:rPr>
            </w:pPr>
            <w:r w:rsidRPr="002E47EC">
              <w:rPr>
                <w:sz w:val="18"/>
                <w:szCs w:val="18"/>
              </w:rPr>
              <w:t>(133,065)</w:t>
            </w:r>
          </w:p>
        </w:tc>
      </w:tr>
      <w:tr w:rsidR="00BC1301" w:rsidRPr="002E47EC" w:rsidTr="00126A3A">
        <w:trPr>
          <w:trHeight w:val="253"/>
        </w:trPr>
        <w:tc>
          <w:tcPr>
            <w:tcW w:w="1186" w:type="dxa"/>
            <w:gridSpan w:val="2"/>
            <w:tcBorders>
              <w:top w:val="nil"/>
              <w:left w:val="single" w:sz="4" w:space="0" w:color="auto"/>
              <w:bottom w:val="nil"/>
              <w:right w:val="nil"/>
            </w:tcBorders>
            <w:shd w:val="clear" w:color="auto" w:fill="auto"/>
            <w:noWrap/>
            <w:vAlign w:val="bottom"/>
            <w:hideMark/>
          </w:tcPr>
          <w:p w:rsidR="00BC1301" w:rsidRPr="002E47EC" w:rsidRDefault="00BC1301" w:rsidP="00D335FF">
            <w:pPr>
              <w:rPr>
                <w:sz w:val="18"/>
                <w:szCs w:val="18"/>
              </w:rPr>
            </w:pPr>
            <w:r w:rsidRPr="002E47EC">
              <w:rPr>
                <w:sz w:val="18"/>
                <w:szCs w:val="18"/>
              </w:rPr>
              <w:t> </w:t>
            </w:r>
          </w:p>
        </w:tc>
        <w:tc>
          <w:tcPr>
            <w:tcW w:w="1188" w:type="dxa"/>
            <w:tcBorders>
              <w:top w:val="nil"/>
              <w:left w:val="nil"/>
              <w:bottom w:val="nil"/>
              <w:right w:val="nil"/>
            </w:tcBorders>
            <w:shd w:val="clear" w:color="auto" w:fill="auto"/>
            <w:noWrap/>
            <w:vAlign w:val="bottom"/>
            <w:hideMark/>
          </w:tcPr>
          <w:p w:rsidR="00BC1301" w:rsidRPr="002E47EC" w:rsidRDefault="00BC1301" w:rsidP="00D335FF">
            <w:pPr>
              <w:rPr>
                <w:sz w:val="18"/>
                <w:szCs w:val="18"/>
              </w:rPr>
            </w:pPr>
          </w:p>
        </w:tc>
        <w:tc>
          <w:tcPr>
            <w:tcW w:w="1186" w:type="dxa"/>
            <w:tcBorders>
              <w:top w:val="nil"/>
              <w:left w:val="nil"/>
              <w:bottom w:val="nil"/>
              <w:right w:val="nil"/>
            </w:tcBorders>
            <w:shd w:val="clear" w:color="auto" w:fill="auto"/>
            <w:noWrap/>
            <w:vAlign w:val="bottom"/>
            <w:hideMark/>
          </w:tcPr>
          <w:p w:rsidR="00BC1301" w:rsidRPr="002E47EC" w:rsidRDefault="00BC1301" w:rsidP="00D335FF">
            <w:pPr>
              <w:rPr>
                <w:sz w:val="18"/>
                <w:szCs w:val="18"/>
              </w:rPr>
            </w:pPr>
          </w:p>
        </w:tc>
        <w:tc>
          <w:tcPr>
            <w:tcW w:w="1187" w:type="dxa"/>
            <w:tcBorders>
              <w:top w:val="nil"/>
              <w:left w:val="nil"/>
              <w:bottom w:val="nil"/>
              <w:right w:val="single" w:sz="4" w:space="0" w:color="auto"/>
            </w:tcBorders>
            <w:shd w:val="clear" w:color="auto" w:fill="auto"/>
            <w:noWrap/>
            <w:vAlign w:val="bottom"/>
            <w:hideMark/>
          </w:tcPr>
          <w:p w:rsidR="00BC1301" w:rsidRPr="002E47EC" w:rsidRDefault="00BC1301" w:rsidP="00D335FF">
            <w:pPr>
              <w:rPr>
                <w:sz w:val="18"/>
                <w:szCs w:val="18"/>
              </w:rPr>
            </w:pPr>
            <w:r w:rsidRPr="002E47EC">
              <w:rPr>
                <w:sz w:val="18"/>
                <w:szCs w:val="18"/>
              </w:rPr>
              <w:t> </w:t>
            </w:r>
          </w:p>
        </w:tc>
        <w:tc>
          <w:tcPr>
            <w:tcW w:w="1181" w:type="dxa"/>
            <w:tcBorders>
              <w:top w:val="nil"/>
              <w:left w:val="nil"/>
              <w:bottom w:val="nil"/>
              <w:right w:val="nil"/>
            </w:tcBorders>
            <w:shd w:val="clear" w:color="auto" w:fill="auto"/>
            <w:noWrap/>
            <w:vAlign w:val="bottom"/>
            <w:hideMark/>
          </w:tcPr>
          <w:p w:rsidR="00BC1301" w:rsidRPr="002E47EC" w:rsidRDefault="00BC1301" w:rsidP="00106A0E">
            <w:pPr>
              <w:jc w:val="center"/>
              <w:rPr>
                <w:sz w:val="18"/>
                <w:szCs w:val="18"/>
              </w:rPr>
            </w:pPr>
          </w:p>
        </w:tc>
        <w:tc>
          <w:tcPr>
            <w:tcW w:w="1183" w:type="dxa"/>
            <w:tcBorders>
              <w:top w:val="nil"/>
              <w:left w:val="nil"/>
              <w:bottom w:val="nil"/>
              <w:right w:val="single" w:sz="4" w:space="0" w:color="auto"/>
            </w:tcBorders>
            <w:shd w:val="clear" w:color="auto" w:fill="auto"/>
            <w:noWrap/>
            <w:vAlign w:val="bottom"/>
            <w:hideMark/>
          </w:tcPr>
          <w:p w:rsidR="00BC1301" w:rsidRPr="002E47EC" w:rsidRDefault="00BC1301" w:rsidP="00106A0E">
            <w:pPr>
              <w:jc w:val="center"/>
              <w:rPr>
                <w:sz w:val="18"/>
                <w:szCs w:val="18"/>
              </w:rPr>
            </w:pPr>
          </w:p>
        </w:tc>
        <w:tc>
          <w:tcPr>
            <w:tcW w:w="1181" w:type="dxa"/>
            <w:tcBorders>
              <w:top w:val="nil"/>
              <w:left w:val="nil"/>
              <w:bottom w:val="nil"/>
              <w:right w:val="nil"/>
            </w:tcBorders>
            <w:shd w:val="clear" w:color="auto" w:fill="auto"/>
            <w:noWrap/>
            <w:vAlign w:val="bottom"/>
            <w:hideMark/>
          </w:tcPr>
          <w:p w:rsidR="00BC1301" w:rsidRPr="002E47EC" w:rsidRDefault="00BC1301" w:rsidP="00106A0E">
            <w:pPr>
              <w:jc w:val="center"/>
              <w:rPr>
                <w:sz w:val="18"/>
                <w:szCs w:val="18"/>
              </w:rPr>
            </w:pPr>
          </w:p>
        </w:tc>
        <w:tc>
          <w:tcPr>
            <w:tcW w:w="1183" w:type="dxa"/>
            <w:tcBorders>
              <w:top w:val="nil"/>
              <w:left w:val="nil"/>
              <w:bottom w:val="nil"/>
              <w:right w:val="single" w:sz="4" w:space="0" w:color="auto"/>
            </w:tcBorders>
            <w:shd w:val="clear" w:color="auto" w:fill="auto"/>
            <w:noWrap/>
            <w:vAlign w:val="bottom"/>
            <w:hideMark/>
          </w:tcPr>
          <w:p w:rsidR="00BC1301" w:rsidRPr="002E47EC" w:rsidRDefault="00BC1301" w:rsidP="00106A0E">
            <w:pPr>
              <w:jc w:val="center"/>
              <w:rPr>
                <w:sz w:val="18"/>
                <w:szCs w:val="18"/>
              </w:rPr>
            </w:pPr>
          </w:p>
        </w:tc>
      </w:tr>
      <w:tr w:rsidR="00BC1301" w:rsidRPr="002E47EC" w:rsidTr="00126A3A">
        <w:trPr>
          <w:trHeight w:val="253"/>
        </w:trPr>
        <w:tc>
          <w:tcPr>
            <w:tcW w:w="4747" w:type="dxa"/>
            <w:gridSpan w:val="5"/>
            <w:tcBorders>
              <w:top w:val="nil"/>
              <w:left w:val="single" w:sz="4" w:space="0" w:color="auto"/>
              <w:bottom w:val="nil"/>
              <w:right w:val="single" w:sz="4" w:space="0" w:color="000000"/>
            </w:tcBorders>
            <w:shd w:val="clear" w:color="auto" w:fill="auto"/>
            <w:noWrap/>
            <w:vAlign w:val="bottom"/>
            <w:hideMark/>
          </w:tcPr>
          <w:p w:rsidR="00BC1301" w:rsidRPr="002E47EC" w:rsidRDefault="00BC1301" w:rsidP="00D335FF">
            <w:pPr>
              <w:rPr>
                <w:b/>
                <w:bCs/>
                <w:sz w:val="18"/>
                <w:szCs w:val="18"/>
              </w:rPr>
            </w:pPr>
            <w:r w:rsidRPr="002E47EC">
              <w:rPr>
                <w:b/>
                <w:bCs/>
                <w:sz w:val="18"/>
                <w:szCs w:val="18"/>
              </w:rPr>
              <w:t>Expenditure met from the Pooled Budget</w:t>
            </w:r>
          </w:p>
        </w:tc>
        <w:tc>
          <w:tcPr>
            <w:tcW w:w="1181" w:type="dxa"/>
            <w:tcBorders>
              <w:top w:val="nil"/>
              <w:left w:val="nil"/>
              <w:bottom w:val="nil"/>
              <w:right w:val="nil"/>
            </w:tcBorders>
            <w:shd w:val="clear" w:color="auto" w:fill="auto"/>
            <w:noWrap/>
            <w:vAlign w:val="bottom"/>
            <w:hideMark/>
          </w:tcPr>
          <w:p w:rsidR="00BC1301" w:rsidRPr="002E47EC" w:rsidRDefault="00BC1301" w:rsidP="00106A0E">
            <w:pPr>
              <w:jc w:val="center"/>
              <w:rPr>
                <w:sz w:val="18"/>
                <w:szCs w:val="18"/>
              </w:rPr>
            </w:pPr>
          </w:p>
        </w:tc>
        <w:tc>
          <w:tcPr>
            <w:tcW w:w="1183" w:type="dxa"/>
            <w:tcBorders>
              <w:top w:val="nil"/>
              <w:left w:val="nil"/>
              <w:bottom w:val="nil"/>
              <w:right w:val="single" w:sz="4" w:space="0" w:color="auto"/>
            </w:tcBorders>
            <w:shd w:val="clear" w:color="auto" w:fill="auto"/>
            <w:noWrap/>
            <w:vAlign w:val="bottom"/>
            <w:hideMark/>
          </w:tcPr>
          <w:p w:rsidR="00BC1301" w:rsidRPr="002E47EC" w:rsidRDefault="00BC1301" w:rsidP="00106A0E">
            <w:pPr>
              <w:jc w:val="center"/>
              <w:rPr>
                <w:sz w:val="18"/>
                <w:szCs w:val="18"/>
              </w:rPr>
            </w:pPr>
          </w:p>
        </w:tc>
        <w:tc>
          <w:tcPr>
            <w:tcW w:w="1181" w:type="dxa"/>
            <w:tcBorders>
              <w:top w:val="nil"/>
              <w:left w:val="nil"/>
              <w:bottom w:val="nil"/>
              <w:right w:val="nil"/>
            </w:tcBorders>
            <w:shd w:val="clear" w:color="auto" w:fill="auto"/>
            <w:noWrap/>
            <w:vAlign w:val="bottom"/>
            <w:hideMark/>
          </w:tcPr>
          <w:p w:rsidR="00BC1301" w:rsidRPr="002E47EC" w:rsidRDefault="00BC1301" w:rsidP="00106A0E">
            <w:pPr>
              <w:jc w:val="center"/>
              <w:rPr>
                <w:sz w:val="18"/>
                <w:szCs w:val="18"/>
              </w:rPr>
            </w:pPr>
          </w:p>
        </w:tc>
        <w:tc>
          <w:tcPr>
            <w:tcW w:w="1183" w:type="dxa"/>
            <w:tcBorders>
              <w:top w:val="nil"/>
              <w:left w:val="nil"/>
              <w:bottom w:val="nil"/>
              <w:right w:val="single" w:sz="4" w:space="0" w:color="auto"/>
            </w:tcBorders>
            <w:shd w:val="clear" w:color="auto" w:fill="auto"/>
            <w:noWrap/>
            <w:vAlign w:val="bottom"/>
            <w:hideMark/>
          </w:tcPr>
          <w:p w:rsidR="00BC1301" w:rsidRPr="002E47EC" w:rsidRDefault="00BC1301" w:rsidP="00106A0E">
            <w:pPr>
              <w:jc w:val="center"/>
              <w:rPr>
                <w:sz w:val="18"/>
                <w:szCs w:val="18"/>
              </w:rPr>
            </w:pPr>
          </w:p>
        </w:tc>
      </w:tr>
      <w:tr w:rsidR="00BC1301" w:rsidRPr="002E47EC" w:rsidTr="00126A3A">
        <w:trPr>
          <w:trHeight w:val="253"/>
        </w:trPr>
        <w:tc>
          <w:tcPr>
            <w:tcW w:w="2374" w:type="dxa"/>
            <w:gridSpan w:val="3"/>
            <w:tcBorders>
              <w:top w:val="nil"/>
              <w:left w:val="single" w:sz="4" w:space="0" w:color="auto"/>
              <w:bottom w:val="nil"/>
              <w:right w:val="nil"/>
            </w:tcBorders>
            <w:shd w:val="clear" w:color="auto" w:fill="auto"/>
            <w:noWrap/>
            <w:vAlign w:val="bottom"/>
            <w:hideMark/>
          </w:tcPr>
          <w:p w:rsidR="00BC1301" w:rsidRPr="002E47EC" w:rsidRDefault="00BC1301" w:rsidP="00D335FF">
            <w:pPr>
              <w:ind w:firstLineChars="400" w:firstLine="720"/>
              <w:rPr>
                <w:sz w:val="18"/>
                <w:szCs w:val="18"/>
              </w:rPr>
            </w:pPr>
            <w:r w:rsidRPr="002E47EC">
              <w:rPr>
                <w:sz w:val="18"/>
                <w:szCs w:val="18"/>
              </w:rPr>
              <w:t xml:space="preserve">The Authority </w:t>
            </w:r>
          </w:p>
        </w:tc>
        <w:tc>
          <w:tcPr>
            <w:tcW w:w="1186" w:type="dxa"/>
            <w:tcBorders>
              <w:top w:val="nil"/>
              <w:left w:val="nil"/>
              <w:bottom w:val="nil"/>
              <w:right w:val="nil"/>
            </w:tcBorders>
            <w:shd w:val="clear" w:color="auto" w:fill="auto"/>
            <w:noWrap/>
            <w:vAlign w:val="bottom"/>
            <w:hideMark/>
          </w:tcPr>
          <w:p w:rsidR="00BC1301" w:rsidRPr="002E47EC" w:rsidRDefault="00BC1301" w:rsidP="00D335FF">
            <w:pPr>
              <w:rPr>
                <w:sz w:val="18"/>
                <w:szCs w:val="18"/>
              </w:rPr>
            </w:pPr>
          </w:p>
        </w:tc>
        <w:tc>
          <w:tcPr>
            <w:tcW w:w="1187" w:type="dxa"/>
            <w:tcBorders>
              <w:top w:val="nil"/>
              <w:left w:val="nil"/>
              <w:bottom w:val="nil"/>
              <w:right w:val="single" w:sz="4" w:space="0" w:color="auto"/>
            </w:tcBorders>
            <w:shd w:val="clear" w:color="auto" w:fill="auto"/>
            <w:noWrap/>
            <w:vAlign w:val="bottom"/>
            <w:hideMark/>
          </w:tcPr>
          <w:p w:rsidR="00BC1301" w:rsidRPr="002E47EC" w:rsidRDefault="00BC1301" w:rsidP="00D335FF">
            <w:pPr>
              <w:rPr>
                <w:sz w:val="18"/>
                <w:szCs w:val="18"/>
              </w:rPr>
            </w:pPr>
            <w:r w:rsidRPr="002E47EC">
              <w:rPr>
                <w:sz w:val="18"/>
                <w:szCs w:val="18"/>
              </w:rPr>
              <w:t> </w:t>
            </w:r>
          </w:p>
        </w:tc>
        <w:tc>
          <w:tcPr>
            <w:tcW w:w="1181" w:type="dxa"/>
            <w:tcBorders>
              <w:top w:val="nil"/>
              <w:left w:val="nil"/>
              <w:bottom w:val="nil"/>
              <w:right w:val="nil"/>
            </w:tcBorders>
            <w:shd w:val="clear" w:color="auto" w:fill="auto"/>
            <w:noWrap/>
            <w:vAlign w:val="bottom"/>
            <w:hideMark/>
          </w:tcPr>
          <w:p w:rsidR="00BC1301" w:rsidRPr="002E47EC" w:rsidRDefault="004B7BFE" w:rsidP="00106A0E">
            <w:pPr>
              <w:jc w:val="center"/>
              <w:rPr>
                <w:sz w:val="18"/>
                <w:szCs w:val="18"/>
              </w:rPr>
            </w:pPr>
            <w:r w:rsidRPr="002E47EC">
              <w:rPr>
                <w:sz w:val="18"/>
                <w:szCs w:val="18"/>
              </w:rPr>
              <w:t>122,040</w:t>
            </w:r>
          </w:p>
        </w:tc>
        <w:tc>
          <w:tcPr>
            <w:tcW w:w="1183" w:type="dxa"/>
            <w:tcBorders>
              <w:top w:val="nil"/>
              <w:left w:val="nil"/>
              <w:bottom w:val="nil"/>
              <w:right w:val="single" w:sz="4" w:space="0" w:color="auto"/>
            </w:tcBorders>
            <w:shd w:val="clear" w:color="auto" w:fill="auto"/>
            <w:noWrap/>
            <w:vAlign w:val="bottom"/>
            <w:hideMark/>
          </w:tcPr>
          <w:p w:rsidR="00BC1301" w:rsidRPr="002E47EC" w:rsidRDefault="00BC1301" w:rsidP="00106A0E">
            <w:pPr>
              <w:jc w:val="center"/>
              <w:rPr>
                <w:sz w:val="18"/>
                <w:szCs w:val="18"/>
              </w:rPr>
            </w:pPr>
          </w:p>
        </w:tc>
        <w:tc>
          <w:tcPr>
            <w:tcW w:w="1181" w:type="dxa"/>
            <w:tcBorders>
              <w:top w:val="nil"/>
              <w:left w:val="nil"/>
              <w:bottom w:val="nil"/>
              <w:right w:val="nil"/>
            </w:tcBorders>
            <w:shd w:val="clear" w:color="auto" w:fill="auto"/>
            <w:noWrap/>
            <w:vAlign w:val="bottom"/>
            <w:hideMark/>
          </w:tcPr>
          <w:p w:rsidR="00BC1301" w:rsidRPr="002E47EC" w:rsidRDefault="00896742" w:rsidP="00106A0E">
            <w:pPr>
              <w:jc w:val="center"/>
              <w:rPr>
                <w:sz w:val="18"/>
                <w:szCs w:val="18"/>
              </w:rPr>
            </w:pPr>
            <w:r w:rsidRPr="002E47EC">
              <w:rPr>
                <w:sz w:val="18"/>
                <w:szCs w:val="18"/>
              </w:rPr>
              <w:t>123,618</w:t>
            </w:r>
          </w:p>
        </w:tc>
        <w:tc>
          <w:tcPr>
            <w:tcW w:w="1183" w:type="dxa"/>
            <w:tcBorders>
              <w:top w:val="nil"/>
              <w:left w:val="nil"/>
              <w:bottom w:val="nil"/>
              <w:right w:val="single" w:sz="4" w:space="0" w:color="auto"/>
            </w:tcBorders>
            <w:shd w:val="clear" w:color="auto" w:fill="auto"/>
            <w:noWrap/>
            <w:vAlign w:val="bottom"/>
            <w:hideMark/>
          </w:tcPr>
          <w:p w:rsidR="00BC1301" w:rsidRPr="002E47EC" w:rsidRDefault="00BC1301" w:rsidP="00106A0E">
            <w:pPr>
              <w:jc w:val="center"/>
              <w:rPr>
                <w:sz w:val="18"/>
                <w:szCs w:val="18"/>
              </w:rPr>
            </w:pPr>
          </w:p>
        </w:tc>
      </w:tr>
      <w:tr w:rsidR="00BC1301" w:rsidRPr="002E47EC" w:rsidTr="00126A3A">
        <w:trPr>
          <w:trHeight w:val="268"/>
        </w:trPr>
        <w:tc>
          <w:tcPr>
            <w:tcW w:w="2374" w:type="dxa"/>
            <w:gridSpan w:val="3"/>
            <w:tcBorders>
              <w:top w:val="nil"/>
              <w:left w:val="single" w:sz="4" w:space="0" w:color="auto"/>
              <w:bottom w:val="nil"/>
              <w:right w:val="nil"/>
            </w:tcBorders>
            <w:shd w:val="clear" w:color="auto" w:fill="auto"/>
            <w:noWrap/>
            <w:vAlign w:val="bottom"/>
            <w:hideMark/>
          </w:tcPr>
          <w:p w:rsidR="00BC1301" w:rsidRPr="002E47EC" w:rsidRDefault="00BC1301" w:rsidP="00D335FF">
            <w:pPr>
              <w:ind w:firstLineChars="400" w:firstLine="720"/>
              <w:rPr>
                <w:sz w:val="18"/>
                <w:szCs w:val="18"/>
              </w:rPr>
            </w:pPr>
            <w:r w:rsidRPr="002E47EC">
              <w:rPr>
                <w:sz w:val="18"/>
                <w:szCs w:val="18"/>
              </w:rPr>
              <w:t>The Trust</w:t>
            </w:r>
          </w:p>
        </w:tc>
        <w:tc>
          <w:tcPr>
            <w:tcW w:w="1186" w:type="dxa"/>
            <w:tcBorders>
              <w:top w:val="nil"/>
              <w:left w:val="nil"/>
              <w:bottom w:val="nil"/>
              <w:right w:val="nil"/>
            </w:tcBorders>
            <w:shd w:val="clear" w:color="auto" w:fill="auto"/>
            <w:noWrap/>
            <w:vAlign w:val="bottom"/>
            <w:hideMark/>
          </w:tcPr>
          <w:p w:rsidR="00BC1301" w:rsidRPr="002E47EC" w:rsidRDefault="00BC1301" w:rsidP="00D335FF">
            <w:pPr>
              <w:rPr>
                <w:sz w:val="18"/>
                <w:szCs w:val="18"/>
              </w:rPr>
            </w:pPr>
          </w:p>
        </w:tc>
        <w:tc>
          <w:tcPr>
            <w:tcW w:w="1187" w:type="dxa"/>
            <w:tcBorders>
              <w:top w:val="nil"/>
              <w:left w:val="nil"/>
              <w:bottom w:val="nil"/>
              <w:right w:val="single" w:sz="4" w:space="0" w:color="auto"/>
            </w:tcBorders>
            <w:shd w:val="clear" w:color="auto" w:fill="auto"/>
            <w:noWrap/>
            <w:vAlign w:val="bottom"/>
            <w:hideMark/>
          </w:tcPr>
          <w:p w:rsidR="00BC1301" w:rsidRPr="002E47EC" w:rsidRDefault="00BC1301" w:rsidP="00D335FF">
            <w:pPr>
              <w:rPr>
                <w:sz w:val="18"/>
                <w:szCs w:val="18"/>
              </w:rPr>
            </w:pPr>
            <w:r w:rsidRPr="002E47EC">
              <w:rPr>
                <w:sz w:val="18"/>
                <w:szCs w:val="18"/>
              </w:rPr>
              <w:t> </w:t>
            </w:r>
          </w:p>
        </w:tc>
        <w:tc>
          <w:tcPr>
            <w:tcW w:w="1181" w:type="dxa"/>
            <w:tcBorders>
              <w:top w:val="nil"/>
              <w:left w:val="nil"/>
              <w:bottom w:val="nil"/>
              <w:right w:val="nil"/>
            </w:tcBorders>
            <w:shd w:val="clear" w:color="auto" w:fill="auto"/>
            <w:noWrap/>
            <w:vAlign w:val="bottom"/>
            <w:hideMark/>
          </w:tcPr>
          <w:p w:rsidR="00BC1301" w:rsidRPr="002E47EC" w:rsidRDefault="004B7BFE" w:rsidP="00106A0E">
            <w:pPr>
              <w:jc w:val="center"/>
              <w:rPr>
                <w:sz w:val="18"/>
                <w:szCs w:val="18"/>
              </w:rPr>
            </w:pPr>
            <w:r w:rsidRPr="002E47EC">
              <w:rPr>
                <w:sz w:val="18"/>
                <w:szCs w:val="18"/>
              </w:rPr>
              <w:t>10,056</w:t>
            </w:r>
          </w:p>
        </w:tc>
        <w:tc>
          <w:tcPr>
            <w:tcW w:w="1183" w:type="dxa"/>
            <w:tcBorders>
              <w:top w:val="nil"/>
              <w:left w:val="nil"/>
              <w:bottom w:val="single" w:sz="8" w:space="0" w:color="auto"/>
              <w:right w:val="single" w:sz="4" w:space="0" w:color="auto"/>
            </w:tcBorders>
            <w:shd w:val="clear" w:color="auto" w:fill="auto"/>
            <w:noWrap/>
            <w:vAlign w:val="bottom"/>
            <w:hideMark/>
          </w:tcPr>
          <w:p w:rsidR="00BC1301" w:rsidRPr="002E47EC" w:rsidRDefault="00BC1301" w:rsidP="00106A0E">
            <w:pPr>
              <w:jc w:val="center"/>
              <w:rPr>
                <w:sz w:val="18"/>
                <w:szCs w:val="18"/>
              </w:rPr>
            </w:pPr>
          </w:p>
        </w:tc>
        <w:tc>
          <w:tcPr>
            <w:tcW w:w="1181" w:type="dxa"/>
            <w:tcBorders>
              <w:top w:val="nil"/>
              <w:left w:val="nil"/>
              <w:bottom w:val="nil"/>
              <w:right w:val="nil"/>
            </w:tcBorders>
            <w:shd w:val="clear" w:color="auto" w:fill="auto"/>
            <w:noWrap/>
            <w:vAlign w:val="bottom"/>
            <w:hideMark/>
          </w:tcPr>
          <w:p w:rsidR="00BC1301" w:rsidRPr="002E47EC" w:rsidRDefault="00896742" w:rsidP="00106A0E">
            <w:pPr>
              <w:jc w:val="center"/>
              <w:rPr>
                <w:sz w:val="18"/>
                <w:szCs w:val="18"/>
              </w:rPr>
            </w:pPr>
            <w:r w:rsidRPr="002E47EC">
              <w:rPr>
                <w:sz w:val="18"/>
                <w:szCs w:val="18"/>
              </w:rPr>
              <w:t>14,026</w:t>
            </w:r>
          </w:p>
        </w:tc>
        <w:tc>
          <w:tcPr>
            <w:tcW w:w="1183" w:type="dxa"/>
            <w:tcBorders>
              <w:top w:val="nil"/>
              <w:left w:val="nil"/>
              <w:bottom w:val="single" w:sz="8" w:space="0" w:color="auto"/>
              <w:right w:val="single" w:sz="4" w:space="0" w:color="auto"/>
            </w:tcBorders>
            <w:shd w:val="clear" w:color="auto" w:fill="auto"/>
            <w:noWrap/>
            <w:vAlign w:val="bottom"/>
            <w:hideMark/>
          </w:tcPr>
          <w:p w:rsidR="00BC1301" w:rsidRPr="002E47EC" w:rsidRDefault="00BC1301" w:rsidP="00106A0E">
            <w:pPr>
              <w:jc w:val="center"/>
              <w:rPr>
                <w:sz w:val="18"/>
                <w:szCs w:val="18"/>
              </w:rPr>
            </w:pPr>
          </w:p>
        </w:tc>
      </w:tr>
      <w:tr w:rsidR="00BC1301" w:rsidRPr="002E47EC" w:rsidTr="00126A3A">
        <w:trPr>
          <w:trHeight w:val="253"/>
        </w:trPr>
        <w:tc>
          <w:tcPr>
            <w:tcW w:w="1186" w:type="dxa"/>
            <w:gridSpan w:val="2"/>
            <w:tcBorders>
              <w:top w:val="nil"/>
              <w:left w:val="single" w:sz="4" w:space="0" w:color="auto"/>
              <w:bottom w:val="nil"/>
              <w:right w:val="nil"/>
            </w:tcBorders>
            <w:shd w:val="clear" w:color="auto" w:fill="auto"/>
            <w:noWrap/>
            <w:vAlign w:val="bottom"/>
            <w:hideMark/>
          </w:tcPr>
          <w:p w:rsidR="00BC1301" w:rsidRPr="002E47EC" w:rsidRDefault="00BC1301" w:rsidP="00D335FF">
            <w:pPr>
              <w:rPr>
                <w:sz w:val="18"/>
                <w:szCs w:val="18"/>
              </w:rPr>
            </w:pPr>
            <w:r w:rsidRPr="002E47EC">
              <w:rPr>
                <w:sz w:val="18"/>
                <w:szCs w:val="18"/>
              </w:rPr>
              <w:t> </w:t>
            </w:r>
          </w:p>
        </w:tc>
        <w:tc>
          <w:tcPr>
            <w:tcW w:w="1188" w:type="dxa"/>
            <w:tcBorders>
              <w:top w:val="nil"/>
              <w:left w:val="nil"/>
              <w:bottom w:val="nil"/>
              <w:right w:val="nil"/>
            </w:tcBorders>
            <w:shd w:val="clear" w:color="auto" w:fill="auto"/>
            <w:noWrap/>
            <w:vAlign w:val="bottom"/>
            <w:hideMark/>
          </w:tcPr>
          <w:p w:rsidR="00BC1301" w:rsidRPr="002E47EC" w:rsidRDefault="00BC1301" w:rsidP="00D335FF">
            <w:pPr>
              <w:rPr>
                <w:sz w:val="18"/>
                <w:szCs w:val="18"/>
              </w:rPr>
            </w:pPr>
          </w:p>
        </w:tc>
        <w:tc>
          <w:tcPr>
            <w:tcW w:w="1186" w:type="dxa"/>
            <w:tcBorders>
              <w:top w:val="nil"/>
              <w:left w:val="nil"/>
              <w:bottom w:val="nil"/>
              <w:right w:val="nil"/>
            </w:tcBorders>
            <w:shd w:val="clear" w:color="auto" w:fill="auto"/>
            <w:noWrap/>
            <w:vAlign w:val="bottom"/>
            <w:hideMark/>
          </w:tcPr>
          <w:p w:rsidR="00BC1301" w:rsidRPr="002E47EC" w:rsidRDefault="00BC1301" w:rsidP="00D335FF">
            <w:pPr>
              <w:rPr>
                <w:sz w:val="18"/>
                <w:szCs w:val="18"/>
              </w:rPr>
            </w:pPr>
          </w:p>
        </w:tc>
        <w:tc>
          <w:tcPr>
            <w:tcW w:w="1187" w:type="dxa"/>
            <w:tcBorders>
              <w:top w:val="nil"/>
              <w:left w:val="nil"/>
              <w:bottom w:val="nil"/>
              <w:right w:val="single" w:sz="4" w:space="0" w:color="auto"/>
            </w:tcBorders>
            <w:shd w:val="clear" w:color="auto" w:fill="auto"/>
            <w:noWrap/>
            <w:vAlign w:val="bottom"/>
            <w:hideMark/>
          </w:tcPr>
          <w:p w:rsidR="00BC1301" w:rsidRPr="002E47EC" w:rsidRDefault="00BC1301" w:rsidP="00D335FF">
            <w:pPr>
              <w:rPr>
                <w:sz w:val="18"/>
                <w:szCs w:val="18"/>
              </w:rPr>
            </w:pPr>
            <w:r w:rsidRPr="002E47EC">
              <w:rPr>
                <w:sz w:val="18"/>
                <w:szCs w:val="18"/>
              </w:rPr>
              <w:t> </w:t>
            </w:r>
          </w:p>
        </w:tc>
        <w:tc>
          <w:tcPr>
            <w:tcW w:w="1181" w:type="dxa"/>
            <w:tcBorders>
              <w:top w:val="nil"/>
              <w:left w:val="nil"/>
              <w:bottom w:val="nil"/>
              <w:right w:val="nil"/>
            </w:tcBorders>
            <w:shd w:val="clear" w:color="auto" w:fill="auto"/>
            <w:noWrap/>
            <w:vAlign w:val="bottom"/>
            <w:hideMark/>
          </w:tcPr>
          <w:p w:rsidR="00BC1301" w:rsidRPr="002E47EC" w:rsidRDefault="00BC1301" w:rsidP="00106A0E">
            <w:pPr>
              <w:jc w:val="center"/>
              <w:rPr>
                <w:sz w:val="18"/>
                <w:szCs w:val="18"/>
              </w:rPr>
            </w:pPr>
          </w:p>
        </w:tc>
        <w:tc>
          <w:tcPr>
            <w:tcW w:w="1183" w:type="dxa"/>
            <w:tcBorders>
              <w:top w:val="nil"/>
              <w:left w:val="nil"/>
              <w:bottom w:val="nil"/>
              <w:right w:val="single" w:sz="4" w:space="0" w:color="auto"/>
            </w:tcBorders>
            <w:shd w:val="clear" w:color="auto" w:fill="auto"/>
            <w:noWrap/>
            <w:vAlign w:val="bottom"/>
            <w:hideMark/>
          </w:tcPr>
          <w:p w:rsidR="00BC1301" w:rsidRPr="002E47EC" w:rsidRDefault="004B7BFE" w:rsidP="00106A0E">
            <w:pPr>
              <w:jc w:val="center"/>
              <w:rPr>
                <w:sz w:val="18"/>
                <w:szCs w:val="18"/>
              </w:rPr>
            </w:pPr>
            <w:r w:rsidRPr="002E47EC">
              <w:rPr>
                <w:sz w:val="18"/>
                <w:szCs w:val="18"/>
              </w:rPr>
              <w:t>132,096</w:t>
            </w:r>
          </w:p>
        </w:tc>
        <w:tc>
          <w:tcPr>
            <w:tcW w:w="1181" w:type="dxa"/>
            <w:tcBorders>
              <w:top w:val="nil"/>
              <w:left w:val="nil"/>
              <w:bottom w:val="nil"/>
              <w:right w:val="nil"/>
            </w:tcBorders>
            <w:shd w:val="clear" w:color="auto" w:fill="auto"/>
            <w:noWrap/>
            <w:vAlign w:val="bottom"/>
            <w:hideMark/>
          </w:tcPr>
          <w:p w:rsidR="00BC1301" w:rsidRPr="002E47EC" w:rsidRDefault="00BC1301" w:rsidP="00106A0E">
            <w:pPr>
              <w:jc w:val="center"/>
              <w:rPr>
                <w:sz w:val="18"/>
                <w:szCs w:val="18"/>
              </w:rPr>
            </w:pPr>
          </w:p>
        </w:tc>
        <w:tc>
          <w:tcPr>
            <w:tcW w:w="1183" w:type="dxa"/>
            <w:tcBorders>
              <w:top w:val="nil"/>
              <w:left w:val="nil"/>
              <w:bottom w:val="nil"/>
              <w:right w:val="single" w:sz="4" w:space="0" w:color="auto"/>
            </w:tcBorders>
            <w:shd w:val="clear" w:color="auto" w:fill="auto"/>
            <w:noWrap/>
            <w:vAlign w:val="bottom"/>
            <w:hideMark/>
          </w:tcPr>
          <w:p w:rsidR="00BC1301" w:rsidRPr="002E47EC" w:rsidRDefault="00896742" w:rsidP="00106A0E">
            <w:pPr>
              <w:jc w:val="center"/>
              <w:rPr>
                <w:sz w:val="18"/>
                <w:szCs w:val="18"/>
              </w:rPr>
            </w:pPr>
            <w:r w:rsidRPr="002E47EC">
              <w:rPr>
                <w:sz w:val="18"/>
                <w:szCs w:val="18"/>
              </w:rPr>
              <w:t>137,644</w:t>
            </w:r>
          </w:p>
        </w:tc>
      </w:tr>
      <w:tr w:rsidR="00BC1301" w:rsidRPr="002E47EC" w:rsidTr="00126A3A">
        <w:trPr>
          <w:trHeight w:val="253"/>
        </w:trPr>
        <w:tc>
          <w:tcPr>
            <w:tcW w:w="1186" w:type="dxa"/>
            <w:gridSpan w:val="2"/>
            <w:tcBorders>
              <w:top w:val="nil"/>
              <w:left w:val="single" w:sz="4" w:space="0" w:color="auto"/>
              <w:bottom w:val="nil"/>
              <w:right w:val="nil"/>
            </w:tcBorders>
            <w:shd w:val="clear" w:color="auto" w:fill="auto"/>
            <w:noWrap/>
            <w:vAlign w:val="bottom"/>
            <w:hideMark/>
          </w:tcPr>
          <w:p w:rsidR="00BC1301" w:rsidRPr="002E47EC" w:rsidRDefault="00BC1301" w:rsidP="00D335FF">
            <w:pPr>
              <w:rPr>
                <w:sz w:val="18"/>
                <w:szCs w:val="18"/>
              </w:rPr>
            </w:pPr>
            <w:r w:rsidRPr="002E47EC">
              <w:rPr>
                <w:sz w:val="18"/>
                <w:szCs w:val="18"/>
              </w:rPr>
              <w:t> </w:t>
            </w:r>
          </w:p>
        </w:tc>
        <w:tc>
          <w:tcPr>
            <w:tcW w:w="1188" w:type="dxa"/>
            <w:tcBorders>
              <w:top w:val="nil"/>
              <w:left w:val="nil"/>
              <w:bottom w:val="nil"/>
              <w:right w:val="nil"/>
            </w:tcBorders>
            <w:shd w:val="clear" w:color="auto" w:fill="auto"/>
            <w:noWrap/>
            <w:vAlign w:val="bottom"/>
            <w:hideMark/>
          </w:tcPr>
          <w:p w:rsidR="00BC1301" w:rsidRPr="002E47EC" w:rsidRDefault="00BC1301" w:rsidP="00D335FF">
            <w:pPr>
              <w:rPr>
                <w:sz w:val="18"/>
                <w:szCs w:val="18"/>
              </w:rPr>
            </w:pPr>
          </w:p>
        </w:tc>
        <w:tc>
          <w:tcPr>
            <w:tcW w:w="1186" w:type="dxa"/>
            <w:tcBorders>
              <w:top w:val="nil"/>
              <w:left w:val="nil"/>
              <w:bottom w:val="nil"/>
              <w:right w:val="nil"/>
            </w:tcBorders>
            <w:shd w:val="clear" w:color="auto" w:fill="auto"/>
            <w:noWrap/>
            <w:vAlign w:val="bottom"/>
            <w:hideMark/>
          </w:tcPr>
          <w:p w:rsidR="00BC1301" w:rsidRPr="002E47EC" w:rsidRDefault="00BC1301" w:rsidP="00D335FF">
            <w:pPr>
              <w:rPr>
                <w:sz w:val="18"/>
                <w:szCs w:val="18"/>
              </w:rPr>
            </w:pPr>
          </w:p>
        </w:tc>
        <w:tc>
          <w:tcPr>
            <w:tcW w:w="1187" w:type="dxa"/>
            <w:tcBorders>
              <w:top w:val="nil"/>
              <w:left w:val="nil"/>
              <w:bottom w:val="nil"/>
              <w:right w:val="single" w:sz="4" w:space="0" w:color="auto"/>
            </w:tcBorders>
            <w:shd w:val="clear" w:color="auto" w:fill="auto"/>
            <w:noWrap/>
            <w:vAlign w:val="bottom"/>
            <w:hideMark/>
          </w:tcPr>
          <w:p w:rsidR="00BC1301" w:rsidRPr="002E47EC" w:rsidRDefault="00BC1301" w:rsidP="00D335FF">
            <w:pPr>
              <w:rPr>
                <w:sz w:val="18"/>
                <w:szCs w:val="18"/>
              </w:rPr>
            </w:pPr>
            <w:r w:rsidRPr="002E47EC">
              <w:rPr>
                <w:sz w:val="18"/>
                <w:szCs w:val="18"/>
              </w:rPr>
              <w:t> </w:t>
            </w:r>
          </w:p>
        </w:tc>
        <w:tc>
          <w:tcPr>
            <w:tcW w:w="1181" w:type="dxa"/>
            <w:tcBorders>
              <w:top w:val="nil"/>
              <w:left w:val="nil"/>
              <w:bottom w:val="nil"/>
              <w:right w:val="nil"/>
            </w:tcBorders>
            <w:shd w:val="clear" w:color="auto" w:fill="auto"/>
            <w:noWrap/>
            <w:vAlign w:val="bottom"/>
            <w:hideMark/>
          </w:tcPr>
          <w:p w:rsidR="00BC1301" w:rsidRPr="002E47EC" w:rsidRDefault="00BC1301" w:rsidP="00106A0E">
            <w:pPr>
              <w:jc w:val="center"/>
              <w:rPr>
                <w:sz w:val="18"/>
                <w:szCs w:val="18"/>
              </w:rPr>
            </w:pPr>
          </w:p>
        </w:tc>
        <w:tc>
          <w:tcPr>
            <w:tcW w:w="1183" w:type="dxa"/>
            <w:tcBorders>
              <w:top w:val="nil"/>
              <w:left w:val="nil"/>
              <w:bottom w:val="nil"/>
              <w:right w:val="single" w:sz="4" w:space="0" w:color="auto"/>
            </w:tcBorders>
            <w:shd w:val="clear" w:color="auto" w:fill="auto"/>
            <w:noWrap/>
            <w:vAlign w:val="bottom"/>
            <w:hideMark/>
          </w:tcPr>
          <w:p w:rsidR="00BC1301" w:rsidRPr="002E47EC" w:rsidRDefault="00BC1301" w:rsidP="00106A0E">
            <w:pPr>
              <w:jc w:val="center"/>
              <w:rPr>
                <w:sz w:val="18"/>
                <w:szCs w:val="18"/>
              </w:rPr>
            </w:pPr>
          </w:p>
        </w:tc>
        <w:tc>
          <w:tcPr>
            <w:tcW w:w="1181" w:type="dxa"/>
            <w:tcBorders>
              <w:top w:val="nil"/>
              <w:left w:val="nil"/>
              <w:bottom w:val="nil"/>
              <w:right w:val="nil"/>
            </w:tcBorders>
            <w:shd w:val="clear" w:color="auto" w:fill="auto"/>
            <w:noWrap/>
            <w:vAlign w:val="bottom"/>
            <w:hideMark/>
          </w:tcPr>
          <w:p w:rsidR="00BC1301" w:rsidRPr="002E47EC" w:rsidRDefault="00BC1301" w:rsidP="00106A0E">
            <w:pPr>
              <w:jc w:val="center"/>
              <w:rPr>
                <w:sz w:val="18"/>
                <w:szCs w:val="18"/>
              </w:rPr>
            </w:pPr>
          </w:p>
        </w:tc>
        <w:tc>
          <w:tcPr>
            <w:tcW w:w="1183" w:type="dxa"/>
            <w:tcBorders>
              <w:top w:val="nil"/>
              <w:left w:val="nil"/>
              <w:bottom w:val="nil"/>
              <w:right w:val="single" w:sz="4" w:space="0" w:color="auto"/>
            </w:tcBorders>
            <w:shd w:val="clear" w:color="auto" w:fill="auto"/>
            <w:noWrap/>
            <w:vAlign w:val="bottom"/>
            <w:hideMark/>
          </w:tcPr>
          <w:p w:rsidR="00BC1301" w:rsidRPr="002E47EC" w:rsidRDefault="00BC1301" w:rsidP="00106A0E">
            <w:pPr>
              <w:jc w:val="center"/>
              <w:rPr>
                <w:sz w:val="18"/>
                <w:szCs w:val="18"/>
              </w:rPr>
            </w:pPr>
          </w:p>
        </w:tc>
      </w:tr>
      <w:tr w:rsidR="00BC1301" w:rsidRPr="002E47EC" w:rsidTr="00126A3A">
        <w:trPr>
          <w:trHeight w:val="505"/>
        </w:trPr>
        <w:tc>
          <w:tcPr>
            <w:tcW w:w="4747" w:type="dxa"/>
            <w:gridSpan w:val="5"/>
            <w:tcBorders>
              <w:top w:val="nil"/>
              <w:left w:val="single" w:sz="4" w:space="0" w:color="auto"/>
              <w:bottom w:val="nil"/>
              <w:right w:val="single" w:sz="4" w:space="0" w:color="000000"/>
            </w:tcBorders>
            <w:shd w:val="clear" w:color="auto" w:fill="auto"/>
            <w:vAlign w:val="bottom"/>
            <w:hideMark/>
          </w:tcPr>
          <w:p w:rsidR="00BC1301" w:rsidRPr="002E47EC" w:rsidRDefault="00D16E45" w:rsidP="00D16E45">
            <w:pPr>
              <w:rPr>
                <w:b/>
                <w:bCs/>
                <w:sz w:val="18"/>
                <w:szCs w:val="18"/>
              </w:rPr>
            </w:pPr>
            <w:r w:rsidRPr="002E47EC">
              <w:rPr>
                <w:b/>
                <w:bCs/>
                <w:sz w:val="18"/>
                <w:szCs w:val="18"/>
              </w:rPr>
              <w:t>Net (Surplus)/</w:t>
            </w:r>
            <w:r w:rsidR="00BC1301" w:rsidRPr="002E47EC">
              <w:rPr>
                <w:b/>
                <w:bCs/>
                <w:sz w:val="18"/>
                <w:szCs w:val="18"/>
              </w:rPr>
              <w:t>Deficit arising on the Pooled Budget during the year:</w:t>
            </w:r>
          </w:p>
        </w:tc>
        <w:tc>
          <w:tcPr>
            <w:tcW w:w="1181" w:type="dxa"/>
            <w:tcBorders>
              <w:top w:val="nil"/>
              <w:left w:val="nil"/>
              <w:bottom w:val="nil"/>
              <w:right w:val="nil"/>
            </w:tcBorders>
            <w:shd w:val="clear" w:color="auto" w:fill="auto"/>
            <w:noWrap/>
            <w:vAlign w:val="bottom"/>
            <w:hideMark/>
          </w:tcPr>
          <w:p w:rsidR="00BC1301" w:rsidRPr="002E47EC" w:rsidRDefault="00BC1301" w:rsidP="00106A0E">
            <w:pPr>
              <w:jc w:val="center"/>
              <w:rPr>
                <w:sz w:val="18"/>
                <w:szCs w:val="18"/>
              </w:rPr>
            </w:pPr>
          </w:p>
        </w:tc>
        <w:tc>
          <w:tcPr>
            <w:tcW w:w="1183" w:type="dxa"/>
            <w:tcBorders>
              <w:top w:val="single" w:sz="4" w:space="0" w:color="auto"/>
              <w:left w:val="nil"/>
              <w:bottom w:val="single" w:sz="8" w:space="0" w:color="auto"/>
              <w:right w:val="single" w:sz="4" w:space="0" w:color="auto"/>
            </w:tcBorders>
            <w:shd w:val="clear" w:color="auto" w:fill="auto"/>
            <w:noWrap/>
            <w:vAlign w:val="bottom"/>
            <w:hideMark/>
          </w:tcPr>
          <w:p w:rsidR="00BC1301" w:rsidRPr="002E47EC" w:rsidRDefault="004B7BFE" w:rsidP="00106A0E">
            <w:pPr>
              <w:jc w:val="center"/>
              <w:rPr>
                <w:sz w:val="18"/>
                <w:szCs w:val="18"/>
              </w:rPr>
            </w:pPr>
            <w:r w:rsidRPr="002E47EC">
              <w:rPr>
                <w:sz w:val="18"/>
                <w:szCs w:val="18"/>
              </w:rPr>
              <w:t>7,272</w:t>
            </w:r>
          </w:p>
        </w:tc>
        <w:tc>
          <w:tcPr>
            <w:tcW w:w="1181" w:type="dxa"/>
            <w:tcBorders>
              <w:top w:val="nil"/>
              <w:left w:val="nil"/>
              <w:bottom w:val="nil"/>
              <w:right w:val="nil"/>
            </w:tcBorders>
            <w:shd w:val="clear" w:color="auto" w:fill="auto"/>
            <w:noWrap/>
            <w:vAlign w:val="bottom"/>
            <w:hideMark/>
          </w:tcPr>
          <w:p w:rsidR="00BC1301" w:rsidRPr="002E47EC" w:rsidRDefault="00BC1301" w:rsidP="00106A0E">
            <w:pPr>
              <w:jc w:val="center"/>
              <w:rPr>
                <w:sz w:val="18"/>
                <w:szCs w:val="18"/>
              </w:rPr>
            </w:pPr>
          </w:p>
        </w:tc>
        <w:tc>
          <w:tcPr>
            <w:tcW w:w="1183" w:type="dxa"/>
            <w:tcBorders>
              <w:top w:val="single" w:sz="4" w:space="0" w:color="auto"/>
              <w:left w:val="nil"/>
              <w:bottom w:val="single" w:sz="8" w:space="0" w:color="auto"/>
              <w:right w:val="single" w:sz="4" w:space="0" w:color="auto"/>
            </w:tcBorders>
            <w:shd w:val="clear" w:color="auto" w:fill="auto"/>
            <w:noWrap/>
            <w:vAlign w:val="bottom"/>
            <w:hideMark/>
          </w:tcPr>
          <w:p w:rsidR="00BC1301" w:rsidRPr="002E47EC" w:rsidRDefault="00896742" w:rsidP="00106A0E">
            <w:pPr>
              <w:jc w:val="center"/>
              <w:rPr>
                <w:sz w:val="18"/>
                <w:szCs w:val="18"/>
              </w:rPr>
            </w:pPr>
            <w:r w:rsidRPr="002E47EC">
              <w:rPr>
                <w:sz w:val="18"/>
                <w:szCs w:val="18"/>
              </w:rPr>
              <w:t>4,579</w:t>
            </w:r>
          </w:p>
        </w:tc>
      </w:tr>
      <w:tr w:rsidR="00BC1301" w:rsidRPr="002E47EC" w:rsidTr="00126A3A">
        <w:trPr>
          <w:trHeight w:val="253"/>
        </w:trPr>
        <w:tc>
          <w:tcPr>
            <w:tcW w:w="1186" w:type="dxa"/>
            <w:gridSpan w:val="2"/>
            <w:tcBorders>
              <w:top w:val="nil"/>
              <w:left w:val="single" w:sz="4" w:space="0" w:color="auto"/>
              <w:bottom w:val="nil"/>
              <w:right w:val="nil"/>
            </w:tcBorders>
            <w:shd w:val="clear" w:color="auto" w:fill="auto"/>
            <w:noWrap/>
            <w:vAlign w:val="bottom"/>
            <w:hideMark/>
          </w:tcPr>
          <w:p w:rsidR="00BC1301" w:rsidRPr="002E47EC" w:rsidRDefault="00BC1301" w:rsidP="00D335FF">
            <w:pPr>
              <w:rPr>
                <w:sz w:val="18"/>
                <w:szCs w:val="18"/>
              </w:rPr>
            </w:pPr>
            <w:r w:rsidRPr="002E47EC">
              <w:rPr>
                <w:sz w:val="18"/>
                <w:szCs w:val="18"/>
              </w:rPr>
              <w:t> </w:t>
            </w:r>
          </w:p>
        </w:tc>
        <w:tc>
          <w:tcPr>
            <w:tcW w:w="1188" w:type="dxa"/>
            <w:tcBorders>
              <w:top w:val="nil"/>
              <w:left w:val="nil"/>
              <w:bottom w:val="nil"/>
              <w:right w:val="nil"/>
            </w:tcBorders>
            <w:shd w:val="clear" w:color="auto" w:fill="auto"/>
            <w:noWrap/>
            <w:vAlign w:val="bottom"/>
            <w:hideMark/>
          </w:tcPr>
          <w:p w:rsidR="00BC1301" w:rsidRPr="002E47EC" w:rsidRDefault="00BC1301" w:rsidP="00D335FF">
            <w:pPr>
              <w:rPr>
                <w:sz w:val="18"/>
                <w:szCs w:val="18"/>
              </w:rPr>
            </w:pPr>
          </w:p>
        </w:tc>
        <w:tc>
          <w:tcPr>
            <w:tcW w:w="1186" w:type="dxa"/>
            <w:tcBorders>
              <w:top w:val="nil"/>
              <w:left w:val="nil"/>
              <w:bottom w:val="nil"/>
              <w:right w:val="nil"/>
            </w:tcBorders>
            <w:shd w:val="clear" w:color="auto" w:fill="auto"/>
            <w:noWrap/>
            <w:vAlign w:val="bottom"/>
            <w:hideMark/>
          </w:tcPr>
          <w:p w:rsidR="00BC1301" w:rsidRPr="002E47EC" w:rsidRDefault="00BC1301" w:rsidP="00D335FF">
            <w:pPr>
              <w:rPr>
                <w:sz w:val="18"/>
                <w:szCs w:val="18"/>
              </w:rPr>
            </w:pPr>
          </w:p>
        </w:tc>
        <w:tc>
          <w:tcPr>
            <w:tcW w:w="1187" w:type="dxa"/>
            <w:tcBorders>
              <w:top w:val="nil"/>
              <w:left w:val="nil"/>
              <w:bottom w:val="nil"/>
              <w:right w:val="single" w:sz="4" w:space="0" w:color="auto"/>
            </w:tcBorders>
            <w:shd w:val="clear" w:color="auto" w:fill="auto"/>
            <w:noWrap/>
            <w:vAlign w:val="bottom"/>
            <w:hideMark/>
          </w:tcPr>
          <w:p w:rsidR="00BC1301" w:rsidRPr="002E47EC" w:rsidRDefault="00BC1301" w:rsidP="00D335FF">
            <w:pPr>
              <w:rPr>
                <w:sz w:val="18"/>
                <w:szCs w:val="18"/>
              </w:rPr>
            </w:pPr>
            <w:r w:rsidRPr="002E47EC">
              <w:rPr>
                <w:sz w:val="18"/>
                <w:szCs w:val="18"/>
              </w:rPr>
              <w:t> </w:t>
            </w:r>
          </w:p>
        </w:tc>
        <w:tc>
          <w:tcPr>
            <w:tcW w:w="1181" w:type="dxa"/>
            <w:tcBorders>
              <w:top w:val="nil"/>
              <w:left w:val="nil"/>
              <w:bottom w:val="nil"/>
              <w:right w:val="nil"/>
            </w:tcBorders>
            <w:shd w:val="clear" w:color="auto" w:fill="auto"/>
            <w:noWrap/>
            <w:vAlign w:val="bottom"/>
            <w:hideMark/>
          </w:tcPr>
          <w:p w:rsidR="00BC1301" w:rsidRPr="002E47EC" w:rsidRDefault="00BC1301" w:rsidP="00106A0E">
            <w:pPr>
              <w:jc w:val="center"/>
              <w:rPr>
                <w:sz w:val="18"/>
                <w:szCs w:val="18"/>
              </w:rPr>
            </w:pPr>
          </w:p>
        </w:tc>
        <w:tc>
          <w:tcPr>
            <w:tcW w:w="1183" w:type="dxa"/>
            <w:tcBorders>
              <w:top w:val="nil"/>
              <w:left w:val="nil"/>
              <w:bottom w:val="nil"/>
              <w:right w:val="single" w:sz="4" w:space="0" w:color="auto"/>
            </w:tcBorders>
            <w:shd w:val="clear" w:color="auto" w:fill="auto"/>
            <w:noWrap/>
            <w:vAlign w:val="bottom"/>
            <w:hideMark/>
          </w:tcPr>
          <w:p w:rsidR="00BC1301" w:rsidRPr="002E47EC" w:rsidRDefault="00BC1301" w:rsidP="00106A0E">
            <w:pPr>
              <w:jc w:val="center"/>
              <w:rPr>
                <w:sz w:val="18"/>
                <w:szCs w:val="18"/>
              </w:rPr>
            </w:pPr>
          </w:p>
        </w:tc>
        <w:tc>
          <w:tcPr>
            <w:tcW w:w="1181" w:type="dxa"/>
            <w:tcBorders>
              <w:top w:val="nil"/>
              <w:left w:val="nil"/>
              <w:bottom w:val="nil"/>
              <w:right w:val="nil"/>
            </w:tcBorders>
            <w:shd w:val="clear" w:color="auto" w:fill="auto"/>
            <w:noWrap/>
            <w:vAlign w:val="bottom"/>
            <w:hideMark/>
          </w:tcPr>
          <w:p w:rsidR="00BC1301" w:rsidRPr="002E47EC" w:rsidRDefault="00BC1301" w:rsidP="00106A0E">
            <w:pPr>
              <w:jc w:val="center"/>
              <w:rPr>
                <w:sz w:val="18"/>
                <w:szCs w:val="18"/>
              </w:rPr>
            </w:pPr>
          </w:p>
        </w:tc>
        <w:tc>
          <w:tcPr>
            <w:tcW w:w="1183" w:type="dxa"/>
            <w:tcBorders>
              <w:top w:val="nil"/>
              <w:left w:val="nil"/>
              <w:bottom w:val="nil"/>
              <w:right w:val="single" w:sz="4" w:space="0" w:color="auto"/>
            </w:tcBorders>
            <w:shd w:val="clear" w:color="auto" w:fill="auto"/>
            <w:noWrap/>
            <w:vAlign w:val="bottom"/>
            <w:hideMark/>
          </w:tcPr>
          <w:p w:rsidR="00BC1301" w:rsidRPr="002E47EC" w:rsidRDefault="00BC1301" w:rsidP="00106A0E">
            <w:pPr>
              <w:jc w:val="center"/>
              <w:rPr>
                <w:sz w:val="18"/>
                <w:szCs w:val="18"/>
              </w:rPr>
            </w:pPr>
          </w:p>
        </w:tc>
      </w:tr>
      <w:tr w:rsidR="00BC1301" w:rsidRPr="002E47EC" w:rsidTr="00126A3A">
        <w:trPr>
          <w:trHeight w:val="253"/>
        </w:trPr>
        <w:tc>
          <w:tcPr>
            <w:tcW w:w="1186" w:type="dxa"/>
            <w:gridSpan w:val="2"/>
            <w:tcBorders>
              <w:top w:val="nil"/>
              <w:left w:val="single" w:sz="4" w:space="0" w:color="auto"/>
              <w:bottom w:val="nil"/>
              <w:right w:val="nil"/>
            </w:tcBorders>
            <w:shd w:val="clear" w:color="auto" w:fill="auto"/>
            <w:noWrap/>
            <w:vAlign w:val="bottom"/>
            <w:hideMark/>
          </w:tcPr>
          <w:p w:rsidR="00BC1301" w:rsidRPr="002E47EC" w:rsidRDefault="00BC1301" w:rsidP="00D335FF">
            <w:pPr>
              <w:rPr>
                <w:sz w:val="18"/>
                <w:szCs w:val="18"/>
              </w:rPr>
            </w:pPr>
            <w:r w:rsidRPr="002E47EC">
              <w:rPr>
                <w:sz w:val="18"/>
                <w:szCs w:val="18"/>
              </w:rPr>
              <w:t> </w:t>
            </w:r>
          </w:p>
        </w:tc>
        <w:tc>
          <w:tcPr>
            <w:tcW w:w="1188" w:type="dxa"/>
            <w:tcBorders>
              <w:top w:val="nil"/>
              <w:left w:val="nil"/>
              <w:bottom w:val="nil"/>
              <w:right w:val="nil"/>
            </w:tcBorders>
            <w:shd w:val="clear" w:color="auto" w:fill="auto"/>
            <w:noWrap/>
            <w:vAlign w:val="bottom"/>
            <w:hideMark/>
          </w:tcPr>
          <w:p w:rsidR="00BC1301" w:rsidRPr="002E47EC" w:rsidRDefault="00BC1301" w:rsidP="00D335FF">
            <w:pPr>
              <w:rPr>
                <w:sz w:val="18"/>
                <w:szCs w:val="18"/>
              </w:rPr>
            </w:pPr>
          </w:p>
        </w:tc>
        <w:tc>
          <w:tcPr>
            <w:tcW w:w="1186" w:type="dxa"/>
            <w:tcBorders>
              <w:top w:val="nil"/>
              <w:left w:val="nil"/>
              <w:bottom w:val="nil"/>
              <w:right w:val="nil"/>
            </w:tcBorders>
            <w:shd w:val="clear" w:color="auto" w:fill="auto"/>
            <w:noWrap/>
            <w:vAlign w:val="bottom"/>
            <w:hideMark/>
          </w:tcPr>
          <w:p w:rsidR="00BC1301" w:rsidRPr="002E47EC" w:rsidRDefault="00BC1301" w:rsidP="00D335FF">
            <w:pPr>
              <w:rPr>
                <w:sz w:val="18"/>
                <w:szCs w:val="18"/>
              </w:rPr>
            </w:pPr>
          </w:p>
        </w:tc>
        <w:tc>
          <w:tcPr>
            <w:tcW w:w="1187" w:type="dxa"/>
            <w:tcBorders>
              <w:top w:val="nil"/>
              <w:left w:val="nil"/>
              <w:bottom w:val="nil"/>
              <w:right w:val="single" w:sz="4" w:space="0" w:color="auto"/>
            </w:tcBorders>
            <w:shd w:val="clear" w:color="auto" w:fill="auto"/>
            <w:noWrap/>
            <w:vAlign w:val="bottom"/>
            <w:hideMark/>
          </w:tcPr>
          <w:p w:rsidR="00BC1301" w:rsidRPr="002E47EC" w:rsidRDefault="00BC1301" w:rsidP="00D335FF">
            <w:pPr>
              <w:rPr>
                <w:sz w:val="18"/>
                <w:szCs w:val="18"/>
              </w:rPr>
            </w:pPr>
            <w:r w:rsidRPr="002E47EC">
              <w:rPr>
                <w:sz w:val="18"/>
                <w:szCs w:val="18"/>
              </w:rPr>
              <w:t> </w:t>
            </w:r>
          </w:p>
        </w:tc>
        <w:tc>
          <w:tcPr>
            <w:tcW w:w="1181" w:type="dxa"/>
            <w:tcBorders>
              <w:top w:val="nil"/>
              <w:left w:val="nil"/>
              <w:bottom w:val="nil"/>
              <w:right w:val="nil"/>
            </w:tcBorders>
            <w:shd w:val="clear" w:color="auto" w:fill="auto"/>
            <w:noWrap/>
            <w:vAlign w:val="bottom"/>
            <w:hideMark/>
          </w:tcPr>
          <w:p w:rsidR="00BC1301" w:rsidRPr="002E47EC" w:rsidRDefault="00BC1301" w:rsidP="00106A0E">
            <w:pPr>
              <w:jc w:val="center"/>
              <w:rPr>
                <w:sz w:val="18"/>
                <w:szCs w:val="18"/>
              </w:rPr>
            </w:pPr>
          </w:p>
        </w:tc>
        <w:tc>
          <w:tcPr>
            <w:tcW w:w="1183" w:type="dxa"/>
            <w:tcBorders>
              <w:top w:val="nil"/>
              <w:left w:val="nil"/>
              <w:bottom w:val="nil"/>
              <w:right w:val="single" w:sz="4" w:space="0" w:color="auto"/>
            </w:tcBorders>
            <w:shd w:val="clear" w:color="auto" w:fill="auto"/>
            <w:noWrap/>
            <w:vAlign w:val="bottom"/>
            <w:hideMark/>
          </w:tcPr>
          <w:p w:rsidR="00BC1301" w:rsidRPr="002E47EC" w:rsidRDefault="00BC1301" w:rsidP="00106A0E">
            <w:pPr>
              <w:jc w:val="center"/>
              <w:rPr>
                <w:sz w:val="18"/>
                <w:szCs w:val="18"/>
              </w:rPr>
            </w:pPr>
          </w:p>
        </w:tc>
        <w:tc>
          <w:tcPr>
            <w:tcW w:w="1181" w:type="dxa"/>
            <w:tcBorders>
              <w:top w:val="nil"/>
              <w:left w:val="nil"/>
              <w:bottom w:val="nil"/>
              <w:right w:val="nil"/>
            </w:tcBorders>
            <w:shd w:val="clear" w:color="auto" w:fill="auto"/>
            <w:noWrap/>
            <w:vAlign w:val="bottom"/>
            <w:hideMark/>
          </w:tcPr>
          <w:p w:rsidR="00BC1301" w:rsidRPr="002E47EC" w:rsidRDefault="00BC1301" w:rsidP="00106A0E">
            <w:pPr>
              <w:jc w:val="center"/>
              <w:rPr>
                <w:sz w:val="18"/>
                <w:szCs w:val="18"/>
              </w:rPr>
            </w:pPr>
          </w:p>
        </w:tc>
        <w:tc>
          <w:tcPr>
            <w:tcW w:w="1183" w:type="dxa"/>
            <w:tcBorders>
              <w:top w:val="nil"/>
              <w:left w:val="nil"/>
              <w:bottom w:val="nil"/>
              <w:right w:val="single" w:sz="4" w:space="0" w:color="auto"/>
            </w:tcBorders>
            <w:shd w:val="clear" w:color="auto" w:fill="auto"/>
            <w:noWrap/>
            <w:vAlign w:val="bottom"/>
            <w:hideMark/>
          </w:tcPr>
          <w:p w:rsidR="00BC1301" w:rsidRPr="002E47EC" w:rsidRDefault="00BC1301" w:rsidP="00106A0E">
            <w:pPr>
              <w:jc w:val="center"/>
              <w:rPr>
                <w:sz w:val="18"/>
                <w:szCs w:val="18"/>
              </w:rPr>
            </w:pPr>
          </w:p>
        </w:tc>
      </w:tr>
      <w:tr w:rsidR="00BC1301" w:rsidRPr="002E47EC" w:rsidTr="00126A3A">
        <w:trPr>
          <w:trHeight w:val="268"/>
        </w:trPr>
        <w:tc>
          <w:tcPr>
            <w:tcW w:w="4747" w:type="dxa"/>
            <w:gridSpan w:val="5"/>
            <w:tcBorders>
              <w:top w:val="nil"/>
              <w:left w:val="single" w:sz="4" w:space="0" w:color="auto"/>
              <w:bottom w:val="single" w:sz="4" w:space="0" w:color="auto"/>
              <w:right w:val="single" w:sz="4" w:space="0" w:color="000000"/>
            </w:tcBorders>
            <w:shd w:val="clear" w:color="auto" w:fill="auto"/>
            <w:noWrap/>
            <w:vAlign w:val="bottom"/>
            <w:hideMark/>
          </w:tcPr>
          <w:p w:rsidR="00BC1301" w:rsidRPr="002E47EC" w:rsidRDefault="00BC1301" w:rsidP="00D16E45">
            <w:pPr>
              <w:rPr>
                <w:b/>
                <w:bCs/>
                <w:sz w:val="18"/>
                <w:szCs w:val="18"/>
              </w:rPr>
            </w:pPr>
            <w:r w:rsidRPr="002E47EC">
              <w:rPr>
                <w:b/>
                <w:bCs/>
                <w:sz w:val="18"/>
                <w:szCs w:val="18"/>
              </w:rPr>
              <w:t>Auth</w:t>
            </w:r>
            <w:r w:rsidR="00D16E45" w:rsidRPr="002E47EC">
              <w:rPr>
                <w:b/>
                <w:bCs/>
                <w:sz w:val="18"/>
                <w:szCs w:val="18"/>
              </w:rPr>
              <w:t>ority Share of the Net (Surplus)/</w:t>
            </w:r>
            <w:r w:rsidRPr="002E47EC">
              <w:rPr>
                <w:b/>
                <w:bCs/>
                <w:sz w:val="18"/>
                <w:szCs w:val="18"/>
              </w:rPr>
              <w:t>Deficit:</w:t>
            </w:r>
          </w:p>
        </w:tc>
        <w:tc>
          <w:tcPr>
            <w:tcW w:w="1181" w:type="dxa"/>
            <w:tcBorders>
              <w:top w:val="nil"/>
              <w:left w:val="nil"/>
              <w:bottom w:val="single" w:sz="4" w:space="0" w:color="auto"/>
              <w:right w:val="nil"/>
            </w:tcBorders>
            <w:shd w:val="clear" w:color="auto" w:fill="auto"/>
            <w:noWrap/>
            <w:vAlign w:val="bottom"/>
            <w:hideMark/>
          </w:tcPr>
          <w:p w:rsidR="00BC1301" w:rsidRPr="002E47EC" w:rsidRDefault="00BC1301" w:rsidP="00106A0E">
            <w:pPr>
              <w:jc w:val="center"/>
              <w:rPr>
                <w:sz w:val="18"/>
                <w:szCs w:val="18"/>
              </w:rPr>
            </w:pPr>
          </w:p>
        </w:tc>
        <w:tc>
          <w:tcPr>
            <w:tcW w:w="1183" w:type="dxa"/>
            <w:tcBorders>
              <w:top w:val="single" w:sz="4" w:space="0" w:color="auto"/>
              <w:left w:val="nil"/>
              <w:bottom w:val="single" w:sz="8" w:space="0" w:color="auto"/>
              <w:right w:val="single" w:sz="4" w:space="0" w:color="auto"/>
            </w:tcBorders>
            <w:shd w:val="clear" w:color="auto" w:fill="auto"/>
            <w:noWrap/>
            <w:vAlign w:val="bottom"/>
            <w:hideMark/>
          </w:tcPr>
          <w:p w:rsidR="00BC1301" w:rsidRPr="002E47EC" w:rsidRDefault="004B7BFE" w:rsidP="00106A0E">
            <w:pPr>
              <w:jc w:val="center"/>
              <w:rPr>
                <w:sz w:val="18"/>
                <w:szCs w:val="18"/>
              </w:rPr>
            </w:pPr>
            <w:r w:rsidRPr="002E47EC">
              <w:rPr>
                <w:sz w:val="18"/>
                <w:szCs w:val="18"/>
              </w:rPr>
              <w:t>6,820</w:t>
            </w:r>
          </w:p>
        </w:tc>
        <w:tc>
          <w:tcPr>
            <w:tcW w:w="1181" w:type="dxa"/>
            <w:tcBorders>
              <w:top w:val="nil"/>
              <w:left w:val="nil"/>
              <w:bottom w:val="single" w:sz="4" w:space="0" w:color="auto"/>
              <w:right w:val="nil"/>
            </w:tcBorders>
            <w:shd w:val="clear" w:color="auto" w:fill="auto"/>
            <w:noWrap/>
            <w:vAlign w:val="bottom"/>
            <w:hideMark/>
          </w:tcPr>
          <w:p w:rsidR="00BC1301" w:rsidRPr="002E47EC" w:rsidRDefault="00BC1301" w:rsidP="00106A0E">
            <w:pPr>
              <w:jc w:val="center"/>
              <w:rPr>
                <w:sz w:val="18"/>
                <w:szCs w:val="18"/>
              </w:rPr>
            </w:pPr>
          </w:p>
        </w:tc>
        <w:tc>
          <w:tcPr>
            <w:tcW w:w="1183" w:type="dxa"/>
            <w:tcBorders>
              <w:top w:val="single" w:sz="4" w:space="0" w:color="auto"/>
              <w:left w:val="nil"/>
              <w:bottom w:val="single" w:sz="8" w:space="0" w:color="auto"/>
              <w:right w:val="single" w:sz="4" w:space="0" w:color="auto"/>
            </w:tcBorders>
            <w:shd w:val="clear" w:color="auto" w:fill="auto"/>
            <w:noWrap/>
            <w:vAlign w:val="bottom"/>
            <w:hideMark/>
          </w:tcPr>
          <w:p w:rsidR="00BC1301" w:rsidRPr="002E47EC" w:rsidRDefault="00A61159" w:rsidP="00106A0E">
            <w:pPr>
              <w:jc w:val="center"/>
              <w:rPr>
                <w:sz w:val="18"/>
                <w:szCs w:val="18"/>
              </w:rPr>
            </w:pPr>
            <w:r w:rsidRPr="002E47EC">
              <w:rPr>
                <w:sz w:val="18"/>
                <w:szCs w:val="18"/>
              </w:rPr>
              <w:t>4,147</w:t>
            </w:r>
          </w:p>
        </w:tc>
      </w:tr>
    </w:tbl>
    <w:p w:rsidR="00126A3A" w:rsidRPr="002E47EC" w:rsidRDefault="00126A3A" w:rsidP="00126A3A">
      <w:pPr>
        <w:ind w:left="720"/>
        <w:jc w:val="both"/>
        <w:rPr>
          <w:bCs/>
        </w:rPr>
      </w:pPr>
    </w:p>
    <w:p w:rsidR="00C16BB2" w:rsidRDefault="00C16BB2" w:rsidP="001D6565">
      <w:pPr>
        <w:spacing w:after="240"/>
        <w:jc w:val="both"/>
        <w:rPr>
          <w:b/>
          <w:u w:val="single"/>
        </w:rPr>
      </w:pPr>
    </w:p>
    <w:p w:rsidR="00F878A9" w:rsidRDefault="00F878A9" w:rsidP="001D6565">
      <w:pPr>
        <w:spacing w:after="240"/>
        <w:jc w:val="both"/>
        <w:rPr>
          <w:b/>
          <w:u w:val="single"/>
        </w:rPr>
      </w:pPr>
    </w:p>
    <w:p w:rsidR="00F878A9" w:rsidRDefault="00F878A9" w:rsidP="001D6565">
      <w:pPr>
        <w:spacing w:after="240"/>
        <w:jc w:val="both"/>
        <w:rPr>
          <w:b/>
          <w:u w:val="single"/>
        </w:rPr>
      </w:pPr>
    </w:p>
    <w:p w:rsidR="00C16BB2" w:rsidRDefault="00C16BB2" w:rsidP="00F878A9">
      <w:pPr>
        <w:spacing w:after="240"/>
        <w:ind w:left="720"/>
        <w:jc w:val="both"/>
        <w:rPr>
          <w:b/>
          <w:u w:val="single"/>
        </w:rPr>
      </w:pPr>
      <w:r w:rsidRPr="002E47EC">
        <w:rPr>
          <w:b/>
          <w:u w:val="single"/>
        </w:rPr>
        <w:lastRenderedPageBreak/>
        <w:t xml:space="preserve">Lancashire </w:t>
      </w:r>
      <w:r w:rsidR="001F1A1A">
        <w:rPr>
          <w:b/>
          <w:u w:val="single"/>
        </w:rPr>
        <w:t>County Council</w:t>
      </w:r>
      <w:r w:rsidRPr="002E47EC">
        <w:rPr>
          <w:b/>
          <w:u w:val="single"/>
        </w:rPr>
        <w:t xml:space="preserve"> and East Lancashire </w:t>
      </w:r>
      <w:r>
        <w:rPr>
          <w:b/>
          <w:u w:val="single"/>
        </w:rPr>
        <w:t>PCT</w:t>
      </w:r>
      <w:r w:rsidRPr="002E47EC">
        <w:rPr>
          <w:b/>
          <w:u w:val="single"/>
        </w:rPr>
        <w:t xml:space="preserve"> for the integrated commissioning of services for adults with </w:t>
      </w:r>
      <w:r>
        <w:rPr>
          <w:b/>
          <w:u w:val="single"/>
        </w:rPr>
        <w:t>Mental Health</w:t>
      </w:r>
    </w:p>
    <w:p w:rsidR="00C16BB2" w:rsidRPr="002E47EC" w:rsidRDefault="00C16BB2" w:rsidP="00C16BB2">
      <w:pPr>
        <w:spacing w:after="240"/>
        <w:ind w:left="720"/>
        <w:jc w:val="both"/>
      </w:pPr>
      <w:r w:rsidRPr="002E47EC">
        <w:t xml:space="preserve">The </w:t>
      </w:r>
      <w:r w:rsidR="001F1A1A">
        <w:t>County Council</w:t>
      </w:r>
      <w:r w:rsidRPr="002E47EC">
        <w:t xml:space="preserve"> entered into the Partnership Agreement in April 2002.  Under the current PCT structure, the Partners for the provision of an Active Rehabilitation Service and Supported Tenancy, are as above.  </w:t>
      </w:r>
    </w:p>
    <w:p w:rsidR="00C16BB2" w:rsidRDefault="00C16BB2" w:rsidP="00C16BB2">
      <w:pPr>
        <w:spacing w:after="240"/>
        <w:ind w:left="720"/>
        <w:jc w:val="both"/>
      </w:pPr>
      <w:r w:rsidRPr="002E47EC">
        <w:rPr>
          <w:b/>
          <w:bCs/>
        </w:rPr>
        <w:t xml:space="preserve">As at April 2011, six months notice was given by East Lancashire Primary Care Trust that the pooled funding </w:t>
      </w:r>
      <w:r>
        <w:rPr>
          <w:b/>
          <w:bCs/>
        </w:rPr>
        <w:t>arrangements would cease on 30</w:t>
      </w:r>
      <w:r w:rsidRPr="002E47EC">
        <w:rPr>
          <w:b/>
          <w:bCs/>
        </w:rPr>
        <w:t xml:space="preserve"> September 2011.  The position for 11/12 i</w:t>
      </w:r>
      <w:r>
        <w:rPr>
          <w:b/>
          <w:bCs/>
        </w:rPr>
        <w:t>s for the six months ending 30</w:t>
      </w:r>
      <w:r w:rsidRPr="002E47EC">
        <w:rPr>
          <w:b/>
          <w:bCs/>
        </w:rPr>
        <w:t xml:space="preserve"> September 2011  </w:t>
      </w:r>
      <w:r w:rsidRPr="002E47EC">
        <w:t xml:space="preserve">     </w:t>
      </w:r>
    </w:p>
    <w:p w:rsidR="00C16BB2" w:rsidRPr="00C16BB2" w:rsidRDefault="00C16BB2" w:rsidP="00C16BB2">
      <w:pPr>
        <w:spacing w:after="240"/>
        <w:ind w:left="720"/>
        <w:jc w:val="both"/>
      </w:pPr>
      <w:r w:rsidRPr="002E47EC">
        <w:t xml:space="preserve"> </w:t>
      </w:r>
    </w:p>
    <w:tbl>
      <w:tblPr>
        <w:tblW w:w="9475" w:type="dxa"/>
        <w:tblInd w:w="1000" w:type="dxa"/>
        <w:tblLook w:val="04A0"/>
      </w:tblPr>
      <w:tblGrid>
        <w:gridCol w:w="1186"/>
        <w:gridCol w:w="1188"/>
        <w:gridCol w:w="1186"/>
        <w:gridCol w:w="1187"/>
        <w:gridCol w:w="1181"/>
        <w:gridCol w:w="1183"/>
        <w:gridCol w:w="1181"/>
        <w:gridCol w:w="1183"/>
      </w:tblGrid>
      <w:tr w:rsidR="00C16BB2" w:rsidRPr="002E47EC" w:rsidTr="00F344D2">
        <w:trPr>
          <w:trHeight w:val="268"/>
        </w:trPr>
        <w:tc>
          <w:tcPr>
            <w:tcW w:w="1186" w:type="dxa"/>
            <w:tcBorders>
              <w:top w:val="single" w:sz="4" w:space="0" w:color="auto"/>
              <w:left w:val="single" w:sz="4" w:space="0" w:color="auto"/>
              <w:bottom w:val="nil"/>
              <w:right w:val="nil"/>
            </w:tcBorders>
            <w:shd w:val="clear" w:color="auto" w:fill="auto"/>
            <w:noWrap/>
            <w:vAlign w:val="bottom"/>
            <w:hideMark/>
          </w:tcPr>
          <w:p w:rsidR="00C16BB2" w:rsidRPr="002E47EC" w:rsidRDefault="00C16BB2" w:rsidP="00F344D2">
            <w:pPr>
              <w:rPr>
                <w:sz w:val="18"/>
                <w:szCs w:val="18"/>
              </w:rPr>
            </w:pPr>
            <w:r w:rsidRPr="002E47EC">
              <w:rPr>
                <w:sz w:val="18"/>
                <w:szCs w:val="18"/>
              </w:rPr>
              <w:t> </w:t>
            </w:r>
          </w:p>
        </w:tc>
        <w:tc>
          <w:tcPr>
            <w:tcW w:w="1188" w:type="dxa"/>
            <w:tcBorders>
              <w:top w:val="single" w:sz="4" w:space="0" w:color="auto"/>
              <w:left w:val="nil"/>
              <w:bottom w:val="nil"/>
              <w:right w:val="nil"/>
            </w:tcBorders>
            <w:shd w:val="clear" w:color="auto" w:fill="auto"/>
            <w:noWrap/>
            <w:vAlign w:val="bottom"/>
            <w:hideMark/>
          </w:tcPr>
          <w:p w:rsidR="00C16BB2" w:rsidRPr="002E47EC" w:rsidRDefault="00C16BB2" w:rsidP="00F344D2">
            <w:pPr>
              <w:rPr>
                <w:sz w:val="18"/>
                <w:szCs w:val="18"/>
              </w:rPr>
            </w:pPr>
            <w:r w:rsidRPr="002E47EC">
              <w:rPr>
                <w:sz w:val="18"/>
                <w:szCs w:val="18"/>
              </w:rPr>
              <w:t> </w:t>
            </w:r>
          </w:p>
        </w:tc>
        <w:tc>
          <w:tcPr>
            <w:tcW w:w="1186" w:type="dxa"/>
            <w:tcBorders>
              <w:top w:val="single" w:sz="4" w:space="0" w:color="auto"/>
              <w:left w:val="nil"/>
              <w:bottom w:val="nil"/>
              <w:right w:val="nil"/>
            </w:tcBorders>
            <w:shd w:val="clear" w:color="auto" w:fill="auto"/>
            <w:noWrap/>
            <w:vAlign w:val="bottom"/>
            <w:hideMark/>
          </w:tcPr>
          <w:p w:rsidR="00C16BB2" w:rsidRPr="002E47EC" w:rsidRDefault="00C16BB2" w:rsidP="00F344D2">
            <w:pPr>
              <w:rPr>
                <w:sz w:val="18"/>
                <w:szCs w:val="18"/>
              </w:rPr>
            </w:pPr>
            <w:r w:rsidRPr="002E47EC">
              <w:rPr>
                <w:sz w:val="18"/>
                <w:szCs w:val="18"/>
              </w:rPr>
              <w:t> </w:t>
            </w:r>
          </w:p>
        </w:tc>
        <w:tc>
          <w:tcPr>
            <w:tcW w:w="1187" w:type="dxa"/>
            <w:tcBorders>
              <w:top w:val="single" w:sz="4" w:space="0" w:color="auto"/>
              <w:left w:val="nil"/>
              <w:bottom w:val="nil"/>
              <w:right w:val="single" w:sz="4" w:space="0" w:color="auto"/>
            </w:tcBorders>
            <w:shd w:val="clear" w:color="auto" w:fill="auto"/>
            <w:noWrap/>
            <w:vAlign w:val="bottom"/>
            <w:hideMark/>
          </w:tcPr>
          <w:p w:rsidR="00C16BB2" w:rsidRPr="002E47EC" w:rsidRDefault="00C16BB2" w:rsidP="00F344D2">
            <w:pPr>
              <w:rPr>
                <w:sz w:val="18"/>
                <w:szCs w:val="18"/>
              </w:rPr>
            </w:pPr>
            <w:r w:rsidRPr="002E47EC">
              <w:rPr>
                <w:sz w:val="18"/>
                <w:szCs w:val="18"/>
              </w:rPr>
              <w:t> </w:t>
            </w:r>
          </w:p>
        </w:tc>
        <w:tc>
          <w:tcPr>
            <w:tcW w:w="23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6BB2" w:rsidRPr="002E47EC" w:rsidRDefault="00C16BB2" w:rsidP="00F344D2">
            <w:pPr>
              <w:jc w:val="center"/>
              <w:rPr>
                <w:b/>
                <w:bCs/>
                <w:sz w:val="20"/>
                <w:szCs w:val="20"/>
              </w:rPr>
            </w:pPr>
            <w:r w:rsidRPr="002E47EC">
              <w:rPr>
                <w:b/>
                <w:bCs/>
                <w:sz w:val="20"/>
                <w:szCs w:val="20"/>
              </w:rPr>
              <w:t>2011/12</w:t>
            </w:r>
          </w:p>
        </w:tc>
        <w:tc>
          <w:tcPr>
            <w:tcW w:w="23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6BB2" w:rsidRPr="002E47EC" w:rsidRDefault="00C16BB2" w:rsidP="00F344D2">
            <w:pPr>
              <w:jc w:val="center"/>
              <w:rPr>
                <w:b/>
                <w:bCs/>
                <w:sz w:val="20"/>
                <w:szCs w:val="20"/>
              </w:rPr>
            </w:pPr>
            <w:r w:rsidRPr="002E47EC">
              <w:rPr>
                <w:b/>
                <w:bCs/>
                <w:sz w:val="20"/>
                <w:szCs w:val="20"/>
              </w:rPr>
              <w:t>2010/11</w:t>
            </w:r>
          </w:p>
        </w:tc>
      </w:tr>
      <w:tr w:rsidR="00C16BB2" w:rsidRPr="002E47EC" w:rsidTr="00F344D2">
        <w:trPr>
          <w:trHeight w:val="253"/>
        </w:trPr>
        <w:tc>
          <w:tcPr>
            <w:tcW w:w="4747" w:type="dxa"/>
            <w:gridSpan w:val="4"/>
            <w:tcBorders>
              <w:top w:val="nil"/>
              <w:left w:val="single" w:sz="4" w:space="0" w:color="auto"/>
              <w:bottom w:val="nil"/>
              <w:right w:val="single" w:sz="4" w:space="0" w:color="000000"/>
            </w:tcBorders>
            <w:shd w:val="clear" w:color="auto" w:fill="auto"/>
            <w:noWrap/>
            <w:vAlign w:val="bottom"/>
            <w:hideMark/>
          </w:tcPr>
          <w:p w:rsidR="00C16BB2" w:rsidRPr="002E47EC" w:rsidRDefault="00C16BB2" w:rsidP="00F344D2">
            <w:pPr>
              <w:rPr>
                <w:b/>
                <w:bCs/>
                <w:sz w:val="18"/>
                <w:szCs w:val="18"/>
              </w:rPr>
            </w:pPr>
            <w:r w:rsidRPr="002E47EC">
              <w:rPr>
                <w:b/>
                <w:bCs/>
                <w:sz w:val="18"/>
                <w:szCs w:val="18"/>
              </w:rPr>
              <w:t>Funding provided to the Pooled Budget</w:t>
            </w:r>
          </w:p>
        </w:tc>
        <w:tc>
          <w:tcPr>
            <w:tcW w:w="1181" w:type="dxa"/>
            <w:tcBorders>
              <w:top w:val="nil"/>
              <w:left w:val="nil"/>
              <w:bottom w:val="nil"/>
              <w:right w:val="nil"/>
            </w:tcBorders>
            <w:shd w:val="clear" w:color="auto" w:fill="auto"/>
            <w:noWrap/>
            <w:vAlign w:val="bottom"/>
            <w:hideMark/>
          </w:tcPr>
          <w:p w:rsidR="00C16BB2" w:rsidRPr="002E47EC" w:rsidRDefault="00C16BB2" w:rsidP="00F344D2">
            <w:pPr>
              <w:jc w:val="center"/>
              <w:rPr>
                <w:sz w:val="18"/>
                <w:szCs w:val="18"/>
              </w:rPr>
            </w:pPr>
            <w:r w:rsidRPr="002E47EC">
              <w:rPr>
                <w:sz w:val="18"/>
                <w:szCs w:val="18"/>
              </w:rPr>
              <w:t>£000</w:t>
            </w:r>
          </w:p>
        </w:tc>
        <w:tc>
          <w:tcPr>
            <w:tcW w:w="1183" w:type="dxa"/>
            <w:tcBorders>
              <w:top w:val="nil"/>
              <w:left w:val="nil"/>
              <w:bottom w:val="nil"/>
              <w:right w:val="single" w:sz="4" w:space="0" w:color="auto"/>
            </w:tcBorders>
            <w:shd w:val="clear" w:color="auto" w:fill="auto"/>
            <w:noWrap/>
            <w:vAlign w:val="bottom"/>
            <w:hideMark/>
          </w:tcPr>
          <w:p w:rsidR="00C16BB2" w:rsidRPr="002E47EC" w:rsidRDefault="00C16BB2" w:rsidP="00F344D2">
            <w:pPr>
              <w:jc w:val="center"/>
              <w:rPr>
                <w:sz w:val="18"/>
                <w:szCs w:val="18"/>
              </w:rPr>
            </w:pPr>
            <w:r w:rsidRPr="002E47EC">
              <w:rPr>
                <w:sz w:val="18"/>
                <w:szCs w:val="18"/>
              </w:rPr>
              <w:t>£000</w:t>
            </w:r>
          </w:p>
        </w:tc>
        <w:tc>
          <w:tcPr>
            <w:tcW w:w="1181" w:type="dxa"/>
            <w:tcBorders>
              <w:top w:val="nil"/>
              <w:left w:val="nil"/>
              <w:bottom w:val="nil"/>
              <w:right w:val="nil"/>
            </w:tcBorders>
            <w:shd w:val="clear" w:color="auto" w:fill="auto"/>
            <w:noWrap/>
            <w:vAlign w:val="bottom"/>
            <w:hideMark/>
          </w:tcPr>
          <w:p w:rsidR="00C16BB2" w:rsidRPr="002E47EC" w:rsidRDefault="00C16BB2" w:rsidP="00F344D2">
            <w:pPr>
              <w:jc w:val="center"/>
              <w:rPr>
                <w:sz w:val="18"/>
                <w:szCs w:val="18"/>
              </w:rPr>
            </w:pPr>
            <w:r w:rsidRPr="002E47EC">
              <w:rPr>
                <w:sz w:val="18"/>
                <w:szCs w:val="18"/>
              </w:rPr>
              <w:t>£000</w:t>
            </w:r>
          </w:p>
        </w:tc>
        <w:tc>
          <w:tcPr>
            <w:tcW w:w="1183" w:type="dxa"/>
            <w:tcBorders>
              <w:top w:val="nil"/>
              <w:left w:val="nil"/>
              <w:bottom w:val="nil"/>
              <w:right w:val="single" w:sz="4" w:space="0" w:color="auto"/>
            </w:tcBorders>
            <w:shd w:val="clear" w:color="auto" w:fill="auto"/>
            <w:noWrap/>
            <w:vAlign w:val="bottom"/>
            <w:hideMark/>
          </w:tcPr>
          <w:p w:rsidR="00C16BB2" w:rsidRPr="002E47EC" w:rsidRDefault="00C16BB2" w:rsidP="00F344D2">
            <w:pPr>
              <w:jc w:val="center"/>
              <w:rPr>
                <w:sz w:val="18"/>
                <w:szCs w:val="18"/>
              </w:rPr>
            </w:pPr>
            <w:r w:rsidRPr="002E47EC">
              <w:rPr>
                <w:sz w:val="18"/>
                <w:szCs w:val="18"/>
              </w:rPr>
              <w:t>£000</w:t>
            </w:r>
          </w:p>
        </w:tc>
      </w:tr>
      <w:tr w:rsidR="00C16BB2" w:rsidRPr="002E47EC" w:rsidTr="00F344D2">
        <w:trPr>
          <w:trHeight w:val="253"/>
        </w:trPr>
        <w:tc>
          <w:tcPr>
            <w:tcW w:w="2374" w:type="dxa"/>
            <w:gridSpan w:val="2"/>
            <w:tcBorders>
              <w:top w:val="nil"/>
              <w:left w:val="single" w:sz="4" w:space="0" w:color="auto"/>
              <w:bottom w:val="nil"/>
              <w:right w:val="nil"/>
            </w:tcBorders>
            <w:shd w:val="clear" w:color="auto" w:fill="auto"/>
            <w:noWrap/>
            <w:vAlign w:val="bottom"/>
            <w:hideMark/>
          </w:tcPr>
          <w:p w:rsidR="00C16BB2" w:rsidRPr="002E47EC" w:rsidRDefault="00C16BB2" w:rsidP="00F344D2">
            <w:pPr>
              <w:ind w:firstLineChars="400" w:firstLine="720"/>
              <w:rPr>
                <w:sz w:val="18"/>
                <w:szCs w:val="18"/>
              </w:rPr>
            </w:pPr>
            <w:r w:rsidRPr="002E47EC">
              <w:rPr>
                <w:sz w:val="18"/>
                <w:szCs w:val="18"/>
              </w:rPr>
              <w:t>The Authority</w:t>
            </w:r>
          </w:p>
        </w:tc>
        <w:tc>
          <w:tcPr>
            <w:tcW w:w="1186" w:type="dxa"/>
            <w:tcBorders>
              <w:top w:val="nil"/>
              <w:left w:val="nil"/>
              <w:bottom w:val="nil"/>
              <w:right w:val="nil"/>
            </w:tcBorders>
            <w:shd w:val="clear" w:color="auto" w:fill="auto"/>
            <w:noWrap/>
            <w:vAlign w:val="bottom"/>
            <w:hideMark/>
          </w:tcPr>
          <w:p w:rsidR="00C16BB2" w:rsidRPr="002E47EC" w:rsidRDefault="00C16BB2" w:rsidP="00F344D2">
            <w:pPr>
              <w:rPr>
                <w:sz w:val="18"/>
                <w:szCs w:val="18"/>
              </w:rPr>
            </w:pPr>
          </w:p>
        </w:tc>
        <w:tc>
          <w:tcPr>
            <w:tcW w:w="1187" w:type="dxa"/>
            <w:tcBorders>
              <w:top w:val="nil"/>
              <w:left w:val="nil"/>
              <w:bottom w:val="nil"/>
              <w:right w:val="single" w:sz="4" w:space="0" w:color="auto"/>
            </w:tcBorders>
            <w:shd w:val="clear" w:color="auto" w:fill="auto"/>
            <w:noWrap/>
            <w:vAlign w:val="bottom"/>
            <w:hideMark/>
          </w:tcPr>
          <w:p w:rsidR="00C16BB2" w:rsidRPr="002E47EC" w:rsidRDefault="00C16BB2" w:rsidP="00F344D2">
            <w:pPr>
              <w:rPr>
                <w:sz w:val="18"/>
                <w:szCs w:val="18"/>
              </w:rPr>
            </w:pPr>
            <w:r w:rsidRPr="002E47EC">
              <w:rPr>
                <w:sz w:val="18"/>
                <w:szCs w:val="18"/>
              </w:rPr>
              <w:t> </w:t>
            </w:r>
          </w:p>
        </w:tc>
        <w:tc>
          <w:tcPr>
            <w:tcW w:w="1181" w:type="dxa"/>
            <w:tcBorders>
              <w:top w:val="nil"/>
              <w:left w:val="nil"/>
              <w:bottom w:val="nil"/>
              <w:right w:val="nil"/>
            </w:tcBorders>
            <w:shd w:val="clear" w:color="auto" w:fill="auto"/>
            <w:noWrap/>
            <w:vAlign w:val="bottom"/>
            <w:hideMark/>
          </w:tcPr>
          <w:p w:rsidR="00C16BB2" w:rsidRPr="002E47EC" w:rsidRDefault="00C16BB2" w:rsidP="00F344D2">
            <w:pPr>
              <w:jc w:val="center"/>
              <w:rPr>
                <w:sz w:val="18"/>
                <w:szCs w:val="18"/>
              </w:rPr>
            </w:pPr>
            <w:r w:rsidRPr="002E47EC">
              <w:rPr>
                <w:sz w:val="18"/>
                <w:szCs w:val="18"/>
              </w:rPr>
              <w:t>(143)</w:t>
            </w:r>
          </w:p>
        </w:tc>
        <w:tc>
          <w:tcPr>
            <w:tcW w:w="1183" w:type="dxa"/>
            <w:tcBorders>
              <w:top w:val="nil"/>
              <w:left w:val="nil"/>
              <w:bottom w:val="nil"/>
              <w:right w:val="single" w:sz="4" w:space="0" w:color="auto"/>
            </w:tcBorders>
            <w:shd w:val="clear" w:color="auto" w:fill="auto"/>
            <w:noWrap/>
            <w:vAlign w:val="bottom"/>
            <w:hideMark/>
          </w:tcPr>
          <w:p w:rsidR="00C16BB2" w:rsidRPr="002E47EC" w:rsidRDefault="00C16BB2" w:rsidP="00F344D2">
            <w:pPr>
              <w:jc w:val="center"/>
              <w:rPr>
                <w:sz w:val="18"/>
                <w:szCs w:val="18"/>
              </w:rPr>
            </w:pPr>
          </w:p>
        </w:tc>
        <w:tc>
          <w:tcPr>
            <w:tcW w:w="1181" w:type="dxa"/>
            <w:tcBorders>
              <w:top w:val="nil"/>
              <w:left w:val="nil"/>
              <w:bottom w:val="nil"/>
              <w:right w:val="nil"/>
            </w:tcBorders>
            <w:shd w:val="clear" w:color="auto" w:fill="auto"/>
            <w:noWrap/>
            <w:vAlign w:val="bottom"/>
            <w:hideMark/>
          </w:tcPr>
          <w:p w:rsidR="00C16BB2" w:rsidRPr="002E47EC" w:rsidRDefault="00C16BB2" w:rsidP="00F344D2">
            <w:pPr>
              <w:jc w:val="center"/>
              <w:rPr>
                <w:sz w:val="18"/>
                <w:szCs w:val="18"/>
              </w:rPr>
            </w:pPr>
            <w:r w:rsidRPr="002E47EC">
              <w:rPr>
                <w:sz w:val="18"/>
                <w:szCs w:val="18"/>
              </w:rPr>
              <w:t>(465</w:t>
            </w:r>
            <w:r w:rsidR="00ED02D2">
              <w:rPr>
                <w:sz w:val="18"/>
                <w:szCs w:val="18"/>
              </w:rPr>
              <w:t>)</w:t>
            </w:r>
          </w:p>
        </w:tc>
        <w:tc>
          <w:tcPr>
            <w:tcW w:w="1183" w:type="dxa"/>
            <w:tcBorders>
              <w:top w:val="nil"/>
              <w:left w:val="nil"/>
              <w:bottom w:val="nil"/>
              <w:right w:val="single" w:sz="4" w:space="0" w:color="auto"/>
            </w:tcBorders>
            <w:shd w:val="clear" w:color="auto" w:fill="auto"/>
            <w:noWrap/>
            <w:vAlign w:val="bottom"/>
            <w:hideMark/>
          </w:tcPr>
          <w:p w:rsidR="00C16BB2" w:rsidRPr="002E47EC" w:rsidRDefault="00C16BB2" w:rsidP="00F344D2">
            <w:pPr>
              <w:jc w:val="center"/>
              <w:rPr>
                <w:sz w:val="18"/>
                <w:szCs w:val="18"/>
              </w:rPr>
            </w:pPr>
          </w:p>
        </w:tc>
      </w:tr>
      <w:tr w:rsidR="00C16BB2" w:rsidRPr="002E47EC" w:rsidTr="00F344D2">
        <w:trPr>
          <w:trHeight w:val="268"/>
        </w:trPr>
        <w:tc>
          <w:tcPr>
            <w:tcW w:w="2374" w:type="dxa"/>
            <w:gridSpan w:val="2"/>
            <w:tcBorders>
              <w:top w:val="nil"/>
              <w:left w:val="single" w:sz="4" w:space="0" w:color="auto"/>
              <w:bottom w:val="nil"/>
              <w:right w:val="nil"/>
            </w:tcBorders>
            <w:shd w:val="clear" w:color="auto" w:fill="auto"/>
            <w:noWrap/>
            <w:vAlign w:val="bottom"/>
            <w:hideMark/>
          </w:tcPr>
          <w:p w:rsidR="00C16BB2" w:rsidRPr="002E47EC" w:rsidRDefault="00C16BB2" w:rsidP="00F344D2">
            <w:pPr>
              <w:ind w:firstLineChars="400" w:firstLine="720"/>
              <w:rPr>
                <w:sz w:val="18"/>
                <w:szCs w:val="18"/>
              </w:rPr>
            </w:pPr>
            <w:r w:rsidRPr="002E47EC">
              <w:rPr>
                <w:sz w:val="18"/>
                <w:szCs w:val="18"/>
              </w:rPr>
              <w:t>The Trust</w:t>
            </w:r>
          </w:p>
        </w:tc>
        <w:tc>
          <w:tcPr>
            <w:tcW w:w="1186" w:type="dxa"/>
            <w:tcBorders>
              <w:top w:val="nil"/>
              <w:left w:val="nil"/>
              <w:bottom w:val="nil"/>
              <w:right w:val="nil"/>
            </w:tcBorders>
            <w:shd w:val="clear" w:color="auto" w:fill="auto"/>
            <w:noWrap/>
            <w:vAlign w:val="bottom"/>
            <w:hideMark/>
          </w:tcPr>
          <w:p w:rsidR="00C16BB2" w:rsidRPr="002E47EC" w:rsidRDefault="00C16BB2" w:rsidP="00F344D2">
            <w:pPr>
              <w:rPr>
                <w:sz w:val="18"/>
                <w:szCs w:val="18"/>
              </w:rPr>
            </w:pPr>
          </w:p>
        </w:tc>
        <w:tc>
          <w:tcPr>
            <w:tcW w:w="1187" w:type="dxa"/>
            <w:tcBorders>
              <w:top w:val="nil"/>
              <w:left w:val="nil"/>
              <w:bottom w:val="nil"/>
              <w:right w:val="single" w:sz="4" w:space="0" w:color="auto"/>
            </w:tcBorders>
            <w:shd w:val="clear" w:color="auto" w:fill="auto"/>
            <w:noWrap/>
            <w:vAlign w:val="bottom"/>
            <w:hideMark/>
          </w:tcPr>
          <w:p w:rsidR="00C16BB2" w:rsidRPr="002E47EC" w:rsidRDefault="00C16BB2" w:rsidP="00F344D2">
            <w:pPr>
              <w:rPr>
                <w:sz w:val="18"/>
                <w:szCs w:val="18"/>
              </w:rPr>
            </w:pPr>
            <w:r w:rsidRPr="002E47EC">
              <w:rPr>
                <w:sz w:val="18"/>
                <w:szCs w:val="18"/>
              </w:rPr>
              <w:t> </w:t>
            </w:r>
          </w:p>
        </w:tc>
        <w:tc>
          <w:tcPr>
            <w:tcW w:w="1181" w:type="dxa"/>
            <w:tcBorders>
              <w:top w:val="nil"/>
              <w:left w:val="nil"/>
              <w:bottom w:val="nil"/>
              <w:right w:val="nil"/>
            </w:tcBorders>
            <w:shd w:val="clear" w:color="auto" w:fill="auto"/>
            <w:noWrap/>
            <w:vAlign w:val="bottom"/>
            <w:hideMark/>
          </w:tcPr>
          <w:p w:rsidR="00C16BB2" w:rsidRPr="002E47EC" w:rsidRDefault="00C16BB2" w:rsidP="00F344D2">
            <w:pPr>
              <w:jc w:val="center"/>
              <w:rPr>
                <w:sz w:val="18"/>
                <w:szCs w:val="18"/>
              </w:rPr>
            </w:pPr>
            <w:r w:rsidRPr="002E47EC">
              <w:rPr>
                <w:sz w:val="18"/>
                <w:szCs w:val="18"/>
              </w:rPr>
              <w:t>(144)</w:t>
            </w:r>
          </w:p>
        </w:tc>
        <w:tc>
          <w:tcPr>
            <w:tcW w:w="1183" w:type="dxa"/>
            <w:tcBorders>
              <w:top w:val="nil"/>
              <w:left w:val="nil"/>
              <w:bottom w:val="single" w:sz="8" w:space="0" w:color="auto"/>
              <w:right w:val="single" w:sz="4" w:space="0" w:color="auto"/>
            </w:tcBorders>
            <w:shd w:val="clear" w:color="auto" w:fill="auto"/>
            <w:noWrap/>
            <w:vAlign w:val="bottom"/>
            <w:hideMark/>
          </w:tcPr>
          <w:p w:rsidR="00C16BB2" w:rsidRPr="002E47EC" w:rsidRDefault="00C16BB2" w:rsidP="00F344D2">
            <w:pPr>
              <w:jc w:val="center"/>
              <w:rPr>
                <w:sz w:val="18"/>
                <w:szCs w:val="18"/>
              </w:rPr>
            </w:pPr>
          </w:p>
        </w:tc>
        <w:tc>
          <w:tcPr>
            <w:tcW w:w="1181" w:type="dxa"/>
            <w:tcBorders>
              <w:top w:val="nil"/>
              <w:left w:val="nil"/>
              <w:bottom w:val="nil"/>
              <w:right w:val="nil"/>
            </w:tcBorders>
            <w:shd w:val="clear" w:color="auto" w:fill="auto"/>
            <w:noWrap/>
            <w:vAlign w:val="bottom"/>
            <w:hideMark/>
          </w:tcPr>
          <w:p w:rsidR="00C16BB2" w:rsidRPr="002E47EC" w:rsidRDefault="00C16BB2" w:rsidP="00F344D2">
            <w:pPr>
              <w:jc w:val="center"/>
              <w:rPr>
                <w:sz w:val="18"/>
                <w:szCs w:val="18"/>
              </w:rPr>
            </w:pPr>
            <w:r w:rsidRPr="002E47EC">
              <w:rPr>
                <w:sz w:val="18"/>
                <w:szCs w:val="18"/>
              </w:rPr>
              <w:t>(426)</w:t>
            </w:r>
          </w:p>
        </w:tc>
        <w:tc>
          <w:tcPr>
            <w:tcW w:w="1183" w:type="dxa"/>
            <w:tcBorders>
              <w:top w:val="nil"/>
              <w:left w:val="nil"/>
              <w:bottom w:val="single" w:sz="8" w:space="0" w:color="auto"/>
              <w:right w:val="single" w:sz="4" w:space="0" w:color="auto"/>
            </w:tcBorders>
            <w:shd w:val="clear" w:color="auto" w:fill="auto"/>
            <w:noWrap/>
            <w:vAlign w:val="bottom"/>
            <w:hideMark/>
          </w:tcPr>
          <w:p w:rsidR="00C16BB2" w:rsidRPr="002E47EC" w:rsidRDefault="00C16BB2" w:rsidP="00F344D2">
            <w:pPr>
              <w:jc w:val="center"/>
              <w:rPr>
                <w:sz w:val="18"/>
                <w:szCs w:val="18"/>
              </w:rPr>
            </w:pPr>
          </w:p>
        </w:tc>
      </w:tr>
      <w:tr w:rsidR="00C16BB2" w:rsidRPr="002E47EC" w:rsidTr="00F344D2">
        <w:trPr>
          <w:trHeight w:val="253"/>
        </w:trPr>
        <w:tc>
          <w:tcPr>
            <w:tcW w:w="1186" w:type="dxa"/>
            <w:tcBorders>
              <w:top w:val="nil"/>
              <w:left w:val="single" w:sz="4" w:space="0" w:color="auto"/>
              <w:bottom w:val="nil"/>
              <w:right w:val="nil"/>
            </w:tcBorders>
            <w:shd w:val="clear" w:color="auto" w:fill="auto"/>
            <w:noWrap/>
            <w:vAlign w:val="bottom"/>
            <w:hideMark/>
          </w:tcPr>
          <w:p w:rsidR="00C16BB2" w:rsidRPr="002E47EC" w:rsidRDefault="00C16BB2" w:rsidP="00F344D2">
            <w:pPr>
              <w:rPr>
                <w:sz w:val="18"/>
                <w:szCs w:val="18"/>
              </w:rPr>
            </w:pPr>
            <w:r w:rsidRPr="002E47EC">
              <w:rPr>
                <w:sz w:val="18"/>
                <w:szCs w:val="18"/>
              </w:rPr>
              <w:t> </w:t>
            </w:r>
          </w:p>
        </w:tc>
        <w:tc>
          <w:tcPr>
            <w:tcW w:w="1188" w:type="dxa"/>
            <w:tcBorders>
              <w:top w:val="nil"/>
              <w:left w:val="nil"/>
              <w:bottom w:val="nil"/>
              <w:right w:val="nil"/>
            </w:tcBorders>
            <w:shd w:val="clear" w:color="auto" w:fill="auto"/>
            <w:noWrap/>
            <w:vAlign w:val="bottom"/>
            <w:hideMark/>
          </w:tcPr>
          <w:p w:rsidR="00C16BB2" w:rsidRPr="002E47EC" w:rsidRDefault="00C16BB2" w:rsidP="00F344D2">
            <w:pPr>
              <w:rPr>
                <w:sz w:val="18"/>
                <w:szCs w:val="18"/>
              </w:rPr>
            </w:pPr>
          </w:p>
        </w:tc>
        <w:tc>
          <w:tcPr>
            <w:tcW w:w="1186" w:type="dxa"/>
            <w:tcBorders>
              <w:top w:val="nil"/>
              <w:left w:val="nil"/>
              <w:bottom w:val="nil"/>
              <w:right w:val="nil"/>
            </w:tcBorders>
            <w:shd w:val="clear" w:color="auto" w:fill="auto"/>
            <w:noWrap/>
            <w:vAlign w:val="bottom"/>
            <w:hideMark/>
          </w:tcPr>
          <w:p w:rsidR="00C16BB2" w:rsidRPr="002E47EC" w:rsidRDefault="00C16BB2" w:rsidP="00F344D2">
            <w:pPr>
              <w:rPr>
                <w:sz w:val="18"/>
                <w:szCs w:val="18"/>
              </w:rPr>
            </w:pPr>
          </w:p>
        </w:tc>
        <w:tc>
          <w:tcPr>
            <w:tcW w:w="1187" w:type="dxa"/>
            <w:tcBorders>
              <w:top w:val="nil"/>
              <w:left w:val="nil"/>
              <w:bottom w:val="nil"/>
              <w:right w:val="single" w:sz="4" w:space="0" w:color="auto"/>
            </w:tcBorders>
            <w:shd w:val="clear" w:color="auto" w:fill="auto"/>
            <w:noWrap/>
            <w:vAlign w:val="bottom"/>
            <w:hideMark/>
          </w:tcPr>
          <w:p w:rsidR="00C16BB2" w:rsidRPr="002E47EC" w:rsidRDefault="00C16BB2" w:rsidP="00F344D2">
            <w:pPr>
              <w:rPr>
                <w:sz w:val="18"/>
                <w:szCs w:val="18"/>
              </w:rPr>
            </w:pPr>
            <w:r w:rsidRPr="002E47EC">
              <w:rPr>
                <w:sz w:val="18"/>
                <w:szCs w:val="18"/>
              </w:rPr>
              <w:t> </w:t>
            </w:r>
          </w:p>
        </w:tc>
        <w:tc>
          <w:tcPr>
            <w:tcW w:w="1181" w:type="dxa"/>
            <w:tcBorders>
              <w:top w:val="nil"/>
              <w:left w:val="nil"/>
              <w:bottom w:val="nil"/>
              <w:right w:val="nil"/>
            </w:tcBorders>
            <w:shd w:val="clear" w:color="auto" w:fill="auto"/>
            <w:noWrap/>
            <w:vAlign w:val="bottom"/>
            <w:hideMark/>
          </w:tcPr>
          <w:p w:rsidR="00C16BB2" w:rsidRPr="002E47EC" w:rsidRDefault="00C16BB2" w:rsidP="00F344D2">
            <w:pPr>
              <w:jc w:val="center"/>
              <w:rPr>
                <w:sz w:val="18"/>
                <w:szCs w:val="18"/>
              </w:rPr>
            </w:pPr>
          </w:p>
        </w:tc>
        <w:tc>
          <w:tcPr>
            <w:tcW w:w="1183" w:type="dxa"/>
            <w:tcBorders>
              <w:top w:val="nil"/>
              <w:left w:val="nil"/>
              <w:bottom w:val="nil"/>
              <w:right w:val="single" w:sz="4" w:space="0" w:color="auto"/>
            </w:tcBorders>
            <w:shd w:val="clear" w:color="auto" w:fill="auto"/>
            <w:noWrap/>
            <w:vAlign w:val="bottom"/>
            <w:hideMark/>
          </w:tcPr>
          <w:p w:rsidR="00C16BB2" w:rsidRPr="002E47EC" w:rsidRDefault="00C16BB2" w:rsidP="00F344D2">
            <w:pPr>
              <w:jc w:val="center"/>
              <w:rPr>
                <w:sz w:val="18"/>
                <w:szCs w:val="18"/>
              </w:rPr>
            </w:pPr>
            <w:r w:rsidRPr="002E47EC">
              <w:rPr>
                <w:sz w:val="18"/>
                <w:szCs w:val="18"/>
              </w:rPr>
              <w:t>(287)</w:t>
            </w:r>
          </w:p>
        </w:tc>
        <w:tc>
          <w:tcPr>
            <w:tcW w:w="1181" w:type="dxa"/>
            <w:tcBorders>
              <w:top w:val="nil"/>
              <w:left w:val="nil"/>
              <w:bottom w:val="nil"/>
              <w:right w:val="nil"/>
            </w:tcBorders>
            <w:shd w:val="clear" w:color="auto" w:fill="auto"/>
            <w:noWrap/>
            <w:vAlign w:val="bottom"/>
            <w:hideMark/>
          </w:tcPr>
          <w:p w:rsidR="00C16BB2" w:rsidRPr="002E47EC" w:rsidRDefault="00C16BB2" w:rsidP="00F344D2">
            <w:pPr>
              <w:jc w:val="center"/>
              <w:rPr>
                <w:sz w:val="18"/>
                <w:szCs w:val="18"/>
              </w:rPr>
            </w:pPr>
          </w:p>
        </w:tc>
        <w:tc>
          <w:tcPr>
            <w:tcW w:w="1183" w:type="dxa"/>
            <w:tcBorders>
              <w:top w:val="nil"/>
              <w:left w:val="nil"/>
              <w:bottom w:val="nil"/>
              <w:right w:val="single" w:sz="4" w:space="0" w:color="auto"/>
            </w:tcBorders>
            <w:shd w:val="clear" w:color="auto" w:fill="auto"/>
            <w:noWrap/>
            <w:vAlign w:val="bottom"/>
            <w:hideMark/>
          </w:tcPr>
          <w:p w:rsidR="00C16BB2" w:rsidRPr="002E47EC" w:rsidRDefault="00C16BB2" w:rsidP="00F344D2">
            <w:pPr>
              <w:jc w:val="center"/>
              <w:rPr>
                <w:sz w:val="18"/>
                <w:szCs w:val="18"/>
              </w:rPr>
            </w:pPr>
            <w:r w:rsidRPr="002E47EC">
              <w:rPr>
                <w:sz w:val="18"/>
                <w:szCs w:val="18"/>
              </w:rPr>
              <w:t>(891)</w:t>
            </w:r>
          </w:p>
        </w:tc>
      </w:tr>
      <w:tr w:rsidR="00C16BB2" w:rsidRPr="002E47EC" w:rsidTr="00F344D2">
        <w:trPr>
          <w:trHeight w:val="253"/>
        </w:trPr>
        <w:tc>
          <w:tcPr>
            <w:tcW w:w="1186" w:type="dxa"/>
            <w:tcBorders>
              <w:top w:val="nil"/>
              <w:left w:val="single" w:sz="4" w:space="0" w:color="auto"/>
              <w:bottom w:val="nil"/>
              <w:right w:val="nil"/>
            </w:tcBorders>
            <w:shd w:val="clear" w:color="auto" w:fill="auto"/>
            <w:noWrap/>
            <w:vAlign w:val="bottom"/>
            <w:hideMark/>
          </w:tcPr>
          <w:p w:rsidR="00C16BB2" w:rsidRPr="002E47EC" w:rsidRDefault="00C16BB2" w:rsidP="00F344D2">
            <w:pPr>
              <w:rPr>
                <w:sz w:val="18"/>
                <w:szCs w:val="18"/>
              </w:rPr>
            </w:pPr>
            <w:r w:rsidRPr="002E47EC">
              <w:rPr>
                <w:sz w:val="18"/>
                <w:szCs w:val="18"/>
              </w:rPr>
              <w:t> </w:t>
            </w:r>
          </w:p>
        </w:tc>
        <w:tc>
          <w:tcPr>
            <w:tcW w:w="1188" w:type="dxa"/>
            <w:tcBorders>
              <w:top w:val="nil"/>
              <w:left w:val="nil"/>
              <w:bottom w:val="nil"/>
              <w:right w:val="nil"/>
            </w:tcBorders>
            <w:shd w:val="clear" w:color="auto" w:fill="auto"/>
            <w:noWrap/>
            <w:vAlign w:val="bottom"/>
            <w:hideMark/>
          </w:tcPr>
          <w:p w:rsidR="00C16BB2" w:rsidRPr="002E47EC" w:rsidRDefault="00C16BB2" w:rsidP="00F344D2">
            <w:pPr>
              <w:rPr>
                <w:sz w:val="18"/>
                <w:szCs w:val="18"/>
              </w:rPr>
            </w:pPr>
          </w:p>
        </w:tc>
        <w:tc>
          <w:tcPr>
            <w:tcW w:w="1186" w:type="dxa"/>
            <w:tcBorders>
              <w:top w:val="nil"/>
              <w:left w:val="nil"/>
              <w:bottom w:val="nil"/>
              <w:right w:val="nil"/>
            </w:tcBorders>
            <w:shd w:val="clear" w:color="auto" w:fill="auto"/>
            <w:noWrap/>
            <w:vAlign w:val="bottom"/>
            <w:hideMark/>
          </w:tcPr>
          <w:p w:rsidR="00C16BB2" w:rsidRPr="002E47EC" w:rsidRDefault="00C16BB2" w:rsidP="00F344D2">
            <w:pPr>
              <w:rPr>
                <w:sz w:val="18"/>
                <w:szCs w:val="18"/>
              </w:rPr>
            </w:pPr>
          </w:p>
        </w:tc>
        <w:tc>
          <w:tcPr>
            <w:tcW w:w="1187" w:type="dxa"/>
            <w:tcBorders>
              <w:top w:val="nil"/>
              <w:left w:val="nil"/>
              <w:bottom w:val="nil"/>
              <w:right w:val="single" w:sz="4" w:space="0" w:color="auto"/>
            </w:tcBorders>
            <w:shd w:val="clear" w:color="auto" w:fill="auto"/>
            <w:noWrap/>
            <w:vAlign w:val="bottom"/>
            <w:hideMark/>
          </w:tcPr>
          <w:p w:rsidR="00C16BB2" w:rsidRPr="002E47EC" w:rsidRDefault="00C16BB2" w:rsidP="00F344D2">
            <w:pPr>
              <w:rPr>
                <w:sz w:val="18"/>
                <w:szCs w:val="18"/>
              </w:rPr>
            </w:pPr>
            <w:r w:rsidRPr="002E47EC">
              <w:rPr>
                <w:sz w:val="18"/>
                <w:szCs w:val="18"/>
              </w:rPr>
              <w:t> </w:t>
            </w:r>
          </w:p>
        </w:tc>
        <w:tc>
          <w:tcPr>
            <w:tcW w:w="1181" w:type="dxa"/>
            <w:tcBorders>
              <w:top w:val="nil"/>
              <w:left w:val="nil"/>
              <w:bottom w:val="nil"/>
              <w:right w:val="nil"/>
            </w:tcBorders>
            <w:shd w:val="clear" w:color="auto" w:fill="auto"/>
            <w:noWrap/>
            <w:vAlign w:val="bottom"/>
            <w:hideMark/>
          </w:tcPr>
          <w:p w:rsidR="00C16BB2" w:rsidRPr="002E47EC" w:rsidRDefault="00C16BB2" w:rsidP="00F344D2">
            <w:pPr>
              <w:jc w:val="center"/>
              <w:rPr>
                <w:sz w:val="18"/>
                <w:szCs w:val="18"/>
              </w:rPr>
            </w:pPr>
          </w:p>
        </w:tc>
        <w:tc>
          <w:tcPr>
            <w:tcW w:w="1183" w:type="dxa"/>
            <w:tcBorders>
              <w:top w:val="nil"/>
              <w:left w:val="nil"/>
              <w:bottom w:val="nil"/>
              <w:right w:val="single" w:sz="4" w:space="0" w:color="auto"/>
            </w:tcBorders>
            <w:shd w:val="clear" w:color="auto" w:fill="auto"/>
            <w:noWrap/>
            <w:vAlign w:val="bottom"/>
            <w:hideMark/>
          </w:tcPr>
          <w:p w:rsidR="00C16BB2" w:rsidRPr="002E47EC" w:rsidRDefault="00C16BB2" w:rsidP="00F344D2">
            <w:pPr>
              <w:jc w:val="center"/>
              <w:rPr>
                <w:sz w:val="18"/>
                <w:szCs w:val="18"/>
              </w:rPr>
            </w:pPr>
          </w:p>
        </w:tc>
        <w:tc>
          <w:tcPr>
            <w:tcW w:w="1181" w:type="dxa"/>
            <w:tcBorders>
              <w:top w:val="nil"/>
              <w:left w:val="nil"/>
              <w:bottom w:val="nil"/>
              <w:right w:val="nil"/>
            </w:tcBorders>
            <w:shd w:val="clear" w:color="auto" w:fill="auto"/>
            <w:noWrap/>
            <w:vAlign w:val="bottom"/>
            <w:hideMark/>
          </w:tcPr>
          <w:p w:rsidR="00C16BB2" w:rsidRPr="002E47EC" w:rsidRDefault="00C16BB2" w:rsidP="00F344D2">
            <w:pPr>
              <w:jc w:val="center"/>
              <w:rPr>
                <w:sz w:val="18"/>
                <w:szCs w:val="18"/>
              </w:rPr>
            </w:pPr>
          </w:p>
        </w:tc>
        <w:tc>
          <w:tcPr>
            <w:tcW w:w="1183" w:type="dxa"/>
            <w:tcBorders>
              <w:top w:val="nil"/>
              <w:left w:val="nil"/>
              <w:bottom w:val="nil"/>
              <w:right w:val="single" w:sz="4" w:space="0" w:color="auto"/>
            </w:tcBorders>
            <w:shd w:val="clear" w:color="auto" w:fill="auto"/>
            <w:noWrap/>
            <w:vAlign w:val="bottom"/>
            <w:hideMark/>
          </w:tcPr>
          <w:p w:rsidR="00C16BB2" w:rsidRPr="002E47EC" w:rsidRDefault="00C16BB2" w:rsidP="00F344D2">
            <w:pPr>
              <w:jc w:val="center"/>
              <w:rPr>
                <w:sz w:val="18"/>
                <w:szCs w:val="18"/>
              </w:rPr>
            </w:pPr>
          </w:p>
        </w:tc>
      </w:tr>
      <w:tr w:rsidR="00C16BB2" w:rsidRPr="002E47EC" w:rsidTr="00F344D2">
        <w:trPr>
          <w:trHeight w:val="253"/>
        </w:trPr>
        <w:tc>
          <w:tcPr>
            <w:tcW w:w="4747" w:type="dxa"/>
            <w:gridSpan w:val="4"/>
            <w:tcBorders>
              <w:top w:val="nil"/>
              <w:left w:val="single" w:sz="4" w:space="0" w:color="auto"/>
              <w:bottom w:val="nil"/>
              <w:right w:val="single" w:sz="4" w:space="0" w:color="000000"/>
            </w:tcBorders>
            <w:shd w:val="clear" w:color="auto" w:fill="auto"/>
            <w:noWrap/>
            <w:vAlign w:val="bottom"/>
            <w:hideMark/>
          </w:tcPr>
          <w:p w:rsidR="00C16BB2" w:rsidRPr="002E47EC" w:rsidRDefault="00C16BB2" w:rsidP="00F344D2">
            <w:pPr>
              <w:rPr>
                <w:b/>
                <w:bCs/>
                <w:sz w:val="18"/>
                <w:szCs w:val="18"/>
              </w:rPr>
            </w:pPr>
            <w:r w:rsidRPr="002E47EC">
              <w:rPr>
                <w:b/>
                <w:bCs/>
                <w:sz w:val="18"/>
                <w:szCs w:val="18"/>
              </w:rPr>
              <w:t>Expenditure met from the Pooled Budget</w:t>
            </w:r>
          </w:p>
        </w:tc>
        <w:tc>
          <w:tcPr>
            <w:tcW w:w="1181" w:type="dxa"/>
            <w:tcBorders>
              <w:top w:val="nil"/>
              <w:left w:val="nil"/>
              <w:bottom w:val="nil"/>
              <w:right w:val="nil"/>
            </w:tcBorders>
            <w:shd w:val="clear" w:color="auto" w:fill="auto"/>
            <w:noWrap/>
            <w:vAlign w:val="bottom"/>
            <w:hideMark/>
          </w:tcPr>
          <w:p w:rsidR="00C16BB2" w:rsidRPr="002E47EC" w:rsidRDefault="00C16BB2" w:rsidP="00F344D2">
            <w:pPr>
              <w:jc w:val="center"/>
              <w:rPr>
                <w:sz w:val="18"/>
                <w:szCs w:val="18"/>
              </w:rPr>
            </w:pPr>
          </w:p>
        </w:tc>
        <w:tc>
          <w:tcPr>
            <w:tcW w:w="1183" w:type="dxa"/>
            <w:tcBorders>
              <w:top w:val="nil"/>
              <w:left w:val="nil"/>
              <w:bottom w:val="nil"/>
              <w:right w:val="single" w:sz="4" w:space="0" w:color="auto"/>
            </w:tcBorders>
            <w:shd w:val="clear" w:color="auto" w:fill="auto"/>
            <w:noWrap/>
            <w:vAlign w:val="bottom"/>
            <w:hideMark/>
          </w:tcPr>
          <w:p w:rsidR="00C16BB2" w:rsidRPr="002E47EC" w:rsidRDefault="00C16BB2" w:rsidP="00F344D2">
            <w:pPr>
              <w:jc w:val="center"/>
              <w:rPr>
                <w:sz w:val="18"/>
                <w:szCs w:val="18"/>
              </w:rPr>
            </w:pPr>
          </w:p>
        </w:tc>
        <w:tc>
          <w:tcPr>
            <w:tcW w:w="1181" w:type="dxa"/>
            <w:tcBorders>
              <w:top w:val="nil"/>
              <w:left w:val="nil"/>
              <w:bottom w:val="nil"/>
              <w:right w:val="nil"/>
            </w:tcBorders>
            <w:shd w:val="clear" w:color="auto" w:fill="auto"/>
            <w:noWrap/>
            <w:vAlign w:val="bottom"/>
            <w:hideMark/>
          </w:tcPr>
          <w:p w:rsidR="00C16BB2" w:rsidRPr="002E47EC" w:rsidRDefault="00C16BB2" w:rsidP="00F344D2">
            <w:pPr>
              <w:jc w:val="center"/>
              <w:rPr>
                <w:sz w:val="18"/>
                <w:szCs w:val="18"/>
              </w:rPr>
            </w:pPr>
          </w:p>
        </w:tc>
        <w:tc>
          <w:tcPr>
            <w:tcW w:w="1183" w:type="dxa"/>
            <w:tcBorders>
              <w:top w:val="nil"/>
              <w:left w:val="nil"/>
              <w:bottom w:val="nil"/>
              <w:right w:val="single" w:sz="4" w:space="0" w:color="auto"/>
            </w:tcBorders>
            <w:shd w:val="clear" w:color="auto" w:fill="auto"/>
            <w:noWrap/>
            <w:vAlign w:val="bottom"/>
            <w:hideMark/>
          </w:tcPr>
          <w:p w:rsidR="00C16BB2" w:rsidRPr="002E47EC" w:rsidRDefault="00C16BB2" w:rsidP="00F344D2">
            <w:pPr>
              <w:jc w:val="center"/>
              <w:rPr>
                <w:sz w:val="18"/>
                <w:szCs w:val="18"/>
              </w:rPr>
            </w:pPr>
          </w:p>
        </w:tc>
      </w:tr>
      <w:tr w:rsidR="00C16BB2" w:rsidRPr="002E47EC" w:rsidTr="00F344D2">
        <w:trPr>
          <w:trHeight w:val="253"/>
        </w:trPr>
        <w:tc>
          <w:tcPr>
            <w:tcW w:w="2374" w:type="dxa"/>
            <w:gridSpan w:val="2"/>
            <w:tcBorders>
              <w:top w:val="nil"/>
              <w:left w:val="single" w:sz="4" w:space="0" w:color="auto"/>
              <w:bottom w:val="nil"/>
              <w:right w:val="nil"/>
            </w:tcBorders>
            <w:shd w:val="clear" w:color="auto" w:fill="auto"/>
            <w:noWrap/>
            <w:vAlign w:val="bottom"/>
            <w:hideMark/>
          </w:tcPr>
          <w:p w:rsidR="00C16BB2" w:rsidRPr="002E47EC" w:rsidRDefault="00C16BB2" w:rsidP="00F344D2">
            <w:pPr>
              <w:ind w:firstLineChars="400" w:firstLine="720"/>
              <w:rPr>
                <w:sz w:val="18"/>
                <w:szCs w:val="18"/>
              </w:rPr>
            </w:pPr>
            <w:r w:rsidRPr="002E47EC">
              <w:rPr>
                <w:sz w:val="18"/>
                <w:szCs w:val="18"/>
              </w:rPr>
              <w:t xml:space="preserve">The Authority </w:t>
            </w:r>
          </w:p>
        </w:tc>
        <w:tc>
          <w:tcPr>
            <w:tcW w:w="1186" w:type="dxa"/>
            <w:tcBorders>
              <w:top w:val="nil"/>
              <w:left w:val="nil"/>
              <w:bottom w:val="nil"/>
              <w:right w:val="nil"/>
            </w:tcBorders>
            <w:shd w:val="clear" w:color="auto" w:fill="auto"/>
            <w:noWrap/>
            <w:vAlign w:val="bottom"/>
            <w:hideMark/>
          </w:tcPr>
          <w:p w:rsidR="00C16BB2" w:rsidRPr="002E47EC" w:rsidRDefault="00C16BB2" w:rsidP="00F344D2">
            <w:pPr>
              <w:rPr>
                <w:sz w:val="18"/>
                <w:szCs w:val="18"/>
              </w:rPr>
            </w:pPr>
          </w:p>
        </w:tc>
        <w:tc>
          <w:tcPr>
            <w:tcW w:w="1187" w:type="dxa"/>
            <w:tcBorders>
              <w:top w:val="nil"/>
              <w:left w:val="nil"/>
              <w:bottom w:val="nil"/>
              <w:right w:val="single" w:sz="4" w:space="0" w:color="auto"/>
            </w:tcBorders>
            <w:shd w:val="clear" w:color="auto" w:fill="auto"/>
            <w:noWrap/>
            <w:vAlign w:val="bottom"/>
            <w:hideMark/>
          </w:tcPr>
          <w:p w:rsidR="00C16BB2" w:rsidRPr="002E47EC" w:rsidRDefault="00C16BB2" w:rsidP="00F344D2">
            <w:pPr>
              <w:rPr>
                <w:sz w:val="18"/>
                <w:szCs w:val="18"/>
              </w:rPr>
            </w:pPr>
            <w:r w:rsidRPr="002E47EC">
              <w:rPr>
                <w:sz w:val="18"/>
                <w:szCs w:val="18"/>
              </w:rPr>
              <w:t> </w:t>
            </w:r>
          </w:p>
        </w:tc>
        <w:tc>
          <w:tcPr>
            <w:tcW w:w="1181" w:type="dxa"/>
            <w:tcBorders>
              <w:top w:val="nil"/>
              <w:left w:val="nil"/>
              <w:bottom w:val="nil"/>
              <w:right w:val="nil"/>
            </w:tcBorders>
            <w:shd w:val="clear" w:color="auto" w:fill="auto"/>
            <w:noWrap/>
            <w:vAlign w:val="bottom"/>
            <w:hideMark/>
          </w:tcPr>
          <w:p w:rsidR="00C16BB2" w:rsidRPr="002E47EC" w:rsidRDefault="00C16BB2" w:rsidP="00F344D2">
            <w:pPr>
              <w:jc w:val="center"/>
              <w:rPr>
                <w:sz w:val="18"/>
                <w:szCs w:val="18"/>
              </w:rPr>
            </w:pPr>
            <w:r>
              <w:rPr>
                <w:sz w:val="18"/>
                <w:szCs w:val="18"/>
              </w:rPr>
              <w:t>143</w:t>
            </w:r>
          </w:p>
        </w:tc>
        <w:tc>
          <w:tcPr>
            <w:tcW w:w="1183" w:type="dxa"/>
            <w:tcBorders>
              <w:top w:val="nil"/>
              <w:left w:val="nil"/>
              <w:bottom w:val="nil"/>
              <w:right w:val="single" w:sz="4" w:space="0" w:color="auto"/>
            </w:tcBorders>
            <w:shd w:val="clear" w:color="auto" w:fill="auto"/>
            <w:noWrap/>
            <w:vAlign w:val="bottom"/>
            <w:hideMark/>
          </w:tcPr>
          <w:p w:rsidR="00C16BB2" w:rsidRPr="002E47EC" w:rsidRDefault="00C16BB2" w:rsidP="00F344D2">
            <w:pPr>
              <w:jc w:val="center"/>
              <w:rPr>
                <w:sz w:val="18"/>
                <w:szCs w:val="18"/>
              </w:rPr>
            </w:pPr>
          </w:p>
        </w:tc>
        <w:tc>
          <w:tcPr>
            <w:tcW w:w="1181" w:type="dxa"/>
            <w:tcBorders>
              <w:top w:val="nil"/>
              <w:left w:val="nil"/>
              <w:bottom w:val="nil"/>
              <w:right w:val="nil"/>
            </w:tcBorders>
            <w:shd w:val="clear" w:color="auto" w:fill="auto"/>
            <w:noWrap/>
            <w:vAlign w:val="bottom"/>
            <w:hideMark/>
          </w:tcPr>
          <w:p w:rsidR="00C16BB2" w:rsidRPr="002E47EC" w:rsidRDefault="00C16BB2" w:rsidP="00F344D2">
            <w:pPr>
              <w:jc w:val="center"/>
              <w:rPr>
                <w:sz w:val="18"/>
                <w:szCs w:val="18"/>
              </w:rPr>
            </w:pPr>
            <w:r w:rsidRPr="002E47EC">
              <w:rPr>
                <w:sz w:val="18"/>
                <w:szCs w:val="18"/>
              </w:rPr>
              <w:t>318</w:t>
            </w:r>
          </w:p>
        </w:tc>
        <w:tc>
          <w:tcPr>
            <w:tcW w:w="1183" w:type="dxa"/>
            <w:tcBorders>
              <w:top w:val="nil"/>
              <w:left w:val="nil"/>
              <w:bottom w:val="nil"/>
              <w:right w:val="single" w:sz="4" w:space="0" w:color="auto"/>
            </w:tcBorders>
            <w:shd w:val="clear" w:color="auto" w:fill="auto"/>
            <w:noWrap/>
            <w:vAlign w:val="bottom"/>
            <w:hideMark/>
          </w:tcPr>
          <w:p w:rsidR="00C16BB2" w:rsidRPr="002E47EC" w:rsidRDefault="00C16BB2" w:rsidP="00F344D2">
            <w:pPr>
              <w:jc w:val="center"/>
              <w:rPr>
                <w:sz w:val="18"/>
                <w:szCs w:val="18"/>
              </w:rPr>
            </w:pPr>
          </w:p>
        </w:tc>
      </w:tr>
      <w:tr w:rsidR="00C16BB2" w:rsidRPr="002E47EC" w:rsidTr="00F344D2">
        <w:trPr>
          <w:trHeight w:val="268"/>
        </w:trPr>
        <w:tc>
          <w:tcPr>
            <w:tcW w:w="2374" w:type="dxa"/>
            <w:gridSpan w:val="2"/>
            <w:tcBorders>
              <w:top w:val="nil"/>
              <w:left w:val="single" w:sz="4" w:space="0" w:color="auto"/>
              <w:bottom w:val="nil"/>
              <w:right w:val="nil"/>
            </w:tcBorders>
            <w:shd w:val="clear" w:color="auto" w:fill="auto"/>
            <w:noWrap/>
            <w:vAlign w:val="bottom"/>
            <w:hideMark/>
          </w:tcPr>
          <w:p w:rsidR="00C16BB2" w:rsidRPr="002E47EC" w:rsidRDefault="00C16BB2" w:rsidP="00F344D2">
            <w:pPr>
              <w:ind w:firstLineChars="400" w:firstLine="720"/>
              <w:rPr>
                <w:sz w:val="18"/>
                <w:szCs w:val="18"/>
              </w:rPr>
            </w:pPr>
            <w:r w:rsidRPr="002E47EC">
              <w:rPr>
                <w:sz w:val="18"/>
                <w:szCs w:val="18"/>
              </w:rPr>
              <w:t>The Trust</w:t>
            </w:r>
          </w:p>
        </w:tc>
        <w:tc>
          <w:tcPr>
            <w:tcW w:w="1186" w:type="dxa"/>
            <w:tcBorders>
              <w:top w:val="nil"/>
              <w:left w:val="nil"/>
              <w:bottom w:val="nil"/>
              <w:right w:val="nil"/>
            </w:tcBorders>
            <w:shd w:val="clear" w:color="auto" w:fill="auto"/>
            <w:noWrap/>
            <w:vAlign w:val="bottom"/>
            <w:hideMark/>
          </w:tcPr>
          <w:p w:rsidR="00C16BB2" w:rsidRPr="002E47EC" w:rsidRDefault="00C16BB2" w:rsidP="00F344D2">
            <w:pPr>
              <w:rPr>
                <w:sz w:val="18"/>
                <w:szCs w:val="18"/>
              </w:rPr>
            </w:pPr>
          </w:p>
        </w:tc>
        <w:tc>
          <w:tcPr>
            <w:tcW w:w="1187" w:type="dxa"/>
            <w:tcBorders>
              <w:top w:val="nil"/>
              <w:left w:val="nil"/>
              <w:bottom w:val="nil"/>
              <w:right w:val="single" w:sz="4" w:space="0" w:color="auto"/>
            </w:tcBorders>
            <w:shd w:val="clear" w:color="auto" w:fill="auto"/>
            <w:noWrap/>
            <w:vAlign w:val="bottom"/>
            <w:hideMark/>
          </w:tcPr>
          <w:p w:rsidR="00C16BB2" w:rsidRPr="002E47EC" w:rsidRDefault="00C16BB2" w:rsidP="00F344D2">
            <w:pPr>
              <w:rPr>
                <w:sz w:val="18"/>
                <w:szCs w:val="18"/>
              </w:rPr>
            </w:pPr>
            <w:r w:rsidRPr="002E47EC">
              <w:rPr>
                <w:sz w:val="18"/>
                <w:szCs w:val="18"/>
              </w:rPr>
              <w:t> </w:t>
            </w:r>
          </w:p>
        </w:tc>
        <w:tc>
          <w:tcPr>
            <w:tcW w:w="1181" w:type="dxa"/>
            <w:tcBorders>
              <w:top w:val="nil"/>
              <w:left w:val="nil"/>
              <w:bottom w:val="nil"/>
              <w:right w:val="nil"/>
            </w:tcBorders>
            <w:shd w:val="clear" w:color="auto" w:fill="auto"/>
            <w:noWrap/>
            <w:vAlign w:val="bottom"/>
            <w:hideMark/>
          </w:tcPr>
          <w:p w:rsidR="00C16BB2" w:rsidRPr="002E47EC" w:rsidRDefault="00C16BB2" w:rsidP="00F344D2">
            <w:pPr>
              <w:jc w:val="center"/>
              <w:rPr>
                <w:sz w:val="18"/>
                <w:szCs w:val="18"/>
              </w:rPr>
            </w:pPr>
            <w:r>
              <w:rPr>
                <w:sz w:val="18"/>
                <w:szCs w:val="18"/>
              </w:rPr>
              <w:t>144</w:t>
            </w:r>
          </w:p>
        </w:tc>
        <w:tc>
          <w:tcPr>
            <w:tcW w:w="1183" w:type="dxa"/>
            <w:tcBorders>
              <w:top w:val="nil"/>
              <w:left w:val="nil"/>
              <w:bottom w:val="single" w:sz="8" w:space="0" w:color="auto"/>
              <w:right w:val="single" w:sz="4" w:space="0" w:color="auto"/>
            </w:tcBorders>
            <w:shd w:val="clear" w:color="auto" w:fill="auto"/>
            <w:noWrap/>
            <w:vAlign w:val="bottom"/>
            <w:hideMark/>
          </w:tcPr>
          <w:p w:rsidR="00C16BB2" w:rsidRPr="002E47EC" w:rsidRDefault="00C16BB2" w:rsidP="00F344D2">
            <w:pPr>
              <w:jc w:val="center"/>
              <w:rPr>
                <w:sz w:val="18"/>
                <w:szCs w:val="18"/>
              </w:rPr>
            </w:pPr>
          </w:p>
        </w:tc>
        <w:tc>
          <w:tcPr>
            <w:tcW w:w="1181" w:type="dxa"/>
            <w:tcBorders>
              <w:top w:val="nil"/>
              <w:left w:val="nil"/>
              <w:bottom w:val="nil"/>
              <w:right w:val="nil"/>
            </w:tcBorders>
            <w:shd w:val="clear" w:color="auto" w:fill="auto"/>
            <w:noWrap/>
            <w:vAlign w:val="bottom"/>
            <w:hideMark/>
          </w:tcPr>
          <w:p w:rsidR="00C16BB2" w:rsidRPr="002E47EC" w:rsidRDefault="00C16BB2" w:rsidP="00F344D2">
            <w:pPr>
              <w:jc w:val="center"/>
              <w:rPr>
                <w:sz w:val="18"/>
                <w:szCs w:val="18"/>
              </w:rPr>
            </w:pPr>
            <w:r w:rsidRPr="002E47EC">
              <w:rPr>
                <w:sz w:val="18"/>
                <w:szCs w:val="18"/>
              </w:rPr>
              <w:t>425</w:t>
            </w:r>
          </w:p>
        </w:tc>
        <w:tc>
          <w:tcPr>
            <w:tcW w:w="1183" w:type="dxa"/>
            <w:tcBorders>
              <w:top w:val="nil"/>
              <w:left w:val="nil"/>
              <w:bottom w:val="single" w:sz="8" w:space="0" w:color="auto"/>
              <w:right w:val="single" w:sz="4" w:space="0" w:color="auto"/>
            </w:tcBorders>
            <w:shd w:val="clear" w:color="auto" w:fill="auto"/>
            <w:noWrap/>
            <w:vAlign w:val="bottom"/>
            <w:hideMark/>
          </w:tcPr>
          <w:p w:rsidR="00C16BB2" w:rsidRPr="002E47EC" w:rsidRDefault="00C16BB2" w:rsidP="00F344D2">
            <w:pPr>
              <w:jc w:val="center"/>
              <w:rPr>
                <w:sz w:val="18"/>
                <w:szCs w:val="18"/>
              </w:rPr>
            </w:pPr>
          </w:p>
        </w:tc>
      </w:tr>
      <w:tr w:rsidR="00C16BB2" w:rsidRPr="002E47EC" w:rsidTr="00F344D2">
        <w:trPr>
          <w:trHeight w:val="253"/>
        </w:trPr>
        <w:tc>
          <w:tcPr>
            <w:tcW w:w="1186" w:type="dxa"/>
            <w:tcBorders>
              <w:top w:val="nil"/>
              <w:left w:val="single" w:sz="4" w:space="0" w:color="auto"/>
              <w:bottom w:val="nil"/>
              <w:right w:val="nil"/>
            </w:tcBorders>
            <w:shd w:val="clear" w:color="auto" w:fill="auto"/>
            <w:noWrap/>
            <w:vAlign w:val="bottom"/>
            <w:hideMark/>
          </w:tcPr>
          <w:p w:rsidR="00C16BB2" w:rsidRPr="002E47EC" w:rsidRDefault="00C16BB2" w:rsidP="00F344D2">
            <w:pPr>
              <w:rPr>
                <w:sz w:val="18"/>
                <w:szCs w:val="18"/>
              </w:rPr>
            </w:pPr>
            <w:r w:rsidRPr="002E47EC">
              <w:rPr>
                <w:sz w:val="18"/>
                <w:szCs w:val="18"/>
              </w:rPr>
              <w:t> </w:t>
            </w:r>
          </w:p>
        </w:tc>
        <w:tc>
          <w:tcPr>
            <w:tcW w:w="1188" w:type="dxa"/>
            <w:tcBorders>
              <w:top w:val="nil"/>
              <w:left w:val="nil"/>
              <w:bottom w:val="nil"/>
              <w:right w:val="nil"/>
            </w:tcBorders>
            <w:shd w:val="clear" w:color="auto" w:fill="auto"/>
            <w:noWrap/>
            <w:vAlign w:val="bottom"/>
            <w:hideMark/>
          </w:tcPr>
          <w:p w:rsidR="00C16BB2" w:rsidRPr="002E47EC" w:rsidRDefault="00C16BB2" w:rsidP="00F344D2">
            <w:pPr>
              <w:rPr>
                <w:sz w:val="18"/>
                <w:szCs w:val="18"/>
              </w:rPr>
            </w:pPr>
          </w:p>
        </w:tc>
        <w:tc>
          <w:tcPr>
            <w:tcW w:w="1186" w:type="dxa"/>
            <w:tcBorders>
              <w:top w:val="nil"/>
              <w:left w:val="nil"/>
              <w:bottom w:val="nil"/>
              <w:right w:val="nil"/>
            </w:tcBorders>
            <w:shd w:val="clear" w:color="auto" w:fill="auto"/>
            <w:noWrap/>
            <w:vAlign w:val="bottom"/>
            <w:hideMark/>
          </w:tcPr>
          <w:p w:rsidR="00C16BB2" w:rsidRPr="002E47EC" w:rsidRDefault="00C16BB2" w:rsidP="00F344D2">
            <w:pPr>
              <w:rPr>
                <w:sz w:val="18"/>
                <w:szCs w:val="18"/>
              </w:rPr>
            </w:pPr>
          </w:p>
        </w:tc>
        <w:tc>
          <w:tcPr>
            <w:tcW w:w="1187" w:type="dxa"/>
            <w:tcBorders>
              <w:top w:val="nil"/>
              <w:left w:val="nil"/>
              <w:bottom w:val="nil"/>
              <w:right w:val="single" w:sz="4" w:space="0" w:color="auto"/>
            </w:tcBorders>
            <w:shd w:val="clear" w:color="auto" w:fill="auto"/>
            <w:noWrap/>
            <w:vAlign w:val="bottom"/>
            <w:hideMark/>
          </w:tcPr>
          <w:p w:rsidR="00C16BB2" w:rsidRPr="002E47EC" w:rsidRDefault="00C16BB2" w:rsidP="00F344D2">
            <w:pPr>
              <w:rPr>
                <w:sz w:val="18"/>
                <w:szCs w:val="18"/>
              </w:rPr>
            </w:pPr>
            <w:r w:rsidRPr="002E47EC">
              <w:rPr>
                <w:sz w:val="18"/>
                <w:szCs w:val="18"/>
              </w:rPr>
              <w:t> </w:t>
            </w:r>
          </w:p>
        </w:tc>
        <w:tc>
          <w:tcPr>
            <w:tcW w:w="1181" w:type="dxa"/>
            <w:tcBorders>
              <w:top w:val="nil"/>
              <w:left w:val="nil"/>
              <w:bottom w:val="nil"/>
              <w:right w:val="nil"/>
            </w:tcBorders>
            <w:shd w:val="clear" w:color="auto" w:fill="auto"/>
            <w:noWrap/>
            <w:vAlign w:val="bottom"/>
            <w:hideMark/>
          </w:tcPr>
          <w:p w:rsidR="00C16BB2" w:rsidRPr="002E47EC" w:rsidRDefault="00C16BB2" w:rsidP="00F344D2">
            <w:pPr>
              <w:jc w:val="center"/>
              <w:rPr>
                <w:sz w:val="18"/>
                <w:szCs w:val="18"/>
              </w:rPr>
            </w:pPr>
          </w:p>
        </w:tc>
        <w:tc>
          <w:tcPr>
            <w:tcW w:w="1183" w:type="dxa"/>
            <w:tcBorders>
              <w:top w:val="nil"/>
              <w:left w:val="nil"/>
              <w:bottom w:val="nil"/>
              <w:right w:val="single" w:sz="4" w:space="0" w:color="auto"/>
            </w:tcBorders>
            <w:shd w:val="clear" w:color="auto" w:fill="auto"/>
            <w:noWrap/>
            <w:vAlign w:val="bottom"/>
            <w:hideMark/>
          </w:tcPr>
          <w:p w:rsidR="00C16BB2" w:rsidRPr="002E47EC" w:rsidRDefault="00C16BB2" w:rsidP="00F344D2">
            <w:pPr>
              <w:jc w:val="center"/>
              <w:rPr>
                <w:sz w:val="18"/>
                <w:szCs w:val="18"/>
              </w:rPr>
            </w:pPr>
            <w:r w:rsidRPr="002E47EC">
              <w:rPr>
                <w:sz w:val="18"/>
                <w:szCs w:val="18"/>
              </w:rPr>
              <w:t>287</w:t>
            </w:r>
          </w:p>
        </w:tc>
        <w:tc>
          <w:tcPr>
            <w:tcW w:w="1181" w:type="dxa"/>
            <w:tcBorders>
              <w:top w:val="nil"/>
              <w:left w:val="nil"/>
              <w:bottom w:val="nil"/>
              <w:right w:val="nil"/>
            </w:tcBorders>
            <w:shd w:val="clear" w:color="auto" w:fill="auto"/>
            <w:noWrap/>
            <w:vAlign w:val="bottom"/>
            <w:hideMark/>
          </w:tcPr>
          <w:p w:rsidR="00C16BB2" w:rsidRPr="002E47EC" w:rsidRDefault="00C16BB2" w:rsidP="00F344D2">
            <w:pPr>
              <w:jc w:val="center"/>
              <w:rPr>
                <w:sz w:val="18"/>
                <w:szCs w:val="18"/>
              </w:rPr>
            </w:pPr>
          </w:p>
        </w:tc>
        <w:tc>
          <w:tcPr>
            <w:tcW w:w="1183" w:type="dxa"/>
            <w:tcBorders>
              <w:top w:val="nil"/>
              <w:left w:val="nil"/>
              <w:bottom w:val="nil"/>
              <w:right w:val="single" w:sz="4" w:space="0" w:color="auto"/>
            </w:tcBorders>
            <w:shd w:val="clear" w:color="auto" w:fill="auto"/>
            <w:noWrap/>
            <w:vAlign w:val="bottom"/>
            <w:hideMark/>
          </w:tcPr>
          <w:p w:rsidR="00C16BB2" w:rsidRPr="002E47EC" w:rsidRDefault="00C16BB2" w:rsidP="00F344D2">
            <w:pPr>
              <w:jc w:val="center"/>
              <w:rPr>
                <w:sz w:val="18"/>
                <w:szCs w:val="18"/>
              </w:rPr>
            </w:pPr>
            <w:r w:rsidRPr="002E47EC">
              <w:rPr>
                <w:sz w:val="18"/>
                <w:szCs w:val="18"/>
              </w:rPr>
              <w:t>743</w:t>
            </w:r>
          </w:p>
        </w:tc>
      </w:tr>
      <w:tr w:rsidR="00C16BB2" w:rsidRPr="002E47EC" w:rsidTr="00F344D2">
        <w:trPr>
          <w:trHeight w:val="253"/>
        </w:trPr>
        <w:tc>
          <w:tcPr>
            <w:tcW w:w="1186" w:type="dxa"/>
            <w:tcBorders>
              <w:top w:val="nil"/>
              <w:left w:val="single" w:sz="4" w:space="0" w:color="auto"/>
              <w:bottom w:val="nil"/>
              <w:right w:val="nil"/>
            </w:tcBorders>
            <w:shd w:val="clear" w:color="auto" w:fill="auto"/>
            <w:noWrap/>
            <w:vAlign w:val="bottom"/>
            <w:hideMark/>
          </w:tcPr>
          <w:p w:rsidR="00C16BB2" w:rsidRPr="002E47EC" w:rsidRDefault="00C16BB2" w:rsidP="00F344D2">
            <w:pPr>
              <w:rPr>
                <w:sz w:val="18"/>
                <w:szCs w:val="18"/>
              </w:rPr>
            </w:pPr>
            <w:r w:rsidRPr="002E47EC">
              <w:rPr>
                <w:sz w:val="18"/>
                <w:szCs w:val="18"/>
              </w:rPr>
              <w:t> </w:t>
            </w:r>
          </w:p>
        </w:tc>
        <w:tc>
          <w:tcPr>
            <w:tcW w:w="1188" w:type="dxa"/>
            <w:tcBorders>
              <w:top w:val="nil"/>
              <w:left w:val="nil"/>
              <w:bottom w:val="nil"/>
              <w:right w:val="nil"/>
            </w:tcBorders>
            <w:shd w:val="clear" w:color="auto" w:fill="auto"/>
            <w:noWrap/>
            <w:vAlign w:val="bottom"/>
            <w:hideMark/>
          </w:tcPr>
          <w:p w:rsidR="00C16BB2" w:rsidRPr="002E47EC" w:rsidRDefault="00C16BB2" w:rsidP="00F344D2">
            <w:pPr>
              <w:rPr>
                <w:sz w:val="18"/>
                <w:szCs w:val="18"/>
              </w:rPr>
            </w:pPr>
          </w:p>
        </w:tc>
        <w:tc>
          <w:tcPr>
            <w:tcW w:w="1186" w:type="dxa"/>
            <w:tcBorders>
              <w:top w:val="nil"/>
              <w:left w:val="nil"/>
              <w:bottom w:val="nil"/>
              <w:right w:val="nil"/>
            </w:tcBorders>
            <w:shd w:val="clear" w:color="auto" w:fill="auto"/>
            <w:noWrap/>
            <w:vAlign w:val="bottom"/>
            <w:hideMark/>
          </w:tcPr>
          <w:p w:rsidR="00C16BB2" w:rsidRPr="002E47EC" w:rsidRDefault="00C16BB2" w:rsidP="00F344D2">
            <w:pPr>
              <w:rPr>
                <w:sz w:val="18"/>
                <w:szCs w:val="18"/>
              </w:rPr>
            </w:pPr>
          </w:p>
        </w:tc>
        <w:tc>
          <w:tcPr>
            <w:tcW w:w="1187" w:type="dxa"/>
            <w:tcBorders>
              <w:top w:val="nil"/>
              <w:left w:val="nil"/>
              <w:bottom w:val="nil"/>
              <w:right w:val="single" w:sz="4" w:space="0" w:color="auto"/>
            </w:tcBorders>
            <w:shd w:val="clear" w:color="auto" w:fill="auto"/>
            <w:noWrap/>
            <w:vAlign w:val="bottom"/>
            <w:hideMark/>
          </w:tcPr>
          <w:p w:rsidR="00C16BB2" w:rsidRPr="002E47EC" w:rsidRDefault="00C16BB2" w:rsidP="00F344D2">
            <w:pPr>
              <w:rPr>
                <w:sz w:val="18"/>
                <w:szCs w:val="18"/>
              </w:rPr>
            </w:pPr>
            <w:r w:rsidRPr="002E47EC">
              <w:rPr>
                <w:sz w:val="18"/>
                <w:szCs w:val="18"/>
              </w:rPr>
              <w:t> </w:t>
            </w:r>
          </w:p>
        </w:tc>
        <w:tc>
          <w:tcPr>
            <w:tcW w:w="1181" w:type="dxa"/>
            <w:tcBorders>
              <w:top w:val="nil"/>
              <w:left w:val="nil"/>
              <w:bottom w:val="nil"/>
              <w:right w:val="nil"/>
            </w:tcBorders>
            <w:shd w:val="clear" w:color="auto" w:fill="auto"/>
            <w:noWrap/>
            <w:vAlign w:val="bottom"/>
            <w:hideMark/>
          </w:tcPr>
          <w:p w:rsidR="00C16BB2" w:rsidRPr="002E47EC" w:rsidRDefault="00C16BB2" w:rsidP="00F344D2">
            <w:pPr>
              <w:jc w:val="center"/>
              <w:rPr>
                <w:sz w:val="18"/>
                <w:szCs w:val="18"/>
              </w:rPr>
            </w:pPr>
          </w:p>
        </w:tc>
        <w:tc>
          <w:tcPr>
            <w:tcW w:w="1183" w:type="dxa"/>
            <w:tcBorders>
              <w:top w:val="nil"/>
              <w:left w:val="nil"/>
              <w:bottom w:val="nil"/>
              <w:right w:val="single" w:sz="4" w:space="0" w:color="auto"/>
            </w:tcBorders>
            <w:shd w:val="clear" w:color="auto" w:fill="auto"/>
            <w:noWrap/>
            <w:vAlign w:val="bottom"/>
            <w:hideMark/>
          </w:tcPr>
          <w:p w:rsidR="00C16BB2" w:rsidRPr="002E47EC" w:rsidRDefault="00C16BB2" w:rsidP="00F344D2">
            <w:pPr>
              <w:jc w:val="center"/>
              <w:rPr>
                <w:sz w:val="18"/>
                <w:szCs w:val="18"/>
              </w:rPr>
            </w:pPr>
          </w:p>
        </w:tc>
        <w:tc>
          <w:tcPr>
            <w:tcW w:w="1181" w:type="dxa"/>
            <w:tcBorders>
              <w:top w:val="nil"/>
              <w:left w:val="nil"/>
              <w:bottom w:val="nil"/>
              <w:right w:val="nil"/>
            </w:tcBorders>
            <w:shd w:val="clear" w:color="auto" w:fill="auto"/>
            <w:noWrap/>
            <w:vAlign w:val="bottom"/>
            <w:hideMark/>
          </w:tcPr>
          <w:p w:rsidR="00C16BB2" w:rsidRPr="002E47EC" w:rsidRDefault="00C16BB2" w:rsidP="00F344D2">
            <w:pPr>
              <w:jc w:val="center"/>
              <w:rPr>
                <w:sz w:val="18"/>
                <w:szCs w:val="18"/>
              </w:rPr>
            </w:pPr>
          </w:p>
        </w:tc>
        <w:tc>
          <w:tcPr>
            <w:tcW w:w="1183" w:type="dxa"/>
            <w:tcBorders>
              <w:top w:val="nil"/>
              <w:left w:val="nil"/>
              <w:bottom w:val="nil"/>
              <w:right w:val="single" w:sz="4" w:space="0" w:color="auto"/>
            </w:tcBorders>
            <w:shd w:val="clear" w:color="auto" w:fill="auto"/>
            <w:noWrap/>
            <w:vAlign w:val="bottom"/>
            <w:hideMark/>
          </w:tcPr>
          <w:p w:rsidR="00C16BB2" w:rsidRPr="002E47EC" w:rsidRDefault="00C16BB2" w:rsidP="00F344D2">
            <w:pPr>
              <w:jc w:val="center"/>
              <w:rPr>
                <w:sz w:val="18"/>
                <w:szCs w:val="18"/>
              </w:rPr>
            </w:pPr>
          </w:p>
        </w:tc>
      </w:tr>
      <w:tr w:rsidR="00C16BB2" w:rsidRPr="002E47EC" w:rsidTr="00F344D2">
        <w:trPr>
          <w:trHeight w:val="505"/>
        </w:trPr>
        <w:tc>
          <w:tcPr>
            <w:tcW w:w="4747" w:type="dxa"/>
            <w:gridSpan w:val="4"/>
            <w:tcBorders>
              <w:top w:val="nil"/>
              <w:left w:val="single" w:sz="4" w:space="0" w:color="auto"/>
              <w:bottom w:val="nil"/>
              <w:right w:val="single" w:sz="4" w:space="0" w:color="000000"/>
            </w:tcBorders>
            <w:shd w:val="clear" w:color="auto" w:fill="auto"/>
            <w:vAlign w:val="bottom"/>
            <w:hideMark/>
          </w:tcPr>
          <w:p w:rsidR="00C16BB2" w:rsidRPr="002E47EC" w:rsidRDefault="00C16BB2" w:rsidP="00F344D2">
            <w:pPr>
              <w:rPr>
                <w:b/>
                <w:bCs/>
                <w:sz w:val="18"/>
                <w:szCs w:val="18"/>
              </w:rPr>
            </w:pPr>
            <w:r w:rsidRPr="002E47EC">
              <w:rPr>
                <w:b/>
                <w:bCs/>
                <w:sz w:val="18"/>
                <w:szCs w:val="18"/>
              </w:rPr>
              <w:t>Net (Surplus)/Deficit arising on the Pooled Budget during the year:</w:t>
            </w:r>
          </w:p>
        </w:tc>
        <w:tc>
          <w:tcPr>
            <w:tcW w:w="1181" w:type="dxa"/>
            <w:tcBorders>
              <w:top w:val="nil"/>
              <w:left w:val="nil"/>
              <w:bottom w:val="nil"/>
              <w:right w:val="nil"/>
            </w:tcBorders>
            <w:shd w:val="clear" w:color="auto" w:fill="auto"/>
            <w:noWrap/>
            <w:vAlign w:val="bottom"/>
            <w:hideMark/>
          </w:tcPr>
          <w:p w:rsidR="00C16BB2" w:rsidRPr="002E47EC" w:rsidRDefault="00C16BB2" w:rsidP="00F344D2">
            <w:pPr>
              <w:jc w:val="center"/>
              <w:rPr>
                <w:sz w:val="18"/>
                <w:szCs w:val="18"/>
              </w:rPr>
            </w:pPr>
          </w:p>
        </w:tc>
        <w:tc>
          <w:tcPr>
            <w:tcW w:w="1183" w:type="dxa"/>
            <w:tcBorders>
              <w:top w:val="single" w:sz="4" w:space="0" w:color="auto"/>
              <w:left w:val="nil"/>
              <w:bottom w:val="single" w:sz="8" w:space="0" w:color="auto"/>
              <w:right w:val="single" w:sz="4" w:space="0" w:color="auto"/>
            </w:tcBorders>
            <w:shd w:val="clear" w:color="auto" w:fill="auto"/>
            <w:noWrap/>
            <w:vAlign w:val="bottom"/>
            <w:hideMark/>
          </w:tcPr>
          <w:p w:rsidR="00C16BB2" w:rsidRPr="002E47EC" w:rsidRDefault="0025306E" w:rsidP="00F344D2">
            <w:pPr>
              <w:jc w:val="center"/>
              <w:rPr>
                <w:sz w:val="18"/>
                <w:szCs w:val="18"/>
              </w:rPr>
            </w:pPr>
            <w:r>
              <w:rPr>
                <w:sz w:val="18"/>
                <w:szCs w:val="18"/>
              </w:rPr>
              <w:t>-</w:t>
            </w:r>
          </w:p>
        </w:tc>
        <w:tc>
          <w:tcPr>
            <w:tcW w:w="1181" w:type="dxa"/>
            <w:tcBorders>
              <w:top w:val="nil"/>
              <w:left w:val="nil"/>
              <w:bottom w:val="nil"/>
              <w:right w:val="nil"/>
            </w:tcBorders>
            <w:shd w:val="clear" w:color="auto" w:fill="auto"/>
            <w:noWrap/>
            <w:vAlign w:val="bottom"/>
            <w:hideMark/>
          </w:tcPr>
          <w:p w:rsidR="00C16BB2" w:rsidRPr="002E47EC" w:rsidRDefault="00C16BB2" w:rsidP="00F344D2">
            <w:pPr>
              <w:jc w:val="center"/>
              <w:rPr>
                <w:sz w:val="18"/>
                <w:szCs w:val="18"/>
              </w:rPr>
            </w:pPr>
          </w:p>
        </w:tc>
        <w:tc>
          <w:tcPr>
            <w:tcW w:w="1183" w:type="dxa"/>
            <w:tcBorders>
              <w:top w:val="single" w:sz="4" w:space="0" w:color="auto"/>
              <w:left w:val="nil"/>
              <w:bottom w:val="single" w:sz="8" w:space="0" w:color="auto"/>
              <w:right w:val="single" w:sz="4" w:space="0" w:color="auto"/>
            </w:tcBorders>
            <w:shd w:val="clear" w:color="auto" w:fill="auto"/>
            <w:noWrap/>
            <w:vAlign w:val="bottom"/>
            <w:hideMark/>
          </w:tcPr>
          <w:p w:rsidR="00C16BB2" w:rsidRPr="002E47EC" w:rsidRDefault="00C16BB2" w:rsidP="00F344D2">
            <w:pPr>
              <w:jc w:val="center"/>
              <w:rPr>
                <w:sz w:val="18"/>
                <w:szCs w:val="18"/>
              </w:rPr>
            </w:pPr>
            <w:r w:rsidRPr="002E47EC">
              <w:rPr>
                <w:sz w:val="18"/>
                <w:szCs w:val="18"/>
              </w:rPr>
              <w:t>(148)</w:t>
            </w:r>
          </w:p>
        </w:tc>
      </w:tr>
      <w:tr w:rsidR="00C16BB2" w:rsidRPr="002E47EC" w:rsidTr="00F344D2">
        <w:trPr>
          <w:trHeight w:val="253"/>
        </w:trPr>
        <w:tc>
          <w:tcPr>
            <w:tcW w:w="1186" w:type="dxa"/>
            <w:tcBorders>
              <w:top w:val="nil"/>
              <w:left w:val="single" w:sz="4" w:space="0" w:color="auto"/>
              <w:bottom w:val="nil"/>
              <w:right w:val="nil"/>
            </w:tcBorders>
            <w:shd w:val="clear" w:color="auto" w:fill="auto"/>
            <w:noWrap/>
            <w:vAlign w:val="bottom"/>
            <w:hideMark/>
          </w:tcPr>
          <w:p w:rsidR="00C16BB2" w:rsidRPr="002E47EC" w:rsidRDefault="00C16BB2" w:rsidP="00F344D2">
            <w:pPr>
              <w:rPr>
                <w:sz w:val="18"/>
                <w:szCs w:val="18"/>
              </w:rPr>
            </w:pPr>
            <w:r w:rsidRPr="002E47EC">
              <w:rPr>
                <w:sz w:val="18"/>
                <w:szCs w:val="18"/>
              </w:rPr>
              <w:t> </w:t>
            </w:r>
          </w:p>
        </w:tc>
        <w:tc>
          <w:tcPr>
            <w:tcW w:w="1188" w:type="dxa"/>
            <w:tcBorders>
              <w:top w:val="nil"/>
              <w:left w:val="nil"/>
              <w:bottom w:val="nil"/>
              <w:right w:val="nil"/>
            </w:tcBorders>
            <w:shd w:val="clear" w:color="auto" w:fill="auto"/>
            <w:noWrap/>
            <w:vAlign w:val="bottom"/>
            <w:hideMark/>
          </w:tcPr>
          <w:p w:rsidR="00C16BB2" w:rsidRPr="002E47EC" w:rsidRDefault="00C16BB2" w:rsidP="00F344D2">
            <w:pPr>
              <w:rPr>
                <w:sz w:val="18"/>
                <w:szCs w:val="18"/>
              </w:rPr>
            </w:pPr>
          </w:p>
        </w:tc>
        <w:tc>
          <w:tcPr>
            <w:tcW w:w="1186" w:type="dxa"/>
            <w:tcBorders>
              <w:top w:val="nil"/>
              <w:left w:val="nil"/>
              <w:bottom w:val="nil"/>
              <w:right w:val="nil"/>
            </w:tcBorders>
            <w:shd w:val="clear" w:color="auto" w:fill="auto"/>
            <w:noWrap/>
            <w:vAlign w:val="bottom"/>
            <w:hideMark/>
          </w:tcPr>
          <w:p w:rsidR="00C16BB2" w:rsidRPr="002E47EC" w:rsidRDefault="00C16BB2" w:rsidP="00F344D2">
            <w:pPr>
              <w:rPr>
                <w:sz w:val="18"/>
                <w:szCs w:val="18"/>
              </w:rPr>
            </w:pPr>
          </w:p>
        </w:tc>
        <w:tc>
          <w:tcPr>
            <w:tcW w:w="1187" w:type="dxa"/>
            <w:tcBorders>
              <w:top w:val="nil"/>
              <w:left w:val="nil"/>
              <w:bottom w:val="nil"/>
              <w:right w:val="single" w:sz="4" w:space="0" w:color="auto"/>
            </w:tcBorders>
            <w:shd w:val="clear" w:color="auto" w:fill="auto"/>
            <w:noWrap/>
            <w:vAlign w:val="bottom"/>
            <w:hideMark/>
          </w:tcPr>
          <w:p w:rsidR="00C16BB2" w:rsidRPr="002E47EC" w:rsidRDefault="00C16BB2" w:rsidP="00F344D2">
            <w:pPr>
              <w:rPr>
                <w:sz w:val="18"/>
                <w:szCs w:val="18"/>
              </w:rPr>
            </w:pPr>
            <w:r w:rsidRPr="002E47EC">
              <w:rPr>
                <w:sz w:val="18"/>
                <w:szCs w:val="18"/>
              </w:rPr>
              <w:t> </w:t>
            </w:r>
          </w:p>
        </w:tc>
        <w:tc>
          <w:tcPr>
            <w:tcW w:w="1181" w:type="dxa"/>
            <w:tcBorders>
              <w:top w:val="nil"/>
              <w:left w:val="nil"/>
              <w:bottom w:val="nil"/>
              <w:right w:val="nil"/>
            </w:tcBorders>
            <w:shd w:val="clear" w:color="auto" w:fill="auto"/>
            <w:noWrap/>
            <w:vAlign w:val="bottom"/>
            <w:hideMark/>
          </w:tcPr>
          <w:p w:rsidR="00C16BB2" w:rsidRPr="002E47EC" w:rsidRDefault="00C16BB2" w:rsidP="00F344D2">
            <w:pPr>
              <w:jc w:val="center"/>
              <w:rPr>
                <w:sz w:val="18"/>
                <w:szCs w:val="18"/>
              </w:rPr>
            </w:pPr>
          </w:p>
        </w:tc>
        <w:tc>
          <w:tcPr>
            <w:tcW w:w="1183" w:type="dxa"/>
            <w:tcBorders>
              <w:top w:val="nil"/>
              <w:left w:val="nil"/>
              <w:bottom w:val="nil"/>
              <w:right w:val="single" w:sz="4" w:space="0" w:color="auto"/>
            </w:tcBorders>
            <w:shd w:val="clear" w:color="auto" w:fill="auto"/>
            <w:noWrap/>
            <w:vAlign w:val="bottom"/>
            <w:hideMark/>
          </w:tcPr>
          <w:p w:rsidR="00C16BB2" w:rsidRPr="002E47EC" w:rsidRDefault="00C16BB2" w:rsidP="00F344D2">
            <w:pPr>
              <w:jc w:val="center"/>
              <w:rPr>
                <w:sz w:val="18"/>
                <w:szCs w:val="18"/>
              </w:rPr>
            </w:pPr>
          </w:p>
        </w:tc>
        <w:tc>
          <w:tcPr>
            <w:tcW w:w="1181" w:type="dxa"/>
            <w:tcBorders>
              <w:top w:val="nil"/>
              <w:left w:val="nil"/>
              <w:bottom w:val="nil"/>
              <w:right w:val="nil"/>
            </w:tcBorders>
            <w:shd w:val="clear" w:color="auto" w:fill="auto"/>
            <w:noWrap/>
            <w:vAlign w:val="bottom"/>
            <w:hideMark/>
          </w:tcPr>
          <w:p w:rsidR="00C16BB2" w:rsidRPr="002E47EC" w:rsidRDefault="00C16BB2" w:rsidP="00F344D2">
            <w:pPr>
              <w:jc w:val="center"/>
              <w:rPr>
                <w:sz w:val="18"/>
                <w:szCs w:val="18"/>
              </w:rPr>
            </w:pPr>
          </w:p>
        </w:tc>
        <w:tc>
          <w:tcPr>
            <w:tcW w:w="1183" w:type="dxa"/>
            <w:tcBorders>
              <w:top w:val="nil"/>
              <w:left w:val="nil"/>
              <w:bottom w:val="nil"/>
              <w:right w:val="single" w:sz="4" w:space="0" w:color="auto"/>
            </w:tcBorders>
            <w:shd w:val="clear" w:color="auto" w:fill="auto"/>
            <w:noWrap/>
            <w:vAlign w:val="bottom"/>
            <w:hideMark/>
          </w:tcPr>
          <w:p w:rsidR="00C16BB2" w:rsidRPr="002E47EC" w:rsidRDefault="00C16BB2" w:rsidP="00F344D2">
            <w:pPr>
              <w:jc w:val="center"/>
              <w:rPr>
                <w:sz w:val="18"/>
                <w:szCs w:val="18"/>
              </w:rPr>
            </w:pPr>
          </w:p>
        </w:tc>
      </w:tr>
      <w:tr w:rsidR="00C16BB2" w:rsidRPr="002E47EC" w:rsidTr="00F344D2">
        <w:trPr>
          <w:trHeight w:val="253"/>
        </w:trPr>
        <w:tc>
          <w:tcPr>
            <w:tcW w:w="1186" w:type="dxa"/>
            <w:tcBorders>
              <w:top w:val="nil"/>
              <w:left w:val="single" w:sz="4" w:space="0" w:color="auto"/>
              <w:bottom w:val="nil"/>
              <w:right w:val="nil"/>
            </w:tcBorders>
            <w:shd w:val="clear" w:color="auto" w:fill="auto"/>
            <w:noWrap/>
            <w:vAlign w:val="bottom"/>
            <w:hideMark/>
          </w:tcPr>
          <w:p w:rsidR="00C16BB2" w:rsidRPr="002E47EC" w:rsidRDefault="00C16BB2" w:rsidP="00F344D2">
            <w:pPr>
              <w:rPr>
                <w:sz w:val="18"/>
                <w:szCs w:val="18"/>
              </w:rPr>
            </w:pPr>
            <w:r w:rsidRPr="002E47EC">
              <w:rPr>
                <w:sz w:val="18"/>
                <w:szCs w:val="18"/>
              </w:rPr>
              <w:t> </w:t>
            </w:r>
          </w:p>
        </w:tc>
        <w:tc>
          <w:tcPr>
            <w:tcW w:w="1188" w:type="dxa"/>
            <w:tcBorders>
              <w:top w:val="nil"/>
              <w:left w:val="nil"/>
              <w:bottom w:val="nil"/>
              <w:right w:val="nil"/>
            </w:tcBorders>
            <w:shd w:val="clear" w:color="auto" w:fill="auto"/>
            <w:noWrap/>
            <w:vAlign w:val="bottom"/>
            <w:hideMark/>
          </w:tcPr>
          <w:p w:rsidR="00C16BB2" w:rsidRPr="002E47EC" w:rsidRDefault="00C16BB2" w:rsidP="00F344D2">
            <w:pPr>
              <w:rPr>
                <w:sz w:val="18"/>
                <w:szCs w:val="18"/>
              </w:rPr>
            </w:pPr>
          </w:p>
        </w:tc>
        <w:tc>
          <w:tcPr>
            <w:tcW w:w="1186" w:type="dxa"/>
            <w:tcBorders>
              <w:top w:val="nil"/>
              <w:left w:val="nil"/>
              <w:bottom w:val="nil"/>
              <w:right w:val="nil"/>
            </w:tcBorders>
            <w:shd w:val="clear" w:color="auto" w:fill="auto"/>
            <w:noWrap/>
            <w:vAlign w:val="bottom"/>
            <w:hideMark/>
          </w:tcPr>
          <w:p w:rsidR="00C16BB2" w:rsidRPr="002E47EC" w:rsidRDefault="00C16BB2" w:rsidP="00F344D2">
            <w:pPr>
              <w:rPr>
                <w:sz w:val="18"/>
                <w:szCs w:val="18"/>
              </w:rPr>
            </w:pPr>
          </w:p>
        </w:tc>
        <w:tc>
          <w:tcPr>
            <w:tcW w:w="1187" w:type="dxa"/>
            <w:tcBorders>
              <w:top w:val="nil"/>
              <w:left w:val="nil"/>
              <w:bottom w:val="nil"/>
              <w:right w:val="single" w:sz="4" w:space="0" w:color="auto"/>
            </w:tcBorders>
            <w:shd w:val="clear" w:color="auto" w:fill="auto"/>
            <w:noWrap/>
            <w:vAlign w:val="bottom"/>
            <w:hideMark/>
          </w:tcPr>
          <w:p w:rsidR="00C16BB2" w:rsidRPr="002E47EC" w:rsidRDefault="00C16BB2" w:rsidP="00F344D2">
            <w:pPr>
              <w:rPr>
                <w:sz w:val="18"/>
                <w:szCs w:val="18"/>
              </w:rPr>
            </w:pPr>
            <w:r w:rsidRPr="002E47EC">
              <w:rPr>
                <w:sz w:val="18"/>
                <w:szCs w:val="18"/>
              </w:rPr>
              <w:t> </w:t>
            </w:r>
          </w:p>
        </w:tc>
        <w:tc>
          <w:tcPr>
            <w:tcW w:w="1181" w:type="dxa"/>
            <w:tcBorders>
              <w:top w:val="nil"/>
              <w:left w:val="nil"/>
              <w:bottom w:val="nil"/>
              <w:right w:val="nil"/>
            </w:tcBorders>
            <w:shd w:val="clear" w:color="auto" w:fill="auto"/>
            <w:noWrap/>
            <w:vAlign w:val="bottom"/>
            <w:hideMark/>
          </w:tcPr>
          <w:p w:rsidR="00C16BB2" w:rsidRPr="002E47EC" w:rsidRDefault="00C16BB2" w:rsidP="00F344D2">
            <w:pPr>
              <w:jc w:val="center"/>
              <w:rPr>
                <w:sz w:val="18"/>
                <w:szCs w:val="18"/>
              </w:rPr>
            </w:pPr>
          </w:p>
        </w:tc>
        <w:tc>
          <w:tcPr>
            <w:tcW w:w="1183" w:type="dxa"/>
            <w:tcBorders>
              <w:top w:val="nil"/>
              <w:left w:val="nil"/>
              <w:bottom w:val="nil"/>
              <w:right w:val="single" w:sz="4" w:space="0" w:color="auto"/>
            </w:tcBorders>
            <w:shd w:val="clear" w:color="auto" w:fill="auto"/>
            <w:noWrap/>
            <w:vAlign w:val="bottom"/>
            <w:hideMark/>
          </w:tcPr>
          <w:p w:rsidR="00C16BB2" w:rsidRPr="002E47EC" w:rsidRDefault="00C16BB2" w:rsidP="00F344D2">
            <w:pPr>
              <w:jc w:val="center"/>
              <w:rPr>
                <w:sz w:val="18"/>
                <w:szCs w:val="18"/>
              </w:rPr>
            </w:pPr>
          </w:p>
        </w:tc>
        <w:tc>
          <w:tcPr>
            <w:tcW w:w="1181" w:type="dxa"/>
            <w:tcBorders>
              <w:top w:val="nil"/>
              <w:left w:val="nil"/>
              <w:bottom w:val="nil"/>
              <w:right w:val="nil"/>
            </w:tcBorders>
            <w:shd w:val="clear" w:color="auto" w:fill="auto"/>
            <w:noWrap/>
            <w:vAlign w:val="bottom"/>
            <w:hideMark/>
          </w:tcPr>
          <w:p w:rsidR="00C16BB2" w:rsidRPr="002E47EC" w:rsidRDefault="00C16BB2" w:rsidP="00F344D2">
            <w:pPr>
              <w:jc w:val="center"/>
              <w:rPr>
                <w:sz w:val="18"/>
                <w:szCs w:val="18"/>
              </w:rPr>
            </w:pPr>
          </w:p>
        </w:tc>
        <w:tc>
          <w:tcPr>
            <w:tcW w:w="1183" w:type="dxa"/>
            <w:tcBorders>
              <w:top w:val="nil"/>
              <w:left w:val="nil"/>
              <w:bottom w:val="nil"/>
              <w:right w:val="single" w:sz="4" w:space="0" w:color="auto"/>
            </w:tcBorders>
            <w:shd w:val="clear" w:color="auto" w:fill="auto"/>
            <w:noWrap/>
            <w:vAlign w:val="bottom"/>
            <w:hideMark/>
          </w:tcPr>
          <w:p w:rsidR="00C16BB2" w:rsidRPr="002E47EC" w:rsidRDefault="00C16BB2" w:rsidP="00F344D2">
            <w:pPr>
              <w:jc w:val="center"/>
              <w:rPr>
                <w:sz w:val="18"/>
                <w:szCs w:val="18"/>
              </w:rPr>
            </w:pPr>
          </w:p>
        </w:tc>
      </w:tr>
      <w:tr w:rsidR="00C16BB2" w:rsidRPr="002E47EC" w:rsidTr="00F344D2">
        <w:trPr>
          <w:trHeight w:val="268"/>
        </w:trPr>
        <w:tc>
          <w:tcPr>
            <w:tcW w:w="4747" w:type="dxa"/>
            <w:gridSpan w:val="4"/>
            <w:tcBorders>
              <w:top w:val="nil"/>
              <w:left w:val="single" w:sz="4" w:space="0" w:color="auto"/>
              <w:bottom w:val="single" w:sz="4" w:space="0" w:color="auto"/>
              <w:right w:val="single" w:sz="4" w:space="0" w:color="000000"/>
            </w:tcBorders>
            <w:shd w:val="clear" w:color="auto" w:fill="auto"/>
            <w:noWrap/>
            <w:vAlign w:val="bottom"/>
            <w:hideMark/>
          </w:tcPr>
          <w:p w:rsidR="00C16BB2" w:rsidRPr="002E47EC" w:rsidRDefault="00C16BB2" w:rsidP="00F344D2">
            <w:pPr>
              <w:rPr>
                <w:b/>
                <w:bCs/>
                <w:sz w:val="18"/>
                <w:szCs w:val="18"/>
              </w:rPr>
            </w:pPr>
            <w:r w:rsidRPr="002E47EC">
              <w:rPr>
                <w:b/>
                <w:bCs/>
                <w:sz w:val="18"/>
                <w:szCs w:val="18"/>
              </w:rPr>
              <w:t>Authority Share of the Net (Surplus)/Deficit:</w:t>
            </w:r>
          </w:p>
        </w:tc>
        <w:tc>
          <w:tcPr>
            <w:tcW w:w="1181" w:type="dxa"/>
            <w:tcBorders>
              <w:top w:val="nil"/>
              <w:left w:val="nil"/>
              <w:bottom w:val="single" w:sz="4" w:space="0" w:color="auto"/>
              <w:right w:val="nil"/>
            </w:tcBorders>
            <w:shd w:val="clear" w:color="auto" w:fill="auto"/>
            <w:noWrap/>
            <w:vAlign w:val="bottom"/>
            <w:hideMark/>
          </w:tcPr>
          <w:p w:rsidR="00C16BB2" w:rsidRPr="002E47EC" w:rsidRDefault="00C16BB2" w:rsidP="00F344D2">
            <w:pPr>
              <w:jc w:val="center"/>
              <w:rPr>
                <w:sz w:val="18"/>
                <w:szCs w:val="18"/>
              </w:rPr>
            </w:pPr>
          </w:p>
        </w:tc>
        <w:tc>
          <w:tcPr>
            <w:tcW w:w="1183" w:type="dxa"/>
            <w:tcBorders>
              <w:top w:val="single" w:sz="4" w:space="0" w:color="auto"/>
              <w:left w:val="nil"/>
              <w:bottom w:val="single" w:sz="8" w:space="0" w:color="auto"/>
              <w:right w:val="single" w:sz="4" w:space="0" w:color="auto"/>
            </w:tcBorders>
            <w:shd w:val="clear" w:color="auto" w:fill="auto"/>
            <w:noWrap/>
            <w:vAlign w:val="bottom"/>
            <w:hideMark/>
          </w:tcPr>
          <w:p w:rsidR="00C16BB2" w:rsidRPr="002E47EC" w:rsidRDefault="0025306E" w:rsidP="00F344D2">
            <w:pPr>
              <w:jc w:val="center"/>
              <w:rPr>
                <w:sz w:val="18"/>
                <w:szCs w:val="18"/>
              </w:rPr>
            </w:pPr>
            <w:r>
              <w:rPr>
                <w:sz w:val="18"/>
                <w:szCs w:val="18"/>
              </w:rPr>
              <w:t>-</w:t>
            </w:r>
          </w:p>
        </w:tc>
        <w:tc>
          <w:tcPr>
            <w:tcW w:w="1181" w:type="dxa"/>
            <w:tcBorders>
              <w:top w:val="nil"/>
              <w:left w:val="nil"/>
              <w:bottom w:val="single" w:sz="4" w:space="0" w:color="auto"/>
              <w:right w:val="nil"/>
            </w:tcBorders>
            <w:shd w:val="clear" w:color="auto" w:fill="auto"/>
            <w:noWrap/>
            <w:vAlign w:val="bottom"/>
            <w:hideMark/>
          </w:tcPr>
          <w:p w:rsidR="00C16BB2" w:rsidRPr="002E47EC" w:rsidRDefault="00C16BB2" w:rsidP="00F344D2">
            <w:pPr>
              <w:jc w:val="center"/>
              <w:rPr>
                <w:sz w:val="18"/>
                <w:szCs w:val="18"/>
              </w:rPr>
            </w:pPr>
          </w:p>
        </w:tc>
        <w:tc>
          <w:tcPr>
            <w:tcW w:w="1183" w:type="dxa"/>
            <w:tcBorders>
              <w:top w:val="single" w:sz="4" w:space="0" w:color="auto"/>
              <w:left w:val="nil"/>
              <w:bottom w:val="single" w:sz="8" w:space="0" w:color="auto"/>
              <w:right w:val="single" w:sz="4" w:space="0" w:color="auto"/>
            </w:tcBorders>
            <w:shd w:val="clear" w:color="auto" w:fill="auto"/>
            <w:noWrap/>
            <w:vAlign w:val="bottom"/>
            <w:hideMark/>
          </w:tcPr>
          <w:p w:rsidR="00C16BB2" w:rsidRPr="002E47EC" w:rsidRDefault="00C16BB2" w:rsidP="00F344D2">
            <w:pPr>
              <w:jc w:val="center"/>
              <w:rPr>
                <w:sz w:val="18"/>
                <w:szCs w:val="18"/>
              </w:rPr>
            </w:pPr>
            <w:r w:rsidRPr="002E47EC">
              <w:rPr>
                <w:sz w:val="18"/>
                <w:szCs w:val="18"/>
              </w:rPr>
              <w:t>147</w:t>
            </w:r>
          </w:p>
        </w:tc>
      </w:tr>
    </w:tbl>
    <w:p w:rsidR="00BC1301" w:rsidRDefault="00BC1301" w:rsidP="00BC1301">
      <w:pPr>
        <w:jc w:val="both"/>
        <w:rPr>
          <w:highlight w:val="yellow"/>
        </w:rPr>
      </w:pPr>
    </w:p>
    <w:p w:rsidR="00105819" w:rsidRPr="00286C0E" w:rsidRDefault="00105819" w:rsidP="00BC1301">
      <w:pPr>
        <w:jc w:val="both"/>
        <w:rPr>
          <w:highlight w:val="yellow"/>
        </w:rPr>
      </w:pPr>
    </w:p>
    <w:p w:rsidR="00360EAD" w:rsidRPr="00286C0E" w:rsidRDefault="00360EAD" w:rsidP="00BC1301">
      <w:pPr>
        <w:jc w:val="both"/>
        <w:rPr>
          <w:highlight w:val="yellow"/>
        </w:rPr>
      </w:pPr>
    </w:p>
    <w:p w:rsidR="00BC1301" w:rsidRPr="00286C0E" w:rsidRDefault="00BC1301" w:rsidP="007407FA">
      <w:pPr>
        <w:pStyle w:val="ListParagraph"/>
        <w:ind w:left="0"/>
        <w:rPr>
          <w:rStyle w:val="Strong"/>
          <w:b w:val="0"/>
          <w:bCs w:val="0"/>
          <w:highlight w:val="yellow"/>
        </w:rPr>
      </w:pPr>
    </w:p>
    <w:p w:rsidR="00BC1301" w:rsidRPr="00422E48" w:rsidRDefault="00BC1301" w:rsidP="00BD07E4">
      <w:pPr>
        <w:numPr>
          <w:ilvl w:val="0"/>
          <w:numId w:val="21"/>
        </w:numPr>
        <w:rPr>
          <w:b/>
        </w:rPr>
      </w:pPr>
      <w:r w:rsidRPr="00422E48">
        <w:rPr>
          <w:b/>
        </w:rPr>
        <w:t xml:space="preserve">External Audit costs </w:t>
      </w:r>
    </w:p>
    <w:p w:rsidR="00BC1301" w:rsidRPr="00422E48" w:rsidRDefault="00BC1301" w:rsidP="00BC1301">
      <w:pPr>
        <w:rPr>
          <w:b/>
        </w:rPr>
      </w:pPr>
    </w:p>
    <w:p w:rsidR="00BC1301" w:rsidRPr="00422E48" w:rsidRDefault="00BC1301" w:rsidP="00BC1301">
      <w:pPr>
        <w:ind w:left="720"/>
      </w:pPr>
      <w:r w:rsidRPr="00422E48">
        <w:t>External audit fees were as follows:</w:t>
      </w:r>
    </w:p>
    <w:p w:rsidR="00BC1301" w:rsidRPr="00422E48" w:rsidRDefault="00BC1301" w:rsidP="00BC1301">
      <w:pPr>
        <w:rPr>
          <w:b/>
        </w:rPr>
      </w:pPr>
    </w:p>
    <w:tbl>
      <w:tblPr>
        <w:tblW w:w="9435" w:type="dxa"/>
        <w:tblInd w:w="738" w:type="dxa"/>
        <w:tblLayout w:type="fixed"/>
        <w:tblLook w:val="0000"/>
      </w:tblPr>
      <w:tblGrid>
        <w:gridCol w:w="6600"/>
        <w:gridCol w:w="1701"/>
        <w:gridCol w:w="1134"/>
      </w:tblGrid>
      <w:tr w:rsidR="00FC6B96" w:rsidRPr="00422E48" w:rsidTr="001B7D4B">
        <w:trPr>
          <w:cantSplit/>
        </w:trPr>
        <w:tc>
          <w:tcPr>
            <w:tcW w:w="6600" w:type="dxa"/>
          </w:tcPr>
          <w:p w:rsidR="00FC6B96" w:rsidRPr="00422E48" w:rsidRDefault="00FC6B96" w:rsidP="00D335FF">
            <w:pPr>
              <w:ind w:left="709"/>
              <w:jc w:val="both"/>
            </w:pPr>
          </w:p>
        </w:tc>
        <w:tc>
          <w:tcPr>
            <w:tcW w:w="1701" w:type="dxa"/>
          </w:tcPr>
          <w:p w:rsidR="00FC6B96" w:rsidRPr="00422E48" w:rsidRDefault="00A61159" w:rsidP="00A61159">
            <w:pPr>
              <w:jc w:val="right"/>
              <w:rPr>
                <w:b/>
              </w:rPr>
            </w:pPr>
            <w:r w:rsidRPr="00422E48">
              <w:rPr>
                <w:b/>
              </w:rPr>
              <w:t>2011</w:t>
            </w:r>
            <w:r w:rsidR="00FC6B96" w:rsidRPr="00422E48">
              <w:rPr>
                <w:b/>
              </w:rPr>
              <w:t>/1</w:t>
            </w:r>
            <w:r w:rsidRPr="00422E48">
              <w:rPr>
                <w:b/>
              </w:rPr>
              <w:t>2</w:t>
            </w:r>
          </w:p>
        </w:tc>
        <w:tc>
          <w:tcPr>
            <w:tcW w:w="1134" w:type="dxa"/>
          </w:tcPr>
          <w:p w:rsidR="00FC6B96" w:rsidRPr="00422E48" w:rsidRDefault="00FC6B96" w:rsidP="00A61159">
            <w:pPr>
              <w:jc w:val="right"/>
              <w:rPr>
                <w:b/>
              </w:rPr>
            </w:pPr>
            <w:r w:rsidRPr="00422E48">
              <w:rPr>
                <w:b/>
              </w:rPr>
              <w:t>20</w:t>
            </w:r>
            <w:r w:rsidR="00A61159" w:rsidRPr="00422E48">
              <w:rPr>
                <w:b/>
              </w:rPr>
              <w:t>10</w:t>
            </w:r>
            <w:r w:rsidRPr="00422E48">
              <w:rPr>
                <w:b/>
              </w:rPr>
              <w:t>/1</w:t>
            </w:r>
            <w:r w:rsidR="00A61159" w:rsidRPr="00422E48">
              <w:rPr>
                <w:b/>
              </w:rPr>
              <w:t>1</w:t>
            </w:r>
          </w:p>
        </w:tc>
      </w:tr>
      <w:tr w:rsidR="00FC6B96" w:rsidRPr="00422E48" w:rsidTr="001B7D4B">
        <w:trPr>
          <w:cantSplit/>
        </w:trPr>
        <w:tc>
          <w:tcPr>
            <w:tcW w:w="6600" w:type="dxa"/>
          </w:tcPr>
          <w:p w:rsidR="00FC6B96" w:rsidRPr="00422E48" w:rsidRDefault="00FC6B96" w:rsidP="00D335FF"/>
        </w:tc>
        <w:tc>
          <w:tcPr>
            <w:tcW w:w="1701" w:type="dxa"/>
          </w:tcPr>
          <w:p w:rsidR="00FC6B96" w:rsidRPr="00422E48" w:rsidRDefault="00FC6B96" w:rsidP="00C72BC3">
            <w:pPr>
              <w:jc w:val="right"/>
              <w:rPr>
                <w:b/>
              </w:rPr>
            </w:pPr>
            <w:r w:rsidRPr="00422E48">
              <w:rPr>
                <w:b/>
              </w:rPr>
              <w:t>£000</w:t>
            </w:r>
          </w:p>
        </w:tc>
        <w:tc>
          <w:tcPr>
            <w:tcW w:w="1134" w:type="dxa"/>
          </w:tcPr>
          <w:p w:rsidR="00FC6B96" w:rsidRPr="00422E48" w:rsidRDefault="00360EAD" w:rsidP="00360EAD">
            <w:pPr>
              <w:jc w:val="center"/>
              <w:rPr>
                <w:b/>
              </w:rPr>
            </w:pPr>
            <w:r w:rsidRPr="00422E48">
              <w:rPr>
                <w:b/>
              </w:rPr>
              <w:t xml:space="preserve">     </w:t>
            </w:r>
            <w:r w:rsidR="00FC6B96" w:rsidRPr="00422E48">
              <w:rPr>
                <w:b/>
              </w:rPr>
              <w:t>£000</w:t>
            </w:r>
          </w:p>
        </w:tc>
      </w:tr>
      <w:tr w:rsidR="00A61159" w:rsidRPr="00422E48" w:rsidTr="001B7D4B">
        <w:trPr>
          <w:cantSplit/>
          <w:trHeight w:val="288"/>
        </w:trPr>
        <w:tc>
          <w:tcPr>
            <w:tcW w:w="6600" w:type="dxa"/>
            <w:vAlign w:val="bottom"/>
          </w:tcPr>
          <w:p w:rsidR="00A61159" w:rsidRPr="00422E48" w:rsidRDefault="00A61159" w:rsidP="001B7D4B">
            <w:pPr>
              <w:tabs>
                <w:tab w:val="left" w:pos="0"/>
              </w:tabs>
              <w:spacing w:after="120"/>
            </w:pPr>
            <w:r w:rsidRPr="00422E48">
              <w:t>Fees payable to the Audit Commission with regards to  external audit services carried out by the appointed  auditor</w:t>
            </w:r>
          </w:p>
        </w:tc>
        <w:tc>
          <w:tcPr>
            <w:tcW w:w="1701" w:type="dxa"/>
          </w:tcPr>
          <w:p w:rsidR="00A61159" w:rsidRPr="00422E48" w:rsidRDefault="00422E48" w:rsidP="00C72BC3">
            <w:pPr>
              <w:pStyle w:val="Footer"/>
              <w:tabs>
                <w:tab w:val="clear" w:pos="4153"/>
                <w:tab w:val="clear" w:pos="8306"/>
                <w:tab w:val="decimal" w:pos="990"/>
              </w:tabs>
              <w:spacing w:after="120"/>
              <w:jc w:val="right"/>
            </w:pPr>
            <w:r w:rsidRPr="00422E48">
              <w:t>231</w:t>
            </w:r>
          </w:p>
        </w:tc>
        <w:tc>
          <w:tcPr>
            <w:tcW w:w="1134" w:type="dxa"/>
          </w:tcPr>
          <w:p w:rsidR="00A61159" w:rsidRPr="00422E48" w:rsidRDefault="00A61159" w:rsidP="00A61159">
            <w:pPr>
              <w:pStyle w:val="Footer"/>
              <w:tabs>
                <w:tab w:val="clear" w:pos="4153"/>
                <w:tab w:val="clear" w:pos="8306"/>
                <w:tab w:val="decimal" w:pos="990"/>
              </w:tabs>
              <w:spacing w:after="120"/>
              <w:jc w:val="right"/>
            </w:pPr>
            <w:r w:rsidRPr="00422E48">
              <w:t>308</w:t>
            </w:r>
          </w:p>
        </w:tc>
      </w:tr>
      <w:tr w:rsidR="00A61159" w:rsidRPr="00422E48" w:rsidTr="001B7D4B">
        <w:trPr>
          <w:cantSplit/>
        </w:trPr>
        <w:tc>
          <w:tcPr>
            <w:tcW w:w="6600" w:type="dxa"/>
            <w:vAlign w:val="bottom"/>
          </w:tcPr>
          <w:p w:rsidR="00A61159" w:rsidRPr="00422E48" w:rsidRDefault="00A61159" w:rsidP="00D335FF">
            <w:pPr>
              <w:tabs>
                <w:tab w:val="left" w:pos="0"/>
              </w:tabs>
              <w:spacing w:after="120"/>
            </w:pPr>
            <w:r w:rsidRPr="00422E48">
              <w:t>Fees payable to the Audit Commission for the certification of grant claims and returns for the year</w:t>
            </w:r>
          </w:p>
        </w:tc>
        <w:tc>
          <w:tcPr>
            <w:tcW w:w="1701" w:type="dxa"/>
          </w:tcPr>
          <w:p w:rsidR="00A61159" w:rsidRPr="00422E48" w:rsidRDefault="00422E48" w:rsidP="00C72BC3">
            <w:pPr>
              <w:pStyle w:val="Footer"/>
              <w:tabs>
                <w:tab w:val="clear" w:pos="4153"/>
                <w:tab w:val="clear" w:pos="8306"/>
                <w:tab w:val="decimal" w:pos="990"/>
              </w:tabs>
              <w:spacing w:after="120"/>
              <w:jc w:val="right"/>
            </w:pPr>
            <w:r w:rsidRPr="00422E48">
              <w:t>26</w:t>
            </w:r>
          </w:p>
        </w:tc>
        <w:tc>
          <w:tcPr>
            <w:tcW w:w="1134" w:type="dxa"/>
          </w:tcPr>
          <w:p w:rsidR="00A61159" w:rsidRPr="00422E48" w:rsidRDefault="00A61159" w:rsidP="00A61159">
            <w:pPr>
              <w:pStyle w:val="Footer"/>
              <w:tabs>
                <w:tab w:val="clear" w:pos="4153"/>
                <w:tab w:val="clear" w:pos="8306"/>
                <w:tab w:val="decimal" w:pos="990"/>
              </w:tabs>
              <w:spacing w:after="120"/>
              <w:jc w:val="right"/>
            </w:pPr>
            <w:r w:rsidRPr="00422E48">
              <w:t>21</w:t>
            </w:r>
          </w:p>
        </w:tc>
      </w:tr>
      <w:tr w:rsidR="00A61159" w:rsidRPr="00422E48" w:rsidTr="00F55BF5">
        <w:trPr>
          <w:cantSplit/>
        </w:trPr>
        <w:tc>
          <w:tcPr>
            <w:tcW w:w="6600" w:type="dxa"/>
            <w:vAlign w:val="bottom"/>
          </w:tcPr>
          <w:p w:rsidR="00A61159" w:rsidRPr="00422E48" w:rsidRDefault="00A61159" w:rsidP="00D335FF">
            <w:r w:rsidRPr="00422E48">
              <w:t>Fees payable in respect other services provided by the Audit Commission during the year</w:t>
            </w:r>
          </w:p>
        </w:tc>
        <w:tc>
          <w:tcPr>
            <w:tcW w:w="1701" w:type="dxa"/>
            <w:tcBorders>
              <w:bottom w:val="single" w:sz="4" w:space="0" w:color="auto"/>
            </w:tcBorders>
          </w:tcPr>
          <w:p w:rsidR="00A61159" w:rsidRPr="00422E48" w:rsidRDefault="00422E48" w:rsidP="00C72BC3">
            <w:pPr>
              <w:pStyle w:val="Footer"/>
              <w:tabs>
                <w:tab w:val="clear" w:pos="4153"/>
                <w:tab w:val="clear" w:pos="8306"/>
                <w:tab w:val="decimal" w:pos="990"/>
              </w:tabs>
              <w:jc w:val="right"/>
            </w:pPr>
            <w:r w:rsidRPr="00422E48">
              <w:t>-</w:t>
            </w:r>
          </w:p>
        </w:tc>
        <w:tc>
          <w:tcPr>
            <w:tcW w:w="1134" w:type="dxa"/>
            <w:tcBorders>
              <w:bottom w:val="single" w:sz="4" w:space="0" w:color="auto"/>
            </w:tcBorders>
          </w:tcPr>
          <w:p w:rsidR="00A61159" w:rsidRPr="00422E48" w:rsidRDefault="00A61159" w:rsidP="00A61159">
            <w:pPr>
              <w:pStyle w:val="Footer"/>
              <w:tabs>
                <w:tab w:val="clear" w:pos="4153"/>
                <w:tab w:val="clear" w:pos="8306"/>
                <w:tab w:val="decimal" w:pos="990"/>
              </w:tabs>
              <w:jc w:val="right"/>
            </w:pPr>
            <w:r w:rsidRPr="00422E48">
              <w:t>-</w:t>
            </w:r>
          </w:p>
        </w:tc>
      </w:tr>
      <w:tr w:rsidR="00A61159" w:rsidRPr="00286C0E" w:rsidTr="00F55BF5">
        <w:trPr>
          <w:cantSplit/>
        </w:trPr>
        <w:tc>
          <w:tcPr>
            <w:tcW w:w="6600" w:type="dxa"/>
            <w:vAlign w:val="bottom"/>
          </w:tcPr>
          <w:p w:rsidR="00A61159" w:rsidRPr="00422E48" w:rsidRDefault="00A61159" w:rsidP="00D335FF">
            <w:pPr>
              <w:ind w:left="720" w:hanging="720"/>
              <w:rPr>
                <w:b/>
              </w:rPr>
            </w:pPr>
          </w:p>
        </w:tc>
        <w:tc>
          <w:tcPr>
            <w:tcW w:w="1701" w:type="dxa"/>
            <w:tcBorders>
              <w:top w:val="single" w:sz="4" w:space="0" w:color="auto"/>
              <w:bottom w:val="double" w:sz="6" w:space="0" w:color="auto"/>
            </w:tcBorders>
          </w:tcPr>
          <w:p w:rsidR="00A61159" w:rsidRPr="00422E48" w:rsidRDefault="00422E48" w:rsidP="00C72BC3">
            <w:pPr>
              <w:pStyle w:val="Footer"/>
              <w:tabs>
                <w:tab w:val="clear" w:pos="4153"/>
                <w:tab w:val="clear" w:pos="8306"/>
                <w:tab w:val="decimal" w:pos="990"/>
              </w:tabs>
              <w:jc w:val="right"/>
              <w:rPr>
                <w:b/>
              </w:rPr>
            </w:pPr>
            <w:r w:rsidRPr="00422E48">
              <w:rPr>
                <w:b/>
              </w:rPr>
              <w:t>257</w:t>
            </w:r>
          </w:p>
        </w:tc>
        <w:tc>
          <w:tcPr>
            <w:tcW w:w="1134" w:type="dxa"/>
            <w:tcBorders>
              <w:top w:val="single" w:sz="4" w:space="0" w:color="auto"/>
              <w:bottom w:val="double" w:sz="6" w:space="0" w:color="auto"/>
            </w:tcBorders>
          </w:tcPr>
          <w:p w:rsidR="00A61159" w:rsidRPr="00422E48" w:rsidRDefault="00A61159" w:rsidP="00A61159">
            <w:pPr>
              <w:pStyle w:val="Footer"/>
              <w:tabs>
                <w:tab w:val="clear" w:pos="4153"/>
                <w:tab w:val="clear" w:pos="8306"/>
                <w:tab w:val="decimal" w:pos="990"/>
              </w:tabs>
              <w:jc w:val="right"/>
              <w:rPr>
                <w:b/>
              </w:rPr>
            </w:pPr>
            <w:r w:rsidRPr="00422E48">
              <w:rPr>
                <w:b/>
              </w:rPr>
              <w:t>329</w:t>
            </w:r>
          </w:p>
        </w:tc>
      </w:tr>
    </w:tbl>
    <w:p w:rsidR="00F41B77" w:rsidRDefault="00F41B77" w:rsidP="00BC1301">
      <w:pPr>
        <w:jc w:val="both"/>
        <w:rPr>
          <w:rStyle w:val="Strong"/>
          <w:b w:val="0"/>
          <w:bCs w:val="0"/>
          <w:highlight w:val="yellow"/>
        </w:rPr>
      </w:pPr>
    </w:p>
    <w:p w:rsidR="00F878A9" w:rsidRDefault="00F878A9" w:rsidP="00BC1301">
      <w:pPr>
        <w:jc w:val="both"/>
        <w:rPr>
          <w:rStyle w:val="Strong"/>
          <w:b w:val="0"/>
          <w:bCs w:val="0"/>
          <w:highlight w:val="yellow"/>
        </w:rPr>
      </w:pPr>
    </w:p>
    <w:p w:rsidR="00F878A9" w:rsidRPr="00286C0E" w:rsidRDefault="00F878A9" w:rsidP="00BC1301">
      <w:pPr>
        <w:jc w:val="both"/>
        <w:rPr>
          <w:rStyle w:val="Strong"/>
          <w:b w:val="0"/>
          <w:bCs w:val="0"/>
          <w:highlight w:val="yellow"/>
        </w:rPr>
      </w:pPr>
    </w:p>
    <w:p w:rsidR="00F41B77" w:rsidRPr="00286C0E" w:rsidRDefault="00F41B77" w:rsidP="00BC1301">
      <w:pPr>
        <w:jc w:val="both"/>
        <w:rPr>
          <w:rStyle w:val="Strong"/>
          <w:b w:val="0"/>
          <w:bCs w:val="0"/>
          <w:highlight w:val="yellow"/>
        </w:rPr>
      </w:pPr>
    </w:p>
    <w:p w:rsidR="005D5F9B" w:rsidRPr="00286C0E" w:rsidRDefault="005D5F9B" w:rsidP="00BA348B">
      <w:pPr>
        <w:pStyle w:val="ListParagraph"/>
        <w:ind w:left="0"/>
        <w:rPr>
          <w:rStyle w:val="Strong"/>
          <w:b w:val="0"/>
          <w:bCs w:val="0"/>
          <w:highlight w:val="yellow"/>
        </w:rPr>
      </w:pPr>
    </w:p>
    <w:p w:rsidR="00BC1301" w:rsidRPr="00CF2740" w:rsidRDefault="00BC1301" w:rsidP="00BD07E4">
      <w:pPr>
        <w:numPr>
          <w:ilvl w:val="0"/>
          <w:numId w:val="21"/>
        </w:numPr>
        <w:jc w:val="both"/>
        <w:rPr>
          <w:rStyle w:val="Strong"/>
          <w:bCs w:val="0"/>
        </w:rPr>
      </w:pPr>
      <w:r w:rsidRPr="00CF2740">
        <w:rPr>
          <w:rStyle w:val="Strong"/>
          <w:bCs w:val="0"/>
        </w:rPr>
        <w:lastRenderedPageBreak/>
        <w:t>Members' Allowances</w:t>
      </w:r>
    </w:p>
    <w:p w:rsidR="00BC1301" w:rsidRPr="00CF2740" w:rsidRDefault="00BC1301" w:rsidP="00BC1301">
      <w:pPr>
        <w:ind w:left="720"/>
        <w:jc w:val="both"/>
      </w:pPr>
    </w:p>
    <w:p w:rsidR="00BC1301" w:rsidRPr="00CF2740" w:rsidRDefault="00BC1301" w:rsidP="00BC1301">
      <w:pPr>
        <w:ind w:left="720"/>
        <w:jc w:val="both"/>
        <w:rPr>
          <w:rStyle w:val="Strong"/>
          <w:b w:val="0"/>
          <w:bCs w:val="0"/>
        </w:rPr>
      </w:pPr>
      <w:r w:rsidRPr="00CF2740">
        <w:t>The authority paid the following amounts to members of the Council during the year</w:t>
      </w:r>
    </w:p>
    <w:p w:rsidR="00BC1301" w:rsidRPr="00CF2740" w:rsidRDefault="00BC1301" w:rsidP="00BC1301">
      <w:pPr>
        <w:ind w:left="720"/>
        <w:rPr>
          <w:color w:val="FF0000"/>
        </w:rPr>
      </w:pPr>
    </w:p>
    <w:tbl>
      <w:tblPr>
        <w:tblW w:w="7610" w:type="dxa"/>
        <w:tblInd w:w="720" w:type="dxa"/>
        <w:tblLook w:val="04A0"/>
      </w:tblPr>
      <w:tblGrid>
        <w:gridCol w:w="4900"/>
        <w:gridCol w:w="280"/>
        <w:gridCol w:w="1084"/>
        <w:gridCol w:w="1346"/>
      </w:tblGrid>
      <w:tr w:rsidR="00BC1301" w:rsidRPr="00CF2740" w:rsidTr="00C82CA6">
        <w:trPr>
          <w:trHeight w:val="360"/>
        </w:trPr>
        <w:tc>
          <w:tcPr>
            <w:tcW w:w="4900" w:type="dxa"/>
            <w:tcBorders>
              <w:top w:val="nil"/>
              <w:left w:val="nil"/>
              <w:bottom w:val="nil"/>
              <w:right w:val="nil"/>
            </w:tcBorders>
            <w:shd w:val="clear" w:color="auto" w:fill="auto"/>
            <w:noWrap/>
            <w:vAlign w:val="bottom"/>
            <w:hideMark/>
          </w:tcPr>
          <w:p w:rsidR="00BC1301" w:rsidRPr="00CF2740" w:rsidRDefault="00BC1301" w:rsidP="00D335FF">
            <w:pPr>
              <w:rPr>
                <w:b/>
                <w:bCs/>
              </w:rPr>
            </w:pPr>
          </w:p>
        </w:tc>
        <w:tc>
          <w:tcPr>
            <w:tcW w:w="280" w:type="dxa"/>
            <w:tcBorders>
              <w:top w:val="nil"/>
              <w:left w:val="nil"/>
              <w:bottom w:val="nil"/>
              <w:right w:val="nil"/>
            </w:tcBorders>
            <w:shd w:val="clear" w:color="auto" w:fill="auto"/>
            <w:noWrap/>
            <w:vAlign w:val="bottom"/>
            <w:hideMark/>
          </w:tcPr>
          <w:p w:rsidR="00BC1301" w:rsidRPr="00CF2740" w:rsidRDefault="00BC1301" w:rsidP="00D335FF"/>
        </w:tc>
        <w:tc>
          <w:tcPr>
            <w:tcW w:w="1084" w:type="dxa"/>
            <w:tcBorders>
              <w:top w:val="nil"/>
              <w:left w:val="nil"/>
              <w:bottom w:val="nil"/>
              <w:right w:val="nil"/>
            </w:tcBorders>
            <w:shd w:val="clear" w:color="000000" w:fill="auto"/>
            <w:noWrap/>
            <w:vAlign w:val="bottom"/>
            <w:hideMark/>
          </w:tcPr>
          <w:p w:rsidR="00BC1301" w:rsidRPr="00CF2740" w:rsidRDefault="00BC1301" w:rsidP="00A61159">
            <w:pPr>
              <w:jc w:val="right"/>
              <w:rPr>
                <w:b/>
                <w:bCs/>
              </w:rPr>
            </w:pPr>
            <w:r w:rsidRPr="00CF2740">
              <w:rPr>
                <w:b/>
                <w:bCs/>
              </w:rPr>
              <w:t>20</w:t>
            </w:r>
            <w:r w:rsidR="00FC6B96" w:rsidRPr="00CF2740">
              <w:rPr>
                <w:b/>
                <w:bCs/>
              </w:rPr>
              <w:t>1</w:t>
            </w:r>
            <w:r w:rsidR="00A61159" w:rsidRPr="00CF2740">
              <w:rPr>
                <w:b/>
                <w:bCs/>
              </w:rPr>
              <w:t>1</w:t>
            </w:r>
            <w:r w:rsidR="00E51FE0" w:rsidRPr="00CF2740">
              <w:rPr>
                <w:b/>
                <w:bCs/>
              </w:rPr>
              <w:t>/1</w:t>
            </w:r>
            <w:r w:rsidR="00A61159" w:rsidRPr="00CF2740">
              <w:rPr>
                <w:b/>
                <w:bCs/>
              </w:rPr>
              <w:t>2</w:t>
            </w:r>
          </w:p>
        </w:tc>
        <w:tc>
          <w:tcPr>
            <w:tcW w:w="1346" w:type="dxa"/>
            <w:tcBorders>
              <w:top w:val="nil"/>
              <w:left w:val="nil"/>
              <w:bottom w:val="nil"/>
              <w:right w:val="nil"/>
            </w:tcBorders>
            <w:shd w:val="clear" w:color="auto" w:fill="auto"/>
            <w:vAlign w:val="bottom"/>
            <w:hideMark/>
          </w:tcPr>
          <w:p w:rsidR="00BC1301" w:rsidRPr="00CF2740" w:rsidRDefault="00BC1301" w:rsidP="00A61159">
            <w:pPr>
              <w:jc w:val="right"/>
              <w:rPr>
                <w:b/>
                <w:bCs/>
              </w:rPr>
            </w:pPr>
            <w:r w:rsidRPr="00CF2740">
              <w:rPr>
                <w:b/>
                <w:bCs/>
              </w:rPr>
              <w:t>20</w:t>
            </w:r>
            <w:r w:rsidR="00A61159" w:rsidRPr="00CF2740">
              <w:rPr>
                <w:b/>
                <w:bCs/>
              </w:rPr>
              <w:t>10</w:t>
            </w:r>
            <w:r w:rsidR="00E51FE0" w:rsidRPr="00CF2740">
              <w:rPr>
                <w:b/>
                <w:bCs/>
              </w:rPr>
              <w:t>/1</w:t>
            </w:r>
            <w:r w:rsidR="00A61159" w:rsidRPr="00CF2740">
              <w:rPr>
                <w:b/>
                <w:bCs/>
              </w:rPr>
              <w:t>1</w:t>
            </w:r>
            <w:r w:rsidRPr="00CF2740">
              <w:rPr>
                <w:b/>
                <w:bCs/>
              </w:rPr>
              <w:t xml:space="preserve"> </w:t>
            </w:r>
          </w:p>
        </w:tc>
      </w:tr>
      <w:tr w:rsidR="00BC1301" w:rsidRPr="00CF2740" w:rsidTr="00C82CA6">
        <w:trPr>
          <w:trHeight w:val="360"/>
        </w:trPr>
        <w:tc>
          <w:tcPr>
            <w:tcW w:w="4900" w:type="dxa"/>
            <w:tcBorders>
              <w:top w:val="nil"/>
              <w:left w:val="nil"/>
              <w:bottom w:val="nil"/>
              <w:right w:val="nil"/>
            </w:tcBorders>
            <w:shd w:val="clear" w:color="auto" w:fill="auto"/>
            <w:noWrap/>
            <w:vAlign w:val="bottom"/>
            <w:hideMark/>
          </w:tcPr>
          <w:p w:rsidR="00BC1301" w:rsidRPr="00CF2740" w:rsidRDefault="00BC1301" w:rsidP="00D335FF">
            <w:pPr>
              <w:rPr>
                <w:b/>
                <w:bCs/>
              </w:rPr>
            </w:pPr>
          </w:p>
        </w:tc>
        <w:tc>
          <w:tcPr>
            <w:tcW w:w="280" w:type="dxa"/>
            <w:tcBorders>
              <w:top w:val="nil"/>
              <w:left w:val="nil"/>
              <w:bottom w:val="nil"/>
              <w:right w:val="nil"/>
            </w:tcBorders>
            <w:shd w:val="clear" w:color="auto" w:fill="auto"/>
            <w:noWrap/>
            <w:vAlign w:val="bottom"/>
            <w:hideMark/>
          </w:tcPr>
          <w:p w:rsidR="00BC1301" w:rsidRPr="00CF2740" w:rsidRDefault="00BC1301" w:rsidP="00D335FF"/>
        </w:tc>
        <w:tc>
          <w:tcPr>
            <w:tcW w:w="1084" w:type="dxa"/>
            <w:tcBorders>
              <w:top w:val="nil"/>
              <w:left w:val="nil"/>
              <w:bottom w:val="nil"/>
              <w:right w:val="nil"/>
            </w:tcBorders>
            <w:shd w:val="clear" w:color="000000" w:fill="auto"/>
            <w:noWrap/>
            <w:vAlign w:val="bottom"/>
            <w:hideMark/>
          </w:tcPr>
          <w:p w:rsidR="00BC1301" w:rsidRPr="00CF2740" w:rsidRDefault="00BC1301" w:rsidP="00F41B77">
            <w:pPr>
              <w:jc w:val="right"/>
              <w:rPr>
                <w:b/>
                <w:bCs/>
              </w:rPr>
            </w:pPr>
            <w:r w:rsidRPr="00CF2740">
              <w:rPr>
                <w:b/>
                <w:bCs/>
              </w:rPr>
              <w:t>£000</w:t>
            </w:r>
          </w:p>
        </w:tc>
        <w:tc>
          <w:tcPr>
            <w:tcW w:w="1346" w:type="dxa"/>
            <w:tcBorders>
              <w:top w:val="nil"/>
              <w:left w:val="nil"/>
              <w:bottom w:val="nil"/>
              <w:right w:val="nil"/>
            </w:tcBorders>
            <w:shd w:val="clear" w:color="auto" w:fill="auto"/>
            <w:noWrap/>
            <w:vAlign w:val="bottom"/>
            <w:hideMark/>
          </w:tcPr>
          <w:p w:rsidR="00BC1301" w:rsidRPr="00CF2740" w:rsidRDefault="00BC1301" w:rsidP="00F41B77">
            <w:pPr>
              <w:jc w:val="right"/>
              <w:rPr>
                <w:b/>
                <w:bCs/>
              </w:rPr>
            </w:pPr>
            <w:r w:rsidRPr="00CF2740">
              <w:rPr>
                <w:b/>
                <w:bCs/>
              </w:rPr>
              <w:t>£000</w:t>
            </w:r>
          </w:p>
        </w:tc>
      </w:tr>
      <w:tr w:rsidR="00BC1301" w:rsidRPr="00CF2740" w:rsidTr="00C82CA6">
        <w:trPr>
          <w:trHeight w:val="315"/>
        </w:trPr>
        <w:tc>
          <w:tcPr>
            <w:tcW w:w="4900" w:type="dxa"/>
            <w:tcBorders>
              <w:top w:val="nil"/>
              <w:left w:val="nil"/>
              <w:bottom w:val="nil"/>
              <w:right w:val="nil"/>
            </w:tcBorders>
            <w:shd w:val="clear" w:color="auto" w:fill="auto"/>
            <w:noWrap/>
            <w:vAlign w:val="bottom"/>
            <w:hideMark/>
          </w:tcPr>
          <w:p w:rsidR="00BC1301" w:rsidRPr="00CF2740" w:rsidRDefault="00BC1301" w:rsidP="00D335FF">
            <w:pPr>
              <w:rPr>
                <w:bCs/>
              </w:rPr>
            </w:pPr>
          </w:p>
        </w:tc>
        <w:tc>
          <w:tcPr>
            <w:tcW w:w="280" w:type="dxa"/>
            <w:tcBorders>
              <w:top w:val="nil"/>
              <w:left w:val="nil"/>
              <w:bottom w:val="nil"/>
              <w:right w:val="nil"/>
            </w:tcBorders>
            <w:shd w:val="clear" w:color="auto" w:fill="auto"/>
            <w:noWrap/>
            <w:vAlign w:val="bottom"/>
            <w:hideMark/>
          </w:tcPr>
          <w:p w:rsidR="00BC1301" w:rsidRPr="00CF2740" w:rsidRDefault="00BC1301" w:rsidP="00D335FF"/>
        </w:tc>
        <w:tc>
          <w:tcPr>
            <w:tcW w:w="1084" w:type="dxa"/>
            <w:tcBorders>
              <w:top w:val="nil"/>
              <w:left w:val="nil"/>
              <w:bottom w:val="nil"/>
              <w:right w:val="nil"/>
            </w:tcBorders>
            <w:shd w:val="clear" w:color="000000" w:fill="auto"/>
            <w:noWrap/>
            <w:vAlign w:val="bottom"/>
            <w:hideMark/>
          </w:tcPr>
          <w:p w:rsidR="00BC1301" w:rsidRPr="00CF2740" w:rsidRDefault="00BC1301" w:rsidP="00F41B77">
            <w:pPr>
              <w:jc w:val="right"/>
            </w:pPr>
          </w:p>
        </w:tc>
        <w:tc>
          <w:tcPr>
            <w:tcW w:w="1346" w:type="dxa"/>
            <w:tcBorders>
              <w:top w:val="nil"/>
              <w:left w:val="nil"/>
              <w:bottom w:val="nil"/>
              <w:right w:val="nil"/>
            </w:tcBorders>
            <w:shd w:val="clear" w:color="auto" w:fill="auto"/>
            <w:noWrap/>
            <w:vAlign w:val="bottom"/>
            <w:hideMark/>
          </w:tcPr>
          <w:p w:rsidR="00BC1301" w:rsidRPr="00CF2740" w:rsidRDefault="00BC1301" w:rsidP="00F41B77">
            <w:pPr>
              <w:jc w:val="right"/>
              <w:rPr>
                <w:color w:val="0000FF"/>
              </w:rPr>
            </w:pPr>
          </w:p>
        </w:tc>
      </w:tr>
      <w:tr w:rsidR="00A61159" w:rsidRPr="00CF2740" w:rsidTr="00C82CA6">
        <w:trPr>
          <w:trHeight w:val="315"/>
        </w:trPr>
        <w:tc>
          <w:tcPr>
            <w:tcW w:w="4900" w:type="dxa"/>
            <w:tcBorders>
              <w:top w:val="nil"/>
              <w:left w:val="nil"/>
              <w:bottom w:val="nil"/>
              <w:right w:val="nil"/>
            </w:tcBorders>
            <w:shd w:val="clear" w:color="auto" w:fill="auto"/>
            <w:noWrap/>
            <w:vAlign w:val="bottom"/>
            <w:hideMark/>
          </w:tcPr>
          <w:p w:rsidR="00A61159" w:rsidRPr="00CF2740" w:rsidRDefault="00A61159" w:rsidP="00D335FF">
            <w:pPr>
              <w:rPr>
                <w:bCs/>
              </w:rPr>
            </w:pPr>
            <w:r w:rsidRPr="00CF2740">
              <w:rPr>
                <w:bCs/>
              </w:rPr>
              <w:t>Basic Allowances</w:t>
            </w:r>
          </w:p>
        </w:tc>
        <w:tc>
          <w:tcPr>
            <w:tcW w:w="280" w:type="dxa"/>
            <w:tcBorders>
              <w:top w:val="nil"/>
              <w:left w:val="nil"/>
              <w:bottom w:val="nil"/>
              <w:right w:val="nil"/>
            </w:tcBorders>
            <w:shd w:val="clear" w:color="auto" w:fill="auto"/>
            <w:noWrap/>
            <w:vAlign w:val="bottom"/>
            <w:hideMark/>
          </w:tcPr>
          <w:p w:rsidR="00A61159" w:rsidRPr="00CF2740" w:rsidRDefault="00A61159" w:rsidP="00D335FF"/>
        </w:tc>
        <w:tc>
          <w:tcPr>
            <w:tcW w:w="1084" w:type="dxa"/>
            <w:tcBorders>
              <w:top w:val="nil"/>
              <w:left w:val="nil"/>
              <w:bottom w:val="nil"/>
              <w:right w:val="nil"/>
            </w:tcBorders>
            <w:shd w:val="clear" w:color="000000" w:fill="auto"/>
            <w:noWrap/>
            <w:vAlign w:val="bottom"/>
            <w:hideMark/>
          </w:tcPr>
          <w:p w:rsidR="00A61159" w:rsidRPr="00CF2740" w:rsidRDefault="00222252" w:rsidP="008B4EC2">
            <w:pPr>
              <w:jc w:val="right"/>
            </w:pPr>
            <w:r>
              <w:t>839</w:t>
            </w:r>
          </w:p>
        </w:tc>
        <w:tc>
          <w:tcPr>
            <w:tcW w:w="1346" w:type="dxa"/>
            <w:tcBorders>
              <w:top w:val="nil"/>
              <w:left w:val="nil"/>
              <w:bottom w:val="nil"/>
              <w:right w:val="nil"/>
            </w:tcBorders>
            <w:shd w:val="clear" w:color="auto" w:fill="auto"/>
            <w:noWrap/>
            <w:vAlign w:val="bottom"/>
            <w:hideMark/>
          </w:tcPr>
          <w:p w:rsidR="00A61159" w:rsidRPr="00CF2740" w:rsidRDefault="00A61159" w:rsidP="00A61159">
            <w:pPr>
              <w:jc w:val="right"/>
            </w:pPr>
            <w:r w:rsidRPr="00CF2740">
              <w:t>841</w:t>
            </w:r>
          </w:p>
        </w:tc>
      </w:tr>
      <w:tr w:rsidR="00A61159" w:rsidRPr="00CF2740" w:rsidTr="00C82CA6">
        <w:trPr>
          <w:trHeight w:val="315"/>
        </w:trPr>
        <w:tc>
          <w:tcPr>
            <w:tcW w:w="4900" w:type="dxa"/>
            <w:tcBorders>
              <w:top w:val="nil"/>
              <w:left w:val="nil"/>
              <w:bottom w:val="nil"/>
              <w:right w:val="nil"/>
            </w:tcBorders>
            <w:shd w:val="clear" w:color="auto" w:fill="auto"/>
            <w:noWrap/>
            <w:vAlign w:val="bottom"/>
            <w:hideMark/>
          </w:tcPr>
          <w:p w:rsidR="00A61159" w:rsidRPr="00CF2740" w:rsidRDefault="00A61159" w:rsidP="00C82CA6">
            <w:pPr>
              <w:rPr>
                <w:bCs/>
              </w:rPr>
            </w:pPr>
            <w:r w:rsidRPr="00CF2740">
              <w:rPr>
                <w:bCs/>
              </w:rPr>
              <w:t>Special responsibility allowances</w:t>
            </w:r>
          </w:p>
        </w:tc>
        <w:tc>
          <w:tcPr>
            <w:tcW w:w="280" w:type="dxa"/>
            <w:tcBorders>
              <w:top w:val="nil"/>
              <w:left w:val="nil"/>
              <w:bottom w:val="nil"/>
              <w:right w:val="nil"/>
            </w:tcBorders>
            <w:shd w:val="clear" w:color="auto" w:fill="auto"/>
            <w:noWrap/>
            <w:vAlign w:val="bottom"/>
            <w:hideMark/>
          </w:tcPr>
          <w:p w:rsidR="00A61159" w:rsidRPr="00CF2740" w:rsidRDefault="00A61159" w:rsidP="00D335FF"/>
        </w:tc>
        <w:tc>
          <w:tcPr>
            <w:tcW w:w="1084" w:type="dxa"/>
            <w:tcBorders>
              <w:top w:val="nil"/>
              <w:left w:val="nil"/>
              <w:bottom w:val="nil"/>
              <w:right w:val="nil"/>
            </w:tcBorders>
            <w:shd w:val="clear" w:color="000000" w:fill="auto"/>
            <w:noWrap/>
            <w:vAlign w:val="bottom"/>
            <w:hideMark/>
          </w:tcPr>
          <w:p w:rsidR="00A61159" w:rsidRPr="00CF2740" w:rsidRDefault="00056FDF" w:rsidP="008B4EC2">
            <w:pPr>
              <w:jc w:val="right"/>
            </w:pPr>
            <w:r>
              <w:t>354</w:t>
            </w:r>
          </w:p>
        </w:tc>
        <w:tc>
          <w:tcPr>
            <w:tcW w:w="1346" w:type="dxa"/>
            <w:tcBorders>
              <w:top w:val="nil"/>
              <w:left w:val="nil"/>
              <w:bottom w:val="nil"/>
              <w:right w:val="nil"/>
            </w:tcBorders>
            <w:shd w:val="clear" w:color="auto" w:fill="auto"/>
            <w:noWrap/>
            <w:vAlign w:val="bottom"/>
            <w:hideMark/>
          </w:tcPr>
          <w:p w:rsidR="00A61159" w:rsidRPr="00CF2740" w:rsidRDefault="00A61159" w:rsidP="00A97093">
            <w:pPr>
              <w:jc w:val="right"/>
            </w:pPr>
            <w:r w:rsidRPr="00CF2740">
              <w:t>332</w:t>
            </w:r>
          </w:p>
        </w:tc>
      </w:tr>
      <w:tr w:rsidR="00A61159" w:rsidRPr="00CF2740" w:rsidTr="00F55BF5">
        <w:trPr>
          <w:trHeight w:val="315"/>
        </w:trPr>
        <w:tc>
          <w:tcPr>
            <w:tcW w:w="4900" w:type="dxa"/>
            <w:tcBorders>
              <w:top w:val="nil"/>
              <w:left w:val="nil"/>
              <w:bottom w:val="nil"/>
              <w:right w:val="nil"/>
            </w:tcBorders>
            <w:shd w:val="clear" w:color="auto" w:fill="auto"/>
            <w:noWrap/>
            <w:vAlign w:val="bottom"/>
            <w:hideMark/>
          </w:tcPr>
          <w:p w:rsidR="00A61159" w:rsidRPr="00CF2740" w:rsidRDefault="00A61159" w:rsidP="00D335FF">
            <w:pPr>
              <w:rPr>
                <w:bCs/>
              </w:rPr>
            </w:pPr>
            <w:r w:rsidRPr="00CF2740">
              <w:rPr>
                <w:bCs/>
              </w:rPr>
              <w:t>Expenses</w:t>
            </w:r>
          </w:p>
        </w:tc>
        <w:tc>
          <w:tcPr>
            <w:tcW w:w="280" w:type="dxa"/>
            <w:tcBorders>
              <w:top w:val="nil"/>
              <w:left w:val="nil"/>
              <w:bottom w:val="nil"/>
              <w:right w:val="nil"/>
            </w:tcBorders>
            <w:shd w:val="clear" w:color="auto" w:fill="auto"/>
            <w:noWrap/>
            <w:vAlign w:val="bottom"/>
            <w:hideMark/>
          </w:tcPr>
          <w:p w:rsidR="00A61159" w:rsidRPr="00CF2740" w:rsidRDefault="00A61159" w:rsidP="00D335FF"/>
        </w:tc>
        <w:tc>
          <w:tcPr>
            <w:tcW w:w="1084" w:type="dxa"/>
            <w:tcBorders>
              <w:top w:val="nil"/>
              <w:left w:val="nil"/>
              <w:bottom w:val="single" w:sz="4" w:space="0" w:color="auto"/>
              <w:right w:val="nil"/>
            </w:tcBorders>
            <w:shd w:val="clear" w:color="000000" w:fill="auto"/>
            <w:noWrap/>
            <w:vAlign w:val="bottom"/>
            <w:hideMark/>
          </w:tcPr>
          <w:p w:rsidR="00A61159" w:rsidRPr="00CF2740" w:rsidRDefault="00056FDF" w:rsidP="008B4EC2">
            <w:pPr>
              <w:jc w:val="right"/>
            </w:pPr>
            <w:r>
              <w:t>97</w:t>
            </w:r>
          </w:p>
        </w:tc>
        <w:tc>
          <w:tcPr>
            <w:tcW w:w="1346" w:type="dxa"/>
            <w:tcBorders>
              <w:top w:val="nil"/>
              <w:left w:val="nil"/>
              <w:bottom w:val="single" w:sz="4" w:space="0" w:color="auto"/>
              <w:right w:val="nil"/>
            </w:tcBorders>
            <w:shd w:val="clear" w:color="auto" w:fill="auto"/>
            <w:noWrap/>
            <w:vAlign w:val="bottom"/>
            <w:hideMark/>
          </w:tcPr>
          <w:p w:rsidR="00A61159" w:rsidRPr="00CF2740" w:rsidRDefault="00A61159" w:rsidP="00A61159">
            <w:pPr>
              <w:jc w:val="right"/>
            </w:pPr>
            <w:r w:rsidRPr="00CF2740">
              <w:t>100</w:t>
            </w:r>
          </w:p>
        </w:tc>
      </w:tr>
      <w:tr w:rsidR="00A61159" w:rsidRPr="00CF2740" w:rsidTr="00C82CA6">
        <w:trPr>
          <w:trHeight w:val="330"/>
        </w:trPr>
        <w:tc>
          <w:tcPr>
            <w:tcW w:w="4900" w:type="dxa"/>
            <w:tcBorders>
              <w:top w:val="nil"/>
              <w:left w:val="nil"/>
              <w:bottom w:val="nil"/>
              <w:right w:val="nil"/>
            </w:tcBorders>
            <w:shd w:val="clear" w:color="auto" w:fill="auto"/>
            <w:noWrap/>
            <w:vAlign w:val="bottom"/>
            <w:hideMark/>
          </w:tcPr>
          <w:p w:rsidR="00A61159" w:rsidRPr="00CF2740" w:rsidRDefault="00A61159" w:rsidP="00D335FF">
            <w:pPr>
              <w:rPr>
                <w:b/>
                <w:bCs/>
              </w:rPr>
            </w:pPr>
            <w:r w:rsidRPr="00CF2740">
              <w:rPr>
                <w:b/>
                <w:bCs/>
              </w:rPr>
              <w:t>Total</w:t>
            </w:r>
          </w:p>
        </w:tc>
        <w:tc>
          <w:tcPr>
            <w:tcW w:w="280" w:type="dxa"/>
            <w:tcBorders>
              <w:top w:val="nil"/>
              <w:left w:val="nil"/>
              <w:bottom w:val="nil"/>
              <w:right w:val="nil"/>
            </w:tcBorders>
            <w:shd w:val="clear" w:color="auto" w:fill="auto"/>
            <w:noWrap/>
            <w:vAlign w:val="bottom"/>
            <w:hideMark/>
          </w:tcPr>
          <w:p w:rsidR="00A61159" w:rsidRPr="00CF2740" w:rsidRDefault="00A61159" w:rsidP="00D335FF">
            <w:pPr>
              <w:rPr>
                <w:b/>
              </w:rPr>
            </w:pPr>
          </w:p>
        </w:tc>
        <w:tc>
          <w:tcPr>
            <w:tcW w:w="1084" w:type="dxa"/>
            <w:tcBorders>
              <w:top w:val="single" w:sz="4" w:space="0" w:color="auto"/>
              <w:left w:val="nil"/>
              <w:bottom w:val="double" w:sz="6" w:space="0" w:color="auto"/>
              <w:right w:val="nil"/>
            </w:tcBorders>
            <w:shd w:val="clear" w:color="000000" w:fill="auto"/>
            <w:noWrap/>
            <w:vAlign w:val="bottom"/>
            <w:hideMark/>
          </w:tcPr>
          <w:p w:rsidR="00A61159" w:rsidRPr="00CF2740" w:rsidRDefault="00CF2740" w:rsidP="008B4EC2">
            <w:pPr>
              <w:jc w:val="right"/>
              <w:rPr>
                <w:b/>
              </w:rPr>
            </w:pPr>
            <w:r w:rsidRPr="00CF2740">
              <w:rPr>
                <w:b/>
              </w:rPr>
              <w:t>1,2</w:t>
            </w:r>
            <w:r w:rsidR="00056FDF">
              <w:rPr>
                <w:b/>
              </w:rPr>
              <w:t>90</w:t>
            </w:r>
          </w:p>
        </w:tc>
        <w:tc>
          <w:tcPr>
            <w:tcW w:w="1346" w:type="dxa"/>
            <w:tcBorders>
              <w:top w:val="single" w:sz="4" w:space="0" w:color="auto"/>
              <w:left w:val="nil"/>
              <w:bottom w:val="double" w:sz="6" w:space="0" w:color="auto"/>
              <w:right w:val="nil"/>
            </w:tcBorders>
            <w:shd w:val="clear" w:color="auto" w:fill="auto"/>
            <w:noWrap/>
            <w:vAlign w:val="bottom"/>
            <w:hideMark/>
          </w:tcPr>
          <w:p w:rsidR="00A61159" w:rsidRPr="00CF2740" w:rsidRDefault="00A61159" w:rsidP="00A61159">
            <w:pPr>
              <w:jc w:val="right"/>
              <w:rPr>
                <w:b/>
              </w:rPr>
            </w:pPr>
            <w:r w:rsidRPr="00CF2740">
              <w:rPr>
                <w:b/>
              </w:rPr>
              <w:t>1,273</w:t>
            </w:r>
          </w:p>
        </w:tc>
      </w:tr>
    </w:tbl>
    <w:p w:rsidR="00BC1301" w:rsidRPr="00CF2740" w:rsidRDefault="00BC1301" w:rsidP="00BC1301">
      <w:pPr>
        <w:spacing w:after="240"/>
        <w:rPr>
          <w:b/>
        </w:rPr>
      </w:pPr>
    </w:p>
    <w:p w:rsidR="00BC1301" w:rsidRPr="00CF2740" w:rsidRDefault="00BC1301" w:rsidP="00BC1301">
      <w:pPr>
        <w:spacing w:after="240"/>
        <w:ind w:firstLine="720"/>
        <w:jc w:val="both"/>
      </w:pPr>
      <w:r w:rsidRPr="00CF2740">
        <w:t>Details of the allowances paid can be found on the Council's website:</w:t>
      </w:r>
    </w:p>
    <w:p w:rsidR="00BC1301" w:rsidRPr="00CF2740" w:rsidRDefault="00BC1301" w:rsidP="00BC1301">
      <w:pPr>
        <w:spacing w:after="240"/>
        <w:ind w:left="720"/>
        <w:jc w:val="both"/>
      </w:pPr>
      <w:r w:rsidRPr="00CF2740">
        <w:t xml:space="preserve">Go to our website address at </w:t>
      </w:r>
      <w:hyperlink r:id="rId15" w:history="1">
        <w:r w:rsidRPr="00CF2740">
          <w:rPr>
            <w:rStyle w:val="Hyperlink"/>
          </w:rPr>
          <w:t>www.lancashire.gov.uk</w:t>
        </w:r>
      </w:hyperlink>
      <w:r w:rsidRPr="00CF2740">
        <w:t xml:space="preserve">  </w:t>
      </w:r>
    </w:p>
    <w:p w:rsidR="00BC1301" w:rsidRPr="00286C0E" w:rsidRDefault="00BC1301" w:rsidP="00BC1301">
      <w:pPr>
        <w:ind w:left="720"/>
        <w:rPr>
          <w:highlight w:val="yellow"/>
        </w:rPr>
      </w:pPr>
    </w:p>
    <w:p w:rsidR="00BC1301" w:rsidRPr="00A167F2" w:rsidRDefault="00C72BC3" w:rsidP="00BD07E4">
      <w:pPr>
        <w:numPr>
          <w:ilvl w:val="0"/>
          <w:numId w:val="21"/>
        </w:numPr>
        <w:spacing w:after="240"/>
        <w:rPr>
          <w:b/>
        </w:rPr>
      </w:pPr>
      <w:r w:rsidRPr="00286C0E">
        <w:rPr>
          <w:b/>
          <w:highlight w:val="yellow"/>
        </w:rPr>
        <w:br w:type="page"/>
      </w:r>
      <w:r w:rsidR="00BC1301" w:rsidRPr="00A167F2">
        <w:rPr>
          <w:b/>
        </w:rPr>
        <w:lastRenderedPageBreak/>
        <w:t>Senior Officers Remuneration</w:t>
      </w:r>
    </w:p>
    <w:p w:rsidR="00BC1301" w:rsidRPr="00A167F2" w:rsidRDefault="00BC1301" w:rsidP="00BC1301">
      <w:pPr>
        <w:spacing w:after="240"/>
        <w:rPr>
          <w:b/>
          <w:sz w:val="22"/>
          <w:szCs w:val="22"/>
        </w:rPr>
      </w:pPr>
      <w:r w:rsidRPr="00A167F2">
        <w:rPr>
          <w:b/>
          <w:sz w:val="22"/>
          <w:szCs w:val="22"/>
        </w:rPr>
        <w:t>Disclosure of se</w:t>
      </w:r>
      <w:r w:rsidR="00D806C6" w:rsidRPr="00A167F2">
        <w:rPr>
          <w:b/>
          <w:sz w:val="22"/>
          <w:szCs w:val="22"/>
        </w:rPr>
        <w:t>nior officers' remuneration 2011</w:t>
      </w:r>
      <w:r w:rsidRPr="00A167F2">
        <w:rPr>
          <w:b/>
          <w:sz w:val="22"/>
          <w:szCs w:val="22"/>
        </w:rPr>
        <w:t>/1</w:t>
      </w:r>
      <w:r w:rsidR="00D806C6" w:rsidRPr="00A167F2">
        <w:rPr>
          <w:b/>
          <w:sz w:val="22"/>
          <w:szCs w:val="22"/>
        </w:rPr>
        <w:t>2</w:t>
      </w:r>
      <w:r w:rsidRPr="00A167F2">
        <w:rPr>
          <w:b/>
          <w:sz w:val="22"/>
          <w:szCs w:val="22"/>
        </w:rPr>
        <w:t>: Salaries over £150k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6"/>
        <w:gridCol w:w="746"/>
        <w:gridCol w:w="1447"/>
        <w:gridCol w:w="1191"/>
        <w:gridCol w:w="1004"/>
        <w:gridCol w:w="1817"/>
        <w:gridCol w:w="1430"/>
        <w:gridCol w:w="1811"/>
      </w:tblGrid>
      <w:tr w:rsidR="00F91FEA" w:rsidRPr="00A167F2" w:rsidTr="00D83BE8">
        <w:trPr>
          <w:trHeight w:val="1546"/>
        </w:trPr>
        <w:tc>
          <w:tcPr>
            <w:tcW w:w="0" w:type="auto"/>
            <w:vAlign w:val="center"/>
          </w:tcPr>
          <w:p w:rsidR="00F91FEA" w:rsidRPr="00A167F2" w:rsidRDefault="00F91FEA" w:rsidP="00D83BE8">
            <w:pPr>
              <w:rPr>
                <w:sz w:val="20"/>
                <w:szCs w:val="20"/>
              </w:rPr>
            </w:pPr>
            <w:r w:rsidRPr="00A167F2">
              <w:rPr>
                <w:sz w:val="20"/>
                <w:szCs w:val="20"/>
              </w:rPr>
              <w:t>Post, title and Name</w:t>
            </w:r>
          </w:p>
        </w:tc>
        <w:tc>
          <w:tcPr>
            <w:tcW w:w="0" w:type="auto"/>
            <w:vAlign w:val="center"/>
          </w:tcPr>
          <w:p w:rsidR="00F91FEA" w:rsidRPr="00A167F2" w:rsidRDefault="00F91FEA" w:rsidP="00D83BE8">
            <w:pPr>
              <w:jc w:val="center"/>
              <w:rPr>
                <w:sz w:val="20"/>
                <w:szCs w:val="20"/>
              </w:rPr>
            </w:pPr>
            <w:r w:rsidRPr="00A167F2">
              <w:rPr>
                <w:sz w:val="20"/>
                <w:szCs w:val="20"/>
              </w:rPr>
              <w:t>Notes</w:t>
            </w:r>
          </w:p>
        </w:tc>
        <w:tc>
          <w:tcPr>
            <w:tcW w:w="0" w:type="auto"/>
            <w:vAlign w:val="center"/>
          </w:tcPr>
          <w:p w:rsidR="00F91FEA" w:rsidRPr="00A167F2" w:rsidRDefault="00F91FEA" w:rsidP="00D83BE8">
            <w:pPr>
              <w:jc w:val="center"/>
              <w:rPr>
                <w:sz w:val="20"/>
                <w:szCs w:val="20"/>
              </w:rPr>
            </w:pPr>
            <w:r w:rsidRPr="00A167F2">
              <w:rPr>
                <w:sz w:val="20"/>
                <w:szCs w:val="20"/>
              </w:rPr>
              <w:t>Salary (including fees and allowances</w:t>
            </w:r>
          </w:p>
          <w:p w:rsidR="00F91FEA" w:rsidRPr="00A167F2" w:rsidRDefault="00F91FEA" w:rsidP="00D83BE8">
            <w:pPr>
              <w:jc w:val="center"/>
              <w:rPr>
                <w:sz w:val="20"/>
                <w:szCs w:val="20"/>
              </w:rPr>
            </w:pPr>
          </w:p>
        </w:tc>
        <w:tc>
          <w:tcPr>
            <w:tcW w:w="0" w:type="auto"/>
            <w:vAlign w:val="center"/>
          </w:tcPr>
          <w:p w:rsidR="00F91FEA" w:rsidRPr="00A167F2" w:rsidRDefault="00F91FEA" w:rsidP="00D83BE8">
            <w:pPr>
              <w:jc w:val="center"/>
              <w:rPr>
                <w:sz w:val="20"/>
                <w:szCs w:val="20"/>
              </w:rPr>
            </w:pPr>
            <w:r w:rsidRPr="00A167F2">
              <w:rPr>
                <w:sz w:val="20"/>
                <w:szCs w:val="20"/>
              </w:rPr>
              <w:t>Expense allowance</w:t>
            </w:r>
          </w:p>
        </w:tc>
        <w:tc>
          <w:tcPr>
            <w:tcW w:w="0" w:type="auto"/>
            <w:vAlign w:val="center"/>
          </w:tcPr>
          <w:p w:rsidR="00F91FEA" w:rsidRPr="00A167F2" w:rsidRDefault="00F91FEA" w:rsidP="00D83BE8">
            <w:pPr>
              <w:jc w:val="center"/>
              <w:rPr>
                <w:sz w:val="20"/>
                <w:szCs w:val="20"/>
              </w:rPr>
            </w:pPr>
            <w:r w:rsidRPr="00A167F2">
              <w:rPr>
                <w:sz w:val="20"/>
                <w:szCs w:val="20"/>
              </w:rPr>
              <w:t>Benefits in kind</w:t>
            </w:r>
          </w:p>
        </w:tc>
        <w:tc>
          <w:tcPr>
            <w:tcW w:w="0" w:type="auto"/>
            <w:vAlign w:val="center"/>
          </w:tcPr>
          <w:p w:rsidR="00F91FEA" w:rsidRPr="00A167F2" w:rsidRDefault="00F91FEA" w:rsidP="00D83BE8">
            <w:pPr>
              <w:jc w:val="center"/>
              <w:rPr>
                <w:sz w:val="20"/>
                <w:szCs w:val="20"/>
              </w:rPr>
            </w:pPr>
            <w:r w:rsidRPr="00A167F2">
              <w:rPr>
                <w:sz w:val="20"/>
                <w:szCs w:val="20"/>
              </w:rPr>
              <w:t>Total remuneration excluding pension contributions 20</w:t>
            </w:r>
            <w:r w:rsidR="00D83BE8">
              <w:rPr>
                <w:sz w:val="20"/>
                <w:szCs w:val="20"/>
              </w:rPr>
              <w:t>11/12</w:t>
            </w:r>
          </w:p>
        </w:tc>
        <w:tc>
          <w:tcPr>
            <w:tcW w:w="0" w:type="auto"/>
            <w:vAlign w:val="center"/>
          </w:tcPr>
          <w:p w:rsidR="00F91FEA" w:rsidRPr="00A167F2" w:rsidRDefault="00F91FEA" w:rsidP="00D83BE8">
            <w:pPr>
              <w:jc w:val="center"/>
              <w:rPr>
                <w:sz w:val="20"/>
                <w:szCs w:val="20"/>
              </w:rPr>
            </w:pPr>
            <w:r w:rsidRPr="00A167F2">
              <w:rPr>
                <w:sz w:val="20"/>
                <w:szCs w:val="20"/>
              </w:rPr>
              <w:t>Pension contributions</w:t>
            </w:r>
          </w:p>
        </w:tc>
        <w:tc>
          <w:tcPr>
            <w:tcW w:w="0" w:type="auto"/>
            <w:vAlign w:val="center"/>
          </w:tcPr>
          <w:p w:rsidR="00F91FEA" w:rsidRPr="00A167F2" w:rsidRDefault="00F91FEA" w:rsidP="00D83BE8">
            <w:pPr>
              <w:jc w:val="center"/>
              <w:rPr>
                <w:sz w:val="20"/>
                <w:szCs w:val="20"/>
              </w:rPr>
            </w:pPr>
            <w:r w:rsidRPr="00A167F2">
              <w:rPr>
                <w:sz w:val="20"/>
                <w:szCs w:val="20"/>
              </w:rPr>
              <w:t>Total remuneration including pension contributions 20</w:t>
            </w:r>
            <w:r w:rsidR="00D83BE8">
              <w:rPr>
                <w:sz w:val="20"/>
                <w:szCs w:val="20"/>
              </w:rPr>
              <w:t>11/12</w:t>
            </w:r>
          </w:p>
        </w:tc>
      </w:tr>
      <w:tr w:rsidR="00F91FEA" w:rsidRPr="00A167F2" w:rsidTr="00D83BE8">
        <w:trPr>
          <w:trHeight w:val="278"/>
        </w:trPr>
        <w:tc>
          <w:tcPr>
            <w:tcW w:w="0" w:type="auto"/>
            <w:vAlign w:val="center"/>
          </w:tcPr>
          <w:p w:rsidR="00F91FEA" w:rsidRPr="00A167F2" w:rsidRDefault="00F91FEA" w:rsidP="00D83BE8">
            <w:pPr>
              <w:rPr>
                <w:sz w:val="20"/>
                <w:szCs w:val="20"/>
              </w:rPr>
            </w:pPr>
          </w:p>
        </w:tc>
        <w:tc>
          <w:tcPr>
            <w:tcW w:w="0" w:type="auto"/>
            <w:vAlign w:val="center"/>
          </w:tcPr>
          <w:p w:rsidR="00F91FEA" w:rsidRPr="00A167F2" w:rsidRDefault="00F91FEA" w:rsidP="00D83BE8">
            <w:pPr>
              <w:jc w:val="center"/>
              <w:rPr>
                <w:sz w:val="20"/>
                <w:szCs w:val="20"/>
              </w:rPr>
            </w:pPr>
          </w:p>
        </w:tc>
        <w:tc>
          <w:tcPr>
            <w:tcW w:w="0" w:type="auto"/>
            <w:vAlign w:val="center"/>
          </w:tcPr>
          <w:p w:rsidR="00F91FEA" w:rsidRPr="00A167F2" w:rsidRDefault="00F91FEA" w:rsidP="00D83BE8">
            <w:pPr>
              <w:jc w:val="center"/>
              <w:rPr>
                <w:sz w:val="20"/>
                <w:szCs w:val="20"/>
              </w:rPr>
            </w:pPr>
            <w:r w:rsidRPr="00A167F2">
              <w:rPr>
                <w:sz w:val="20"/>
                <w:szCs w:val="20"/>
              </w:rPr>
              <w:t>£</w:t>
            </w:r>
          </w:p>
        </w:tc>
        <w:tc>
          <w:tcPr>
            <w:tcW w:w="0" w:type="auto"/>
            <w:vAlign w:val="center"/>
          </w:tcPr>
          <w:p w:rsidR="00F91FEA" w:rsidRPr="00A167F2" w:rsidRDefault="00F91FEA" w:rsidP="00D83BE8">
            <w:pPr>
              <w:jc w:val="center"/>
              <w:rPr>
                <w:sz w:val="20"/>
                <w:szCs w:val="20"/>
              </w:rPr>
            </w:pPr>
            <w:r w:rsidRPr="00A167F2">
              <w:rPr>
                <w:sz w:val="20"/>
                <w:szCs w:val="20"/>
              </w:rPr>
              <w:t>£</w:t>
            </w:r>
          </w:p>
        </w:tc>
        <w:tc>
          <w:tcPr>
            <w:tcW w:w="0" w:type="auto"/>
            <w:vAlign w:val="center"/>
          </w:tcPr>
          <w:p w:rsidR="00F91FEA" w:rsidRPr="00A167F2" w:rsidRDefault="00D83BE8" w:rsidP="00D83BE8">
            <w:pPr>
              <w:jc w:val="center"/>
              <w:rPr>
                <w:sz w:val="20"/>
                <w:szCs w:val="20"/>
              </w:rPr>
            </w:pPr>
            <w:r>
              <w:rPr>
                <w:sz w:val="20"/>
                <w:szCs w:val="20"/>
              </w:rPr>
              <w:t>£</w:t>
            </w:r>
          </w:p>
        </w:tc>
        <w:tc>
          <w:tcPr>
            <w:tcW w:w="0" w:type="auto"/>
            <w:vAlign w:val="center"/>
          </w:tcPr>
          <w:p w:rsidR="00F91FEA" w:rsidRPr="00A167F2" w:rsidRDefault="00F91FEA" w:rsidP="00D83BE8">
            <w:pPr>
              <w:jc w:val="center"/>
              <w:rPr>
                <w:sz w:val="20"/>
                <w:szCs w:val="20"/>
              </w:rPr>
            </w:pPr>
            <w:r w:rsidRPr="00A167F2">
              <w:rPr>
                <w:sz w:val="20"/>
                <w:szCs w:val="20"/>
              </w:rPr>
              <w:t>£</w:t>
            </w:r>
          </w:p>
        </w:tc>
        <w:tc>
          <w:tcPr>
            <w:tcW w:w="0" w:type="auto"/>
            <w:vAlign w:val="center"/>
          </w:tcPr>
          <w:p w:rsidR="00F91FEA" w:rsidRPr="00A167F2" w:rsidRDefault="00F91FEA" w:rsidP="00D83BE8">
            <w:pPr>
              <w:jc w:val="center"/>
              <w:rPr>
                <w:sz w:val="20"/>
                <w:szCs w:val="20"/>
              </w:rPr>
            </w:pPr>
            <w:r w:rsidRPr="00A167F2">
              <w:rPr>
                <w:sz w:val="20"/>
                <w:szCs w:val="20"/>
              </w:rPr>
              <w:t>£</w:t>
            </w:r>
          </w:p>
        </w:tc>
        <w:tc>
          <w:tcPr>
            <w:tcW w:w="0" w:type="auto"/>
            <w:vAlign w:val="center"/>
          </w:tcPr>
          <w:p w:rsidR="00F91FEA" w:rsidRPr="00A167F2" w:rsidRDefault="00F91FEA" w:rsidP="00D83BE8">
            <w:pPr>
              <w:jc w:val="center"/>
              <w:rPr>
                <w:sz w:val="20"/>
                <w:szCs w:val="20"/>
              </w:rPr>
            </w:pPr>
            <w:r w:rsidRPr="00A167F2">
              <w:rPr>
                <w:sz w:val="20"/>
                <w:szCs w:val="20"/>
              </w:rPr>
              <w:t>£</w:t>
            </w:r>
          </w:p>
        </w:tc>
      </w:tr>
      <w:tr w:rsidR="00CC5E7F" w:rsidRPr="00A167F2" w:rsidTr="00CC5E7F">
        <w:trPr>
          <w:trHeight w:val="97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5E7F" w:rsidRPr="00A167F2" w:rsidRDefault="00CC5E7F" w:rsidP="00D83BE8">
            <w:pPr>
              <w:rPr>
                <w:sz w:val="20"/>
                <w:szCs w:val="20"/>
              </w:rPr>
            </w:pPr>
            <w:r w:rsidRPr="00A167F2">
              <w:rPr>
                <w:sz w:val="20"/>
                <w:szCs w:val="20"/>
              </w:rPr>
              <w:t>Chief Executive - P Halsall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5E7F" w:rsidRPr="00A167F2" w:rsidRDefault="00CC5E7F" w:rsidP="00D83BE8">
            <w:pPr>
              <w:jc w:val="center"/>
              <w:rPr>
                <w:sz w:val="20"/>
                <w:szCs w:val="20"/>
              </w:rPr>
            </w:pPr>
            <w:r w:rsidRPr="00A167F2">
              <w:rPr>
                <w:sz w:val="20"/>
                <w:szCs w:val="20"/>
              </w:rPr>
              <w:t>Note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5E7F" w:rsidRDefault="00CC5E7F" w:rsidP="00CC5E7F">
            <w:pPr>
              <w:jc w:val="right"/>
              <w:rPr>
                <w:sz w:val="20"/>
                <w:szCs w:val="20"/>
              </w:rPr>
            </w:pPr>
            <w:r>
              <w:rPr>
                <w:sz w:val="20"/>
                <w:szCs w:val="20"/>
              </w:rPr>
              <w:t>194,790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5E7F" w:rsidRDefault="00CC5E7F" w:rsidP="00CC5E7F">
            <w:pPr>
              <w:jc w:val="right"/>
              <w:rPr>
                <w:sz w:val="20"/>
                <w:szCs w:val="20"/>
              </w:rPr>
            </w:pPr>
            <w:r>
              <w:rPr>
                <w:sz w:val="20"/>
                <w:szCs w:val="20"/>
              </w:rPr>
              <w:t>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5E7F" w:rsidRDefault="00CC5E7F" w:rsidP="00CC5E7F">
            <w:pPr>
              <w:jc w:val="right"/>
              <w:rPr>
                <w:sz w:val="20"/>
                <w:szCs w:val="20"/>
              </w:rPr>
            </w:pPr>
            <w:r>
              <w:rPr>
                <w:sz w:val="20"/>
                <w:szCs w:val="20"/>
              </w:rPr>
              <w:t>5,300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5E7F" w:rsidRDefault="00CC5E7F" w:rsidP="00CC5E7F">
            <w:pPr>
              <w:jc w:val="right"/>
              <w:rPr>
                <w:sz w:val="20"/>
                <w:szCs w:val="20"/>
              </w:rPr>
            </w:pPr>
            <w:r>
              <w:rPr>
                <w:sz w:val="20"/>
                <w:szCs w:val="20"/>
              </w:rPr>
              <w:t>200,159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5E7F" w:rsidRDefault="00CC5E7F" w:rsidP="00CC5E7F">
            <w:pPr>
              <w:jc w:val="right"/>
              <w:rPr>
                <w:sz w:val="20"/>
                <w:szCs w:val="20"/>
              </w:rPr>
            </w:pPr>
            <w:r>
              <w:rPr>
                <w:sz w:val="20"/>
                <w:szCs w:val="20"/>
              </w:rPr>
              <w:t>38,615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5E7F" w:rsidRDefault="00CC5E7F" w:rsidP="00CC5E7F">
            <w:pPr>
              <w:jc w:val="right"/>
              <w:rPr>
                <w:sz w:val="20"/>
                <w:szCs w:val="20"/>
              </w:rPr>
            </w:pPr>
            <w:r>
              <w:rPr>
                <w:sz w:val="20"/>
                <w:szCs w:val="20"/>
              </w:rPr>
              <w:t>238,774</w:t>
            </w:r>
          </w:p>
        </w:tc>
      </w:tr>
      <w:tr w:rsidR="00CC5E7F" w:rsidRPr="00A167F2" w:rsidTr="00CC5E7F">
        <w:trPr>
          <w:trHeight w:val="97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5E7F" w:rsidRPr="00CC5E7F" w:rsidRDefault="00CC5E7F" w:rsidP="00D83BE8">
            <w:pPr>
              <w:rPr>
                <w:b/>
                <w:sz w:val="20"/>
                <w:szCs w:val="20"/>
              </w:rPr>
            </w:pPr>
            <w:r w:rsidRPr="00CC5E7F">
              <w:rPr>
                <w:b/>
                <w:sz w:val="20"/>
                <w:szCs w:val="20"/>
              </w:rPr>
              <w:t>Total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5E7F" w:rsidRPr="00A167F2" w:rsidRDefault="00CC5E7F" w:rsidP="00D83BE8">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5E7F" w:rsidRDefault="00CC5E7F" w:rsidP="00CC5E7F">
            <w:pPr>
              <w:jc w:val="right"/>
              <w:rPr>
                <w:b/>
                <w:bCs/>
                <w:sz w:val="20"/>
                <w:szCs w:val="20"/>
              </w:rPr>
            </w:pPr>
            <w:r>
              <w:rPr>
                <w:b/>
                <w:bCs/>
                <w:sz w:val="20"/>
                <w:szCs w:val="20"/>
              </w:rPr>
              <w:t>194,790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5E7F" w:rsidRDefault="00CC5E7F" w:rsidP="00CC5E7F">
            <w:pPr>
              <w:jc w:val="right"/>
              <w:rPr>
                <w:b/>
                <w:bCs/>
                <w:sz w:val="20"/>
                <w:szCs w:val="20"/>
              </w:rPr>
            </w:pPr>
            <w:r>
              <w:rPr>
                <w:b/>
                <w:bCs/>
                <w:sz w:val="20"/>
                <w:szCs w:val="20"/>
              </w:rPr>
              <w:t>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5E7F" w:rsidRDefault="00CC5E7F" w:rsidP="00CC5E7F">
            <w:pPr>
              <w:jc w:val="right"/>
              <w:rPr>
                <w:b/>
                <w:bCs/>
                <w:sz w:val="20"/>
                <w:szCs w:val="20"/>
              </w:rPr>
            </w:pPr>
            <w:r>
              <w:rPr>
                <w:b/>
                <w:bCs/>
                <w:sz w:val="20"/>
                <w:szCs w:val="20"/>
              </w:rPr>
              <w:t>5,300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5E7F" w:rsidRDefault="00CC5E7F" w:rsidP="00CC5E7F">
            <w:pPr>
              <w:jc w:val="right"/>
              <w:rPr>
                <w:b/>
                <w:bCs/>
                <w:sz w:val="20"/>
                <w:szCs w:val="20"/>
              </w:rPr>
            </w:pPr>
            <w:r>
              <w:rPr>
                <w:b/>
                <w:bCs/>
                <w:sz w:val="20"/>
                <w:szCs w:val="20"/>
              </w:rPr>
              <w:t>200,159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5E7F" w:rsidRDefault="00CC5E7F" w:rsidP="00CC5E7F">
            <w:pPr>
              <w:jc w:val="right"/>
              <w:rPr>
                <w:b/>
                <w:bCs/>
                <w:sz w:val="20"/>
                <w:szCs w:val="20"/>
              </w:rPr>
            </w:pPr>
            <w:r>
              <w:rPr>
                <w:b/>
                <w:bCs/>
                <w:sz w:val="20"/>
                <w:szCs w:val="20"/>
              </w:rPr>
              <w:t>38,615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5E7F" w:rsidRDefault="00CC5E7F" w:rsidP="00CC5E7F">
            <w:pPr>
              <w:jc w:val="right"/>
              <w:rPr>
                <w:b/>
                <w:bCs/>
                <w:sz w:val="20"/>
                <w:szCs w:val="20"/>
              </w:rPr>
            </w:pPr>
            <w:r>
              <w:rPr>
                <w:b/>
                <w:bCs/>
                <w:sz w:val="20"/>
                <w:szCs w:val="20"/>
              </w:rPr>
              <w:t>238,774</w:t>
            </w:r>
          </w:p>
        </w:tc>
      </w:tr>
    </w:tbl>
    <w:p w:rsidR="00BC1301" w:rsidRPr="00A167F2" w:rsidRDefault="00BC1301" w:rsidP="00BC1301">
      <w:pPr>
        <w:spacing w:after="240"/>
        <w:rPr>
          <w:b/>
        </w:rPr>
      </w:pPr>
      <w:r w:rsidRPr="00A167F2">
        <w:rPr>
          <w:b/>
        </w:rPr>
        <w:t xml:space="preserve"> </w:t>
      </w:r>
    </w:p>
    <w:p w:rsidR="00EA42B1" w:rsidRPr="00A167F2" w:rsidRDefault="00D83BE8" w:rsidP="00EA42B1">
      <w:pPr>
        <w:rPr>
          <w:color w:val="000000"/>
        </w:rPr>
      </w:pPr>
      <w:r w:rsidRPr="00D83BE8">
        <w:rPr>
          <w:color w:val="000000"/>
          <w:sz w:val="22"/>
          <w:szCs w:val="22"/>
        </w:rPr>
        <w:t xml:space="preserve">Note 1 - </w:t>
      </w:r>
      <w:r w:rsidR="00EA42B1" w:rsidRPr="00D83BE8">
        <w:rPr>
          <w:color w:val="000000"/>
          <w:sz w:val="22"/>
          <w:szCs w:val="22"/>
        </w:rPr>
        <w:t>Benefits in kind relates to a cash equivalent sum in place of the entitlement to a lease car</w:t>
      </w:r>
      <w:r w:rsidR="00EA42B1" w:rsidRPr="00A167F2">
        <w:rPr>
          <w:color w:val="000000"/>
        </w:rPr>
        <w:t>.</w:t>
      </w:r>
    </w:p>
    <w:p w:rsidR="005D5F9B" w:rsidRPr="00A167F2" w:rsidRDefault="005D5F9B" w:rsidP="00BE7ED9">
      <w:pPr>
        <w:rPr>
          <w:sz w:val="22"/>
          <w:szCs w:val="22"/>
        </w:rPr>
      </w:pPr>
    </w:p>
    <w:p w:rsidR="005D5F9B" w:rsidRPr="00A167F2" w:rsidRDefault="005D5F9B" w:rsidP="00BE7ED9">
      <w:pPr>
        <w:rPr>
          <w:sz w:val="22"/>
          <w:szCs w:val="22"/>
        </w:rPr>
      </w:pPr>
    </w:p>
    <w:p w:rsidR="00677DC1" w:rsidRPr="00A167F2" w:rsidRDefault="00677DC1" w:rsidP="00677DC1">
      <w:pPr>
        <w:spacing w:after="240"/>
        <w:rPr>
          <w:b/>
          <w:sz w:val="22"/>
          <w:szCs w:val="22"/>
        </w:rPr>
      </w:pPr>
      <w:r w:rsidRPr="00A167F2">
        <w:rPr>
          <w:b/>
          <w:sz w:val="22"/>
          <w:szCs w:val="22"/>
        </w:rPr>
        <w:t>Disclosure of se</w:t>
      </w:r>
      <w:r w:rsidR="00D806C6" w:rsidRPr="00A167F2">
        <w:rPr>
          <w:b/>
          <w:sz w:val="22"/>
          <w:szCs w:val="22"/>
        </w:rPr>
        <w:t>nior officers' remuneration 2010</w:t>
      </w:r>
      <w:r w:rsidRPr="00A167F2">
        <w:rPr>
          <w:b/>
          <w:sz w:val="22"/>
          <w:szCs w:val="22"/>
        </w:rPr>
        <w:t>/1</w:t>
      </w:r>
      <w:r w:rsidR="00D806C6" w:rsidRPr="00A167F2">
        <w:rPr>
          <w:b/>
          <w:sz w:val="22"/>
          <w:szCs w:val="22"/>
        </w:rPr>
        <w:t>1</w:t>
      </w:r>
      <w:r w:rsidRPr="00A167F2">
        <w:rPr>
          <w:b/>
          <w:sz w:val="22"/>
          <w:szCs w:val="22"/>
        </w:rPr>
        <w:t>: Salaries over £150k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8"/>
        <w:gridCol w:w="745"/>
        <w:gridCol w:w="1496"/>
        <w:gridCol w:w="1185"/>
        <w:gridCol w:w="999"/>
        <w:gridCol w:w="1785"/>
        <w:gridCol w:w="1424"/>
        <w:gridCol w:w="1780"/>
      </w:tblGrid>
      <w:tr w:rsidR="00D83BE8" w:rsidRPr="00A167F2" w:rsidTr="00D83BE8">
        <w:trPr>
          <w:trHeight w:val="348"/>
        </w:trPr>
        <w:tc>
          <w:tcPr>
            <w:tcW w:w="0" w:type="auto"/>
            <w:vAlign w:val="center"/>
          </w:tcPr>
          <w:p w:rsidR="00D83BE8" w:rsidRPr="00A167F2" w:rsidRDefault="00D83BE8" w:rsidP="00D83BE8">
            <w:pPr>
              <w:rPr>
                <w:sz w:val="20"/>
                <w:szCs w:val="20"/>
              </w:rPr>
            </w:pPr>
            <w:r w:rsidRPr="00A167F2">
              <w:rPr>
                <w:sz w:val="20"/>
                <w:szCs w:val="20"/>
              </w:rPr>
              <w:t>Post, title and Name</w:t>
            </w:r>
          </w:p>
        </w:tc>
        <w:tc>
          <w:tcPr>
            <w:tcW w:w="0" w:type="auto"/>
            <w:vAlign w:val="center"/>
          </w:tcPr>
          <w:p w:rsidR="00D83BE8" w:rsidRPr="00A167F2" w:rsidRDefault="00D83BE8" w:rsidP="00D83BE8">
            <w:pPr>
              <w:jc w:val="center"/>
              <w:rPr>
                <w:sz w:val="20"/>
                <w:szCs w:val="20"/>
              </w:rPr>
            </w:pPr>
            <w:r>
              <w:rPr>
                <w:sz w:val="20"/>
                <w:szCs w:val="20"/>
              </w:rPr>
              <w:t>Notes</w:t>
            </w:r>
          </w:p>
        </w:tc>
        <w:tc>
          <w:tcPr>
            <w:tcW w:w="0" w:type="auto"/>
            <w:vAlign w:val="center"/>
          </w:tcPr>
          <w:p w:rsidR="00D83BE8" w:rsidRPr="00A167F2" w:rsidRDefault="00D83BE8" w:rsidP="00D83BE8">
            <w:pPr>
              <w:jc w:val="center"/>
              <w:rPr>
                <w:sz w:val="20"/>
                <w:szCs w:val="20"/>
              </w:rPr>
            </w:pPr>
            <w:r w:rsidRPr="00A167F2">
              <w:rPr>
                <w:sz w:val="20"/>
                <w:szCs w:val="20"/>
              </w:rPr>
              <w:t>Salary (including fees and allowances</w:t>
            </w:r>
            <w:r>
              <w:rPr>
                <w:sz w:val="20"/>
                <w:szCs w:val="20"/>
              </w:rPr>
              <w:t>)</w:t>
            </w:r>
          </w:p>
        </w:tc>
        <w:tc>
          <w:tcPr>
            <w:tcW w:w="0" w:type="auto"/>
            <w:vAlign w:val="center"/>
          </w:tcPr>
          <w:p w:rsidR="00D83BE8" w:rsidRPr="00A167F2" w:rsidRDefault="00D83BE8" w:rsidP="00D83BE8">
            <w:pPr>
              <w:jc w:val="center"/>
              <w:rPr>
                <w:sz w:val="20"/>
                <w:szCs w:val="20"/>
              </w:rPr>
            </w:pPr>
            <w:r w:rsidRPr="00A167F2">
              <w:rPr>
                <w:sz w:val="20"/>
                <w:szCs w:val="20"/>
              </w:rPr>
              <w:t>Expense allowance</w:t>
            </w:r>
          </w:p>
        </w:tc>
        <w:tc>
          <w:tcPr>
            <w:tcW w:w="0" w:type="auto"/>
            <w:vAlign w:val="center"/>
          </w:tcPr>
          <w:p w:rsidR="00D83BE8" w:rsidRPr="00A167F2" w:rsidRDefault="00D83BE8" w:rsidP="00D83BE8">
            <w:pPr>
              <w:jc w:val="center"/>
              <w:rPr>
                <w:sz w:val="20"/>
                <w:szCs w:val="20"/>
              </w:rPr>
            </w:pPr>
            <w:r w:rsidRPr="00A167F2">
              <w:rPr>
                <w:sz w:val="20"/>
                <w:szCs w:val="20"/>
              </w:rPr>
              <w:t>Benefits in kind</w:t>
            </w:r>
          </w:p>
        </w:tc>
        <w:tc>
          <w:tcPr>
            <w:tcW w:w="0" w:type="auto"/>
            <w:vAlign w:val="center"/>
          </w:tcPr>
          <w:p w:rsidR="00D83BE8" w:rsidRPr="00A167F2" w:rsidRDefault="00D83BE8" w:rsidP="00D83BE8">
            <w:pPr>
              <w:jc w:val="center"/>
              <w:rPr>
                <w:sz w:val="20"/>
                <w:szCs w:val="20"/>
              </w:rPr>
            </w:pPr>
            <w:r w:rsidRPr="00A167F2">
              <w:rPr>
                <w:sz w:val="20"/>
                <w:szCs w:val="20"/>
              </w:rPr>
              <w:t>Total remuneration excluding pension contributions 20</w:t>
            </w:r>
            <w:r>
              <w:rPr>
                <w:sz w:val="20"/>
                <w:szCs w:val="20"/>
              </w:rPr>
              <w:t>10/11</w:t>
            </w:r>
          </w:p>
        </w:tc>
        <w:tc>
          <w:tcPr>
            <w:tcW w:w="0" w:type="auto"/>
            <w:vAlign w:val="center"/>
          </w:tcPr>
          <w:p w:rsidR="00D83BE8" w:rsidRPr="00A167F2" w:rsidRDefault="00D83BE8" w:rsidP="00D83BE8">
            <w:pPr>
              <w:jc w:val="center"/>
              <w:rPr>
                <w:sz w:val="20"/>
                <w:szCs w:val="20"/>
              </w:rPr>
            </w:pPr>
            <w:r w:rsidRPr="00A167F2">
              <w:rPr>
                <w:sz w:val="20"/>
                <w:szCs w:val="20"/>
              </w:rPr>
              <w:t>Pension contributions</w:t>
            </w:r>
          </w:p>
        </w:tc>
        <w:tc>
          <w:tcPr>
            <w:tcW w:w="0" w:type="auto"/>
            <w:vAlign w:val="center"/>
          </w:tcPr>
          <w:p w:rsidR="00D83BE8" w:rsidRPr="00A167F2" w:rsidRDefault="00D83BE8" w:rsidP="00D83BE8">
            <w:pPr>
              <w:jc w:val="center"/>
              <w:rPr>
                <w:sz w:val="20"/>
                <w:szCs w:val="20"/>
              </w:rPr>
            </w:pPr>
            <w:r w:rsidRPr="00A167F2">
              <w:rPr>
                <w:sz w:val="20"/>
                <w:szCs w:val="20"/>
              </w:rPr>
              <w:t>Total remuneration including pension contributions 20</w:t>
            </w:r>
            <w:r>
              <w:rPr>
                <w:sz w:val="20"/>
                <w:szCs w:val="20"/>
              </w:rPr>
              <w:t>10/11</w:t>
            </w:r>
          </w:p>
        </w:tc>
      </w:tr>
      <w:tr w:rsidR="00D83BE8" w:rsidRPr="00A167F2" w:rsidTr="00D83BE8">
        <w:trPr>
          <w:trHeight w:val="348"/>
        </w:trPr>
        <w:tc>
          <w:tcPr>
            <w:tcW w:w="0" w:type="auto"/>
          </w:tcPr>
          <w:p w:rsidR="00D83BE8" w:rsidRPr="00A167F2" w:rsidRDefault="00D83BE8" w:rsidP="00D83BE8">
            <w:pPr>
              <w:rPr>
                <w:sz w:val="20"/>
                <w:szCs w:val="20"/>
              </w:rPr>
            </w:pPr>
          </w:p>
        </w:tc>
        <w:tc>
          <w:tcPr>
            <w:tcW w:w="0" w:type="auto"/>
          </w:tcPr>
          <w:p w:rsidR="00D83BE8" w:rsidRPr="00A167F2" w:rsidRDefault="00D83BE8" w:rsidP="00D83BE8">
            <w:pPr>
              <w:rPr>
                <w:sz w:val="20"/>
                <w:szCs w:val="20"/>
              </w:rPr>
            </w:pPr>
          </w:p>
        </w:tc>
        <w:tc>
          <w:tcPr>
            <w:tcW w:w="0" w:type="auto"/>
            <w:vAlign w:val="center"/>
          </w:tcPr>
          <w:p w:rsidR="00D83BE8" w:rsidRPr="00A167F2" w:rsidRDefault="00D83BE8" w:rsidP="00D83BE8">
            <w:pPr>
              <w:jc w:val="center"/>
              <w:rPr>
                <w:sz w:val="20"/>
                <w:szCs w:val="20"/>
              </w:rPr>
            </w:pPr>
            <w:r w:rsidRPr="00A167F2">
              <w:rPr>
                <w:sz w:val="20"/>
                <w:szCs w:val="20"/>
              </w:rPr>
              <w:t>£</w:t>
            </w:r>
          </w:p>
        </w:tc>
        <w:tc>
          <w:tcPr>
            <w:tcW w:w="0" w:type="auto"/>
            <w:vAlign w:val="center"/>
          </w:tcPr>
          <w:p w:rsidR="00D83BE8" w:rsidRPr="00A167F2" w:rsidRDefault="00D83BE8" w:rsidP="00D83BE8">
            <w:pPr>
              <w:jc w:val="center"/>
              <w:rPr>
                <w:sz w:val="20"/>
                <w:szCs w:val="20"/>
              </w:rPr>
            </w:pPr>
            <w:r w:rsidRPr="00A167F2">
              <w:rPr>
                <w:sz w:val="20"/>
                <w:szCs w:val="20"/>
              </w:rPr>
              <w:t>£</w:t>
            </w:r>
          </w:p>
        </w:tc>
        <w:tc>
          <w:tcPr>
            <w:tcW w:w="0" w:type="auto"/>
            <w:vAlign w:val="center"/>
          </w:tcPr>
          <w:p w:rsidR="00D83BE8" w:rsidRPr="00A167F2" w:rsidRDefault="00D83BE8" w:rsidP="00D83BE8">
            <w:pPr>
              <w:jc w:val="center"/>
              <w:rPr>
                <w:sz w:val="20"/>
                <w:szCs w:val="20"/>
              </w:rPr>
            </w:pPr>
            <w:r>
              <w:rPr>
                <w:sz w:val="20"/>
                <w:szCs w:val="20"/>
              </w:rPr>
              <w:t>£</w:t>
            </w:r>
          </w:p>
        </w:tc>
        <w:tc>
          <w:tcPr>
            <w:tcW w:w="0" w:type="auto"/>
            <w:vAlign w:val="center"/>
          </w:tcPr>
          <w:p w:rsidR="00D83BE8" w:rsidRPr="00A167F2" w:rsidRDefault="00D83BE8" w:rsidP="00D83BE8">
            <w:pPr>
              <w:jc w:val="center"/>
              <w:rPr>
                <w:sz w:val="20"/>
                <w:szCs w:val="20"/>
              </w:rPr>
            </w:pPr>
            <w:r w:rsidRPr="00A167F2">
              <w:rPr>
                <w:sz w:val="20"/>
                <w:szCs w:val="20"/>
              </w:rPr>
              <w:t>£</w:t>
            </w:r>
          </w:p>
        </w:tc>
        <w:tc>
          <w:tcPr>
            <w:tcW w:w="0" w:type="auto"/>
            <w:vAlign w:val="center"/>
          </w:tcPr>
          <w:p w:rsidR="00D83BE8" w:rsidRPr="00A167F2" w:rsidRDefault="00D83BE8" w:rsidP="00D83BE8">
            <w:pPr>
              <w:jc w:val="center"/>
              <w:rPr>
                <w:sz w:val="20"/>
                <w:szCs w:val="20"/>
              </w:rPr>
            </w:pPr>
            <w:r w:rsidRPr="00A167F2">
              <w:rPr>
                <w:sz w:val="20"/>
                <w:szCs w:val="20"/>
              </w:rPr>
              <w:t>£</w:t>
            </w:r>
          </w:p>
        </w:tc>
        <w:tc>
          <w:tcPr>
            <w:tcW w:w="0" w:type="auto"/>
            <w:vAlign w:val="center"/>
          </w:tcPr>
          <w:p w:rsidR="00D83BE8" w:rsidRPr="00A167F2" w:rsidRDefault="00D83BE8" w:rsidP="00D83BE8">
            <w:pPr>
              <w:jc w:val="center"/>
              <w:rPr>
                <w:sz w:val="20"/>
                <w:szCs w:val="20"/>
              </w:rPr>
            </w:pPr>
            <w:r w:rsidRPr="00A167F2">
              <w:rPr>
                <w:sz w:val="20"/>
                <w:szCs w:val="20"/>
              </w:rPr>
              <w:t>£</w:t>
            </w:r>
          </w:p>
        </w:tc>
      </w:tr>
      <w:tr w:rsidR="00CC5E7F" w:rsidRPr="00A167F2" w:rsidTr="00CC5E7F">
        <w:trPr>
          <w:trHeight w:val="1160"/>
        </w:trPr>
        <w:tc>
          <w:tcPr>
            <w:tcW w:w="0" w:type="auto"/>
            <w:vAlign w:val="center"/>
          </w:tcPr>
          <w:p w:rsidR="00CC5E7F" w:rsidRPr="00A167F2" w:rsidRDefault="00CC5E7F" w:rsidP="00D83BE8">
            <w:pPr>
              <w:rPr>
                <w:sz w:val="20"/>
                <w:szCs w:val="20"/>
              </w:rPr>
            </w:pPr>
            <w:r w:rsidRPr="00A167F2">
              <w:rPr>
                <w:sz w:val="20"/>
                <w:szCs w:val="20"/>
              </w:rPr>
              <w:t>Chief Executive – G Fitzgerald</w:t>
            </w:r>
          </w:p>
        </w:tc>
        <w:tc>
          <w:tcPr>
            <w:tcW w:w="0" w:type="auto"/>
            <w:vAlign w:val="center"/>
          </w:tcPr>
          <w:p w:rsidR="00CC5E7F" w:rsidRPr="00A167F2" w:rsidRDefault="00CC5E7F" w:rsidP="00D83BE8">
            <w:pPr>
              <w:jc w:val="center"/>
              <w:rPr>
                <w:sz w:val="20"/>
                <w:szCs w:val="20"/>
              </w:rPr>
            </w:pPr>
            <w:r w:rsidRPr="00A167F2">
              <w:rPr>
                <w:sz w:val="20"/>
                <w:szCs w:val="20"/>
              </w:rPr>
              <w:t>Note 1</w:t>
            </w:r>
          </w:p>
        </w:tc>
        <w:tc>
          <w:tcPr>
            <w:tcW w:w="0" w:type="auto"/>
            <w:vAlign w:val="center"/>
          </w:tcPr>
          <w:p w:rsidR="00CC5E7F" w:rsidRDefault="00CC5E7F" w:rsidP="00CC5E7F">
            <w:pPr>
              <w:jc w:val="right"/>
              <w:rPr>
                <w:sz w:val="20"/>
                <w:szCs w:val="20"/>
              </w:rPr>
            </w:pPr>
            <w:r>
              <w:rPr>
                <w:sz w:val="20"/>
                <w:szCs w:val="20"/>
              </w:rPr>
              <w:t>165,756</w:t>
            </w:r>
          </w:p>
        </w:tc>
        <w:tc>
          <w:tcPr>
            <w:tcW w:w="0" w:type="auto"/>
            <w:vAlign w:val="center"/>
          </w:tcPr>
          <w:p w:rsidR="00CC5E7F" w:rsidRDefault="00CC5E7F" w:rsidP="00CC5E7F">
            <w:pPr>
              <w:jc w:val="right"/>
              <w:rPr>
                <w:sz w:val="20"/>
                <w:szCs w:val="20"/>
              </w:rPr>
            </w:pPr>
            <w:r>
              <w:rPr>
                <w:sz w:val="20"/>
                <w:szCs w:val="20"/>
              </w:rPr>
              <w:t>413</w:t>
            </w:r>
          </w:p>
        </w:tc>
        <w:tc>
          <w:tcPr>
            <w:tcW w:w="0" w:type="auto"/>
            <w:vAlign w:val="center"/>
          </w:tcPr>
          <w:p w:rsidR="00CC5E7F" w:rsidRDefault="00CC5E7F" w:rsidP="00CC5E7F">
            <w:pPr>
              <w:jc w:val="right"/>
              <w:rPr>
                <w:sz w:val="20"/>
                <w:szCs w:val="20"/>
              </w:rPr>
            </w:pPr>
            <w:r>
              <w:rPr>
                <w:sz w:val="20"/>
                <w:szCs w:val="20"/>
              </w:rPr>
              <w:t>9,374</w:t>
            </w:r>
          </w:p>
        </w:tc>
        <w:tc>
          <w:tcPr>
            <w:tcW w:w="0" w:type="auto"/>
            <w:vAlign w:val="center"/>
          </w:tcPr>
          <w:p w:rsidR="00CC5E7F" w:rsidRDefault="00CC5E7F" w:rsidP="00CC5E7F">
            <w:pPr>
              <w:jc w:val="right"/>
              <w:rPr>
                <w:sz w:val="20"/>
                <w:szCs w:val="20"/>
              </w:rPr>
            </w:pPr>
            <w:r>
              <w:rPr>
                <w:sz w:val="20"/>
                <w:szCs w:val="20"/>
              </w:rPr>
              <w:t>175,543</w:t>
            </w:r>
          </w:p>
        </w:tc>
        <w:tc>
          <w:tcPr>
            <w:tcW w:w="0" w:type="auto"/>
            <w:vAlign w:val="center"/>
          </w:tcPr>
          <w:p w:rsidR="00CC5E7F" w:rsidRDefault="00CC5E7F" w:rsidP="00CC5E7F">
            <w:pPr>
              <w:jc w:val="right"/>
              <w:rPr>
                <w:sz w:val="20"/>
                <w:szCs w:val="20"/>
              </w:rPr>
            </w:pPr>
            <w:r>
              <w:rPr>
                <w:sz w:val="20"/>
                <w:szCs w:val="20"/>
              </w:rPr>
              <w:t>29,505</w:t>
            </w:r>
          </w:p>
        </w:tc>
        <w:tc>
          <w:tcPr>
            <w:tcW w:w="0" w:type="auto"/>
            <w:vAlign w:val="center"/>
          </w:tcPr>
          <w:p w:rsidR="00CC5E7F" w:rsidRDefault="00CC5E7F" w:rsidP="00CC5E7F">
            <w:pPr>
              <w:jc w:val="right"/>
              <w:rPr>
                <w:sz w:val="20"/>
                <w:szCs w:val="20"/>
              </w:rPr>
            </w:pPr>
            <w:r>
              <w:rPr>
                <w:sz w:val="20"/>
                <w:szCs w:val="20"/>
              </w:rPr>
              <w:t>205,048</w:t>
            </w:r>
          </w:p>
        </w:tc>
      </w:tr>
      <w:tr w:rsidR="00CC5E7F" w:rsidRPr="00A167F2" w:rsidTr="00CC5E7F">
        <w:trPr>
          <w:trHeight w:val="1160"/>
        </w:trPr>
        <w:tc>
          <w:tcPr>
            <w:tcW w:w="0" w:type="auto"/>
            <w:vAlign w:val="center"/>
          </w:tcPr>
          <w:p w:rsidR="00CC5E7F" w:rsidRPr="00A167F2" w:rsidRDefault="00CC5E7F" w:rsidP="00D83BE8">
            <w:pPr>
              <w:rPr>
                <w:sz w:val="20"/>
                <w:szCs w:val="20"/>
              </w:rPr>
            </w:pPr>
            <w:r w:rsidRPr="00A167F2">
              <w:rPr>
                <w:sz w:val="20"/>
                <w:szCs w:val="20"/>
              </w:rPr>
              <w:t>Chief Executive – P Halsall</w:t>
            </w:r>
          </w:p>
        </w:tc>
        <w:tc>
          <w:tcPr>
            <w:tcW w:w="0" w:type="auto"/>
            <w:vAlign w:val="center"/>
          </w:tcPr>
          <w:p w:rsidR="00CC5E7F" w:rsidRPr="00A167F2" w:rsidRDefault="00CC5E7F" w:rsidP="00D83BE8">
            <w:pPr>
              <w:jc w:val="center"/>
              <w:rPr>
                <w:sz w:val="20"/>
                <w:szCs w:val="20"/>
              </w:rPr>
            </w:pPr>
            <w:r w:rsidRPr="00A167F2">
              <w:rPr>
                <w:sz w:val="20"/>
                <w:szCs w:val="20"/>
              </w:rPr>
              <w:t>Note 2</w:t>
            </w:r>
          </w:p>
        </w:tc>
        <w:tc>
          <w:tcPr>
            <w:tcW w:w="0" w:type="auto"/>
            <w:vAlign w:val="center"/>
          </w:tcPr>
          <w:p w:rsidR="00CC5E7F" w:rsidRDefault="00CC5E7F" w:rsidP="00CC5E7F">
            <w:pPr>
              <w:jc w:val="right"/>
              <w:rPr>
                <w:sz w:val="20"/>
                <w:szCs w:val="20"/>
              </w:rPr>
            </w:pPr>
            <w:r>
              <w:rPr>
                <w:sz w:val="20"/>
                <w:szCs w:val="20"/>
              </w:rPr>
              <w:t>32,966</w:t>
            </w:r>
          </w:p>
        </w:tc>
        <w:tc>
          <w:tcPr>
            <w:tcW w:w="0" w:type="auto"/>
            <w:vAlign w:val="center"/>
          </w:tcPr>
          <w:p w:rsidR="00CC5E7F" w:rsidRDefault="00CC5E7F" w:rsidP="00CC5E7F">
            <w:pPr>
              <w:jc w:val="right"/>
              <w:rPr>
                <w:sz w:val="20"/>
                <w:szCs w:val="20"/>
              </w:rPr>
            </w:pPr>
            <w:r>
              <w:rPr>
                <w:sz w:val="20"/>
                <w:szCs w:val="20"/>
              </w:rPr>
              <w:t>48</w:t>
            </w:r>
          </w:p>
        </w:tc>
        <w:tc>
          <w:tcPr>
            <w:tcW w:w="0" w:type="auto"/>
            <w:vAlign w:val="center"/>
          </w:tcPr>
          <w:p w:rsidR="00CC5E7F" w:rsidRDefault="00CC5E7F" w:rsidP="00CC5E7F">
            <w:pPr>
              <w:jc w:val="right"/>
              <w:rPr>
                <w:sz w:val="20"/>
                <w:szCs w:val="20"/>
              </w:rPr>
            </w:pPr>
            <w:r>
              <w:rPr>
                <w:sz w:val="20"/>
                <w:szCs w:val="20"/>
              </w:rPr>
              <w:t>898</w:t>
            </w:r>
          </w:p>
        </w:tc>
        <w:tc>
          <w:tcPr>
            <w:tcW w:w="0" w:type="auto"/>
            <w:vAlign w:val="center"/>
          </w:tcPr>
          <w:p w:rsidR="00CC5E7F" w:rsidRDefault="00CC5E7F" w:rsidP="00CC5E7F">
            <w:pPr>
              <w:jc w:val="right"/>
              <w:rPr>
                <w:sz w:val="20"/>
                <w:szCs w:val="20"/>
              </w:rPr>
            </w:pPr>
            <w:r>
              <w:rPr>
                <w:sz w:val="20"/>
                <w:szCs w:val="20"/>
              </w:rPr>
              <w:t>33,911</w:t>
            </w:r>
          </w:p>
        </w:tc>
        <w:tc>
          <w:tcPr>
            <w:tcW w:w="0" w:type="auto"/>
            <w:vAlign w:val="center"/>
          </w:tcPr>
          <w:p w:rsidR="00CC5E7F" w:rsidRDefault="00CC5E7F" w:rsidP="00CC5E7F">
            <w:pPr>
              <w:jc w:val="right"/>
              <w:rPr>
                <w:sz w:val="20"/>
                <w:szCs w:val="20"/>
              </w:rPr>
            </w:pPr>
            <w:r>
              <w:rPr>
                <w:sz w:val="20"/>
                <w:szCs w:val="20"/>
              </w:rPr>
              <w:t>6,866</w:t>
            </w:r>
          </w:p>
        </w:tc>
        <w:tc>
          <w:tcPr>
            <w:tcW w:w="0" w:type="auto"/>
            <w:vAlign w:val="center"/>
          </w:tcPr>
          <w:p w:rsidR="00CC5E7F" w:rsidRDefault="00CC5E7F" w:rsidP="00CC5E7F">
            <w:pPr>
              <w:jc w:val="right"/>
              <w:rPr>
                <w:sz w:val="20"/>
                <w:szCs w:val="20"/>
              </w:rPr>
            </w:pPr>
            <w:r>
              <w:rPr>
                <w:sz w:val="20"/>
                <w:szCs w:val="20"/>
              </w:rPr>
              <w:t>40,778</w:t>
            </w:r>
          </w:p>
        </w:tc>
      </w:tr>
      <w:tr w:rsidR="00CC5E7F" w:rsidRPr="00A167F2" w:rsidTr="00CC5E7F">
        <w:trPr>
          <w:trHeight w:val="1160"/>
        </w:trPr>
        <w:tc>
          <w:tcPr>
            <w:tcW w:w="0" w:type="auto"/>
            <w:vAlign w:val="center"/>
          </w:tcPr>
          <w:p w:rsidR="00CC5E7F" w:rsidRPr="00A167F2" w:rsidRDefault="00CC5E7F" w:rsidP="00D83BE8">
            <w:pPr>
              <w:rPr>
                <w:sz w:val="20"/>
                <w:szCs w:val="20"/>
              </w:rPr>
            </w:pPr>
            <w:r w:rsidRPr="00CC5E7F">
              <w:rPr>
                <w:b/>
                <w:sz w:val="20"/>
                <w:szCs w:val="20"/>
              </w:rPr>
              <w:t>Total</w:t>
            </w:r>
          </w:p>
        </w:tc>
        <w:tc>
          <w:tcPr>
            <w:tcW w:w="0" w:type="auto"/>
            <w:vAlign w:val="center"/>
          </w:tcPr>
          <w:p w:rsidR="00CC5E7F" w:rsidRPr="00A167F2" w:rsidRDefault="00CC5E7F" w:rsidP="00D83BE8">
            <w:pPr>
              <w:jc w:val="center"/>
              <w:rPr>
                <w:sz w:val="20"/>
                <w:szCs w:val="20"/>
              </w:rPr>
            </w:pPr>
          </w:p>
        </w:tc>
        <w:tc>
          <w:tcPr>
            <w:tcW w:w="0" w:type="auto"/>
            <w:vAlign w:val="center"/>
          </w:tcPr>
          <w:p w:rsidR="00CC5E7F" w:rsidRDefault="00CC5E7F" w:rsidP="00CC5E7F">
            <w:pPr>
              <w:jc w:val="right"/>
              <w:rPr>
                <w:b/>
                <w:bCs/>
                <w:sz w:val="20"/>
                <w:szCs w:val="20"/>
              </w:rPr>
            </w:pPr>
            <w:r>
              <w:rPr>
                <w:b/>
                <w:bCs/>
                <w:sz w:val="20"/>
                <w:szCs w:val="20"/>
              </w:rPr>
              <w:t>198,722</w:t>
            </w:r>
          </w:p>
        </w:tc>
        <w:tc>
          <w:tcPr>
            <w:tcW w:w="0" w:type="auto"/>
            <w:vAlign w:val="center"/>
          </w:tcPr>
          <w:p w:rsidR="00CC5E7F" w:rsidRDefault="00CC5E7F" w:rsidP="00CC5E7F">
            <w:pPr>
              <w:jc w:val="right"/>
              <w:rPr>
                <w:b/>
                <w:bCs/>
                <w:sz w:val="20"/>
                <w:szCs w:val="20"/>
              </w:rPr>
            </w:pPr>
            <w:r>
              <w:rPr>
                <w:b/>
                <w:bCs/>
                <w:sz w:val="20"/>
                <w:szCs w:val="20"/>
              </w:rPr>
              <w:t>461</w:t>
            </w:r>
          </w:p>
        </w:tc>
        <w:tc>
          <w:tcPr>
            <w:tcW w:w="0" w:type="auto"/>
            <w:vAlign w:val="center"/>
          </w:tcPr>
          <w:p w:rsidR="00CC5E7F" w:rsidRDefault="00CC5E7F" w:rsidP="00CC5E7F">
            <w:pPr>
              <w:jc w:val="right"/>
              <w:rPr>
                <w:b/>
                <w:bCs/>
                <w:sz w:val="20"/>
                <w:szCs w:val="20"/>
              </w:rPr>
            </w:pPr>
            <w:r>
              <w:rPr>
                <w:b/>
                <w:bCs/>
                <w:sz w:val="20"/>
                <w:szCs w:val="20"/>
              </w:rPr>
              <w:t>10,272</w:t>
            </w:r>
          </w:p>
        </w:tc>
        <w:tc>
          <w:tcPr>
            <w:tcW w:w="0" w:type="auto"/>
            <w:vAlign w:val="center"/>
          </w:tcPr>
          <w:p w:rsidR="00CC5E7F" w:rsidRDefault="00CC5E7F" w:rsidP="00CC5E7F">
            <w:pPr>
              <w:jc w:val="right"/>
              <w:rPr>
                <w:b/>
                <w:bCs/>
                <w:sz w:val="20"/>
                <w:szCs w:val="20"/>
              </w:rPr>
            </w:pPr>
            <w:r>
              <w:rPr>
                <w:b/>
                <w:bCs/>
                <w:sz w:val="20"/>
                <w:szCs w:val="20"/>
              </w:rPr>
              <w:t>209,455</w:t>
            </w:r>
          </w:p>
        </w:tc>
        <w:tc>
          <w:tcPr>
            <w:tcW w:w="0" w:type="auto"/>
            <w:vAlign w:val="center"/>
          </w:tcPr>
          <w:p w:rsidR="00CC5E7F" w:rsidRDefault="00CC5E7F" w:rsidP="00CC5E7F">
            <w:pPr>
              <w:jc w:val="right"/>
              <w:rPr>
                <w:b/>
                <w:bCs/>
                <w:sz w:val="20"/>
                <w:szCs w:val="20"/>
              </w:rPr>
            </w:pPr>
            <w:r>
              <w:rPr>
                <w:b/>
                <w:bCs/>
                <w:sz w:val="20"/>
                <w:szCs w:val="20"/>
              </w:rPr>
              <w:t>36,371</w:t>
            </w:r>
          </w:p>
        </w:tc>
        <w:tc>
          <w:tcPr>
            <w:tcW w:w="0" w:type="auto"/>
            <w:vAlign w:val="center"/>
          </w:tcPr>
          <w:p w:rsidR="00CC5E7F" w:rsidRDefault="00CC5E7F" w:rsidP="00CC5E7F">
            <w:pPr>
              <w:jc w:val="right"/>
              <w:rPr>
                <w:b/>
                <w:bCs/>
                <w:sz w:val="20"/>
                <w:szCs w:val="20"/>
              </w:rPr>
            </w:pPr>
            <w:r>
              <w:rPr>
                <w:b/>
                <w:bCs/>
                <w:sz w:val="20"/>
                <w:szCs w:val="20"/>
              </w:rPr>
              <w:t>245,826</w:t>
            </w:r>
          </w:p>
        </w:tc>
      </w:tr>
    </w:tbl>
    <w:p w:rsidR="00677DC1" w:rsidRPr="00A167F2" w:rsidRDefault="00677DC1" w:rsidP="00677DC1">
      <w:pPr>
        <w:rPr>
          <w:b/>
          <w:sz w:val="22"/>
          <w:szCs w:val="22"/>
        </w:rPr>
      </w:pPr>
    </w:p>
    <w:p w:rsidR="00D806C6" w:rsidRPr="00A167F2" w:rsidRDefault="00D83BE8" w:rsidP="00D806C6">
      <w:pPr>
        <w:rPr>
          <w:sz w:val="22"/>
          <w:szCs w:val="22"/>
        </w:rPr>
      </w:pPr>
      <w:r>
        <w:rPr>
          <w:sz w:val="22"/>
          <w:szCs w:val="22"/>
        </w:rPr>
        <w:t>Note 1 – G</w:t>
      </w:r>
      <w:r w:rsidR="00D806C6" w:rsidRPr="00A167F2">
        <w:rPr>
          <w:sz w:val="22"/>
          <w:szCs w:val="22"/>
        </w:rPr>
        <w:t xml:space="preserve"> Fitzgerald left the post of Chief Executive on 6th of February 2011. His annualised salary was £194,655.</w:t>
      </w:r>
    </w:p>
    <w:p w:rsidR="00D806C6" w:rsidRPr="00A167F2" w:rsidRDefault="00D83BE8" w:rsidP="00D806C6">
      <w:pPr>
        <w:rPr>
          <w:sz w:val="22"/>
          <w:szCs w:val="22"/>
        </w:rPr>
      </w:pPr>
      <w:r>
        <w:rPr>
          <w:sz w:val="22"/>
          <w:szCs w:val="22"/>
        </w:rPr>
        <w:t>Note 2 - P</w:t>
      </w:r>
      <w:r w:rsidR="00D806C6" w:rsidRPr="00A167F2">
        <w:rPr>
          <w:sz w:val="22"/>
          <w:szCs w:val="22"/>
        </w:rPr>
        <w:t xml:space="preserve"> Halsall was appointed to the post of Chief Executive from 31st January 2011. His annualised salary was £194,655.</w:t>
      </w:r>
    </w:p>
    <w:p w:rsidR="00D806C6" w:rsidRPr="00A167F2" w:rsidRDefault="00D806C6" w:rsidP="00D806C6">
      <w:pPr>
        <w:rPr>
          <w:sz w:val="22"/>
          <w:szCs w:val="22"/>
        </w:rPr>
      </w:pPr>
      <w:r w:rsidRPr="00A167F2">
        <w:rPr>
          <w:sz w:val="22"/>
          <w:szCs w:val="22"/>
        </w:rPr>
        <w:t>Benefits in kind relate to lease car payments or a cash equivalent sum in place of the entitlement to a lease car.</w:t>
      </w:r>
    </w:p>
    <w:p w:rsidR="005D5F9B" w:rsidRPr="00A167F2" w:rsidRDefault="005D5F9B" w:rsidP="00677DC1">
      <w:pPr>
        <w:rPr>
          <w:sz w:val="22"/>
          <w:szCs w:val="22"/>
        </w:rPr>
      </w:pPr>
    </w:p>
    <w:p w:rsidR="00BC1301" w:rsidRPr="00A167F2" w:rsidRDefault="00BC1301" w:rsidP="00BC1301">
      <w:pPr>
        <w:spacing w:after="240"/>
        <w:rPr>
          <w:b/>
          <w:sz w:val="22"/>
          <w:szCs w:val="22"/>
        </w:rPr>
      </w:pPr>
      <w:r w:rsidRPr="00A167F2">
        <w:rPr>
          <w:b/>
          <w:sz w:val="22"/>
          <w:szCs w:val="22"/>
        </w:rPr>
        <w:lastRenderedPageBreak/>
        <w:t xml:space="preserve">Disclosure of senior </w:t>
      </w:r>
      <w:r w:rsidR="00502051" w:rsidRPr="00A167F2">
        <w:rPr>
          <w:b/>
          <w:sz w:val="22"/>
          <w:szCs w:val="22"/>
        </w:rPr>
        <w:t>officer</w:t>
      </w:r>
      <w:r w:rsidR="00C543E1" w:rsidRPr="00A167F2">
        <w:rPr>
          <w:b/>
          <w:sz w:val="22"/>
          <w:szCs w:val="22"/>
        </w:rPr>
        <w:t>s</w:t>
      </w:r>
      <w:r w:rsidR="00502051" w:rsidRPr="00A167F2">
        <w:rPr>
          <w:b/>
          <w:sz w:val="22"/>
          <w:szCs w:val="22"/>
        </w:rPr>
        <w:t>'</w:t>
      </w:r>
      <w:r w:rsidR="00F95F2B" w:rsidRPr="00A167F2">
        <w:rPr>
          <w:b/>
          <w:sz w:val="22"/>
          <w:szCs w:val="22"/>
        </w:rPr>
        <w:t xml:space="preserve"> remuneration 2011</w:t>
      </w:r>
      <w:r w:rsidRPr="00A167F2">
        <w:rPr>
          <w:b/>
          <w:sz w:val="22"/>
          <w:szCs w:val="22"/>
        </w:rPr>
        <w:t>/1</w:t>
      </w:r>
      <w:r w:rsidR="00F95F2B" w:rsidRPr="00A167F2">
        <w:rPr>
          <w:b/>
          <w:sz w:val="22"/>
          <w:szCs w:val="22"/>
        </w:rPr>
        <w:t>2</w:t>
      </w:r>
      <w:r w:rsidRPr="00A167F2">
        <w:rPr>
          <w:b/>
          <w:sz w:val="22"/>
          <w:szCs w:val="22"/>
        </w:rPr>
        <w:t>: Remuneration £50k to £150k</w:t>
      </w: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6"/>
        <w:gridCol w:w="739"/>
        <w:gridCol w:w="1509"/>
        <w:gridCol w:w="1190"/>
        <w:gridCol w:w="906"/>
        <w:gridCol w:w="1808"/>
        <w:gridCol w:w="1428"/>
        <w:gridCol w:w="1803"/>
      </w:tblGrid>
      <w:tr w:rsidR="006D74A3" w:rsidRPr="00A167F2" w:rsidTr="006D74A3">
        <w:trPr>
          <w:trHeight w:val="1619"/>
        </w:trPr>
        <w:tc>
          <w:tcPr>
            <w:tcW w:w="0" w:type="auto"/>
            <w:vAlign w:val="center"/>
          </w:tcPr>
          <w:p w:rsidR="00962823" w:rsidRPr="006D74A3" w:rsidRDefault="00962823" w:rsidP="00D83BE8">
            <w:pPr>
              <w:rPr>
                <w:sz w:val="20"/>
                <w:szCs w:val="20"/>
              </w:rPr>
            </w:pPr>
            <w:r w:rsidRPr="006D74A3">
              <w:rPr>
                <w:sz w:val="20"/>
                <w:szCs w:val="20"/>
              </w:rPr>
              <w:t>Post, title and Name</w:t>
            </w:r>
          </w:p>
        </w:tc>
        <w:tc>
          <w:tcPr>
            <w:tcW w:w="0" w:type="auto"/>
            <w:vAlign w:val="center"/>
          </w:tcPr>
          <w:p w:rsidR="00962823" w:rsidRPr="006D74A3" w:rsidRDefault="00962823" w:rsidP="00D83BE8">
            <w:pPr>
              <w:jc w:val="center"/>
              <w:rPr>
                <w:sz w:val="20"/>
                <w:szCs w:val="20"/>
              </w:rPr>
            </w:pPr>
            <w:r w:rsidRPr="006D74A3">
              <w:rPr>
                <w:sz w:val="20"/>
                <w:szCs w:val="20"/>
              </w:rPr>
              <w:t>Notes</w:t>
            </w:r>
          </w:p>
        </w:tc>
        <w:tc>
          <w:tcPr>
            <w:tcW w:w="0" w:type="auto"/>
            <w:vAlign w:val="center"/>
          </w:tcPr>
          <w:p w:rsidR="00962823" w:rsidRPr="006D74A3" w:rsidRDefault="00962823" w:rsidP="00D83BE8">
            <w:pPr>
              <w:jc w:val="center"/>
              <w:rPr>
                <w:sz w:val="20"/>
                <w:szCs w:val="20"/>
              </w:rPr>
            </w:pPr>
            <w:r w:rsidRPr="006D74A3">
              <w:rPr>
                <w:sz w:val="20"/>
                <w:szCs w:val="20"/>
              </w:rPr>
              <w:t>Salary (including fees and allowances)</w:t>
            </w:r>
          </w:p>
          <w:p w:rsidR="00962823" w:rsidRPr="006D74A3" w:rsidRDefault="00962823" w:rsidP="00D83BE8">
            <w:pPr>
              <w:jc w:val="center"/>
              <w:rPr>
                <w:sz w:val="20"/>
                <w:szCs w:val="20"/>
              </w:rPr>
            </w:pPr>
          </w:p>
        </w:tc>
        <w:tc>
          <w:tcPr>
            <w:tcW w:w="0" w:type="auto"/>
            <w:vAlign w:val="center"/>
          </w:tcPr>
          <w:p w:rsidR="00962823" w:rsidRPr="006D74A3" w:rsidRDefault="00962823" w:rsidP="00D83BE8">
            <w:pPr>
              <w:jc w:val="center"/>
              <w:rPr>
                <w:sz w:val="20"/>
                <w:szCs w:val="20"/>
              </w:rPr>
            </w:pPr>
            <w:r w:rsidRPr="006D74A3">
              <w:rPr>
                <w:sz w:val="20"/>
                <w:szCs w:val="20"/>
              </w:rPr>
              <w:t>Expense allowance</w:t>
            </w:r>
          </w:p>
        </w:tc>
        <w:tc>
          <w:tcPr>
            <w:tcW w:w="0" w:type="auto"/>
            <w:vAlign w:val="center"/>
          </w:tcPr>
          <w:p w:rsidR="00962823" w:rsidRPr="006D74A3" w:rsidRDefault="00962823" w:rsidP="00D83BE8">
            <w:pPr>
              <w:jc w:val="center"/>
              <w:rPr>
                <w:sz w:val="20"/>
                <w:szCs w:val="20"/>
              </w:rPr>
            </w:pPr>
            <w:r w:rsidRPr="006D74A3">
              <w:rPr>
                <w:sz w:val="20"/>
                <w:szCs w:val="20"/>
              </w:rPr>
              <w:t>Benefit in Kind</w:t>
            </w:r>
          </w:p>
        </w:tc>
        <w:tc>
          <w:tcPr>
            <w:tcW w:w="0" w:type="auto"/>
            <w:vAlign w:val="center"/>
          </w:tcPr>
          <w:p w:rsidR="00962823" w:rsidRPr="006D74A3" w:rsidRDefault="00962823" w:rsidP="00D83BE8">
            <w:pPr>
              <w:jc w:val="center"/>
              <w:rPr>
                <w:sz w:val="20"/>
                <w:szCs w:val="20"/>
              </w:rPr>
            </w:pPr>
            <w:r w:rsidRPr="006D74A3">
              <w:rPr>
                <w:sz w:val="20"/>
                <w:szCs w:val="20"/>
              </w:rPr>
              <w:t>Total remuneration excludi</w:t>
            </w:r>
            <w:r w:rsidR="006D74A3">
              <w:rPr>
                <w:sz w:val="20"/>
                <w:szCs w:val="20"/>
              </w:rPr>
              <w:t>ng pension contributions 2011/12</w:t>
            </w:r>
          </w:p>
        </w:tc>
        <w:tc>
          <w:tcPr>
            <w:tcW w:w="0" w:type="auto"/>
            <w:vAlign w:val="center"/>
          </w:tcPr>
          <w:p w:rsidR="00962823" w:rsidRPr="006D74A3" w:rsidRDefault="00962823" w:rsidP="00D83BE8">
            <w:pPr>
              <w:jc w:val="center"/>
              <w:rPr>
                <w:sz w:val="20"/>
                <w:szCs w:val="20"/>
              </w:rPr>
            </w:pPr>
            <w:r w:rsidRPr="006D74A3">
              <w:rPr>
                <w:sz w:val="20"/>
                <w:szCs w:val="20"/>
              </w:rPr>
              <w:t>Pension contributions</w:t>
            </w:r>
          </w:p>
        </w:tc>
        <w:tc>
          <w:tcPr>
            <w:tcW w:w="0" w:type="auto"/>
            <w:vAlign w:val="center"/>
          </w:tcPr>
          <w:p w:rsidR="00962823" w:rsidRPr="006D74A3" w:rsidRDefault="00962823" w:rsidP="00D83BE8">
            <w:pPr>
              <w:jc w:val="center"/>
              <w:rPr>
                <w:sz w:val="20"/>
                <w:szCs w:val="20"/>
              </w:rPr>
            </w:pPr>
            <w:r w:rsidRPr="006D74A3">
              <w:rPr>
                <w:sz w:val="20"/>
                <w:szCs w:val="20"/>
              </w:rPr>
              <w:t>Total remuneration includi</w:t>
            </w:r>
            <w:r w:rsidR="006D74A3">
              <w:rPr>
                <w:sz w:val="20"/>
                <w:szCs w:val="20"/>
              </w:rPr>
              <w:t>ng pension contributions 2011/12</w:t>
            </w:r>
          </w:p>
        </w:tc>
      </w:tr>
      <w:tr w:rsidR="006D74A3" w:rsidRPr="00A167F2" w:rsidTr="006D74A3">
        <w:trPr>
          <w:trHeight w:val="447"/>
        </w:trPr>
        <w:tc>
          <w:tcPr>
            <w:tcW w:w="0" w:type="auto"/>
            <w:vAlign w:val="center"/>
          </w:tcPr>
          <w:p w:rsidR="00962823" w:rsidRPr="006D74A3" w:rsidRDefault="00962823" w:rsidP="00D83BE8">
            <w:pPr>
              <w:rPr>
                <w:sz w:val="20"/>
                <w:szCs w:val="20"/>
              </w:rPr>
            </w:pPr>
          </w:p>
        </w:tc>
        <w:tc>
          <w:tcPr>
            <w:tcW w:w="0" w:type="auto"/>
            <w:vAlign w:val="center"/>
          </w:tcPr>
          <w:p w:rsidR="00962823" w:rsidRPr="006D74A3" w:rsidRDefault="00962823" w:rsidP="00D83BE8">
            <w:pPr>
              <w:jc w:val="center"/>
              <w:rPr>
                <w:sz w:val="20"/>
                <w:szCs w:val="20"/>
              </w:rPr>
            </w:pPr>
          </w:p>
        </w:tc>
        <w:tc>
          <w:tcPr>
            <w:tcW w:w="0" w:type="auto"/>
            <w:vAlign w:val="center"/>
          </w:tcPr>
          <w:p w:rsidR="00962823" w:rsidRPr="006D74A3" w:rsidRDefault="00962823" w:rsidP="00D83BE8">
            <w:pPr>
              <w:jc w:val="center"/>
              <w:rPr>
                <w:sz w:val="20"/>
                <w:szCs w:val="20"/>
              </w:rPr>
            </w:pPr>
            <w:r w:rsidRPr="006D74A3">
              <w:rPr>
                <w:sz w:val="20"/>
                <w:szCs w:val="20"/>
              </w:rPr>
              <w:t>£</w:t>
            </w:r>
          </w:p>
        </w:tc>
        <w:tc>
          <w:tcPr>
            <w:tcW w:w="0" w:type="auto"/>
            <w:vAlign w:val="center"/>
          </w:tcPr>
          <w:p w:rsidR="00962823" w:rsidRPr="006D74A3" w:rsidRDefault="00962823" w:rsidP="00D83BE8">
            <w:pPr>
              <w:jc w:val="center"/>
              <w:rPr>
                <w:sz w:val="20"/>
                <w:szCs w:val="20"/>
              </w:rPr>
            </w:pPr>
            <w:r w:rsidRPr="006D74A3">
              <w:rPr>
                <w:sz w:val="20"/>
                <w:szCs w:val="20"/>
              </w:rPr>
              <w:t>£</w:t>
            </w:r>
          </w:p>
        </w:tc>
        <w:tc>
          <w:tcPr>
            <w:tcW w:w="0" w:type="auto"/>
            <w:vAlign w:val="center"/>
          </w:tcPr>
          <w:p w:rsidR="00962823" w:rsidRPr="006D74A3" w:rsidRDefault="00D83BE8" w:rsidP="00D83BE8">
            <w:pPr>
              <w:jc w:val="center"/>
              <w:rPr>
                <w:sz w:val="20"/>
                <w:szCs w:val="20"/>
              </w:rPr>
            </w:pPr>
            <w:r w:rsidRPr="006D74A3">
              <w:rPr>
                <w:sz w:val="20"/>
                <w:szCs w:val="20"/>
              </w:rPr>
              <w:t>£</w:t>
            </w:r>
          </w:p>
        </w:tc>
        <w:tc>
          <w:tcPr>
            <w:tcW w:w="0" w:type="auto"/>
            <w:vAlign w:val="center"/>
          </w:tcPr>
          <w:p w:rsidR="00962823" w:rsidRPr="006D74A3" w:rsidRDefault="00962823" w:rsidP="00D83BE8">
            <w:pPr>
              <w:jc w:val="center"/>
              <w:rPr>
                <w:sz w:val="20"/>
                <w:szCs w:val="20"/>
              </w:rPr>
            </w:pPr>
            <w:r w:rsidRPr="006D74A3">
              <w:rPr>
                <w:sz w:val="20"/>
                <w:szCs w:val="20"/>
              </w:rPr>
              <w:t>£</w:t>
            </w:r>
          </w:p>
        </w:tc>
        <w:tc>
          <w:tcPr>
            <w:tcW w:w="0" w:type="auto"/>
            <w:vAlign w:val="center"/>
          </w:tcPr>
          <w:p w:rsidR="00962823" w:rsidRPr="006D74A3" w:rsidRDefault="00962823" w:rsidP="00D83BE8">
            <w:pPr>
              <w:jc w:val="center"/>
              <w:rPr>
                <w:sz w:val="20"/>
                <w:szCs w:val="20"/>
              </w:rPr>
            </w:pPr>
            <w:r w:rsidRPr="006D74A3">
              <w:rPr>
                <w:sz w:val="20"/>
                <w:szCs w:val="20"/>
              </w:rPr>
              <w:t>£</w:t>
            </w:r>
          </w:p>
        </w:tc>
        <w:tc>
          <w:tcPr>
            <w:tcW w:w="0" w:type="auto"/>
            <w:vAlign w:val="center"/>
          </w:tcPr>
          <w:p w:rsidR="00962823" w:rsidRPr="006D74A3" w:rsidRDefault="00962823" w:rsidP="00D83BE8">
            <w:pPr>
              <w:jc w:val="center"/>
              <w:rPr>
                <w:sz w:val="20"/>
                <w:szCs w:val="20"/>
              </w:rPr>
            </w:pPr>
            <w:r w:rsidRPr="006D74A3">
              <w:rPr>
                <w:sz w:val="20"/>
                <w:szCs w:val="20"/>
              </w:rPr>
              <w:t>£</w:t>
            </w:r>
          </w:p>
        </w:tc>
      </w:tr>
      <w:tr w:rsidR="00CC5E7F" w:rsidRPr="00A167F2" w:rsidTr="00CC5E7F">
        <w:trPr>
          <w:trHeight w:val="912"/>
        </w:trPr>
        <w:tc>
          <w:tcPr>
            <w:tcW w:w="0" w:type="auto"/>
            <w:vAlign w:val="center"/>
          </w:tcPr>
          <w:p w:rsidR="00CC5E7F" w:rsidRPr="006D74A3" w:rsidRDefault="00CC5E7F" w:rsidP="00D83BE8">
            <w:pPr>
              <w:rPr>
                <w:sz w:val="20"/>
                <w:szCs w:val="20"/>
              </w:rPr>
            </w:pPr>
            <w:r w:rsidRPr="006D74A3">
              <w:rPr>
                <w:sz w:val="20"/>
                <w:szCs w:val="20"/>
              </w:rPr>
              <w:t>Executive Director for  Children &amp; Young People</w:t>
            </w:r>
          </w:p>
        </w:tc>
        <w:tc>
          <w:tcPr>
            <w:tcW w:w="0" w:type="auto"/>
            <w:vAlign w:val="center"/>
          </w:tcPr>
          <w:p w:rsidR="00CC5E7F" w:rsidRPr="006D74A3" w:rsidRDefault="00CC5E7F" w:rsidP="00D83BE8">
            <w:pPr>
              <w:jc w:val="center"/>
              <w:rPr>
                <w:sz w:val="20"/>
                <w:szCs w:val="20"/>
              </w:rPr>
            </w:pPr>
          </w:p>
        </w:tc>
        <w:tc>
          <w:tcPr>
            <w:tcW w:w="0" w:type="auto"/>
            <w:vAlign w:val="center"/>
          </w:tcPr>
          <w:p w:rsidR="00CC5E7F" w:rsidRDefault="00CC5E7F" w:rsidP="00CC5E7F">
            <w:pPr>
              <w:jc w:val="right"/>
              <w:rPr>
                <w:sz w:val="20"/>
                <w:szCs w:val="20"/>
              </w:rPr>
            </w:pPr>
            <w:r>
              <w:rPr>
                <w:sz w:val="20"/>
                <w:szCs w:val="20"/>
              </w:rPr>
              <w:t>129,201</w:t>
            </w:r>
          </w:p>
        </w:tc>
        <w:tc>
          <w:tcPr>
            <w:tcW w:w="0" w:type="auto"/>
            <w:vAlign w:val="center"/>
          </w:tcPr>
          <w:p w:rsidR="00CC5E7F" w:rsidRDefault="00CC5E7F" w:rsidP="00CC5E7F">
            <w:pPr>
              <w:jc w:val="right"/>
              <w:rPr>
                <w:sz w:val="20"/>
                <w:szCs w:val="20"/>
              </w:rPr>
            </w:pPr>
            <w:r>
              <w:rPr>
                <w:sz w:val="20"/>
                <w:szCs w:val="20"/>
              </w:rPr>
              <w:t>79</w:t>
            </w:r>
          </w:p>
        </w:tc>
        <w:tc>
          <w:tcPr>
            <w:tcW w:w="0" w:type="auto"/>
            <w:vAlign w:val="center"/>
          </w:tcPr>
          <w:p w:rsidR="00CC5E7F" w:rsidRDefault="00CC5E7F" w:rsidP="00CC5E7F">
            <w:pPr>
              <w:jc w:val="right"/>
              <w:rPr>
                <w:sz w:val="20"/>
                <w:szCs w:val="20"/>
              </w:rPr>
            </w:pPr>
            <w:r>
              <w:rPr>
                <w:sz w:val="20"/>
                <w:szCs w:val="20"/>
              </w:rPr>
              <w:t>7,415</w:t>
            </w:r>
          </w:p>
        </w:tc>
        <w:tc>
          <w:tcPr>
            <w:tcW w:w="0" w:type="auto"/>
            <w:vAlign w:val="center"/>
          </w:tcPr>
          <w:p w:rsidR="00CC5E7F" w:rsidRDefault="00CC5E7F" w:rsidP="00CC5E7F">
            <w:pPr>
              <w:jc w:val="right"/>
              <w:rPr>
                <w:sz w:val="20"/>
                <w:szCs w:val="20"/>
              </w:rPr>
            </w:pPr>
            <w:r>
              <w:rPr>
                <w:sz w:val="20"/>
                <w:szCs w:val="20"/>
              </w:rPr>
              <w:t>136,695</w:t>
            </w:r>
          </w:p>
        </w:tc>
        <w:tc>
          <w:tcPr>
            <w:tcW w:w="0" w:type="auto"/>
            <w:vAlign w:val="center"/>
          </w:tcPr>
          <w:p w:rsidR="00CC5E7F" w:rsidRDefault="00CC5E7F" w:rsidP="00CC5E7F">
            <w:pPr>
              <w:jc w:val="right"/>
              <w:rPr>
                <w:sz w:val="20"/>
                <w:szCs w:val="20"/>
              </w:rPr>
            </w:pPr>
            <w:r>
              <w:rPr>
                <w:sz w:val="20"/>
                <w:szCs w:val="20"/>
              </w:rPr>
              <w:t>25,614</w:t>
            </w:r>
          </w:p>
        </w:tc>
        <w:tc>
          <w:tcPr>
            <w:tcW w:w="0" w:type="auto"/>
            <w:vAlign w:val="center"/>
          </w:tcPr>
          <w:p w:rsidR="00CC5E7F" w:rsidRDefault="00CC5E7F" w:rsidP="00CC5E7F">
            <w:pPr>
              <w:jc w:val="right"/>
              <w:rPr>
                <w:sz w:val="20"/>
                <w:szCs w:val="20"/>
              </w:rPr>
            </w:pPr>
            <w:r>
              <w:rPr>
                <w:sz w:val="20"/>
                <w:szCs w:val="20"/>
              </w:rPr>
              <w:t>162,309</w:t>
            </w:r>
          </w:p>
        </w:tc>
      </w:tr>
      <w:tr w:rsidR="00CC5E7F" w:rsidRPr="00A167F2" w:rsidTr="00CC5E7F">
        <w:trPr>
          <w:trHeight w:val="1136"/>
        </w:trPr>
        <w:tc>
          <w:tcPr>
            <w:tcW w:w="0" w:type="auto"/>
            <w:vAlign w:val="center"/>
          </w:tcPr>
          <w:p w:rsidR="00CC5E7F" w:rsidRPr="006D74A3" w:rsidRDefault="00CC5E7F" w:rsidP="00D83BE8">
            <w:pPr>
              <w:rPr>
                <w:sz w:val="20"/>
                <w:szCs w:val="20"/>
              </w:rPr>
            </w:pPr>
            <w:r w:rsidRPr="006D74A3">
              <w:rPr>
                <w:sz w:val="20"/>
                <w:szCs w:val="20"/>
              </w:rPr>
              <w:t>Executive Director of  Adults and Community Services</w:t>
            </w:r>
          </w:p>
        </w:tc>
        <w:tc>
          <w:tcPr>
            <w:tcW w:w="0" w:type="auto"/>
            <w:vAlign w:val="center"/>
          </w:tcPr>
          <w:p w:rsidR="00CC5E7F" w:rsidRPr="006D74A3" w:rsidRDefault="00CC5E7F" w:rsidP="00D83BE8">
            <w:pPr>
              <w:jc w:val="center"/>
              <w:rPr>
                <w:sz w:val="20"/>
                <w:szCs w:val="20"/>
              </w:rPr>
            </w:pPr>
          </w:p>
        </w:tc>
        <w:tc>
          <w:tcPr>
            <w:tcW w:w="0" w:type="auto"/>
            <w:vAlign w:val="center"/>
          </w:tcPr>
          <w:p w:rsidR="00CC5E7F" w:rsidRDefault="00CC5E7F" w:rsidP="00CC5E7F">
            <w:pPr>
              <w:jc w:val="right"/>
              <w:rPr>
                <w:sz w:val="20"/>
                <w:szCs w:val="20"/>
              </w:rPr>
            </w:pPr>
            <w:r>
              <w:rPr>
                <w:sz w:val="20"/>
                <w:szCs w:val="20"/>
              </w:rPr>
              <w:t>129,201</w:t>
            </w:r>
          </w:p>
        </w:tc>
        <w:tc>
          <w:tcPr>
            <w:tcW w:w="0" w:type="auto"/>
            <w:vAlign w:val="center"/>
          </w:tcPr>
          <w:p w:rsidR="00CC5E7F" w:rsidRDefault="00CC5E7F" w:rsidP="00CC5E7F">
            <w:pPr>
              <w:jc w:val="right"/>
              <w:rPr>
                <w:sz w:val="20"/>
                <w:szCs w:val="20"/>
              </w:rPr>
            </w:pPr>
            <w:r>
              <w:rPr>
                <w:sz w:val="20"/>
                <w:szCs w:val="20"/>
              </w:rPr>
              <w:t>3</w:t>
            </w:r>
          </w:p>
        </w:tc>
        <w:tc>
          <w:tcPr>
            <w:tcW w:w="0" w:type="auto"/>
            <w:vAlign w:val="center"/>
          </w:tcPr>
          <w:p w:rsidR="00CC5E7F" w:rsidRDefault="00CC5E7F" w:rsidP="00CC5E7F">
            <w:pPr>
              <w:jc w:val="right"/>
              <w:rPr>
                <w:sz w:val="20"/>
                <w:szCs w:val="20"/>
              </w:rPr>
            </w:pPr>
            <w:r>
              <w:rPr>
                <w:sz w:val="20"/>
                <w:szCs w:val="20"/>
              </w:rPr>
              <w:t>6,119</w:t>
            </w:r>
          </w:p>
        </w:tc>
        <w:tc>
          <w:tcPr>
            <w:tcW w:w="0" w:type="auto"/>
            <w:vAlign w:val="center"/>
          </w:tcPr>
          <w:p w:rsidR="00CC5E7F" w:rsidRDefault="00CC5E7F" w:rsidP="00CC5E7F">
            <w:pPr>
              <w:jc w:val="right"/>
              <w:rPr>
                <w:sz w:val="20"/>
                <w:szCs w:val="20"/>
              </w:rPr>
            </w:pPr>
            <w:r>
              <w:rPr>
                <w:sz w:val="20"/>
                <w:szCs w:val="20"/>
              </w:rPr>
              <w:t>135,323</w:t>
            </w:r>
          </w:p>
        </w:tc>
        <w:tc>
          <w:tcPr>
            <w:tcW w:w="0" w:type="auto"/>
            <w:vAlign w:val="center"/>
          </w:tcPr>
          <w:p w:rsidR="00CC5E7F" w:rsidRDefault="00CC5E7F" w:rsidP="00CC5E7F">
            <w:pPr>
              <w:jc w:val="right"/>
              <w:rPr>
                <w:sz w:val="20"/>
                <w:szCs w:val="20"/>
              </w:rPr>
            </w:pPr>
            <w:r>
              <w:rPr>
                <w:sz w:val="20"/>
                <w:szCs w:val="20"/>
              </w:rPr>
              <w:t>25,614</w:t>
            </w:r>
          </w:p>
        </w:tc>
        <w:tc>
          <w:tcPr>
            <w:tcW w:w="0" w:type="auto"/>
            <w:vAlign w:val="center"/>
          </w:tcPr>
          <w:p w:rsidR="00CC5E7F" w:rsidRDefault="00CC5E7F" w:rsidP="00CC5E7F">
            <w:pPr>
              <w:jc w:val="right"/>
              <w:rPr>
                <w:sz w:val="20"/>
                <w:szCs w:val="20"/>
              </w:rPr>
            </w:pPr>
            <w:r>
              <w:rPr>
                <w:sz w:val="20"/>
                <w:szCs w:val="20"/>
              </w:rPr>
              <w:t>160,938</w:t>
            </w:r>
          </w:p>
        </w:tc>
      </w:tr>
      <w:tr w:rsidR="00CC5E7F" w:rsidRPr="00A167F2" w:rsidTr="00CC5E7F">
        <w:trPr>
          <w:trHeight w:val="689"/>
        </w:trPr>
        <w:tc>
          <w:tcPr>
            <w:tcW w:w="0" w:type="auto"/>
            <w:vAlign w:val="center"/>
          </w:tcPr>
          <w:p w:rsidR="00CC5E7F" w:rsidRPr="006D74A3" w:rsidRDefault="00CC5E7F" w:rsidP="00D83BE8">
            <w:pPr>
              <w:rPr>
                <w:sz w:val="20"/>
                <w:szCs w:val="20"/>
              </w:rPr>
            </w:pPr>
            <w:r w:rsidRPr="006D74A3">
              <w:rPr>
                <w:sz w:val="20"/>
                <w:szCs w:val="20"/>
              </w:rPr>
              <w:t>County Secretary &amp; Solicitors</w:t>
            </w:r>
          </w:p>
        </w:tc>
        <w:tc>
          <w:tcPr>
            <w:tcW w:w="0" w:type="auto"/>
            <w:vAlign w:val="center"/>
          </w:tcPr>
          <w:p w:rsidR="00CC5E7F" w:rsidRPr="006D74A3" w:rsidRDefault="00CC5E7F" w:rsidP="00D83BE8">
            <w:pPr>
              <w:jc w:val="center"/>
              <w:rPr>
                <w:sz w:val="20"/>
                <w:szCs w:val="20"/>
              </w:rPr>
            </w:pPr>
          </w:p>
        </w:tc>
        <w:tc>
          <w:tcPr>
            <w:tcW w:w="0" w:type="auto"/>
            <w:vAlign w:val="center"/>
          </w:tcPr>
          <w:p w:rsidR="00CC5E7F" w:rsidRDefault="00CC5E7F" w:rsidP="00CC5E7F">
            <w:pPr>
              <w:jc w:val="right"/>
              <w:rPr>
                <w:sz w:val="20"/>
                <w:szCs w:val="20"/>
              </w:rPr>
            </w:pPr>
            <w:r>
              <w:rPr>
                <w:sz w:val="20"/>
                <w:szCs w:val="20"/>
              </w:rPr>
              <w:t>129,201</w:t>
            </w:r>
          </w:p>
        </w:tc>
        <w:tc>
          <w:tcPr>
            <w:tcW w:w="0" w:type="auto"/>
            <w:vAlign w:val="center"/>
          </w:tcPr>
          <w:p w:rsidR="00CC5E7F" w:rsidRDefault="00CC5E7F" w:rsidP="00CC5E7F">
            <w:pPr>
              <w:jc w:val="right"/>
              <w:rPr>
                <w:sz w:val="20"/>
                <w:szCs w:val="20"/>
              </w:rPr>
            </w:pPr>
            <w:r>
              <w:rPr>
                <w:sz w:val="20"/>
                <w:szCs w:val="20"/>
              </w:rPr>
              <w:t>35</w:t>
            </w:r>
          </w:p>
        </w:tc>
        <w:tc>
          <w:tcPr>
            <w:tcW w:w="0" w:type="auto"/>
            <w:vAlign w:val="center"/>
          </w:tcPr>
          <w:p w:rsidR="00CC5E7F" w:rsidRDefault="00CC5E7F" w:rsidP="00CC5E7F">
            <w:pPr>
              <w:jc w:val="right"/>
              <w:rPr>
                <w:sz w:val="20"/>
                <w:szCs w:val="20"/>
              </w:rPr>
            </w:pPr>
            <w:r>
              <w:rPr>
                <w:sz w:val="20"/>
                <w:szCs w:val="20"/>
              </w:rPr>
              <w:t>5,595</w:t>
            </w:r>
          </w:p>
        </w:tc>
        <w:tc>
          <w:tcPr>
            <w:tcW w:w="0" w:type="auto"/>
            <w:vAlign w:val="center"/>
          </w:tcPr>
          <w:p w:rsidR="00CC5E7F" w:rsidRDefault="00CC5E7F" w:rsidP="00CC5E7F">
            <w:pPr>
              <w:jc w:val="right"/>
              <w:rPr>
                <w:sz w:val="20"/>
                <w:szCs w:val="20"/>
              </w:rPr>
            </w:pPr>
            <w:r>
              <w:rPr>
                <w:sz w:val="20"/>
                <w:szCs w:val="20"/>
              </w:rPr>
              <w:t>134,831</w:t>
            </w:r>
          </w:p>
        </w:tc>
        <w:tc>
          <w:tcPr>
            <w:tcW w:w="0" w:type="auto"/>
            <w:vAlign w:val="center"/>
          </w:tcPr>
          <w:p w:rsidR="00CC5E7F" w:rsidRDefault="00CC5E7F" w:rsidP="00CC5E7F">
            <w:pPr>
              <w:jc w:val="right"/>
              <w:rPr>
                <w:sz w:val="20"/>
                <w:szCs w:val="20"/>
              </w:rPr>
            </w:pPr>
            <w:r>
              <w:rPr>
                <w:sz w:val="20"/>
                <w:szCs w:val="20"/>
              </w:rPr>
              <w:t>25,614</w:t>
            </w:r>
          </w:p>
        </w:tc>
        <w:tc>
          <w:tcPr>
            <w:tcW w:w="0" w:type="auto"/>
            <w:vAlign w:val="center"/>
          </w:tcPr>
          <w:p w:rsidR="00CC5E7F" w:rsidRDefault="00CC5E7F" w:rsidP="00CC5E7F">
            <w:pPr>
              <w:jc w:val="right"/>
              <w:rPr>
                <w:sz w:val="20"/>
                <w:szCs w:val="20"/>
              </w:rPr>
            </w:pPr>
            <w:r>
              <w:rPr>
                <w:sz w:val="20"/>
                <w:szCs w:val="20"/>
              </w:rPr>
              <w:t>160,446</w:t>
            </w:r>
          </w:p>
        </w:tc>
      </w:tr>
      <w:tr w:rsidR="00CC5E7F" w:rsidRPr="00A167F2" w:rsidTr="00CC5E7F">
        <w:trPr>
          <w:trHeight w:val="684"/>
        </w:trPr>
        <w:tc>
          <w:tcPr>
            <w:tcW w:w="0" w:type="auto"/>
            <w:vAlign w:val="center"/>
          </w:tcPr>
          <w:p w:rsidR="00CC5E7F" w:rsidRPr="006D74A3" w:rsidRDefault="00CC5E7F" w:rsidP="00D83BE8">
            <w:pPr>
              <w:rPr>
                <w:sz w:val="20"/>
                <w:szCs w:val="20"/>
              </w:rPr>
            </w:pPr>
            <w:r w:rsidRPr="006D74A3">
              <w:rPr>
                <w:sz w:val="20"/>
                <w:szCs w:val="20"/>
              </w:rPr>
              <w:t>Executive Director for the Environment</w:t>
            </w:r>
          </w:p>
        </w:tc>
        <w:tc>
          <w:tcPr>
            <w:tcW w:w="0" w:type="auto"/>
            <w:vAlign w:val="center"/>
          </w:tcPr>
          <w:p w:rsidR="00CC5E7F" w:rsidRPr="006D74A3" w:rsidRDefault="00CC5E7F" w:rsidP="00D83BE8">
            <w:pPr>
              <w:jc w:val="center"/>
              <w:rPr>
                <w:sz w:val="20"/>
                <w:szCs w:val="20"/>
              </w:rPr>
            </w:pPr>
          </w:p>
        </w:tc>
        <w:tc>
          <w:tcPr>
            <w:tcW w:w="0" w:type="auto"/>
            <w:vAlign w:val="center"/>
          </w:tcPr>
          <w:p w:rsidR="00CC5E7F" w:rsidRDefault="00CC5E7F" w:rsidP="00CC5E7F">
            <w:pPr>
              <w:jc w:val="right"/>
              <w:rPr>
                <w:sz w:val="20"/>
                <w:szCs w:val="20"/>
              </w:rPr>
            </w:pPr>
            <w:r>
              <w:rPr>
                <w:sz w:val="20"/>
                <w:szCs w:val="20"/>
              </w:rPr>
              <w:t>126,624</w:t>
            </w:r>
          </w:p>
        </w:tc>
        <w:tc>
          <w:tcPr>
            <w:tcW w:w="0" w:type="auto"/>
            <w:vAlign w:val="center"/>
          </w:tcPr>
          <w:p w:rsidR="00CC5E7F" w:rsidRDefault="0025306E" w:rsidP="00CC5E7F">
            <w:pPr>
              <w:jc w:val="right"/>
              <w:rPr>
                <w:sz w:val="20"/>
                <w:szCs w:val="20"/>
              </w:rPr>
            </w:pPr>
            <w:r>
              <w:rPr>
                <w:sz w:val="20"/>
                <w:szCs w:val="20"/>
              </w:rPr>
              <w:t>-</w:t>
            </w:r>
          </w:p>
        </w:tc>
        <w:tc>
          <w:tcPr>
            <w:tcW w:w="0" w:type="auto"/>
            <w:vAlign w:val="center"/>
          </w:tcPr>
          <w:p w:rsidR="00CC5E7F" w:rsidRDefault="00CC5E7F" w:rsidP="00CC5E7F">
            <w:pPr>
              <w:jc w:val="right"/>
              <w:rPr>
                <w:sz w:val="20"/>
                <w:szCs w:val="20"/>
              </w:rPr>
            </w:pPr>
            <w:r>
              <w:rPr>
                <w:sz w:val="20"/>
                <w:szCs w:val="20"/>
              </w:rPr>
              <w:t>5,300</w:t>
            </w:r>
          </w:p>
        </w:tc>
        <w:tc>
          <w:tcPr>
            <w:tcW w:w="0" w:type="auto"/>
            <w:vAlign w:val="center"/>
          </w:tcPr>
          <w:p w:rsidR="00CC5E7F" w:rsidRDefault="00CC5E7F" w:rsidP="00CC5E7F">
            <w:pPr>
              <w:jc w:val="right"/>
              <w:rPr>
                <w:sz w:val="20"/>
                <w:szCs w:val="20"/>
              </w:rPr>
            </w:pPr>
            <w:r>
              <w:rPr>
                <w:sz w:val="20"/>
                <w:szCs w:val="20"/>
              </w:rPr>
              <w:t>131,924</w:t>
            </w:r>
          </w:p>
        </w:tc>
        <w:tc>
          <w:tcPr>
            <w:tcW w:w="0" w:type="auto"/>
            <w:vAlign w:val="center"/>
          </w:tcPr>
          <w:p w:rsidR="00CC5E7F" w:rsidRDefault="00CC5E7F" w:rsidP="00CC5E7F">
            <w:pPr>
              <w:jc w:val="right"/>
              <w:rPr>
                <w:sz w:val="20"/>
                <w:szCs w:val="20"/>
              </w:rPr>
            </w:pPr>
            <w:r>
              <w:rPr>
                <w:sz w:val="20"/>
                <w:szCs w:val="20"/>
              </w:rPr>
              <w:t>25,103</w:t>
            </w:r>
          </w:p>
        </w:tc>
        <w:tc>
          <w:tcPr>
            <w:tcW w:w="0" w:type="auto"/>
            <w:vAlign w:val="center"/>
          </w:tcPr>
          <w:p w:rsidR="00CC5E7F" w:rsidRDefault="00CC5E7F" w:rsidP="00CC5E7F">
            <w:pPr>
              <w:jc w:val="right"/>
              <w:rPr>
                <w:sz w:val="20"/>
                <w:szCs w:val="20"/>
              </w:rPr>
            </w:pPr>
            <w:r>
              <w:rPr>
                <w:sz w:val="20"/>
                <w:szCs w:val="20"/>
              </w:rPr>
              <w:t>157,027</w:t>
            </w:r>
          </w:p>
        </w:tc>
      </w:tr>
      <w:tr w:rsidR="00CC5E7F" w:rsidRPr="00A167F2" w:rsidTr="00CC5E7F">
        <w:trPr>
          <w:trHeight w:val="484"/>
        </w:trPr>
        <w:tc>
          <w:tcPr>
            <w:tcW w:w="0" w:type="auto"/>
            <w:vAlign w:val="center"/>
          </w:tcPr>
          <w:p w:rsidR="00CC5E7F" w:rsidRPr="006D74A3" w:rsidRDefault="00CC5E7F" w:rsidP="00D83BE8">
            <w:pPr>
              <w:rPr>
                <w:sz w:val="20"/>
                <w:szCs w:val="20"/>
              </w:rPr>
            </w:pPr>
            <w:r w:rsidRPr="006D74A3">
              <w:rPr>
                <w:sz w:val="20"/>
                <w:szCs w:val="20"/>
              </w:rPr>
              <w:t>County Treasurer</w:t>
            </w:r>
          </w:p>
        </w:tc>
        <w:tc>
          <w:tcPr>
            <w:tcW w:w="0" w:type="auto"/>
            <w:vAlign w:val="center"/>
          </w:tcPr>
          <w:p w:rsidR="00CC5E7F" w:rsidRPr="006D74A3" w:rsidRDefault="00CC5E7F" w:rsidP="00D83BE8">
            <w:pPr>
              <w:jc w:val="center"/>
              <w:rPr>
                <w:sz w:val="20"/>
                <w:szCs w:val="20"/>
              </w:rPr>
            </w:pPr>
          </w:p>
        </w:tc>
        <w:tc>
          <w:tcPr>
            <w:tcW w:w="0" w:type="auto"/>
            <w:vAlign w:val="center"/>
          </w:tcPr>
          <w:p w:rsidR="00CC5E7F" w:rsidRDefault="00CC5E7F" w:rsidP="00CC5E7F">
            <w:pPr>
              <w:jc w:val="right"/>
              <w:rPr>
                <w:sz w:val="20"/>
                <w:szCs w:val="20"/>
              </w:rPr>
            </w:pPr>
            <w:r>
              <w:rPr>
                <w:sz w:val="20"/>
                <w:szCs w:val="20"/>
              </w:rPr>
              <w:t>106,673</w:t>
            </w:r>
          </w:p>
        </w:tc>
        <w:tc>
          <w:tcPr>
            <w:tcW w:w="0" w:type="auto"/>
            <w:vAlign w:val="center"/>
          </w:tcPr>
          <w:p w:rsidR="00CC5E7F" w:rsidRDefault="0025306E" w:rsidP="00CC5E7F">
            <w:pPr>
              <w:jc w:val="right"/>
              <w:rPr>
                <w:sz w:val="20"/>
                <w:szCs w:val="20"/>
              </w:rPr>
            </w:pPr>
            <w:r>
              <w:rPr>
                <w:sz w:val="20"/>
                <w:szCs w:val="20"/>
              </w:rPr>
              <w:t>-</w:t>
            </w:r>
          </w:p>
        </w:tc>
        <w:tc>
          <w:tcPr>
            <w:tcW w:w="0" w:type="auto"/>
            <w:vAlign w:val="center"/>
          </w:tcPr>
          <w:p w:rsidR="00CC5E7F" w:rsidRDefault="00CC5E7F" w:rsidP="00CC5E7F">
            <w:pPr>
              <w:jc w:val="right"/>
              <w:rPr>
                <w:sz w:val="20"/>
                <w:szCs w:val="20"/>
              </w:rPr>
            </w:pPr>
            <w:r>
              <w:rPr>
                <w:sz w:val="20"/>
                <w:szCs w:val="20"/>
              </w:rPr>
              <w:t>5,300</w:t>
            </w:r>
          </w:p>
        </w:tc>
        <w:tc>
          <w:tcPr>
            <w:tcW w:w="0" w:type="auto"/>
            <w:vAlign w:val="center"/>
          </w:tcPr>
          <w:p w:rsidR="00CC5E7F" w:rsidRDefault="00CC5E7F" w:rsidP="00CC5E7F">
            <w:pPr>
              <w:jc w:val="right"/>
              <w:rPr>
                <w:sz w:val="20"/>
                <w:szCs w:val="20"/>
              </w:rPr>
            </w:pPr>
            <w:r>
              <w:rPr>
                <w:sz w:val="20"/>
                <w:szCs w:val="20"/>
              </w:rPr>
              <w:t>111,973</w:t>
            </w:r>
          </w:p>
        </w:tc>
        <w:tc>
          <w:tcPr>
            <w:tcW w:w="0" w:type="auto"/>
            <w:vAlign w:val="center"/>
          </w:tcPr>
          <w:p w:rsidR="00CC5E7F" w:rsidRDefault="00CC5E7F" w:rsidP="00CC5E7F">
            <w:pPr>
              <w:jc w:val="right"/>
              <w:rPr>
                <w:sz w:val="20"/>
                <w:szCs w:val="20"/>
              </w:rPr>
            </w:pPr>
            <w:r>
              <w:rPr>
                <w:sz w:val="20"/>
                <w:szCs w:val="20"/>
              </w:rPr>
              <w:t>16,319</w:t>
            </w:r>
          </w:p>
        </w:tc>
        <w:tc>
          <w:tcPr>
            <w:tcW w:w="0" w:type="auto"/>
            <w:vAlign w:val="center"/>
          </w:tcPr>
          <w:p w:rsidR="00CC5E7F" w:rsidRDefault="00CC5E7F" w:rsidP="00CC5E7F">
            <w:pPr>
              <w:jc w:val="right"/>
              <w:rPr>
                <w:sz w:val="20"/>
                <w:szCs w:val="20"/>
              </w:rPr>
            </w:pPr>
            <w:r>
              <w:rPr>
                <w:sz w:val="20"/>
                <w:szCs w:val="20"/>
              </w:rPr>
              <w:t>128,292</w:t>
            </w:r>
          </w:p>
        </w:tc>
      </w:tr>
      <w:tr w:rsidR="00CC5E7F" w:rsidRPr="00A167F2" w:rsidTr="00CC5E7F">
        <w:trPr>
          <w:trHeight w:val="484"/>
        </w:trPr>
        <w:tc>
          <w:tcPr>
            <w:tcW w:w="0" w:type="auto"/>
            <w:vAlign w:val="center"/>
          </w:tcPr>
          <w:p w:rsidR="00CC5E7F" w:rsidRPr="006D74A3" w:rsidRDefault="00CC5E7F" w:rsidP="00D83BE8">
            <w:pPr>
              <w:rPr>
                <w:sz w:val="20"/>
                <w:szCs w:val="20"/>
              </w:rPr>
            </w:pPr>
            <w:r w:rsidRPr="00CC5E7F">
              <w:rPr>
                <w:b/>
                <w:sz w:val="20"/>
                <w:szCs w:val="20"/>
              </w:rPr>
              <w:t>Total</w:t>
            </w:r>
          </w:p>
        </w:tc>
        <w:tc>
          <w:tcPr>
            <w:tcW w:w="0" w:type="auto"/>
            <w:vAlign w:val="center"/>
          </w:tcPr>
          <w:p w:rsidR="00CC5E7F" w:rsidRPr="006D74A3" w:rsidRDefault="00CC5E7F" w:rsidP="00D83BE8">
            <w:pPr>
              <w:jc w:val="center"/>
              <w:rPr>
                <w:sz w:val="20"/>
                <w:szCs w:val="20"/>
              </w:rPr>
            </w:pPr>
          </w:p>
        </w:tc>
        <w:tc>
          <w:tcPr>
            <w:tcW w:w="0" w:type="auto"/>
            <w:vAlign w:val="center"/>
          </w:tcPr>
          <w:p w:rsidR="00CC5E7F" w:rsidRDefault="00CC5E7F" w:rsidP="00CC5E7F">
            <w:pPr>
              <w:jc w:val="right"/>
              <w:rPr>
                <w:sz w:val="20"/>
                <w:szCs w:val="20"/>
              </w:rPr>
            </w:pPr>
            <w:r>
              <w:rPr>
                <w:sz w:val="20"/>
                <w:szCs w:val="20"/>
              </w:rPr>
              <w:t>620,900</w:t>
            </w:r>
          </w:p>
        </w:tc>
        <w:tc>
          <w:tcPr>
            <w:tcW w:w="0" w:type="auto"/>
            <w:vAlign w:val="center"/>
          </w:tcPr>
          <w:p w:rsidR="00CC5E7F" w:rsidRDefault="00CC5E7F" w:rsidP="00CC5E7F">
            <w:pPr>
              <w:jc w:val="right"/>
              <w:rPr>
                <w:sz w:val="20"/>
                <w:szCs w:val="20"/>
              </w:rPr>
            </w:pPr>
            <w:r>
              <w:rPr>
                <w:sz w:val="20"/>
                <w:szCs w:val="20"/>
              </w:rPr>
              <w:t>118</w:t>
            </w:r>
          </w:p>
        </w:tc>
        <w:tc>
          <w:tcPr>
            <w:tcW w:w="0" w:type="auto"/>
            <w:vAlign w:val="center"/>
          </w:tcPr>
          <w:p w:rsidR="00CC5E7F" w:rsidRDefault="00CC5E7F" w:rsidP="00CC5E7F">
            <w:pPr>
              <w:jc w:val="right"/>
              <w:rPr>
                <w:sz w:val="20"/>
                <w:szCs w:val="20"/>
              </w:rPr>
            </w:pPr>
            <w:r>
              <w:rPr>
                <w:sz w:val="20"/>
                <w:szCs w:val="20"/>
              </w:rPr>
              <w:t>29,729</w:t>
            </w:r>
          </w:p>
        </w:tc>
        <w:tc>
          <w:tcPr>
            <w:tcW w:w="0" w:type="auto"/>
            <w:vAlign w:val="center"/>
          </w:tcPr>
          <w:p w:rsidR="00CC5E7F" w:rsidRDefault="00CC5E7F" w:rsidP="00CC5E7F">
            <w:pPr>
              <w:jc w:val="right"/>
              <w:rPr>
                <w:sz w:val="20"/>
                <w:szCs w:val="20"/>
              </w:rPr>
            </w:pPr>
            <w:r>
              <w:rPr>
                <w:sz w:val="20"/>
                <w:szCs w:val="20"/>
              </w:rPr>
              <w:t>650,748</w:t>
            </w:r>
          </w:p>
        </w:tc>
        <w:tc>
          <w:tcPr>
            <w:tcW w:w="0" w:type="auto"/>
            <w:vAlign w:val="center"/>
          </w:tcPr>
          <w:p w:rsidR="00CC5E7F" w:rsidRDefault="00CC5E7F" w:rsidP="00CC5E7F">
            <w:pPr>
              <w:jc w:val="right"/>
              <w:rPr>
                <w:sz w:val="20"/>
                <w:szCs w:val="20"/>
              </w:rPr>
            </w:pPr>
            <w:r>
              <w:rPr>
                <w:sz w:val="20"/>
                <w:szCs w:val="20"/>
              </w:rPr>
              <w:t>118,264</w:t>
            </w:r>
          </w:p>
        </w:tc>
        <w:tc>
          <w:tcPr>
            <w:tcW w:w="0" w:type="auto"/>
            <w:vAlign w:val="center"/>
          </w:tcPr>
          <w:p w:rsidR="00CC5E7F" w:rsidRDefault="00CC5E7F" w:rsidP="00CC5E7F">
            <w:pPr>
              <w:jc w:val="right"/>
              <w:rPr>
                <w:sz w:val="20"/>
                <w:szCs w:val="20"/>
              </w:rPr>
            </w:pPr>
            <w:r>
              <w:rPr>
                <w:sz w:val="20"/>
                <w:szCs w:val="20"/>
              </w:rPr>
              <w:t>769,012</w:t>
            </w:r>
          </w:p>
        </w:tc>
      </w:tr>
    </w:tbl>
    <w:p w:rsidR="00BC1301" w:rsidRPr="00A167F2" w:rsidRDefault="00BC1301" w:rsidP="00BC1301">
      <w:pPr>
        <w:spacing w:after="240"/>
        <w:rPr>
          <w:sz w:val="22"/>
          <w:szCs w:val="22"/>
        </w:rPr>
      </w:pPr>
    </w:p>
    <w:p w:rsidR="00A83203" w:rsidRPr="00A167F2" w:rsidRDefault="0025306E" w:rsidP="00A83203">
      <w:pPr>
        <w:rPr>
          <w:color w:val="000000"/>
        </w:rPr>
      </w:pPr>
      <w:r>
        <w:rPr>
          <w:color w:val="000000"/>
        </w:rPr>
        <w:t xml:space="preserve">Note 1 - </w:t>
      </w:r>
      <w:r w:rsidR="00A83203" w:rsidRPr="00A167F2">
        <w:rPr>
          <w:color w:val="000000"/>
        </w:rPr>
        <w:t>Benefits in kind relate to lease car payments or a cash equivalent sum in place of the entitlement to a lease car.</w:t>
      </w:r>
    </w:p>
    <w:p w:rsidR="00915B8F" w:rsidRDefault="00915B8F" w:rsidP="00FF09AD">
      <w:pPr>
        <w:spacing w:after="240"/>
        <w:rPr>
          <w:b/>
          <w:sz w:val="22"/>
          <w:szCs w:val="22"/>
        </w:rPr>
      </w:pPr>
    </w:p>
    <w:p w:rsidR="00B623F3" w:rsidRDefault="00B623F3" w:rsidP="00FF09AD">
      <w:pPr>
        <w:spacing w:after="240"/>
        <w:rPr>
          <w:b/>
          <w:sz w:val="22"/>
          <w:szCs w:val="22"/>
        </w:rPr>
      </w:pPr>
    </w:p>
    <w:p w:rsidR="00B623F3" w:rsidRDefault="00B623F3" w:rsidP="00FF09AD">
      <w:pPr>
        <w:spacing w:after="240"/>
        <w:rPr>
          <w:b/>
          <w:sz w:val="22"/>
          <w:szCs w:val="22"/>
        </w:rPr>
      </w:pPr>
    </w:p>
    <w:p w:rsidR="00B623F3" w:rsidRDefault="00B623F3" w:rsidP="00FF09AD">
      <w:pPr>
        <w:spacing w:after="240"/>
        <w:rPr>
          <w:b/>
          <w:sz w:val="22"/>
          <w:szCs w:val="22"/>
        </w:rPr>
      </w:pPr>
    </w:p>
    <w:p w:rsidR="00B623F3" w:rsidRDefault="00B623F3" w:rsidP="00FF09AD">
      <w:pPr>
        <w:spacing w:after="240"/>
        <w:rPr>
          <w:b/>
          <w:sz w:val="22"/>
          <w:szCs w:val="22"/>
        </w:rPr>
      </w:pPr>
    </w:p>
    <w:p w:rsidR="00B623F3" w:rsidRDefault="00B623F3" w:rsidP="00FF09AD">
      <w:pPr>
        <w:spacing w:after="240"/>
        <w:rPr>
          <w:b/>
          <w:sz w:val="22"/>
          <w:szCs w:val="22"/>
        </w:rPr>
      </w:pPr>
    </w:p>
    <w:p w:rsidR="00B623F3" w:rsidRDefault="00B623F3" w:rsidP="00FF09AD">
      <w:pPr>
        <w:spacing w:after="240"/>
        <w:rPr>
          <w:b/>
          <w:sz w:val="22"/>
          <w:szCs w:val="22"/>
        </w:rPr>
      </w:pPr>
    </w:p>
    <w:p w:rsidR="00B623F3" w:rsidRDefault="00B623F3" w:rsidP="00FF09AD">
      <w:pPr>
        <w:spacing w:after="240"/>
        <w:rPr>
          <w:b/>
          <w:sz w:val="22"/>
          <w:szCs w:val="22"/>
        </w:rPr>
      </w:pPr>
    </w:p>
    <w:p w:rsidR="00B623F3" w:rsidRDefault="00B623F3" w:rsidP="00FF09AD">
      <w:pPr>
        <w:spacing w:after="240"/>
        <w:rPr>
          <w:b/>
          <w:sz w:val="22"/>
          <w:szCs w:val="22"/>
        </w:rPr>
      </w:pPr>
    </w:p>
    <w:p w:rsidR="00B623F3" w:rsidRDefault="00B623F3" w:rsidP="00FF09AD">
      <w:pPr>
        <w:spacing w:after="240"/>
        <w:rPr>
          <w:b/>
          <w:sz w:val="22"/>
          <w:szCs w:val="22"/>
        </w:rPr>
      </w:pPr>
    </w:p>
    <w:p w:rsidR="00B623F3" w:rsidRDefault="00B623F3" w:rsidP="00FF09AD">
      <w:pPr>
        <w:spacing w:after="240"/>
        <w:rPr>
          <w:b/>
          <w:sz w:val="22"/>
          <w:szCs w:val="22"/>
        </w:rPr>
      </w:pPr>
    </w:p>
    <w:p w:rsidR="00B623F3" w:rsidRDefault="00B623F3" w:rsidP="00FF09AD">
      <w:pPr>
        <w:spacing w:after="240"/>
        <w:rPr>
          <w:b/>
          <w:sz w:val="22"/>
          <w:szCs w:val="22"/>
        </w:rPr>
      </w:pPr>
    </w:p>
    <w:p w:rsidR="00B623F3" w:rsidRPr="00A167F2" w:rsidRDefault="00B623F3" w:rsidP="00FF09AD">
      <w:pPr>
        <w:spacing w:after="240"/>
        <w:rPr>
          <w:b/>
          <w:sz w:val="22"/>
          <w:szCs w:val="22"/>
        </w:rPr>
      </w:pPr>
    </w:p>
    <w:p w:rsidR="00FF09AD" w:rsidRPr="00A167F2" w:rsidRDefault="00FF09AD" w:rsidP="00FF09AD">
      <w:pPr>
        <w:spacing w:after="240"/>
        <w:rPr>
          <w:b/>
          <w:sz w:val="22"/>
          <w:szCs w:val="22"/>
        </w:rPr>
      </w:pPr>
      <w:r w:rsidRPr="00A167F2">
        <w:rPr>
          <w:b/>
          <w:sz w:val="22"/>
          <w:szCs w:val="22"/>
        </w:rPr>
        <w:t xml:space="preserve">Disclosure of senior </w:t>
      </w:r>
      <w:r w:rsidR="00502051" w:rsidRPr="00A167F2">
        <w:rPr>
          <w:b/>
          <w:sz w:val="22"/>
          <w:szCs w:val="22"/>
        </w:rPr>
        <w:t>officer</w:t>
      </w:r>
      <w:r w:rsidR="00C543E1" w:rsidRPr="00A167F2">
        <w:rPr>
          <w:b/>
          <w:sz w:val="22"/>
          <w:szCs w:val="22"/>
        </w:rPr>
        <w:t>s</w:t>
      </w:r>
      <w:r w:rsidR="00502051" w:rsidRPr="00A167F2">
        <w:rPr>
          <w:b/>
          <w:sz w:val="22"/>
          <w:szCs w:val="22"/>
        </w:rPr>
        <w:t>'</w:t>
      </w:r>
      <w:r w:rsidR="00F95F2B" w:rsidRPr="00A167F2">
        <w:rPr>
          <w:b/>
          <w:sz w:val="22"/>
          <w:szCs w:val="22"/>
        </w:rPr>
        <w:t xml:space="preserve"> remuneration 2010</w:t>
      </w:r>
      <w:r w:rsidRPr="00A167F2">
        <w:rPr>
          <w:b/>
          <w:sz w:val="22"/>
          <w:szCs w:val="22"/>
        </w:rPr>
        <w:t>/1</w:t>
      </w:r>
      <w:r w:rsidR="00F95F2B" w:rsidRPr="00A167F2">
        <w:rPr>
          <w:b/>
          <w:sz w:val="22"/>
          <w:szCs w:val="22"/>
        </w:rPr>
        <w:t>1</w:t>
      </w:r>
      <w:r w:rsidRPr="00A167F2">
        <w:rPr>
          <w:b/>
          <w:sz w:val="22"/>
          <w:szCs w:val="22"/>
        </w:rPr>
        <w:t>: Remuneration £50k to £150k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5"/>
        <w:gridCol w:w="744"/>
        <w:gridCol w:w="1450"/>
        <w:gridCol w:w="1169"/>
        <w:gridCol w:w="889"/>
        <w:gridCol w:w="1705"/>
        <w:gridCol w:w="1409"/>
        <w:gridCol w:w="1701"/>
      </w:tblGrid>
      <w:tr w:rsidR="006D74A3" w:rsidRPr="00A167F2" w:rsidTr="006D74A3">
        <w:trPr>
          <w:trHeight w:val="1837"/>
        </w:trPr>
        <w:tc>
          <w:tcPr>
            <w:tcW w:w="0" w:type="auto"/>
            <w:vAlign w:val="center"/>
          </w:tcPr>
          <w:p w:rsidR="006D74A3" w:rsidRPr="00A167F2" w:rsidRDefault="006D74A3" w:rsidP="006D74A3">
            <w:pPr>
              <w:rPr>
                <w:sz w:val="20"/>
                <w:szCs w:val="20"/>
              </w:rPr>
            </w:pPr>
            <w:r w:rsidRPr="00A167F2">
              <w:rPr>
                <w:sz w:val="20"/>
                <w:szCs w:val="20"/>
              </w:rPr>
              <w:t>Post, title and Name</w:t>
            </w:r>
          </w:p>
        </w:tc>
        <w:tc>
          <w:tcPr>
            <w:tcW w:w="0" w:type="auto"/>
            <w:vAlign w:val="center"/>
          </w:tcPr>
          <w:p w:rsidR="006D74A3" w:rsidRPr="00A167F2" w:rsidRDefault="006D74A3" w:rsidP="006D74A3">
            <w:pPr>
              <w:jc w:val="center"/>
              <w:rPr>
                <w:sz w:val="20"/>
                <w:szCs w:val="20"/>
              </w:rPr>
            </w:pPr>
            <w:r w:rsidRPr="00A167F2">
              <w:rPr>
                <w:sz w:val="20"/>
                <w:szCs w:val="20"/>
              </w:rPr>
              <w:t>Notes</w:t>
            </w:r>
          </w:p>
        </w:tc>
        <w:tc>
          <w:tcPr>
            <w:tcW w:w="0" w:type="auto"/>
            <w:vAlign w:val="center"/>
          </w:tcPr>
          <w:p w:rsidR="006D74A3" w:rsidRPr="00A167F2" w:rsidRDefault="006D74A3" w:rsidP="006D74A3">
            <w:pPr>
              <w:jc w:val="center"/>
              <w:rPr>
                <w:sz w:val="20"/>
                <w:szCs w:val="20"/>
              </w:rPr>
            </w:pPr>
            <w:r w:rsidRPr="00A167F2">
              <w:rPr>
                <w:sz w:val="20"/>
                <w:szCs w:val="20"/>
              </w:rPr>
              <w:t>Salary (including fees and allowances)</w:t>
            </w:r>
          </w:p>
          <w:p w:rsidR="006D74A3" w:rsidRPr="00A167F2" w:rsidRDefault="006D74A3" w:rsidP="006D74A3">
            <w:pPr>
              <w:jc w:val="center"/>
              <w:rPr>
                <w:sz w:val="20"/>
                <w:szCs w:val="20"/>
              </w:rPr>
            </w:pPr>
          </w:p>
        </w:tc>
        <w:tc>
          <w:tcPr>
            <w:tcW w:w="0" w:type="auto"/>
            <w:vAlign w:val="center"/>
          </w:tcPr>
          <w:p w:rsidR="006D74A3" w:rsidRPr="00A167F2" w:rsidRDefault="006D74A3" w:rsidP="006D74A3">
            <w:pPr>
              <w:jc w:val="center"/>
              <w:rPr>
                <w:sz w:val="20"/>
                <w:szCs w:val="20"/>
              </w:rPr>
            </w:pPr>
            <w:r w:rsidRPr="00A167F2">
              <w:rPr>
                <w:sz w:val="20"/>
                <w:szCs w:val="20"/>
              </w:rPr>
              <w:t>Expense allowance</w:t>
            </w:r>
          </w:p>
        </w:tc>
        <w:tc>
          <w:tcPr>
            <w:tcW w:w="0" w:type="auto"/>
            <w:vAlign w:val="center"/>
          </w:tcPr>
          <w:p w:rsidR="006D74A3" w:rsidRPr="00A167F2" w:rsidRDefault="006D74A3" w:rsidP="006D74A3">
            <w:pPr>
              <w:jc w:val="center"/>
              <w:rPr>
                <w:sz w:val="20"/>
                <w:szCs w:val="20"/>
              </w:rPr>
            </w:pPr>
            <w:r w:rsidRPr="00A167F2">
              <w:rPr>
                <w:sz w:val="20"/>
                <w:szCs w:val="20"/>
              </w:rPr>
              <w:t>Benefit in Kind</w:t>
            </w:r>
          </w:p>
        </w:tc>
        <w:tc>
          <w:tcPr>
            <w:tcW w:w="0" w:type="auto"/>
            <w:vAlign w:val="center"/>
          </w:tcPr>
          <w:p w:rsidR="006D74A3" w:rsidRPr="00A167F2" w:rsidRDefault="006D74A3" w:rsidP="006D74A3">
            <w:pPr>
              <w:jc w:val="center"/>
              <w:rPr>
                <w:sz w:val="20"/>
                <w:szCs w:val="20"/>
              </w:rPr>
            </w:pPr>
            <w:r w:rsidRPr="00A167F2">
              <w:rPr>
                <w:sz w:val="20"/>
                <w:szCs w:val="20"/>
              </w:rPr>
              <w:t>Total remuneration excludi</w:t>
            </w:r>
            <w:r>
              <w:rPr>
                <w:sz w:val="20"/>
                <w:szCs w:val="20"/>
              </w:rPr>
              <w:t>ng pension contributions 2010/11</w:t>
            </w:r>
          </w:p>
        </w:tc>
        <w:tc>
          <w:tcPr>
            <w:tcW w:w="0" w:type="auto"/>
            <w:vAlign w:val="center"/>
          </w:tcPr>
          <w:p w:rsidR="006D74A3" w:rsidRPr="00A167F2" w:rsidRDefault="006D74A3" w:rsidP="006D74A3">
            <w:pPr>
              <w:jc w:val="center"/>
              <w:rPr>
                <w:sz w:val="20"/>
                <w:szCs w:val="20"/>
              </w:rPr>
            </w:pPr>
            <w:r w:rsidRPr="00A167F2">
              <w:rPr>
                <w:sz w:val="20"/>
                <w:szCs w:val="20"/>
              </w:rPr>
              <w:t>Pension contributions</w:t>
            </w:r>
          </w:p>
        </w:tc>
        <w:tc>
          <w:tcPr>
            <w:tcW w:w="0" w:type="auto"/>
            <w:vAlign w:val="center"/>
          </w:tcPr>
          <w:p w:rsidR="006D74A3" w:rsidRPr="00A167F2" w:rsidRDefault="006D74A3" w:rsidP="006D74A3">
            <w:pPr>
              <w:jc w:val="center"/>
              <w:rPr>
                <w:sz w:val="20"/>
                <w:szCs w:val="20"/>
              </w:rPr>
            </w:pPr>
            <w:r w:rsidRPr="00A167F2">
              <w:rPr>
                <w:sz w:val="20"/>
                <w:szCs w:val="20"/>
              </w:rPr>
              <w:t>Total remuneration includi</w:t>
            </w:r>
            <w:r>
              <w:rPr>
                <w:sz w:val="20"/>
                <w:szCs w:val="20"/>
              </w:rPr>
              <w:t>ng pension contributions 2010/11</w:t>
            </w:r>
          </w:p>
        </w:tc>
      </w:tr>
      <w:tr w:rsidR="006D74A3" w:rsidRPr="00A167F2" w:rsidTr="006D74A3">
        <w:trPr>
          <w:trHeight w:val="342"/>
        </w:trPr>
        <w:tc>
          <w:tcPr>
            <w:tcW w:w="0" w:type="auto"/>
          </w:tcPr>
          <w:p w:rsidR="006D74A3" w:rsidRPr="00A167F2" w:rsidRDefault="006D74A3" w:rsidP="006D74A3">
            <w:pPr>
              <w:rPr>
                <w:sz w:val="20"/>
                <w:szCs w:val="20"/>
              </w:rPr>
            </w:pPr>
          </w:p>
        </w:tc>
        <w:tc>
          <w:tcPr>
            <w:tcW w:w="0" w:type="auto"/>
          </w:tcPr>
          <w:p w:rsidR="006D74A3" w:rsidRPr="00A167F2" w:rsidRDefault="006D74A3" w:rsidP="006D74A3">
            <w:pPr>
              <w:rPr>
                <w:sz w:val="20"/>
                <w:szCs w:val="20"/>
              </w:rPr>
            </w:pPr>
          </w:p>
        </w:tc>
        <w:tc>
          <w:tcPr>
            <w:tcW w:w="0" w:type="auto"/>
            <w:vAlign w:val="center"/>
          </w:tcPr>
          <w:p w:rsidR="006D74A3" w:rsidRPr="00A167F2" w:rsidRDefault="006D74A3" w:rsidP="006D74A3">
            <w:pPr>
              <w:jc w:val="center"/>
              <w:rPr>
                <w:sz w:val="20"/>
                <w:szCs w:val="20"/>
              </w:rPr>
            </w:pPr>
            <w:r w:rsidRPr="00A167F2">
              <w:rPr>
                <w:sz w:val="20"/>
                <w:szCs w:val="20"/>
              </w:rPr>
              <w:t>£</w:t>
            </w:r>
          </w:p>
        </w:tc>
        <w:tc>
          <w:tcPr>
            <w:tcW w:w="0" w:type="auto"/>
            <w:vAlign w:val="center"/>
          </w:tcPr>
          <w:p w:rsidR="006D74A3" w:rsidRPr="00A167F2" w:rsidRDefault="006D74A3" w:rsidP="006D74A3">
            <w:pPr>
              <w:jc w:val="center"/>
              <w:rPr>
                <w:sz w:val="20"/>
                <w:szCs w:val="20"/>
              </w:rPr>
            </w:pPr>
            <w:r w:rsidRPr="00A167F2">
              <w:rPr>
                <w:sz w:val="20"/>
                <w:szCs w:val="20"/>
              </w:rPr>
              <w:t>£</w:t>
            </w:r>
          </w:p>
        </w:tc>
        <w:tc>
          <w:tcPr>
            <w:tcW w:w="0" w:type="auto"/>
            <w:vAlign w:val="center"/>
          </w:tcPr>
          <w:p w:rsidR="006D74A3" w:rsidRPr="00A167F2" w:rsidRDefault="006D74A3" w:rsidP="006D74A3">
            <w:pPr>
              <w:jc w:val="center"/>
              <w:rPr>
                <w:sz w:val="20"/>
                <w:szCs w:val="20"/>
              </w:rPr>
            </w:pPr>
            <w:r>
              <w:rPr>
                <w:sz w:val="20"/>
                <w:szCs w:val="20"/>
              </w:rPr>
              <w:t>£</w:t>
            </w:r>
          </w:p>
        </w:tc>
        <w:tc>
          <w:tcPr>
            <w:tcW w:w="0" w:type="auto"/>
            <w:vAlign w:val="center"/>
          </w:tcPr>
          <w:p w:rsidR="006D74A3" w:rsidRPr="00A167F2" w:rsidRDefault="006D74A3" w:rsidP="006D74A3">
            <w:pPr>
              <w:jc w:val="center"/>
              <w:rPr>
                <w:sz w:val="20"/>
                <w:szCs w:val="20"/>
              </w:rPr>
            </w:pPr>
            <w:r w:rsidRPr="00A167F2">
              <w:rPr>
                <w:sz w:val="20"/>
                <w:szCs w:val="20"/>
              </w:rPr>
              <w:t>£</w:t>
            </w:r>
          </w:p>
        </w:tc>
        <w:tc>
          <w:tcPr>
            <w:tcW w:w="0" w:type="auto"/>
            <w:vAlign w:val="center"/>
          </w:tcPr>
          <w:p w:rsidR="006D74A3" w:rsidRPr="00A167F2" w:rsidRDefault="006D74A3" w:rsidP="006D74A3">
            <w:pPr>
              <w:jc w:val="center"/>
              <w:rPr>
                <w:sz w:val="20"/>
                <w:szCs w:val="20"/>
              </w:rPr>
            </w:pPr>
            <w:r w:rsidRPr="00A167F2">
              <w:rPr>
                <w:sz w:val="20"/>
                <w:szCs w:val="20"/>
              </w:rPr>
              <w:t>£</w:t>
            </w:r>
          </w:p>
        </w:tc>
        <w:tc>
          <w:tcPr>
            <w:tcW w:w="0" w:type="auto"/>
            <w:vAlign w:val="center"/>
          </w:tcPr>
          <w:p w:rsidR="006D74A3" w:rsidRPr="00A167F2" w:rsidRDefault="006D74A3" w:rsidP="006D74A3">
            <w:pPr>
              <w:jc w:val="center"/>
              <w:rPr>
                <w:sz w:val="20"/>
                <w:szCs w:val="20"/>
              </w:rPr>
            </w:pPr>
            <w:r w:rsidRPr="00A167F2">
              <w:rPr>
                <w:sz w:val="20"/>
                <w:szCs w:val="20"/>
              </w:rPr>
              <w:t>£</w:t>
            </w:r>
          </w:p>
        </w:tc>
      </w:tr>
      <w:tr w:rsidR="00CC5E7F" w:rsidRPr="00A167F2" w:rsidTr="00CC5E7F">
        <w:trPr>
          <w:trHeight w:val="918"/>
        </w:trPr>
        <w:tc>
          <w:tcPr>
            <w:tcW w:w="0" w:type="auto"/>
          </w:tcPr>
          <w:p w:rsidR="00CC5E7F" w:rsidRPr="00A167F2" w:rsidRDefault="00CC5E7F" w:rsidP="006D74A3">
            <w:pPr>
              <w:rPr>
                <w:sz w:val="20"/>
                <w:szCs w:val="20"/>
              </w:rPr>
            </w:pPr>
            <w:r w:rsidRPr="00A167F2">
              <w:rPr>
                <w:sz w:val="20"/>
                <w:szCs w:val="20"/>
              </w:rPr>
              <w:t>Executive Director for  Children &amp; Young People</w:t>
            </w:r>
          </w:p>
        </w:tc>
        <w:tc>
          <w:tcPr>
            <w:tcW w:w="0" w:type="auto"/>
            <w:vAlign w:val="center"/>
          </w:tcPr>
          <w:p w:rsidR="00CC5E7F" w:rsidRPr="00A167F2" w:rsidRDefault="00CC5E7F" w:rsidP="006D74A3">
            <w:pPr>
              <w:jc w:val="center"/>
              <w:rPr>
                <w:sz w:val="20"/>
                <w:szCs w:val="20"/>
              </w:rPr>
            </w:pPr>
          </w:p>
        </w:tc>
        <w:tc>
          <w:tcPr>
            <w:tcW w:w="0" w:type="auto"/>
            <w:vAlign w:val="center"/>
          </w:tcPr>
          <w:p w:rsidR="00CC5E7F" w:rsidRDefault="00CC5E7F" w:rsidP="00CC5E7F">
            <w:pPr>
              <w:jc w:val="right"/>
              <w:rPr>
                <w:sz w:val="20"/>
                <w:szCs w:val="20"/>
              </w:rPr>
            </w:pPr>
            <w:r>
              <w:rPr>
                <w:sz w:val="20"/>
                <w:szCs w:val="20"/>
              </w:rPr>
              <w:t>129,201</w:t>
            </w:r>
          </w:p>
        </w:tc>
        <w:tc>
          <w:tcPr>
            <w:tcW w:w="0" w:type="auto"/>
            <w:vAlign w:val="center"/>
          </w:tcPr>
          <w:p w:rsidR="00CC5E7F" w:rsidRDefault="00CC5E7F" w:rsidP="00CC5E7F">
            <w:pPr>
              <w:jc w:val="right"/>
              <w:rPr>
                <w:sz w:val="20"/>
                <w:szCs w:val="20"/>
              </w:rPr>
            </w:pPr>
            <w:r>
              <w:rPr>
                <w:sz w:val="20"/>
                <w:szCs w:val="20"/>
              </w:rPr>
              <w:t>1,664</w:t>
            </w:r>
          </w:p>
        </w:tc>
        <w:tc>
          <w:tcPr>
            <w:tcW w:w="0" w:type="auto"/>
            <w:vAlign w:val="center"/>
          </w:tcPr>
          <w:p w:rsidR="00CC5E7F" w:rsidRDefault="00CC5E7F" w:rsidP="00CC5E7F">
            <w:pPr>
              <w:jc w:val="right"/>
              <w:rPr>
                <w:sz w:val="20"/>
                <w:szCs w:val="20"/>
              </w:rPr>
            </w:pPr>
            <w:r>
              <w:rPr>
                <w:sz w:val="20"/>
                <w:szCs w:val="20"/>
              </w:rPr>
              <w:t>7,099</w:t>
            </w:r>
          </w:p>
        </w:tc>
        <w:tc>
          <w:tcPr>
            <w:tcW w:w="0" w:type="auto"/>
            <w:vAlign w:val="center"/>
          </w:tcPr>
          <w:p w:rsidR="00CC5E7F" w:rsidRDefault="00CC5E7F" w:rsidP="00CC5E7F">
            <w:pPr>
              <w:jc w:val="right"/>
              <w:rPr>
                <w:sz w:val="20"/>
                <w:szCs w:val="20"/>
              </w:rPr>
            </w:pPr>
            <w:r>
              <w:rPr>
                <w:sz w:val="20"/>
                <w:szCs w:val="20"/>
              </w:rPr>
              <w:t>137,964</w:t>
            </w:r>
          </w:p>
        </w:tc>
        <w:tc>
          <w:tcPr>
            <w:tcW w:w="0" w:type="auto"/>
            <w:vAlign w:val="center"/>
          </w:tcPr>
          <w:p w:rsidR="00CC5E7F" w:rsidRDefault="00CC5E7F" w:rsidP="00CC5E7F">
            <w:pPr>
              <w:jc w:val="right"/>
              <w:rPr>
                <w:sz w:val="20"/>
                <w:szCs w:val="20"/>
              </w:rPr>
            </w:pPr>
            <w:r>
              <w:rPr>
                <w:sz w:val="20"/>
                <w:szCs w:val="20"/>
              </w:rPr>
              <w:t>22,998</w:t>
            </w:r>
          </w:p>
        </w:tc>
        <w:tc>
          <w:tcPr>
            <w:tcW w:w="0" w:type="auto"/>
            <w:vAlign w:val="center"/>
          </w:tcPr>
          <w:p w:rsidR="00CC5E7F" w:rsidRDefault="00CC5E7F" w:rsidP="00CC5E7F">
            <w:pPr>
              <w:jc w:val="right"/>
              <w:rPr>
                <w:sz w:val="20"/>
                <w:szCs w:val="20"/>
              </w:rPr>
            </w:pPr>
            <w:r>
              <w:rPr>
                <w:sz w:val="20"/>
                <w:szCs w:val="20"/>
              </w:rPr>
              <w:t>160,961</w:t>
            </w:r>
          </w:p>
        </w:tc>
      </w:tr>
      <w:tr w:rsidR="00CC5E7F" w:rsidRPr="00A167F2" w:rsidTr="00CC5E7F">
        <w:trPr>
          <w:trHeight w:val="915"/>
        </w:trPr>
        <w:tc>
          <w:tcPr>
            <w:tcW w:w="0" w:type="auto"/>
          </w:tcPr>
          <w:p w:rsidR="00CC5E7F" w:rsidRPr="00A167F2" w:rsidRDefault="00CC5E7F" w:rsidP="006D74A3">
            <w:pPr>
              <w:rPr>
                <w:sz w:val="20"/>
                <w:szCs w:val="20"/>
              </w:rPr>
            </w:pPr>
            <w:r w:rsidRPr="00A167F2">
              <w:rPr>
                <w:sz w:val="20"/>
                <w:szCs w:val="20"/>
              </w:rPr>
              <w:t>Executive Director of  Adults and Community Services</w:t>
            </w:r>
          </w:p>
        </w:tc>
        <w:tc>
          <w:tcPr>
            <w:tcW w:w="0" w:type="auto"/>
            <w:vAlign w:val="center"/>
          </w:tcPr>
          <w:p w:rsidR="00CC5E7F" w:rsidRPr="00A167F2" w:rsidRDefault="00CC5E7F" w:rsidP="006D74A3">
            <w:pPr>
              <w:jc w:val="center"/>
              <w:rPr>
                <w:sz w:val="20"/>
                <w:szCs w:val="20"/>
              </w:rPr>
            </w:pPr>
          </w:p>
        </w:tc>
        <w:tc>
          <w:tcPr>
            <w:tcW w:w="0" w:type="auto"/>
            <w:vAlign w:val="center"/>
          </w:tcPr>
          <w:p w:rsidR="00CC5E7F" w:rsidRDefault="00CC5E7F" w:rsidP="00CC5E7F">
            <w:pPr>
              <w:jc w:val="right"/>
              <w:rPr>
                <w:sz w:val="20"/>
                <w:szCs w:val="20"/>
              </w:rPr>
            </w:pPr>
            <w:r>
              <w:rPr>
                <w:sz w:val="20"/>
                <w:szCs w:val="20"/>
              </w:rPr>
              <w:t>129,201</w:t>
            </w:r>
          </w:p>
        </w:tc>
        <w:tc>
          <w:tcPr>
            <w:tcW w:w="0" w:type="auto"/>
            <w:vAlign w:val="center"/>
          </w:tcPr>
          <w:p w:rsidR="00CC5E7F" w:rsidRDefault="00CC5E7F" w:rsidP="00CC5E7F">
            <w:pPr>
              <w:jc w:val="right"/>
              <w:rPr>
                <w:sz w:val="20"/>
                <w:szCs w:val="20"/>
              </w:rPr>
            </w:pPr>
            <w:r>
              <w:rPr>
                <w:sz w:val="20"/>
                <w:szCs w:val="20"/>
              </w:rPr>
              <w:t>314</w:t>
            </w:r>
          </w:p>
        </w:tc>
        <w:tc>
          <w:tcPr>
            <w:tcW w:w="0" w:type="auto"/>
            <w:vAlign w:val="center"/>
          </w:tcPr>
          <w:p w:rsidR="00CC5E7F" w:rsidRDefault="00CC5E7F" w:rsidP="00CC5E7F">
            <w:pPr>
              <w:jc w:val="right"/>
              <w:rPr>
                <w:sz w:val="20"/>
                <w:szCs w:val="20"/>
              </w:rPr>
            </w:pPr>
            <w:r>
              <w:rPr>
                <w:sz w:val="20"/>
                <w:szCs w:val="20"/>
              </w:rPr>
              <w:t>5,811</w:t>
            </w:r>
          </w:p>
        </w:tc>
        <w:tc>
          <w:tcPr>
            <w:tcW w:w="0" w:type="auto"/>
            <w:vAlign w:val="center"/>
          </w:tcPr>
          <w:p w:rsidR="00CC5E7F" w:rsidRDefault="00CC5E7F" w:rsidP="00CC5E7F">
            <w:pPr>
              <w:jc w:val="right"/>
              <w:rPr>
                <w:sz w:val="20"/>
                <w:szCs w:val="20"/>
              </w:rPr>
            </w:pPr>
            <w:r>
              <w:rPr>
                <w:sz w:val="20"/>
                <w:szCs w:val="20"/>
              </w:rPr>
              <w:t>135,326</w:t>
            </w:r>
          </w:p>
        </w:tc>
        <w:tc>
          <w:tcPr>
            <w:tcW w:w="0" w:type="auto"/>
            <w:vAlign w:val="center"/>
          </w:tcPr>
          <w:p w:rsidR="00CC5E7F" w:rsidRDefault="00CC5E7F" w:rsidP="00CC5E7F">
            <w:pPr>
              <w:jc w:val="right"/>
              <w:rPr>
                <w:sz w:val="20"/>
                <w:szCs w:val="20"/>
              </w:rPr>
            </w:pPr>
            <w:r>
              <w:rPr>
                <w:sz w:val="20"/>
                <w:szCs w:val="20"/>
              </w:rPr>
              <w:t>22,998</w:t>
            </w:r>
          </w:p>
        </w:tc>
        <w:tc>
          <w:tcPr>
            <w:tcW w:w="0" w:type="auto"/>
            <w:vAlign w:val="center"/>
          </w:tcPr>
          <w:p w:rsidR="00CC5E7F" w:rsidRDefault="00CC5E7F" w:rsidP="00CC5E7F">
            <w:pPr>
              <w:jc w:val="right"/>
              <w:rPr>
                <w:sz w:val="20"/>
                <w:szCs w:val="20"/>
              </w:rPr>
            </w:pPr>
            <w:r>
              <w:rPr>
                <w:sz w:val="20"/>
                <w:szCs w:val="20"/>
              </w:rPr>
              <w:t>158,324</w:t>
            </w:r>
          </w:p>
        </w:tc>
      </w:tr>
      <w:tr w:rsidR="00CC5E7F" w:rsidRPr="00A167F2" w:rsidTr="00CC5E7F">
        <w:trPr>
          <w:trHeight w:val="562"/>
        </w:trPr>
        <w:tc>
          <w:tcPr>
            <w:tcW w:w="0" w:type="auto"/>
          </w:tcPr>
          <w:p w:rsidR="00CC5E7F" w:rsidRPr="00A167F2" w:rsidRDefault="00CC5E7F" w:rsidP="006D74A3">
            <w:pPr>
              <w:rPr>
                <w:sz w:val="20"/>
                <w:szCs w:val="20"/>
              </w:rPr>
            </w:pPr>
            <w:r w:rsidRPr="00A167F2">
              <w:rPr>
                <w:sz w:val="20"/>
                <w:szCs w:val="20"/>
              </w:rPr>
              <w:t>County Secretary &amp; Solicitors</w:t>
            </w:r>
          </w:p>
        </w:tc>
        <w:tc>
          <w:tcPr>
            <w:tcW w:w="0" w:type="auto"/>
            <w:vAlign w:val="center"/>
          </w:tcPr>
          <w:p w:rsidR="00CC5E7F" w:rsidRPr="00A167F2" w:rsidRDefault="00CC5E7F" w:rsidP="006D74A3">
            <w:pPr>
              <w:jc w:val="center"/>
              <w:rPr>
                <w:sz w:val="20"/>
                <w:szCs w:val="20"/>
              </w:rPr>
            </w:pPr>
          </w:p>
        </w:tc>
        <w:tc>
          <w:tcPr>
            <w:tcW w:w="0" w:type="auto"/>
            <w:vAlign w:val="center"/>
          </w:tcPr>
          <w:p w:rsidR="00CC5E7F" w:rsidRDefault="00CC5E7F" w:rsidP="00CC5E7F">
            <w:pPr>
              <w:jc w:val="right"/>
              <w:rPr>
                <w:sz w:val="20"/>
                <w:szCs w:val="20"/>
              </w:rPr>
            </w:pPr>
            <w:r>
              <w:rPr>
                <w:sz w:val="20"/>
                <w:szCs w:val="20"/>
              </w:rPr>
              <w:t>129,201</w:t>
            </w:r>
          </w:p>
        </w:tc>
        <w:tc>
          <w:tcPr>
            <w:tcW w:w="0" w:type="auto"/>
            <w:vAlign w:val="center"/>
          </w:tcPr>
          <w:p w:rsidR="00CC5E7F" w:rsidRDefault="00CC5E7F" w:rsidP="00CC5E7F">
            <w:pPr>
              <w:jc w:val="right"/>
              <w:rPr>
                <w:sz w:val="20"/>
                <w:szCs w:val="20"/>
              </w:rPr>
            </w:pPr>
            <w:r>
              <w:rPr>
                <w:sz w:val="20"/>
                <w:szCs w:val="20"/>
              </w:rPr>
              <w:t>249</w:t>
            </w:r>
          </w:p>
        </w:tc>
        <w:tc>
          <w:tcPr>
            <w:tcW w:w="0" w:type="auto"/>
            <w:vAlign w:val="center"/>
          </w:tcPr>
          <w:p w:rsidR="00CC5E7F" w:rsidRDefault="00CC5E7F" w:rsidP="00CC5E7F">
            <w:pPr>
              <w:jc w:val="right"/>
              <w:rPr>
                <w:sz w:val="20"/>
                <w:szCs w:val="20"/>
              </w:rPr>
            </w:pPr>
            <w:r>
              <w:rPr>
                <w:sz w:val="20"/>
                <w:szCs w:val="20"/>
              </w:rPr>
              <w:t>5,595</w:t>
            </w:r>
          </w:p>
        </w:tc>
        <w:tc>
          <w:tcPr>
            <w:tcW w:w="0" w:type="auto"/>
            <w:vAlign w:val="center"/>
          </w:tcPr>
          <w:p w:rsidR="00CC5E7F" w:rsidRDefault="00CC5E7F" w:rsidP="00CC5E7F">
            <w:pPr>
              <w:jc w:val="right"/>
              <w:rPr>
                <w:sz w:val="20"/>
                <w:szCs w:val="20"/>
              </w:rPr>
            </w:pPr>
            <w:r>
              <w:rPr>
                <w:sz w:val="20"/>
                <w:szCs w:val="20"/>
              </w:rPr>
              <w:t>135,045</w:t>
            </w:r>
          </w:p>
        </w:tc>
        <w:tc>
          <w:tcPr>
            <w:tcW w:w="0" w:type="auto"/>
            <w:vAlign w:val="center"/>
          </w:tcPr>
          <w:p w:rsidR="00CC5E7F" w:rsidRDefault="00CC5E7F" w:rsidP="00CC5E7F">
            <w:pPr>
              <w:jc w:val="right"/>
              <w:rPr>
                <w:sz w:val="20"/>
                <w:szCs w:val="20"/>
              </w:rPr>
            </w:pPr>
            <w:r>
              <w:rPr>
                <w:sz w:val="20"/>
                <w:szCs w:val="20"/>
              </w:rPr>
              <w:t>22,998</w:t>
            </w:r>
          </w:p>
        </w:tc>
        <w:tc>
          <w:tcPr>
            <w:tcW w:w="0" w:type="auto"/>
            <w:vAlign w:val="center"/>
          </w:tcPr>
          <w:p w:rsidR="00CC5E7F" w:rsidRDefault="00CC5E7F" w:rsidP="00CC5E7F">
            <w:pPr>
              <w:jc w:val="right"/>
              <w:rPr>
                <w:sz w:val="20"/>
                <w:szCs w:val="20"/>
              </w:rPr>
            </w:pPr>
            <w:r>
              <w:rPr>
                <w:sz w:val="20"/>
                <w:szCs w:val="20"/>
              </w:rPr>
              <w:t>158,043</w:t>
            </w:r>
          </w:p>
        </w:tc>
      </w:tr>
      <w:tr w:rsidR="00CC5E7F" w:rsidRPr="00A167F2" w:rsidTr="00CC5E7F">
        <w:trPr>
          <w:trHeight w:val="759"/>
        </w:trPr>
        <w:tc>
          <w:tcPr>
            <w:tcW w:w="0" w:type="auto"/>
          </w:tcPr>
          <w:p w:rsidR="00CC5E7F" w:rsidRPr="00A167F2" w:rsidRDefault="00CC5E7F" w:rsidP="006D74A3">
            <w:pPr>
              <w:rPr>
                <w:sz w:val="20"/>
                <w:szCs w:val="20"/>
              </w:rPr>
            </w:pPr>
            <w:r w:rsidRPr="00A167F2">
              <w:rPr>
                <w:sz w:val="20"/>
                <w:szCs w:val="20"/>
              </w:rPr>
              <w:t>Executive Director for the Environment</w:t>
            </w:r>
          </w:p>
        </w:tc>
        <w:tc>
          <w:tcPr>
            <w:tcW w:w="0" w:type="auto"/>
            <w:vAlign w:val="center"/>
          </w:tcPr>
          <w:p w:rsidR="00CC5E7F" w:rsidRPr="00A167F2" w:rsidRDefault="00CC5E7F" w:rsidP="006D74A3">
            <w:pPr>
              <w:jc w:val="center"/>
              <w:rPr>
                <w:sz w:val="20"/>
                <w:szCs w:val="20"/>
              </w:rPr>
            </w:pPr>
          </w:p>
        </w:tc>
        <w:tc>
          <w:tcPr>
            <w:tcW w:w="0" w:type="auto"/>
            <w:vAlign w:val="center"/>
          </w:tcPr>
          <w:p w:rsidR="00CC5E7F" w:rsidRDefault="00CC5E7F" w:rsidP="00CC5E7F">
            <w:pPr>
              <w:jc w:val="right"/>
              <w:rPr>
                <w:sz w:val="20"/>
                <w:szCs w:val="20"/>
              </w:rPr>
            </w:pPr>
            <w:r>
              <w:rPr>
                <w:sz w:val="20"/>
                <w:szCs w:val="20"/>
              </w:rPr>
              <w:t>124,044</w:t>
            </w:r>
          </w:p>
        </w:tc>
        <w:tc>
          <w:tcPr>
            <w:tcW w:w="0" w:type="auto"/>
            <w:vAlign w:val="center"/>
          </w:tcPr>
          <w:p w:rsidR="00CC5E7F" w:rsidRDefault="00CC5E7F" w:rsidP="00CC5E7F">
            <w:pPr>
              <w:jc w:val="right"/>
              <w:rPr>
                <w:sz w:val="20"/>
                <w:szCs w:val="20"/>
              </w:rPr>
            </w:pPr>
            <w:r>
              <w:rPr>
                <w:sz w:val="20"/>
                <w:szCs w:val="20"/>
              </w:rPr>
              <w:t>8</w:t>
            </w:r>
          </w:p>
        </w:tc>
        <w:tc>
          <w:tcPr>
            <w:tcW w:w="0" w:type="auto"/>
            <w:vAlign w:val="center"/>
          </w:tcPr>
          <w:p w:rsidR="00CC5E7F" w:rsidRDefault="00CC5E7F" w:rsidP="00CC5E7F">
            <w:pPr>
              <w:jc w:val="right"/>
              <w:rPr>
                <w:sz w:val="20"/>
                <w:szCs w:val="20"/>
              </w:rPr>
            </w:pPr>
            <w:r>
              <w:rPr>
                <w:sz w:val="20"/>
                <w:szCs w:val="20"/>
              </w:rPr>
              <w:t>5,300</w:t>
            </w:r>
          </w:p>
        </w:tc>
        <w:tc>
          <w:tcPr>
            <w:tcW w:w="0" w:type="auto"/>
            <w:vAlign w:val="center"/>
          </w:tcPr>
          <w:p w:rsidR="00CC5E7F" w:rsidRDefault="00CC5E7F" w:rsidP="00CC5E7F">
            <w:pPr>
              <w:jc w:val="right"/>
              <w:rPr>
                <w:sz w:val="20"/>
                <w:szCs w:val="20"/>
              </w:rPr>
            </w:pPr>
            <w:r>
              <w:rPr>
                <w:sz w:val="20"/>
                <w:szCs w:val="20"/>
              </w:rPr>
              <w:t>129,352</w:t>
            </w:r>
          </w:p>
        </w:tc>
        <w:tc>
          <w:tcPr>
            <w:tcW w:w="0" w:type="auto"/>
            <w:vAlign w:val="center"/>
          </w:tcPr>
          <w:p w:rsidR="00CC5E7F" w:rsidRDefault="00CC5E7F" w:rsidP="00CC5E7F">
            <w:pPr>
              <w:jc w:val="right"/>
              <w:rPr>
                <w:sz w:val="20"/>
                <w:szCs w:val="20"/>
              </w:rPr>
            </w:pPr>
            <w:r>
              <w:rPr>
                <w:sz w:val="20"/>
                <w:szCs w:val="20"/>
              </w:rPr>
              <w:t>22,080</w:t>
            </w:r>
          </w:p>
        </w:tc>
        <w:tc>
          <w:tcPr>
            <w:tcW w:w="0" w:type="auto"/>
            <w:vAlign w:val="center"/>
          </w:tcPr>
          <w:p w:rsidR="00CC5E7F" w:rsidRDefault="00CC5E7F" w:rsidP="00CC5E7F">
            <w:pPr>
              <w:jc w:val="right"/>
              <w:rPr>
                <w:sz w:val="20"/>
                <w:szCs w:val="20"/>
              </w:rPr>
            </w:pPr>
            <w:r>
              <w:rPr>
                <w:sz w:val="20"/>
                <w:szCs w:val="20"/>
              </w:rPr>
              <w:t>151,432</w:t>
            </w:r>
          </w:p>
        </w:tc>
      </w:tr>
      <w:tr w:rsidR="00CC5E7F" w:rsidRPr="00A167F2" w:rsidTr="00CC5E7F">
        <w:trPr>
          <w:trHeight w:val="539"/>
        </w:trPr>
        <w:tc>
          <w:tcPr>
            <w:tcW w:w="0" w:type="auto"/>
          </w:tcPr>
          <w:p w:rsidR="00CC5E7F" w:rsidRPr="00A167F2" w:rsidRDefault="00CC5E7F" w:rsidP="006D74A3">
            <w:pPr>
              <w:rPr>
                <w:sz w:val="20"/>
                <w:szCs w:val="20"/>
              </w:rPr>
            </w:pPr>
            <w:r w:rsidRPr="00A167F2">
              <w:rPr>
                <w:sz w:val="20"/>
                <w:szCs w:val="20"/>
              </w:rPr>
              <w:t>County Treasurer</w:t>
            </w:r>
          </w:p>
        </w:tc>
        <w:tc>
          <w:tcPr>
            <w:tcW w:w="0" w:type="auto"/>
            <w:vAlign w:val="center"/>
          </w:tcPr>
          <w:p w:rsidR="00CC5E7F" w:rsidRPr="00A167F2" w:rsidRDefault="00CC5E7F" w:rsidP="006D74A3">
            <w:pPr>
              <w:jc w:val="center"/>
              <w:rPr>
                <w:sz w:val="20"/>
                <w:szCs w:val="20"/>
              </w:rPr>
            </w:pPr>
            <w:r>
              <w:rPr>
                <w:sz w:val="20"/>
                <w:szCs w:val="20"/>
              </w:rPr>
              <w:t>Note 1</w:t>
            </w:r>
          </w:p>
        </w:tc>
        <w:tc>
          <w:tcPr>
            <w:tcW w:w="0" w:type="auto"/>
            <w:vAlign w:val="center"/>
          </w:tcPr>
          <w:p w:rsidR="00CC5E7F" w:rsidRDefault="00CC5E7F" w:rsidP="00CC5E7F">
            <w:pPr>
              <w:jc w:val="right"/>
              <w:rPr>
                <w:sz w:val="20"/>
                <w:szCs w:val="20"/>
              </w:rPr>
            </w:pPr>
            <w:r>
              <w:rPr>
                <w:sz w:val="20"/>
                <w:szCs w:val="20"/>
              </w:rPr>
              <w:t>17,547</w:t>
            </w:r>
          </w:p>
        </w:tc>
        <w:tc>
          <w:tcPr>
            <w:tcW w:w="0" w:type="auto"/>
            <w:vAlign w:val="center"/>
          </w:tcPr>
          <w:p w:rsidR="00CC5E7F" w:rsidRDefault="0025306E" w:rsidP="00CC5E7F">
            <w:pPr>
              <w:jc w:val="right"/>
              <w:rPr>
                <w:sz w:val="20"/>
                <w:szCs w:val="20"/>
              </w:rPr>
            </w:pPr>
            <w:r>
              <w:rPr>
                <w:sz w:val="20"/>
                <w:szCs w:val="20"/>
              </w:rPr>
              <w:t>-</w:t>
            </w:r>
          </w:p>
        </w:tc>
        <w:tc>
          <w:tcPr>
            <w:tcW w:w="0" w:type="auto"/>
            <w:vAlign w:val="center"/>
          </w:tcPr>
          <w:p w:rsidR="00CC5E7F" w:rsidRDefault="00CC5E7F" w:rsidP="00CC5E7F">
            <w:pPr>
              <w:jc w:val="right"/>
              <w:rPr>
                <w:sz w:val="20"/>
                <w:szCs w:val="20"/>
              </w:rPr>
            </w:pPr>
            <w:r>
              <w:rPr>
                <w:sz w:val="20"/>
                <w:szCs w:val="20"/>
              </w:rPr>
              <w:t>883</w:t>
            </w:r>
          </w:p>
        </w:tc>
        <w:tc>
          <w:tcPr>
            <w:tcW w:w="0" w:type="auto"/>
            <w:vAlign w:val="center"/>
          </w:tcPr>
          <w:p w:rsidR="00CC5E7F" w:rsidRDefault="00CC5E7F" w:rsidP="00CC5E7F">
            <w:pPr>
              <w:jc w:val="right"/>
              <w:rPr>
                <w:sz w:val="20"/>
                <w:szCs w:val="20"/>
              </w:rPr>
            </w:pPr>
            <w:r>
              <w:rPr>
                <w:sz w:val="20"/>
                <w:szCs w:val="20"/>
              </w:rPr>
              <w:t>18,430</w:t>
            </w:r>
          </w:p>
        </w:tc>
        <w:tc>
          <w:tcPr>
            <w:tcW w:w="0" w:type="auto"/>
            <w:vAlign w:val="center"/>
          </w:tcPr>
          <w:p w:rsidR="00CC5E7F" w:rsidRDefault="00CC5E7F" w:rsidP="00CC5E7F">
            <w:pPr>
              <w:jc w:val="right"/>
              <w:rPr>
                <w:sz w:val="20"/>
                <w:szCs w:val="20"/>
              </w:rPr>
            </w:pPr>
            <w:r>
              <w:rPr>
                <w:sz w:val="20"/>
                <w:szCs w:val="20"/>
              </w:rPr>
              <w:t>3,099</w:t>
            </w:r>
          </w:p>
        </w:tc>
        <w:tc>
          <w:tcPr>
            <w:tcW w:w="0" w:type="auto"/>
            <w:vAlign w:val="center"/>
          </w:tcPr>
          <w:p w:rsidR="00CC5E7F" w:rsidRDefault="00CC5E7F" w:rsidP="00CC5E7F">
            <w:pPr>
              <w:jc w:val="right"/>
              <w:rPr>
                <w:sz w:val="20"/>
                <w:szCs w:val="20"/>
              </w:rPr>
            </w:pPr>
            <w:r>
              <w:rPr>
                <w:sz w:val="20"/>
                <w:szCs w:val="20"/>
              </w:rPr>
              <w:t>21,529</w:t>
            </w:r>
          </w:p>
        </w:tc>
      </w:tr>
      <w:tr w:rsidR="00CC5E7F" w:rsidRPr="00A167F2" w:rsidTr="00CC5E7F">
        <w:trPr>
          <w:trHeight w:val="539"/>
        </w:trPr>
        <w:tc>
          <w:tcPr>
            <w:tcW w:w="0" w:type="auto"/>
            <w:vAlign w:val="center"/>
          </w:tcPr>
          <w:p w:rsidR="00CC5E7F" w:rsidRPr="00A167F2" w:rsidRDefault="00CC5E7F" w:rsidP="00CC5E7F">
            <w:pPr>
              <w:rPr>
                <w:sz w:val="20"/>
                <w:szCs w:val="20"/>
              </w:rPr>
            </w:pPr>
            <w:r w:rsidRPr="00CC5E7F">
              <w:rPr>
                <w:b/>
                <w:sz w:val="20"/>
                <w:szCs w:val="20"/>
              </w:rPr>
              <w:t>Total</w:t>
            </w:r>
          </w:p>
        </w:tc>
        <w:tc>
          <w:tcPr>
            <w:tcW w:w="0" w:type="auto"/>
            <w:vAlign w:val="center"/>
          </w:tcPr>
          <w:p w:rsidR="00CC5E7F" w:rsidRDefault="00CC5E7F" w:rsidP="006D74A3">
            <w:pPr>
              <w:jc w:val="center"/>
              <w:rPr>
                <w:sz w:val="20"/>
                <w:szCs w:val="20"/>
              </w:rPr>
            </w:pPr>
          </w:p>
        </w:tc>
        <w:tc>
          <w:tcPr>
            <w:tcW w:w="0" w:type="auto"/>
            <w:vAlign w:val="bottom"/>
          </w:tcPr>
          <w:p w:rsidR="00CC5E7F" w:rsidRDefault="00CC5E7F">
            <w:pPr>
              <w:jc w:val="right"/>
              <w:rPr>
                <w:b/>
                <w:bCs/>
                <w:sz w:val="20"/>
                <w:szCs w:val="20"/>
              </w:rPr>
            </w:pPr>
            <w:r>
              <w:rPr>
                <w:b/>
                <w:bCs/>
                <w:sz w:val="20"/>
                <w:szCs w:val="20"/>
              </w:rPr>
              <w:t>529,194</w:t>
            </w:r>
          </w:p>
        </w:tc>
        <w:tc>
          <w:tcPr>
            <w:tcW w:w="0" w:type="auto"/>
            <w:vAlign w:val="bottom"/>
          </w:tcPr>
          <w:p w:rsidR="00CC5E7F" w:rsidRDefault="00CC5E7F">
            <w:pPr>
              <w:jc w:val="right"/>
              <w:rPr>
                <w:b/>
                <w:bCs/>
                <w:sz w:val="20"/>
                <w:szCs w:val="20"/>
              </w:rPr>
            </w:pPr>
            <w:r>
              <w:rPr>
                <w:b/>
                <w:bCs/>
                <w:sz w:val="20"/>
                <w:szCs w:val="20"/>
              </w:rPr>
              <w:t>2,235</w:t>
            </w:r>
          </w:p>
        </w:tc>
        <w:tc>
          <w:tcPr>
            <w:tcW w:w="0" w:type="auto"/>
            <w:vAlign w:val="bottom"/>
          </w:tcPr>
          <w:p w:rsidR="00CC5E7F" w:rsidRDefault="00CC5E7F">
            <w:pPr>
              <w:jc w:val="right"/>
              <w:rPr>
                <w:b/>
                <w:bCs/>
                <w:sz w:val="20"/>
                <w:szCs w:val="20"/>
              </w:rPr>
            </w:pPr>
            <w:r>
              <w:rPr>
                <w:b/>
                <w:bCs/>
                <w:sz w:val="20"/>
                <w:szCs w:val="20"/>
              </w:rPr>
              <w:t>24,688</w:t>
            </w:r>
          </w:p>
        </w:tc>
        <w:tc>
          <w:tcPr>
            <w:tcW w:w="0" w:type="auto"/>
            <w:vAlign w:val="bottom"/>
          </w:tcPr>
          <w:p w:rsidR="00CC5E7F" w:rsidRDefault="00CC5E7F">
            <w:pPr>
              <w:jc w:val="right"/>
              <w:rPr>
                <w:b/>
                <w:bCs/>
                <w:sz w:val="20"/>
                <w:szCs w:val="20"/>
              </w:rPr>
            </w:pPr>
            <w:r>
              <w:rPr>
                <w:b/>
                <w:bCs/>
                <w:sz w:val="20"/>
                <w:szCs w:val="20"/>
              </w:rPr>
              <w:t>556,117</w:t>
            </w:r>
          </w:p>
        </w:tc>
        <w:tc>
          <w:tcPr>
            <w:tcW w:w="0" w:type="auto"/>
            <w:vAlign w:val="bottom"/>
          </w:tcPr>
          <w:p w:rsidR="00CC5E7F" w:rsidRDefault="00CC5E7F">
            <w:pPr>
              <w:jc w:val="right"/>
              <w:rPr>
                <w:b/>
                <w:bCs/>
                <w:sz w:val="20"/>
                <w:szCs w:val="20"/>
              </w:rPr>
            </w:pPr>
            <w:r>
              <w:rPr>
                <w:b/>
                <w:bCs/>
                <w:sz w:val="20"/>
                <w:szCs w:val="20"/>
              </w:rPr>
              <w:t>94,172</w:t>
            </w:r>
          </w:p>
        </w:tc>
        <w:tc>
          <w:tcPr>
            <w:tcW w:w="0" w:type="auto"/>
            <w:vAlign w:val="bottom"/>
          </w:tcPr>
          <w:p w:rsidR="00CC5E7F" w:rsidRDefault="00CC5E7F">
            <w:pPr>
              <w:jc w:val="right"/>
              <w:rPr>
                <w:b/>
                <w:bCs/>
                <w:sz w:val="20"/>
                <w:szCs w:val="20"/>
              </w:rPr>
            </w:pPr>
            <w:r>
              <w:rPr>
                <w:b/>
                <w:bCs/>
                <w:sz w:val="20"/>
                <w:szCs w:val="20"/>
              </w:rPr>
              <w:t>650,289</w:t>
            </w:r>
          </w:p>
        </w:tc>
      </w:tr>
    </w:tbl>
    <w:p w:rsidR="00FF09AD" w:rsidRPr="00A167F2" w:rsidRDefault="00FF09AD" w:rsidP="00FF09AD">
      <w:pPr>
        <w:spacing w:after="240"/>
        <w:rPr>
          <w:sz w:val="22"/>
          <w:szCs w:val="22"/>
        </w:rPr>
      </w:pPr>
    </w:p>
    <w:p w:rsidR="004415E1" w:rsidRDefault="004415E1" w:rsidP="006D74A3">
      <w:pPr>
        <w:spacing w:after="120"/>
        <w:jc w:val="both"/>
        <w:rPr>
          <w:sz w:val="22"/>
          <w:szCs w:val="22"/>
        </w:rPr>
      </w:pPr>
      <w:r w:rsidRPr="004415E1">
        <w:rPr>
          <w:sz w:val="22"/>
          <w:szCs w:val="22"/>
        </w:rPr>
        <w:t>Note 1 - The post of County Treasurer was established on 31 January 2011 on an annualised salary of £90,524.35. The County Treasurer's position has taken on the responsibilities of Section 151 duties from the disestablished Executive Director of Resources role.</w:t>
      </w:r>
    </w:p>
    <w:p w:rsidR="00F03755" w:rsidRPr="00A167F2" w:rsidRDefault="00F03755" w:rsidP="006D74A3">
      <w:pPr>
        <w:spacing w:after="120"/>
        <w:jc w:val="both"/>
        <w:rPr>
          <w:sz w:val="22"/>
          <w:szCs w:val="22"/>
        </w:rPr>
      </w:pPr>
      <w:r w:rsidRPr="00A167F2">
        <w:rPr>
          <w:sz w:val="22"/>
          <w:szCs w:val="22"/>
        </w:rPr>
        <w:t>Benefits in kind relate to lease car payments or a cash equivalent sum in place of the entitlement to a lease car.</w:t>
      </w:r>
    </w:p>
    <w:p w:rsidR="00DD4406" w:rsidRDefault="00DD4406">
      <w:pPr>
        <w:rPr>
          <w:sz w:val="22"/>
          <w:szCs w:val="22"/>
        </w:rPr>
      </w:pPr>
      <w:r>
        <w:rPr>
          <w:sz w:val="22"/>
          <w:szCs w:val="22"/>
        </w:rPr>
        <w:br w:type="page"/>
      </w:r>
    </w:p>
    <w:p w:rsidR="00BC1301" w:rsidRDefault="00BC1301" w:rsidP="00AA4E25">
      <w:pPr>
        <w:rPr>
          <w:sz w:val="22"/>
          <w:szCs w:val="22"/>
        </w:rPr>
      </w:pPr>
      <w:r w:rsidRPr="00A167F2">
        <w:rPr>
          <w:sz w:val="22"/>
          <w:szCs w:val="22"/>
        </w:rPr>
        <w:lastRenderedPageBreak/>
        <w:t>We employ around 40,000 permanent members of staff. The table below shows the numbers of employees earning a total remuneration of £50,000 to £150,000 (not including pension contributions).</w:t>
      </w:r>
    </w:p>
    <w:p w:rsidR="00DD4406" w:rsidRPr="00E66706" w:rsidRDefault="00DD4406" w:rsidP="00AA4E25">
      <w:pPr>
        <w:rPr>
          <w:sz w:val="16"/>
          <w:szCs w:val="16"/>
        </w:rPr>
      </w:pPr>
    </w:p>
    <w:p w:rsidR="00BC1301" w:rsidRDefault="00BC1301" w:rsidP="00AA4E25">
      <w:pPr>
        <w:jc w:val="both"/>
        <w:rPr>
          <w:sz w:val="22"/>
          <w:szCs w:val="22"/>
        </w:rPr>
      </w:pPr>
      <w:r w:rsidRPr="00A167F2">
        <w:rPr>
          <w:sz w:val="22"/>
          <w:szCs w:val="22"/>
        </w:rPr>
        <w:t xml:space="preserve">The senior employees listed in the tables above have not been included in the Number of Employees </w:t>
      </w:r>
      <w:r w:rsidR="00F95F2B" w:rsidRPr="00A167F2">
        <w:rPr>
          <w:sz w:val="22"/>
          <w:szCs w:val="22"/>
        </w:rPr>
        <w:t>tables shown below for both 2011</w:t>
      </w:r>
      <w:r w:rsidRPr="00A167F2">
        <w:rPr>
          <w:sz w:val="22"/>
          <w:szCs w:val="22"/>
        </w:rPr>
        <w:t>/1</w:t>
      </w:r>
      <w:r w:rsidR="00F95F2B" w:rsidRPr="00A167F2">
        <w:rPr>
          <w:sz w:val="22"/>
          <w:szCs w:val="22"/>
        </w:rPr>
        <w:t>2</w:t>
      </w:r>
      <w:r w:rsidRPr="00A167F2">
        <w:rPr>
          <w:sz w:val="22"/>
          <w:szCs w:val="22"/>
        </w:rPr>
        <w:t xml:space="preserve"> and 20</w:t>
      </w:r>
      <w:r w:rsidR="00F95F2B" w:rsidRPr="00A167F2">
        <w:rPr>
          <w:sz w:val="22"/>
          <w:szCs w:val="22"/>
        </w:rPr>
        <w:t>10</w:t>
      </w:r>
      <w:r w:rsidRPr="00A167F2">
        <w:rPr>
          <w:sz w:val="22"/>
          <w:szCs w:val="22"/>
        </w:rPr>
        <w:t>/1</w:t>
      </w:r>
      <w:r w:rsidR="00F95F2B" w:rsidRPr="00A167F2">
        <w:rPr>
          <w:sz w:val="22"/>
          <w:szCs w:val="22"/>
        </w:rPr>
        <w:t>1</w:t>
      </w:r>
      <w:r w:rsidRPr="00A167F2">
        <w:rPr>
          <w:sz w:val="22"/>
          <w:szCs w:val="22"/>
        </w:rPr>
        <w:t>.</w:t>
      </w:r>
    </w:p>
    <w:p w:rsidR="00DD4406" w:rsidRPr="00E66706" w:rsidRDefault="00DD4406" w:rsidP="00AA4E25">
      <w:pPr>
        <w:jc w:val="both"/>
        <w:rPr>
          <w:sz w:val="16"/>
          <w:szCs w:val="16"/>
        </w:rPr>
      </w:pPr>
    </w:p>
    <w:p w:rsidR="0005025E" w:rsidRPr="00A167F2" w:rsidRDefault="0005025E" w:rsidP="00AA4E25">
      <w:pPr>
        <w:jc w:val="both"/>
        <w:rPr>
          <w:sz w:val="22"/>
          <w:szCs w:val="22"/>
        </w:rPr>
      </w:pPr>
      <w:r>
        <w:rPr>
          <w:sz w:val="22"/>
          <w:szCs w:val="22"/>
        </w:rPr>
        <w:t>This ta</w:t>
      </w:r>
      <w:r w:rsidR="00AA4E25">
        <w:rPr>
          <w:sz w:val="22"/>
          <w:szCs w:val="22"/>
        </w:rPr>
        <w:t>b</w:t>
      </w:r>
      <w:r>
        <w:rPr>
          <w:sz w:val="22"/>
          <w:szCs w:val="22"/>
        </w:rPr>
        <w:t xml:space="preserve">le shows the number of employees employed by Lancashire </w:t>
      </w:r>
      <w:r w:rsidR="001F1A1A">
        <w:rPr>
          <w:sz w:val="22"/>
          <w:szCs w:val="22"/>
        </w:rPr>
        <w:t>County Council</w:t>
      </w:r>
      <w:r>
        <w:rPr>
          <w:sz w:val="22"/>
          <w:szCs w:val="22"/>
        </w:rPr>
        <w:t xml:space="preserve"> split between Teaching staff, non-teaching staff and those seconded to One Connect Limited. Teaching staff </w:t>
      </w:r>
      <w:r w:rsidR="00AA4E25">
        <w:rPr>
          <w:sz w:val="22"/>
          <w:szCs w:val="22"/>
        </w:rPr>
        <w:t xml:space="preserve">and </w:t>
      </w:r>
      <w:r>
        <w:rPr>
          <w:sz w:val="22"/>
          <w:szCs w:val="22"/>
        </w:rPr>
        <w:t xml:space="preserve">staff seconded to One Connect Limited have their salaries determined </w:t>
      </w:r>
      <w:r w:rsidR="00AA4E25">
        <w:rPr>
          <w:sz w:val="22"/>
          <w:szCs w:val="22"/>
        </w:rPr>
        <w:t xml:space="preserve">outside the control of Lancashire </w:t>
      </w:r>
      <w:r w:rsidR="001F1A1A">
        <w:rPr>
          <w:sz w:val="22"/>
          <w:szCs w:val="22"/>
        </w:rPr>
        <w:t>County Council</w:t>
      </w:r>
      <w:r>
        <w:rPr>
          <w:sz w:val="22"/>
          <w:szCs w:val="22"/>
        </w:rPr>
        <w:t>.</w:t>
      </w:r>
    </w:p>
    <w:p w:rsidR="00BC1301" w:rsidRPr="00E66706" w:rsidRDefault="00BC1301" w:rsidP="00AB6292">
      <w:pPr>
        <w:jc w:val="both"/>
        <w:rPr>
          <w:sz w:val="16"/>
          <w:szCs w:val="16"/>
        </w:rPr>
      </w:pPr>
    </w:p>
    <w:tbl>
      <w:tblPr>
        <w:tblpPr w:leftFromText="180" w:rightFromText="180" w:vertAnchor="text" w:tblpX="738" w:tblpY="1"/>
        <w:tblOverlap w:val="never"/>
        <w:tblW w:w="3582" w:type="pct"/>
        <w:tblLook w:val="0000"/>
      </w:tblPr>
      <w:tblGrid>
        <w:gridCol w:w="3085"/>
        <w:gridCol w:w="1489"/>
        <w:gridCol w:w="1564"/>
        <w:gridCol w:w="1515"/>
      </w:tblGrid>
      <w:tr w:rsidR="00AB6292" w:rsidRPr="00A167F2" w:rsidTr="00AB6292">
        <w:trPr>
          <w:cantSplit/>
          <w:trHeight w:val="284"/>
        </w:trPr>
        <w:tc>
          <w:tcPr>
            <w:tcW w:w="5000" w:type="pct"/>
            <w:gridSpan w:val="4"/>
            <w:vAlign w:val="bottom"/>
          </w:tcPr>
          <w:p w:rsidR="00AB6292" w:rsidRPr="00A167F2" w:rsidDel="006C1797" w:rsidRDefault="00AB6292" w:rsidP="00A167F2">
            <w:pPr>
              <w:pStyle w:val="Footer"/>
              <w:tabs>
                <w:tab w:val="clear" w:pos="4153"/>
                <w:tab w:val="clear" w:pos="8306"/>
                <w:tab w:val="decimal" w:pos="1012"/>
              </w:tabs>
              <w:spacing w:after="120"/>
              <w:rPr>
                <w:sz w:val="22"/>
              </w:rPr>
            </w:pPr>
            <w:r w:rsidRPr="00A167F2">
              <w:rPr>
                <w:b/>
                <w:sz w:val="22"/>
              </w:rPr>
              <w:t>Number of Employees – 2011/12</w:t>
            </w:r>
          </w:p>
        </w:tc>
      </w:tr>
      <w:tr w:rsidR="00AB6292" w:rsidRPr="00A167F2" w:rsidTr="00AB6292">
        <w:trPr>
          <w:cantSplit/>
          <w:trHeight w:val="170"/>
        </w:trPr>
        <w:tc>
          <w:tcPr>
            <w:tcW w:w="2015" w:type="pct"/>
            <w:tcBorders>
              <w:top w:val="single" w:sz="4" w:space="0" w:color="auto"/>
              <w:left w:val="single" w:sz="4" w:space="0" w:color="auto"/>
              <w:bottom w:val="single" w:sz="4" w:space="0" w:color="auto"/>
              <w:right w:val="single" w:sz="4" w:space="0" w:color="auto"/>
            </w:tcBorders>
            <w:vAlign w:val="center"/>
          </w:tcPr>
          <w:p w:rsidR="00AB6292" w:rsidRPr="00AA4E25" w:rsidRDefault="00AB6292" w:rsidP="00AB6292">
            <w:pPr>
              <w:tabs>
                <w:tab w:val="left" w:pos="1956"/>
              </w:tabs>
              <w:rPr>
                <w:sz w:val="20"/>
                <w:szCs w:val="20"/>
              </w:rPr>
            </w:pPr>
            <w:r w:rsidRPr="00AA4E25">
              <w:rPr>
                <w:sz w:val="20"/>
                <w:szCs w:val="20"/>
              </w:rPr>
              <w:t>Remuneration Band (£)</w:t>
            </w:r>
          </w:p>
        </w:tc>
        <w:tc>
          <w:tcPr>
            <w:tcW w:w="973" w:type="pct"/>
            <w:tcBorders>
              <w:top w:val="single" w:sz="4" w:space="0" w:color="auto"/>
              <w:left w:val="single" w:sz="4" w:space="0" w:color="auto"/>
              <w:bottom w:val="single" w:sz="4" w:space="0" w:color="auto"/>
              <w:right w:val="single" w:sz="4" w:space="0" w:color="auto"/>
            </w:tcBorders>
            <w:vAlign w:val="center"/>
          </w:tcPr>
          <w:p w:rsidR="00AB6292" w:rsidRPr="00AA4E25" w:rsidRDefault="0005025E" w:rsidP="00AB6292">
            <w:pPr>
              <w:jc w:val="center"/>
              <w:rPr>
                <w:sz w:val="20"/>
                <w:szCs w:val="20"/>
              </w:rPr>
            </w:pPr>
            <w:r w:rsidRPr="00AA4E25">
              <w:rPr>
                <w:sz w:val="20"/>
                <w:szCs w:val="20"/>
              </w:rPr>
              <w:t xml:space="preserve">LCC </w:t>
            </w:r>
            <w:r w:rsidR="00AB6292" w:rsidRPr="00AA4E25">
              <w:rPr>
                <w:sz w:val="20"/>
                <w:szCs w:val="20"/>
              </w:rPr>
              <w:t>Non teaching staff</w:t>
            </w:r>
          </w:p>
        </w:tc>
        <w:tc>
          <w:tcPr>
            <w:tcW w:w="1022" w:type="pct"/>
            <w:tcBorders>
              <w:top w:val="single" w:sz="4" w:space="0" w:color="auto"/>
              <w:left w:val="single" w:sz="4" w:space="0" w:color="auto"/>
              <w:bottom w:val="single" w:sz="4" w:space="0" w:color="auto"/>
              <w:right w:val="single" w:sz="4" w:space="0" w:color="auto"/>
            </w:tcBorders>
            <w:shd w:val="clear" w:color="00FFFF" w:fill="auto"/>
            <w:vAlign w:val="center"/>
          </w:tcPr>
          <w:p w:rsidR="00AB6292" w:rsidRPr="00AA4E25" w:rsidRDefault="00AB6292" w:rsidP="00AB6292">
            <w:pPr>
              <w:jc w:val="center"/>
              <w:rPr>
                <w:sz w:val="20"/>
                <w:szCs w:val="20"/>
              </w:rPr>
            </w:pPr>
            <w:r w:rsidRPr="00AA4E25">
              <w:rPr>
                <w:sz w:val="20"/>
                <w:szCs w:val="20"/>
              </w:rPr>
              <w:t>OneConn</w:t>
            </w:r>
            <w:r w:rsidR="0005025E" w:rsidRPr="00AA4E25">
              <w:rPr>
                <w:sz w:val="20"/>
                <w:szCs w:val="20"/>
              </w:rPr>
              <w:t>ect L</w:t>
            </w:r>
            <w:r w:rsidRPr="00AA4E25">
              <w:rPr>
                <w:sz w:val="20"/>
                <w:szCs w:val="20"/>
              </w:rPr>
              <w:t>td</w:t>
            </w:r>
          </w:p>
        </w:tc>
        <w:tc>
          <w:tcPr>
            <w:tcW w:w="990" w:type="pct"/>
            <w:tcBorders>
              <w:top w:val="single" w:sz="4" w:space="0" w:color="auto"/>
              <w:left w:val="single" w:sz="4" w:space="0" w:color="auto"/>
              <w:bottom w:val="single" w:sz="4" w:space="0" w:color="auto"/>
              <w:right w:val="single" w:sz="4" w:space="0" w:color="auto"/>
            </w:tcBorders>
            <w:shd w:val="clear" w:color="00FFFF" w:fill="auto"/>
            <w:vAlign w:val="center"/>
          </w:tcPr>
          <w:p w:rsidR="00AB6292" w:rsidRPr="00AA4E25" w:rsidRDefault="00AB6292" w:rsidP="00AB6292">
            <w:pPr>
              <w:jc w:val="center"/>
              <w:rPr>
                <w:sz w:val="20"/>
                <w:szCs w:val="20"/>
              </w:rPr>
            </w:pPr>
            <w:r w:rsidRPr="00AA4E25">
              <w:rPr>
                <w:sz w:val="20"/>
                <w:szCs w:val="20"/>
              </w:rPr>
              <w:t>Teaching staff</w:t>
            </w:r>
          </w:p>
        </w:tc>
      </w:tr>
      <w:tr w:rsidR="006D74A3" w:rsidRPr="00A167F2" w:rsidTr="00AB6292">
        <w:trPr>
          <w:cantSplit/>
          <w:trHeight w:val="170"/>
        </w:trPr>
        <w:tc>
          <w:tcPr>
            <w:tcW w:w="2015" w:type="pct"/>
            <w:tcBorders>
              <w:top w:val="single" w:sz="4" w:space="0" w:color="auto"/>
              <w:left w:val="single" w:sz="4" w:space="0" w:color="auto"/>
              <w:bottom w:val="single" w:sz="4" w:space="0" w:color="auto"/>
              <w:right w:val="single" w:sz="4" w:space="0" w:color="auto"/>
            </w:tcBorders>
            <w:vAlign w:val="center"/>
          </w:tcPr>
          <w:p w:rsidR="006D74A3" w:rsidRPr="00AA4E25" w:rsidRDefault="00AB6292" w:rsidP="00AB6292">
            <w:pPr>
              <w:tabs>
                <w:tab w:val="left" w:pos="1956"/>
              </w:tabs>
              <w:rPr>
                <w:sz w:val="20"/>
                <w:szCs w:val="20"/>
              </w:rPr>
            </w:pPr>
            <w:r w:rsidRPr="00AA4E25">
              <w:rPr>
                <w:sz w:val="20"/>
                <w:szCs w:val="20"/>
              </w:rPr>
              <w:t>50,000 -</w:t>
            </w:r>
            <w:r w:rsidR="006D74A3" w:rsidRPr="00AA4E25">
              <w:rPr>
                <w:sz w:val="20"/>
                <w:szCs w:val="20"/>
              </w:rPr>
              <w:t xml:space="preserve"> 54,999</w:t>
            </w:r>
          </w:p>
        </w:tc>
        <w:tc>
          <w:tcPr>
            <w:tcW w:w="973" w:type="pct"/>
            <w:tcBorders>
              <w:top w:val="single" w:sz="4" w:space="0" w:color="auto"/>
              <w:left w:val="single" w:sz="4" w:space="0" w:color="auto"/>
              <w:bottom w:val="single" w:sz="4" w:space="0" w:color="auto"/>
              <w:right w:val="single" w:sz="4" w:space="0" w:color="auto"/>
            </w:tcBorders>
            <w:vAlign w:val="bottom"/>
          </w:tcPr>
          <w:p w:rsidR="006D74A3" w:rsidRPr="00AA4E25" w:rsidRDefault="004415E1" w:rsidP="00AB6292">
            <w:pPr>
              <w:jc w:val="right"/>
              <w:rPr>
                <w:sz w:val="20"/>
                <w:szCs w:val="20"/>
              </w:rPr>
            </w:pPr>
            <w:r w:rsidRPr="00AA4E25">
              <w:rPr>
                <w:sz w:val="20"/>
                <w:szCs w:val="20"/>
              </w:rPr>
              <w:t>76</w:t>
            </w:r>
          </w:p>
        </w:tc>
        <w:tc>
          <w:tcPr>
            <w:tcW w:w="1022" w:type="pct"/>
            <w:tcBorders>
              <w:top w:val="single" w:sz="4" w:space="0" w:color="auto"/>
              <w:left w:val="single" w:sz="4" w:space="0" w:color="auto"/>
              <w:bottom w:val="single" w:sz="4" w:space="0" w:color="auto"/>
              <w:right w:val="single" w:sz="4" w:space="0" w:color="auto"/>
            </w:tcBorders>
            <w:shd w:val="clear" w:color="00FFFF" w:fill="auto"/>
            <w:vAlign w:val="bottom"/>
          </w:tcPr>
          <w:p w:rsidR="006D74A3" w:rsidRPr="00AA4E25" w:rsidRDefault="004415E1" w:rsidP="00AB6292">
            <w:pPr>
              <w:jc w:val="right"/>
              <w:rPr>
                <w:sz w:val="20"/>
                <w:szCs w:val="20"/>
              </w:rPr>
            </w:pPr>
            <w:r w:rsidRPr="00AA4E25">
              <w:rPr>
                <w:sz w:val="20"/>
                <w:szCs w:val="20"/>
              </w:rPr>
              <w:t>8</w:t>
            </w:r>
          </w:p>
        </w:tc>
        <w:tc>
          <w:tcPr>
            <w:tcW w:w="990" w:type="pct"/>
            <w:tcBorders>
              <w:top w:val="single" w:sz="4" w:space="0" w:color="auto"/>
              <w:left w:val="single" w:sz="4" w:space="0" w:color="auto"/>
              <w:bottom w:val="single" w:sz="4" w:space="0" w:color="auto"/>
              <w:right w:val="single" w:sz="4" w:space="0" w:color="auto"/>
            </w:tcBorders>
            <w:shd w:val="clear" w:color="00FFFF" w:fill="auto"/>
            <w:vAlign w:val="bottom"/>
          </w:tcPr>
          <w:p w:rsidR="006D74A3" w:rsidRPr="00AA4E25" w:rsidRDefault="004415E1" w:rsidP="00AB6292">
            <w:pPr>
              <w:jc w:val="right"/>
              <w:rPr>
                <w:sz w:val="20"/>
                <w:szCs w:val="20"/>
              </w:rPr>
            </w:pPr>
            <w:r w:rsidRPr="00AA4E25">
              <w:rPr>
                <w:sz w:val="20"/>
                <w:szCs w:val="20"/>
              </w:rPr>
              <w:t>327</w:t>
            </w:r>
          </w:p>
        </w:tc>
      </w:tr>
      <w:tr w:rsidR="006D74A3" w:rsidRPr="00A167F2" w:rsidTr="00AB6292">
        <w:trPr>
          <w:cantSplit/>
          <w:trHeight w:val="284"/>
        </w:trPr>
        <w:tc>
          <w:tcPr>
            <w:tcW w:w="2015" w:type="pct"/>
            <w:tcBorders>
              <w:top w:val="single" w:sz="4" w:space="0" w:color="auto"/>
              <w:left w:val="single" w:sz="4" w:space="0" w:color="auto"/>
              <w:bottom w:val="single" w:sz="4" w:space="0" w:color="auto"/>
              <w:right w:val="single" w:sz="4" w:space="0" w:color="auto"/>
            </w:tcBorders>
            <w:vAlign w:val="center"/>
          </w:tcPr>
          <w:p w:rsidR="006D74A3" w:rsidRPr="00AA4E25" w:rsidRDefault="00AB6292" w:rsidP="00AB6292">
            <w:pPr>
              <w:tabs>
                <w:tab w:val="left" w:pos="1956"/>
              </w:tabs>
              <w:rPr>
                <w:sz w:val="20"/>
                <w:szCs w:val="20"/>
              </w:rPr>
            </w:pPr>
            <w:r w:rsidRPr="00AA4E25">
              <w:rPr>
                <w:sz w:val="20"/>
                <w:szCs w:val="20"/>
              </w:rPr>
              <w:t>55,000 -</w:t>
            </w:r>
            <w:r w:rsidR="006D74A3" w:rsidRPr="00AA4E25">
              <w:rPr>
                <w:sz w:val="20"/>
                <w:szCs w:val="20"/>
              </w:rPr>
              <w:t xml:space="preserve"> 59,999</w:t>
            </w:r>
          </w:p>
        </w:tc>
        <w:tc>
          <w:tcPr>
            <w:tcW w:w="973" w:type="pct"/>
            <w:tcBorders>
              <w:top w:val="single" w:sz="4" w:space="0" w:color="auto"/>
              <w:left w:val="single" w:sz="4" w:space="0" w:color="auto"/>
              <w:bottom w:val="single" w:sz="4" w:space="0" w:color="auto"/>
              <w:right w:val="single" w:sz="4" w:space="0" w:color="auto"/>
            </w:tcBorders>
            <w:vAlign w:val="bottom"/>
          </w:tcPr>
          <w:p w:rsidR="006D74A3" w:rsidRPr="00AA4E25" w:rsidRDefault="004415E1" w:rsidP="00AB6292">
            <w:pPr>
              <w:jc w:val="right"/>
              <w:rPr>
                <w:sz w:val="20"/>
                <w:szCs w:val="20"/>
              </w:rPr>
            </w:pPr>
            <w:r w:rsidRPr="00AA4E25">
              <w:rPr>
                <w:sz w:val="20"/>
                <w:szCs w:val="20"/>
              </w:rPr>
              <w:t>52</w:t>
            </w:r>
          </w:p>
        </w:tc>
        <w:tc>
          <w:tcPr>
            <w:tcW w:w="1022" w:type="pct"/>
            <w:tcBorders>
              <w:top w:val="single" w:sz="4" w:space="0" w:color="auto"/>
              <w:left w:val="single" w:sz="4" w:space="0" w:color="auto"/>
              <w:bottom w:val="single" w:sz="4" w:space="0" w:color="auto"/>
              <w:right w:val="single" w:sz="4" w:space="0" w:color="auto"/>
            </w:tcBorders>
            <w:shd w:val="clear" w:color="00FFFF" w:fill="auto"/>
            <w:vAlign w:val="bottom"/>
          </w:tcPr>
          <w:p w:rsidR="006D74A3" w:rsidRPr="00AA4E25" w:rsidRDefault="004415E1" w:rsidP="00AB6292">
            <w:pPr>
              <w:jc w:val="right"/>
              <w:rPr>
                <w:sz w:val="20"/>
                <w:szCs w:val="20"/>
              </w:rPr>
            </w:pPr>
            <w:r w:rsidRPr="00AA4E25">
              <w:rPr>
                <w:sz w:val="20"/>
                <w:szCs w:val="20"/>
              </w:rPr>
              <w:t>5</w:t>
            </w:r>
          </w:p>
        </w:tc>
        <w:tc>
          <w:tcPr>
            <w:tcW w:w="990" w:type="pct"/>
            <w:tcBorders>
              <w:top w:val="single" w:sz="4" w:space="0" w:color="auto"/>
              <w:left w:val="single" w:sz="4" w:space="0" w:color="auto"/>
              <w:bottom w:val="single" w:sz="4" w:space="0" w:color="auto"/>
              <w:right w:val="single" w:sz="4" w:space="0" w:color="auto"/>
            </w:tcBorders>
            <w:shd w:val="clear" w:color="00FFFF" w:fill="auto"/>
            <w:vAlign w:val="bottom"/>
          </w:tcPr>
          <w:p w:rsidR="006D74A3" w:rsidRPr="00AA4E25" w:rsidRDefault="004415E1" w:rsidP="00AB6292">
            <w:pPr>
              <w:jc w:val="right"/>
              <w:rPr>
                <w:sz w:val="20"/>
                <w:szCs w:val="20"/>
              </w:rPr>
            </w:pPr>
            <w:r w:rsidRPr="00AA4E25">
              <w:rPr>
                <w:sz w:val="20"/>
                <w:szCs w:val="20"/>
              </w:rPr>
              <w:t>209</w:t>
            </w:r>
          </w:p>
        </w:tc>
      </w:tr>
      <w:tr w:rsidR="006D74A3" w:rsidRPr="00A167F2" w:rsidTr="00AB6292">
        <w:trPr>
          <w:cantSplit/>
          <w:trHeight w:val="284"/>
        </w:trPr>
        <w:tc>
          <w:tcPr>
            <w:tcW w:w="2015" w:type="pct"/>
            <w:tcBorders>
              <w:top w:val="single" w:sz="4" w:space="0" w:color="auto"/>
              <w:left w:val="single" w:sz="4" w:space="0" w:color="auto"/>
              <w:bottom w:val="single" w:sz="4" w:space="0" w:color="auto"/>
              <w:right w:val="single" w:sz="4" w:space="0" w:color="auto"/>
            </w:tcBorders>
            <w:vAlign w:val="center"/>
          </w:tcPr>
          <w:p w:rsidR="006D74A3" w:rsidRPr="00AA4E25" w:rsidRDefault="00AB6292" w:rsidP="00AB6292">
            <w:pPr>
              <w:tabs>
                <w:tab w:val="left" w:pos="1956"/>
              </w:tabs>
              <w:rPr>
                <w:sz w:val="20"/>
                <w:szCs w:val="20"/>
              </w:rPr>
            </w:pPr>
            <w:r w:rsidRPr="00AA4E25">
              <w:rPr>
                <w:sz w:val="20"/>
                <w:szCs w:val="20"/>
              </w:rPr>
              <w:t>60,000 -</w:t>
            </w:r>
            <w:r w:rsidR="006D74A3" w:rsidRPr="00AA4E25">
              <w:rPr>
                <w:sz w:val="20"/>
                <w:szCs w:val="20"/>
              </w:rPr>
              <w:t xml:space="preserve"> 64,999</w:t>
            </w:r>
          </w:p>
        </w:tc>
        <w:tc>
          <w:tcPr>
            <w:tcW w:w="973" w:type="pct"/>
            <w:tcBorders>
              <w:top w:val="single" w:sz="4" w:space="0" w:color="auto"/>
              <w:left w:val="single" w:sz="4" w:space="0" w:color="auto"/>
              <w:bottom w:val="single" w:sz="4" w:space="0" w:color="auto"/>
              <w:right w:val="single" w:sz="4" w:space="0" w:color="auto"/>
            </w:tcBorders>
            <w:vAlign w:val="bottom"/>
          </w:tcPr>
          <w:p w:rsidR="006D74A3" w:rsidRPr="00AA4E25" w:rsidRDefault="004415E1" w:rsidP="00AB6292">
            <w:pPr>
              <w:jc w:val="right"/>
              <w:rPr>
                <w:sz w:val="20"/>
                <w:szCs w:val="20"/>
              </w:rPr>
            </w:pPr>
            <w:r w:rsidRPr="00AA4E25">
              <w:rPr>
                <w:sz w:val="20"/>
                <w:szCs w:val="20"/>
              </w:rPr>
              <w:t>44</w:t>
            </w:r>
          </w:p>
        </w:tc>
        <w:tc>
          <w:tcPr>
            <w:tcW w:w="1022" w:type="pct"/>
            <w:tcBorders>
              <w:top w:val="single" w:sz="4" w:space="0" w:color="auto"/>
              <w:left w:val="single" w:sz="4" w:space="0" w:color="auto"/>
              <w:bottom w:val="single" w:sz="4" w:space="0" w:color="auto"/>
              <w:right w:val="single" w:sz="4" w:space="0" w:color="auto"/>
            </w:tcBorders>
            <w:shd w:val="clear" w:color="00FFFF" w:fill="auto"/>
            <w:vAlign w:val="bottom"/>
          </w:tcPr>
          <w:p w:rsidR="006D74A3" w:rsidRPr="00AA4E25" w:rsidRDefault="004415E1" w:rsidP="00AB6292">
            <w:pPr>
              <w:jc w:val="right"/>
              <w:rPr>
                <w:sz w:val="20"/>
                <w:szCs w:val="20"/>
              </w:rPr>
            </w:pPr>
            <w:r w:rsidRPr="00AA4E25">
              <w:rPr>
                <w:sz w:val="20"/>
                <w:szCs w:val="20"/>
              </w:rPr>
              <w:t>5</w:t>
            </w:r>
          </w:p>
        </w:tc>
        <w:tc>
          <w:tcPr>
            <w:tcW w:w="990" w:type="pct"/>
            <w:tcBorders>
              <w:top w:val="single" w:sz="4" w:space="0" w:color="auto"/>
              <w:left w:val="single" w:sz="4" w:space="0" w:color="auto"/>
              <w:bottom w:val="single" w:sz="4" w:space="0" w:color="auto"/>
              <w:right w:val="single" w:sz="4" w:space="0" w:color="auto"/>
            </w:tcBorders>
            <w:shd w:val="clear" w:color="00FFFF" w:fill="auto"/>
            <w:vAlign w:val="bottom"/>
          </w:tcPr>
          <w:p w:rsidR="006D74A3" w:rsidRPr="00AA4E25" w:rsidRDefault="004415E1" w:rsidP="00AB6292">
            <w:pPr>
              <w:jc w:val="right"/>
              <w:rPr>
                <w:sz w:val="20"/>
                <w:szCs w:val="20"/>
              </w:rPr>
            </w:pPr>
            <w:r w:rsidRPr="00AA4E25">
              <w:rPr>
                <w:sz w:val="20"/>
                <w:szCs w:val="20"/>
              </w:rPr>
              <w:t>73</w:t>
            </w:r>
          </w:p>
        </w:tc>
      </w:tr>
      <w:tr w:rsidR="006D74A3" w:rsidRPr="00A167F2" w:rsidTr="00AB6292">
        <w:trPr>
          <w:cantSplit/>
          <w:trHeight w:val="284"/>
        </w:trPr>
        <w:tc>
          <w:tcPr>
            <w:tcW w:w="2015" w:type="pct"/>
            <w:tcBorders>
              <w:top w:val="single" w:sz="4" w:space="0" w:color="auto"/>
              <w:left w:val="single" w:sz="4" w:space="0" w:color="auto"/>
              <w:bottom w:val="single" w:sz="4" w:space="0" w:color="auto"/>
              <w:right w:val="single" w:sz="4" w:space="0" w:color="auto"/>
            </w:tcBorders>
            <w:vAlign w:val="center"/>
          </w:tcPr>
          <w:p w:rsidR="006D74A3" w:rsidRPr="00AA4E25" w:rsidRDefault="006D74A3" w:rsidP="00AB6292">
            <w:pPr>
              <w:tabs>
                <w:tab w:val="left" w:pos="1956"/>
              </w:tabs>
              <w:rPr>
                <w:sz w:val="20"/>
                <w:szCs w:val="20"/>
              </w:rPr>
            </w:pPr>
            <w:r w:rsidRPr="00AA4E25">
              <w:rPr>
                <w:sz w:val="20"/>
                <w:szCs w:val="20"/>
              </w:rPr>
              <w:t>65,0</w:t>
            </w:r>
            <w:r w:rsidR="00AB6292" w:rsidRPr="00AA4E25">
              <w:rPr>
                <w:sz w:val="20"/>
                <w:szCs w:val="20"/>
              </w:rPr>
              <w:t>00 -</w:t>
            </w:r>
            <w:r w:rsidRPr="00AA4E25">
              <w:rPr>
                <w:sz w:val="20"/>
                <w:szCs w:val="20"/>
              </w:rPr>
              <w:t xml:space="preserve"> 69,999</w:t>
            </w:r>
          </w:p>
        </w:tc>
        <w:tc>
          <w:tcPr>
            <w:tcW w:w="973" w:type="pct"/>
            <w:tcBorders>
              <w:top w:val="single" w:sz="4" w:space="0" w:color="auto"/>
              <w:left w:val="single" w:sz="4" w:space="0" w:color="auto"/>
              <w:bottom w:val="single" w:sz="4" w:space="0" w:color="auto"/>
              <w:right w:val="single" w:sz="4" w:space="0" w:color="auto"/>
            </w:tcBorders>
            <w:vAlign w:val="bottom"/>
          </w:tcPr>
          <w:p w:rsidR="006D74A3" w:rsidRPr="00AA4E25" w:rsidRDefault="004415E1" w:rsidP="00AB6292">
            <w:pPr>
              <w:jc w:val="right"/>
              <w:rPr>
                <w:sz w:val="20"/>
                <w:szCs w:val="20"/>
              </w:rPr>
            </w:pPr>
            <w:r w:rsidRPr="00AA4E25">
              <w:rPr>
                <w:sz w:val="20"/>
                <w:szCs w:val="20"/>
              </w:rPr>
              <w:t>22</w:t>
            </w:r>
          </w:p>
        </w:tc>
        <w:tc>
          <w:tcPr>
            <w:tcW w:w="1022" w:type="pct"/>
            <w:tcBorders>
              <w:top w:val="single" w:sz="4" w:space="0" w:color="auto"/>
              <w:left w:val="single" w:sz="4" w:space="0" w:color="auto"/>
              <w:bottom w:val="single" w:sz="4" w:space="0" w:color="auto"/>
              <w:right w:val="single" w:sz="4" w:space="0" w:color="auto"/>
            </w:tcBorders>
            <w:shd w:val="clear" w:color="00FFFF" w:fill="auto"/>
            <w:vAlign w:val="bottom"/>
          </w:tcPr>
          <w:p w:rsidR="006D74A3" w:rsidRPr="00AA4E25" w:rsidRDefault="004415E1" w:rsidP="00AB6292">
            <w:pPr>
              <w:jc w:val="right"/>
              <w:rPr>
                <w:sz w:val="20"/>
                <w:szCs w:val="20"/>
              </w:rPr>
            </w:pPr>
            <w:r w:rsidRPr="00AA4E25">
              <w:rPr>
                <w:sz w:val="20"/>
                <w:szCs w:val="20"/>
              </w:rPr>
              <w:t>-</w:t>
            </w:r>
          </w:p>
        </w:tc>
        <w:tc>
          <w:tcPr>
            <w:tcW w:w="990" w:type="pct"/>
            <w:tcBorders>
              <w:top w:val="single" w:sz="4" w:space="0" w:color="auto"/>
              <w:left w:val="single" w:sz="4" w:space="0" w:color="auto"/>
              <w:bottom w:val="single" w:sz="4" w:space="0" w:color="auto"/>
              <w:right w:val="single" w:sz="4" w:space="0" w:color="auto"/>
            </w:tcBorders>
            <w:shd w:val="clear" w:color="00FFFF" w:fill="auto"/>
            <w:vAlign w:val="bottom"/>
          </w:tcPr>
          <w:p w:rsidR="006D74A3" w:rsidRPr="00AA4E25" w:rsidRDefault="004415E1" w:rsidP="00AB6292">
            <w:pPr>
              <w:jc w:val="right"/>
              <w:rPr>
                <w:sz w:val="20"/>
                <w:szCs w:val="20"/>
              </w:rPr>
            </w:pPr>
            <w:r w:rsidRPr="00AA4E25">
              <w:rPr>
                <w:sz w:val="20"/>
                <w:szCs w:val="20"/>
              </w:rPr>
              <w:t>40</w:t>
            </w:r>
          </w:p>
        </w:tc>
      </w:tr>
      <w:tr w:rsidR="006D74A3" w:rsidRPr="00A167F2" w:rsidTr="00AB6292">
        <w:trPr>
          <w:cantSplit/>
          <w:trHeight w:val="284"/>
        </w:trPr>
        <w:tc>
          <w:tcPr>
            <w:tcW w:w="2015" w:type="pct"/>
            <w:tcBorders>
              <w:top w:val="single" w:sz="4" w:space="0" w:color="auto"/>
              <w:left w:val="single" w:sz="4" w:space="0" w:color="auto"/>
              <w:bottom w:val="single" w:sz="4" w:space="0" w:color="auto"/>
              <w:right w:val="single" w:sz="4" w:space="0" w:color="auto"/>
            </w:tcBorders>
            <w:vAlign w:val="center"/>
          </w:tcPr>
          <w:p w:rsidR="006D74A3" w:rsidRPr="00AA4E25" w:rsidRDefault="00AB6292" w:rsidP="00AB6292">
            <w:pPr>
              <w:rPr>
                <w:sz w:val="20"/>
                <w:szCs w:val="20"/>
              </w:rPr>
            </w:pPr>
            <w:r w:rsidRPr="00AA4E25">
              <w:rPr>
                <w:sz w:val="20"/>
                <w:szCs w:val="20"/>
              </w:rPr>
              <w:t>70,000 - 74,999</w:t>
            </w:r>
          </w:p>
        </w:tc>
        <w:tc>
          <w:tcPr>
            <w:tcW w:w="973" w:type="pct"/>
            <w:tcBorders>
              <w:top w:val="single" w:sz="4" w:space="0" w:color="auto"/>
              <w:left w:val="single" w:sz="4" w:space="0" w:color="auto"/>
              <w:bottom w:val="single" w:sz="4" w:space="0" w:color="auto"/>
              <w:right w:val="single" w:sz="4" w:space="0" w:color="auto"/>
            </w:tcBorders>
            <w:vAlign w:val="bottom"/>
          </w:tcPr>
          <w:p w:rsidR="006D74A3" w:rsidRPr="00AA4E25" w:rsidRDefault="004415E1" w:rsidP="00AB6292">
            <w:pPr>
              <w:jc w:val="right"/>
              <w:rPr>
                <w:sz w:val="20"/>
                <w:szCs w:val="20"/>
              </w:rPr>
            </w:pPr>
            <w:r w:rsidRPr="00AA4E25">
              <w:rPr>
                <w:sz w:val="20"/>
                <w:szCs w:val="20"/>
              </w:rPr>
              <w:t>9</w:t>
            </w:r>
          </w:p>
        </w:tc>
        <w:tc>
          <w:tcPr>
            <w:tcW w:w="1022" w:type="pct"/>
            <w:tcBorders>
              <w:top w:val="single" w:sz="4" w:space="0" w:color="auto"/>
              <w:left w:val="single" w:sz="4" w:space="0" w:color="auto"/>
              <w:bottom w:val="single" w:sz="4" w:space="0" w:color="auto"/>
              <w:right w:val="single" w:sz="4" w:space="0" w:color="auto"/>
            </w:tcBorders>
            <w:shd w:val="clear" w:color="00FFFF" w:fill="auto"/>
            <w:vAlign w:val="bottom"/>
          </w:tcPr>
          <w:p w:rsidR="006D74A3" w:rsidRPr="00AA4E25" w:rsidRDefault="00AB6292" w:rsidP="00AB6292">
            <w:pPr>
              <w:jc w:val="right"/>
              <w:rPr>
                <w:sz w:val="20"/>
                <w:szCs w:val="20"/>
              </w:rPr>
            </w:pPr>
            <w:r w:rsidRPr="00AA4E25">
              <w:rPr>
                <w:sz w:val="20"/>
                <w:szCs w:val="20"/>
              </w:rPr>
              <w:t>-</w:t>
            </w:r>
          </w:p>
        </w:tc>
        <w:tc>
          <w:tcPr>
            <w:tcW w:w="990" w:type="pct"/>
            <w:tcBorders>
              <w:top w:val="single" w:sz="4" w:space="0" w:color="auto"/>
              <w:left w:val="single" w:sz="4" w:space="0" w:color="auto"/>
              <w:bottom w:val="single" w:sz="4" w:space="0" w:color="auto"/>
              <w:right w:val="single" w:sz="4" w:space="0" w:color="auto"/>
            </w:tcBorders>
            <w:shd w:val="clear" w:color="00FFFF" w:fill="auto"/>
            <w:vAlign w:val="bottom"/>
          </w:tcPr>
          <w:p w:rsidR="006D74A3" w:rsidRPr="00AA4E25" w:rsidRDefault="004415E1" w:rsidP="00AB6292">
            <w:pPr>
              <w:jc w:val="right"/>
              <w:rPr>
                <w:sz w:val="20"/>
                <w:szCs w:val="20"/>
              </w:rPr>
            </w:pPr>
            <w:r w:rsidRPr="00AA4E25">
              <w:rPr>
                <w:sz w:val="20"/>
                <w:szCs w:val="20"/>
              </w:rPr>
              <w:t>28</w:t>
            </w:r>
          </w:p>
        </w:tc>
      </w:tr>
      <w:tr w:rsidR="006D74A3" w:rsidRPr="00A167F2" w:rsidTr="00AB6292">
        <w:trPr>
          <w:cantSplit/>
          <w:trHeight w:val="284"/>
        </w:trPr>
        <w:tc>
          <w:tcPr>
            <w:tcW w:w="2015" w:type="pct"/>
            <w:tcBorders>
              <w:top w:val="single" w:sz="4" w:space="0" w:color="auto"/>
              <w:left w:val="single" w:sz="4" w:space="0" w:color="auto"/>
              <w:bottom w:val="single" w:sz="4" w:space="0" w:color="auto"/>
              <w:right w:val="single" w:sz="4" w:space="0" w:color="auto"/>
            </w:tcBorders>
            <w:vAlign w:val="center"/>
          </w:tcPr>
          <w:p w:rsidR="006D74A3" w:rsidRPr="00AA4E25" w:rsidRDefault="00AB6292" w:rsidP="00AB6292">
            <w:pPr>
              <w:rPr>
                <w:sz w:val="20"/>
                <w:szCs w:val="20"/>
              </w:rPr>
            </w:pPr>
            <w:r w:rsidRPr="00AA4E25">
              <w:rPr>
                <w:sz w:val="20"/>
                <w:szCs w:val="20"/>
              </w:rPr>
              <w:t xml:space="preserve">75,000 - </w:t>
            </w:r>
            <w:r w:rsidR="006D74A3" w:rsidRPr="00AA4E25">
              <w:rPr>
                <w:sz w:val="20"/>
                <w:szCs w:val="20"/>
              </w:rPr>
              <w:t>79,999</w:t>
            </w:r>
          </w:p>
        </w:tc>
        <w:tc>
          <w:tcPr>
            <w:tcW w:w="973" w:type="pct"/>
            <w:tcBorders>
              <w:top w:val="single" w:sz="4" w:space="0" w:color="auto"/>
              <w:left w:val="single" w:sz="4" w:space="0" w:color="auto"/>
              <w:bottom w:val="single" w:sz="4" w:space="0" w:color="auto"/>
              <w:right w:val="single" w:sz="4" w:space="0" w:color="auto"/>
            </w:tcBorders>
            <w:vAlign w:val="bottom"/>
          </w:tcPr>
          <w:p w:rsidR="006D74A3" w:rsidRPr="00AA4E25" w:rsidRDefault="004415E1" w:rsidP="00AB6292">
            <w:pPr>
              <w:jc w:val="right"/>
              <w:rPr>
                <w:sz w:val="20"/>
                <w:szCs w:val="20"/>
              </w:rPr>
            </w:pPr>
            <w:r w:rsidRPr="00AA4E25">
              <w:rPr>
                <w:sz w:val="20"/>
                <w:szCs w:val="20"/>
              </w:rPr>
              <w:t>1</w:t>
            </w:r>
          </w:p>
        </w:tc>
        <w:tc>
          <w:tcPr>
            <w:tcW w:w="1022" w:type="pct"/>
            <w:tcBorders>
              <w:top w:val="single" w:sz="4" w:space="0" w:color="auto"/>
              <w:left w:val="single" w:sz="4" w:space="0" w:color="auto"/>
              <w:bottom w:val="single" w:sz="4" w:space="0" w:color="auto"/>
              <w:right w:val="single" w:sz="4" w:space="0" w:color="auto"/>
            </w:tcBorders>
            <w:shd w:val="clear" w:color="00FFFF" w:fill="auto"/>
            <w:vAlign w:val="bottom"/>
          </w:tcPr>
          <w:p w:rsidR="006D74A3" w:rsidRPr="00AA4E25" w:rsidRDefault="004415E1" w:rsidP="00AB6292">
            <w:pPr>
              <w:jc w:val="right"/>
              <w:rPr>
                <w:sz w:val="20"/>
                <w:szCs w:val="20"/>
              </w:rPr>
            </w:pPr>
            <w:r w:rsidRPr="00AA4E25">
              <w:rPr>
                <w:sz w:val="20"/>
                <w:szCs w:val="20"/>
              </w:rPr>
              <w:t>1</w:t>
            </w:r>
          </w:p>
        </w:tc>
        <w:tc>
          <w:tcPr>
            <w:tcW w:w="990" w:type="pct"/>
            <w:tcBorders>
              <w:top w:val="single" w:sz="4" w:space="0" w:color="auto"/>
              <w:left w:val="single" w:sz="4" w:space="0" w:color="auto"/>
              <w:bottom w:val="single" w:sz="4" w:space="0" w:color="auto"/>
              <w:right w:val="single" w:sz="4" w:space="0" w:color="auto"/>
            </w:tcBorders>
            <w:shd w:val="clear" w:color="00FFFF" w:fill="auto"/>
            <w:vAlign w:val="bottom"/>
          </w:tcPr>
          <w:p w:rsidR="006D74A3" w:rsidRPr="00AA4E25" w:rsidRDefault="004415E1" w:rsidP="00AB6292">
            <w:pPr>
              <w:jc w:val="right"/>
              <w:rPr>
                <w:sz w:val="20"/>
                <w:szCs w:val="20"/>
              </w:rPr>
            </w:pPr>
            <w:r w:rsidRPr="00AA4E25">
              <w:rPr>
                <w:sz w:val="20"/>
                <w:szCs w:val="20"/>
              </w:rPr>
              <w:t>15</w:t>
            </w:r>
          </w:p>
        </w:tc>
      </w:tr>
      <w:tr w:rsidR="006D74A3" w:rsidRPr="00A167F2" w:rsidTr="00AB6292">
        <w:trPr>
          <w:cantSplit/>
          <w:trHeight w:val="284"/>
        </w:trPr>
        <w:tc>
          <w:tcPr>
            <w:tcW w:w="2015" w:type="pct"/>
            <w:tcBorders>
              <w:top w:val="single" w:sz="4" w:space="0" w:color="auto"/>
              <w:left w:val="single" w:sz="4" w:space="0" w:color="auto"/>
              <w:bottom w:val="single" w:sz="4" w:space="0" w:color="auto"/>
              <w:right w:val="single" w:sz="4" w:space="0" w:color="auto"/>
            </w:tcBorders>
            <w:vAlign w:val="center"/>
          </w:tcPr>
          <w:p w:rsidR="006D74A3" w:rsidRPr="00AA4E25" w:rsidRDefault="00AB6292" w:rsidP="00AB6292">
            <w:pPr>
              <w:rPr>
                <w:sz w:val="20"/>
                <w:szCs w:val="20"/>
              </w:rPr>
            </w:pPr>
            <w:r w:rsidRPr="00AA4E25">
              <w:rPr>
                <w:sz w:val="20"/>
                <w:szCs w:val="20"/>
              </w:rPr>
              <w:t>80,000 -</w:t>
            </w:r>
            <w:r w:rsidR="006D74A3" w:rsidRPr="00AA4E25">
              <w:rPr>
                <w:sz w:val="20"/>
                <w:szCs w:val="20"/>
              </w:rPr>
              <w:t xml:space="preserve"> 84,999</w:t>
            </w:r>
          </w:p>
        </w:tc>
        <w:tc>
          <w:tcPr>
            <w:tcW w:w="973" w:type="pct"/>
            <w:tcBorders>
              <w:top w:val="single" w:sz="4" w:space="0" w:color="auto"/>
              <w:left w:val="single" w:sz="4" w:space="0" w:color="auto"/>
              <w:bottom w:val="single" w:sz="4" w:space="0" w:color="auto"/>
              <w:right w:val="single" w:sz="4" w:space="0" w:color="auto"/>
            </w:tcBorders>
            <w:vAlign w:val="bottom"/>
          </w:tcPr>
          <w:p w:rsidR="006D74A3" w:rsidRPr="00AA4E25" w:rsidRDefault="004415E1" w:rsidP="00AB6292">
            <w:pPr>
              <w:jc w:val="right"/>
              <w:rPr>
                <w:sz w:val="20"/>
                <w:szCs w:val="20"/>
              </w:rPr>
            </w:pPr>
            <w:r w:rsidRPr="00AA4E25">
              <w:rPr>
                <w:sz w:val="20"/>
                <w:szCs w:val="20"/>
              </w:rPr>
              <w:t>4</w:t>
            </w:r>
          </w:p>
        </w:tc>
        <w:tc>
          <w:tcPr>
            <w:tcW w:w="1022" w:type="pct"/>
            <w:tcBorders>
              <w:top w:val="single" w:sz="4" w:space="0" w:color="auto"/>
              <w:left w:val="single" w:sz="4" w:space="0" w:color="auto"/>
              <w:bottom w:val="single" w:sz="4" w:space="0" w:color="auto"/>
              <w:right w:val="single" w:sz="4" w:space="0" w:color="auto"/>
            </w:tcBorders>
            <w:shd w:val="clear" w:color="00FFFF" w:fill="auto"/>
            <w:vAlign w:val="bottom"/>
          </w:tcPr>
          <w:p w:rsidR="006D74A3" w:rsidRPr="00AA4E25" w:rsidRDefault="004415E1" w:rsidP="00AB6292">
            <w:pPr>
              <w:jc w:val="right"/>
              <w:rPr>
                <w:sz w:val="20"/>
                <w:szCs w:val="20"/>
              </w:rPr>
            </w:pPr>
            <w:r w:rsidRPr="00AA4E25">
              <w:rPr>
                <w:sz w:val="20"/>
                <w:szCs w:val="20"/>
              </w:rPr>
              <w:t>-</w:t>
            </w:r>
          </w:p>
        </w:tc>
        <w:tc>
          <w:tcPr>
            <w:tcW w:w="990" w:type="pct"/>
            <w:tcBorders>
              <w:top w:val="single" w:sz="4" w:space="0" w:color="auto"/>
              <w:left w:val="single" w:sz="4" w:space="0" w:color="auto"/>
              <w:bottom w:val="single" w:sz="4" w:space="0" w:color="auto"/>
              <w:right w:val="single" w:sz="4" w:space="0" w:color="auto"/>
            </w:tcBorders>
            <w:shd w:val="clear" w:color="00FFFF" w:fill="auto"/>
            <w:vAlign w:val="bottom"/>
          </w:tcPr>
          <w:p w:rsidR="006D74A3" w:rsidRPr="00AA4E25" w:rsidRDefault="004415E1" w:rsidP="00AB6292">
            <w:pPr>
              <w:jc w:val="right"/>
              <w:rPr>
                <w:sz w:val="20"/>
                <w:szCs w:val="20"/>
              </w:rPr>
            </w:pPr>
            <w:r w:rsidRPr="00AA4E25">
              <w:rPr>
                <w:sz w:val="20"/>
                <w:szCs w:val="20"/>
              </w:rPr>
              <w:t>9</w:t>
            </w:r>
          </w:p>
        </w:tc>
      </w:tr>
      <w:tr w:rsidR="006D74A3" w:rsidRPr="00A167F2" w:rsidTr="00AB6292">
        <w:trPr>
          <w:cantSplit/>
          <w:trHeight w:val="284"/>
        </w:trPr>
        <w:tc>
          <w:tcPr>
            <w:tcW w:w="2015" w:type="pct"/>
            <w:tcBorders>
              <w:top w:val="single" w:sz="4" w:space="0" w:color="auto"/>
              <w:left w:val="single" w:sz="4" w:space="0" w:color="auto"/>
              <w:bottom w:val="single" w:sz="4" w:space="0" w:color="auto"/>
              <w:right w:val="single" w:sz="4" w:space="0" w:color="auto"/>
            </w:tcBorders>
            <w:vAlign w:val="center"/>
          </w:tcPr>
          <w:p w:rsidR="006D74A3" w:rsidRPr="00AA4E25" w:rsidRDefault="006D74A3" w:rsidP="00AB6292">
            <w:pPr>
              <w:rPr>
                <w:sz w:val="20"/>
                <w:szCs w:val="20"/>
              </w:rPr>
            </w:pPr>
            <w:r w:rsidRPr="00AA4E25">
              <w:rPr>
                <w:sz w:val="20"/>
                <w:szCs w:val="20"/>
              </w:rPr>
              <w:t>85,000 – 89,999</w:t>
            </w:r>
          </w:p>
        </w:tc>
        <w:tc>
          <w:tcPr>
            <w:tcW w:w="973" w:type="pct"/>
            <w:tcBorders>
              <w:top w:val="single" w:sz="4" w:space="0" w:color="auto"/>
              <w:left w:val="single" w:sz="4" w:space="0" w:color="auto"/>
              <w:bottom w:val="single" w:sz="4" w:space="0" w:color="auto"/>
              <w:right w:val="single" w:sz="4" w:space="0" w:color="auto"/>
            </w:tcBorders>
            <w:vAlign w:val="bottom"/>
          </w:tcPr>
          <w:p w:rsidR="006D74A3" w:rsidRPr="00AA4E25" w:rsidRDefault="004415E1" w:rsidP="00AB6292">
            <w:pPr>
              <w:jc w:val="right"/>
              <w:rPr>
                <w:sz w:val="20"/>
                <w:szCs w:val="20"/>
              </w:rPr>
            </w:pPr>
            <w:r w:rsidRPr="00AA4E25">
              <w:rPr>
                <w:sz w:val="20"/>
                <w:szCs w:val="20"/>
              </w:rPr>
              <w:t>1</w:t>
            </w:r>
          </w:p>
        </w:tc>
        <w:tc>
          <w:tcPr>
            <w:tcW w:w="1022" w:type="pct"/>
            <w:tcBorders>
              <w:top w:val="single" w:sz="4" w:space="0" w:color="auto"/>
              <w:left w:val="single" w:sz="4" w:space="0" w:color="auto"/>
              <w:bottom w:val="single" w:sz="4" w:space="0" w:color="auto"/>
              <w:right w:val="single" w:sz="4" w:space="0" w:color="auto"/>
            </w:tcBorders>
            <w:shd w:val="clear" w:color="00FFFF" w:fill="auto"/>
            <w:vAlign w:val="bottom"/>
          </w:tcPr>
          <w:p w:rsidR="006D74A3" w:rsidRPr="00AA4E25" w:rsidRDefault="004415E1" w:rsidP="00AB6292">
            <w:pPr>
              <w:jc w:val="right"/>
              <w:rPr>
                <w:sz w:val="20"/>
                <w:szCs w:val="20"/>
              </w:rPr>
            </w:pPr>
            <w:r w:rsidRPr="00AA4E25">
              <w:rPr>
                <w:sz w:val="20"/>
                <w:szCs w:val="20"/>
              </w:rPr>
              <w:t>1</w:t>
            </w:r>
          </w:p>
        </w:tc>
        <w:tc>
          <w:tcPr>
            <w:tcW w:w="990" w:type="pct"/>
            <w:tcBorders>
              <w:top w:val="single" w:sz="4" w:space="0" w:color="auto"/>
              <w:left w:val="single" w:sz="4" w:space="0" w:color="auto"/>
              <w:bottom w:val="single" w:sz="4" w:space="0" w:color="auto"/>
              <w:right w:val="single" w:sz="4" w:space="0" w:color="auto"/>
            </w:tcBorders>
            <w:shd w:val="clear" w:color="00FFFF" w:fill="auto"/>
            <w:vAlign w:val="bottom"/>
          </w:tcPr>
          <w:p w:rsidR="006D74A3" w:rsidRPr="00AA4E25" w:rsidRDefault="004415E1" w:rsidP="00AB6292">
            <w:pPr>
              <w:jc w:val="right"/>
              <w:rPr>
                <w:sz w:val="20"/>
                <w:szCs w:val="20"/>
              </w:rPr>
            </w:pPr>
            <w:r w:rsidRPr="00AA4E25">
              <w:rPr>
                <w:sz w:val="20"/>
                <w:szCs w:val="20"/>
              </w:rPr>
              <w:t>9</w:t>
            </w:r>
          </w:p>
        </w:tc>
      </w:tr>
      <w:tr w:rsidR="006D74A3" w:rsidRPr="00A167F2" w:rsidTr="00AB6292">
        <w:trPr>
          <w:cantSplit/>
          <w:trHeight w:val="284"/>
        </w:trPr>
        <w:tc>
          <w:tcPr>
            <w:tcW w:w="2015" w:type="pct"/>
            <w:tcBorders>
              <w:top w:val="single" w:sz="4" w:space="0" w:color="auto"/>
              <w:left w:val="single" w:sz="4" w:space="0" w:color="auto"/>
              <w:bottom w:val="single" w:sz="4" w:space="0" w:color="auto"/>
              <w:right w:val="single" w:sz="4" w:space="0" w:color="auto"/>
            </w:tcBorders>
            <w:vAlign w:val="center"/>
          </w:tcPr>
          <w:p w:rsidR="006D74A3" w:rsidRPr="00AA4E25" w:rsidRDefault="006D74A3" w:rsidP="00AB6292">
            <w:pPr>
              <w:rPr>
                <w:sz w:val="20"/>
                <w:szCs w:val="20"/>
              </w:rPr>
            </w:pPr>
            <w:r w:rsidRPr="00AA4E25">
              <w:rPr>
                <w:sz w:val="20"/>
                <w:szCs w:val="20"/>
              </w:rPr>
              <w:t>90,000 - 94,999</w:t>
            </w:r>
          </w:p>
        </w:tc>
        <w:tc>
          <w:tcPr>
            <w:tcW w:w="973" w:type="pct"/>
            <w:tcBorders>
              <w:top w:val="single" w:sz="4" w:space="0" w:color="auto"/>
              <w:left w:val="single" w:sz="4" w:space="0" w:color="auto"/>
              <w:bottom w:val="single" w:sz="4" w:space="0" w:color="auto"/>
              <w:right w:val="single" w:sz="4" w:space="0" w:color="auto"/>
            </w:tcBorders>
            <w:vAlign w:val="bottom"/>
          </w:tcPr>
          <w:p w:rsidR="006D74A3" w:rsidRPr="00AA4E25" w:rsidRDefault="004415E1" w:rsidP="00AB6292">
            <w:pPr>
              <w:jc w:val="right"/>
              <w:rPr>
                <w:sz w:val="20"/>
                <w:szCs w:val="20"/>
              </w:rPr>
            </w:pPr>
            <w:r w:rsidRPr="00AA4E25">
              <w:rPr>
                <w:sz w:val="20"/>
                <w:szCs w:val="20"/>
              </w:rPr>
              <w:t>7</w:t>
            </w:r>
          </w:p>
        </w:tc>
        <w:tc>
          <w:tcPr>
            <w:tcW w:w="1022" w:type="pct"/>
            <w:tcBorders>
              <w:top w:val="single" w:sz="4" w:space="0" w:color="auto"/>
              <w:left w:val="single" w:sz="4" w:space="0" w:color="auto"/>
              <w:bottom w:val="single" w:sz="4" w:space="0" w:color="auto"/>
              <w:right w:val="single" w:sz="4" w:space="0" w:color="auto"/>
            </w:tcBorders>
            <w:shd w:val="clear" w:color="00FFFF" w:fill="auto"/>
            <w:vAlign w:val="bottom"/>
          </w:tcPr>
          <w:p w:rsidR="006D74A3" w:rsidRPr="00AA4E25" w:rsidRDefault="00AB6292" w:rsidP="00AB6292">
            <w:pPr>
              <w:jc w:val="right"/>
              <w:rPr>
                <w:sz w:val="20"/>
                <w:szCs w:val="20"/>
              </w:rPr>
            </w:pPr>
            <w:r w:rsidRPr="00AA4E25">
              <w:rPr>
                <w:sz w:val="20"/>
                <w:szCs w:val="20"/>
              </w:rPr>
              <w:t>-</w:t>
            </w:r>
          </w:p>
        </w:tc>
        <w:tc>
          <w:tcPr>
            <w:tcW w:w="990" w:type="pct"/>
            <w:tcBorders>
              <w:top w:val="single" w:sz="4" w:space="0" w:color="auto"/>
              <w:left w:val="single" w:sz="4" w:space="0" w:color="auto"/>
              <w:bottom w:val="single" w:sz="4" w:space="0" w:color="auto"/>
              <w:right w:val="single" w:sz="4" w:space="0" w:color="auto"/>
            </w:tcBorders>
            <w:shd w:val="clear" w:color="00FFFF" w:fill="auto"/>
            <w:vAlign w:val="bottom"/>
          </w:tcPr>
          <w:p w:rsidR="006D74A3" w:rsidRPr="00AA4E25" w:rsidRDefault="004415E1" w:rsidP="00AB6292">
            <w:pPr>
              <w:jc w:val="right"/>
              <w:rPr>
                <w:sz w:val="20"/>
                <w:szCs w:val="20"/>
              </w:rPr>
            </w:pPr>
            <w:r w:rsidRPr="00AA4E25">
              <w:rPr>
                <w:sz w:val="20"/>
                <w:szCs w:val="20"/>
              </w:rPr>
              <w:t>8</w:t>
            </w:r>
          </w:p>
        </w:tc>
      </w:tr>
      <w:tr w:rsidR="006D74A3" w:rsidRPr="00A167F2" w:rsidTr="00AB6292">
        <w:trPr>
          <w:cantSplit/>
          <w:trHeight w:val="284"/>
        </w:trPr>
        <w:tc>
          <w:tcPr>
            <w:tcW w:w="2015" w:type="pct"/>
            <w:tcBorders>
              <w:top w:val="single" w:sz="4" w:space="0" w:color="auto"/>
              <w:left w:val="single" w:sz="4" w:space="0" w:color="auto"/>
              <w:bottom w:val="single" w:sz="4" w:space="0" w:color="auto"/>
              <w:right w:val="single" w:sz="4" w:space="0" w:color="auto"/>
            </w:tcBorders>
            <w:vAlign w:val="center"/>
          </w:tcPr>
          <w:p w:rsidR="006D74A3" w:rsidRPr="00AA4E25" w:rsidRDefault="006D74A3" w:rsidP="00AB6292">
            <w:pPr>
              <w:rPr>
                <w:sz w:val="20"/>
                <w:szCs w:val="20"/>
              </w:rPr>
            </w:pPr>
            <w:r w:rsidRPr="00AA4E25">
              <w:rPr>
                <w:sz w:val="20"/>
                <w:szCs w:val="20"/>
              </w:rPr>
              <w:t>95,000 - 99,999</w:t>
            </w:r>
          </w:p>
        </w:tc>
        <w:tc>
          <w:tcPr>
            <w:tcW w:w="973" w:type="pct"/>
            <w:tcBorders>
              <w:top w:val="single" w:sz="4" w:space="0" w:color="auto"/>
              <w:left w:val="single" w:sz="4" w:space="0" w:color="auto"/>
              <w:bottom w:val="single" w:sz="4" w:space="0" w:color="auto"/>
              <w:right w:val="single" w:sz="4" w:space="0" w:color="auto"/>
            </w:tcBorders>
            <w:vAlign w:val="bottom"/>
          </w:tcPr>
          <w:p w:rsidR="006D74A3" w:rsidRPr="00AA4E25" w:rsidRDefault="004415E1" w:rsidP="00AB6292">
            <w:pPr>
              <w:jc w:val="right"/>
              <w:rPr>
                <w:sz w:val="20"/>
                <w:szCs w:val="20"/>
              </w:rPr>
            </w:pPr>
            <w:r w:rsidRPr="00AA4E25">
              <w:rPr>
                <w:sz w:val="20"/>
                <w:szCs w:val="20"/>
              </w:rPr>
              <w:t>9</w:t>
            </w:r>
          </w:p>
        </w:tc>
        <w:tc>
          <w:tcPr>
            <w:tcW w:w="1022" w:type="pct"/>
            <w:tcBorders>
              <w:top w:val="single" w:sz="4" w:space="0" w:color="auto"/>
              <w:left w:val="single" w:sz="4" w:space="0" w:color="auto"/>
              <w:bottom w:val="single" w:sz="4" w:space="0" w:color="auto"/>
              <w:right w:val="single" w:sz="4" w:space="0" w:color="auto"/>
            </w:tcBorders>
            <w:shd w:val="clear" w:color="00FFFF" w:fill="auto"/>
            <w:vAlign w:val="bottom"/>
          </w:tcPr>
          <w:p w:rsidR="006D74A3" w:rsidRPr="00AA4E25" w:rsidRDefault="00AB6292" w:rsidP="00AB6292">
            <w:pPr>
              <w:jc w:val="right"/>
              <w:rPr>
                <w:sz w:val="20"/>
                <w:szCs w:val="20"/>
              </w:rPr>
            </w:pPr>
            <w:r w:rsidRPr="00AA4E25">
              <w:rPr>
                <w:sz w:val="20"/>
                <w:szCs w:val="20"/>
              </w:rPr>
              <w:t>-</w:t>
            </w:r>
          </w:p>
        </w:tc>
        <w:tc>
          <w:tcPr>
            <w:tcW w:w="990" w:type="pct"/>
            <w:tcBorders>
              <w:top w:val="single" w:sz="4" w:space="0" w:color="auto"/>
              <w:left w:val="single" w:sz="4" w:space="0" w:color="auto"/>
              <w:bottom w:val="single" w:sz="4" w:space="0" w:color="auto"/>
              <w:right w:val="single" w:sz="4" w:space="0" w:color="auto"/>
            </w:tcBorders>
            <w:shd w:val="clear" w:color="00FFFF" w:fill="auto"/>
            <w:vAlign w:val="bottom"/>
          </w:tcPr>
          <w:p w:rsidR="006D74A3" w:rsidRPr="00AA4E25" w:rsidRDefault="004415E1" w:rsidP="00AB6292">
            <w:pPr>
              <w:jc w:val="right"/>
              <w:rPr>
                <w:sz w:val="20"/>
                <w:szCs w:val="20"/>
              </w:rPr>
            </w:pPr>
            <w:r w:rsidRPr="00AA4E25">
              <w:rPr>
                <w:sz w:val="20"/>
                <w:szCs w:val="20"/>
              </w:rPr>
              <w:t>3</w:t>
            </w:r>
          </w:p>
        </w:tc>
      </w:tr>
      <w:tr w:rsidR="006D74A3" w:rsidRPr="00A167F2" w:rsidTr="00AB6292">
        <w:trPr>
          <w:cantSplit/>
          <w:trHeight w:val="284"/>
        </w:trPr>
        <w:tc>
          <w:tcPr>
            <w:tcW w:w="2015" w:type="pct"/>
            <w:tcBorders>
              <w:top w:val="single" w:sz="4" w:space="0" w:color="auto"/>
              <w:left w:val="single" w:sz="4" w:space="0" w:color="auto"/>
              <w:bottom w:val="single" w:sz="4" w:space="0" w:color="auto"/>
              <w:right w:val="single" w:sz="4" w:space="0" w:color="auto"/>
            </w:tcBorders>
            <w:vAlign w:val="center"/>
          </w:tcPr>
          <w:p w:rsidR="006D74A3" w:rsidRPr="00AA4E25" w:rsidRDefault="006D74A3" w:rsidP="00AB6292">
            <w:pPr>
              <w:rPr>
                <w:sz w:val="20"/>
                <w:szCs w:val="20"/>
              </w:rPr>
            </w:pPr>
            <w:r w:rsidRPr="00AA4E25">
              <w:rPr>
                <w:sz w:val="20"/>
                <w:szCs w:val="20"/>
              </w:rPr>
              <w:t>100,000 - 104,999</w:t>
            </w:r>
          </w:p>
        </w:tc>
        <w:tc>
          <w:tcPr>
            <w:tcW w:w="973" w:type="pct"/>
            <w:tcBorders>
              <w:top w:val="single" w:sz="4" w:space="0" w:color="auto"/>
              <w:left w:val="single" w:sz="4" w:space="0" w:color="auto"/>
              <w:bottom w:val="single" w:sz="4" w:space="0" w:color="auto"/>
              <w:right w:val="single" w:sz="4" w:space="0" w:color="auto"/>
            </w:tcBorders>
            <w:vAlign w:val="bottom"/>
          </w:tcPr>
          <w:p w:rsidR="006D74A3" w:rsidRPr="00AA4E25" w:rsidRDefault="004415E1" w:rsidP="00AB6292">
            <w:pPr>
              <w:jc w:val="right"/>
              <w:rPr>
                <w:sz w:val="20"/>
                <w:szCs w:val="20"/>
              </w:rPr>
            </w:pPr>
            <w:r w:rsidRPr="00AA4E25">
              <w:rPr>
                <w:sz w:val="20"/>
                <w:szCs w:val="20"/>
              </w:rPr>
              <w:t>3</w:t>
            </w:r>
          </w:p>
        </w:tc>
        <w:tc>
          <w:tcPr>
            <w:tcW w:w="1022" w:type="pct"/>
            <w:tcBorders>
              <w:top w:val="single" w:sz="4" w:space="0" w:color="auto"/>
              <w:left w:val="single" w:sz="4" w:space="0" w:color="auto"/>
              <w:bottom w:val="single" w:sz="4" w:space="0" w:color="auto"/>
              <w:right w:val="single" w:sz="4" w:space="0" w:color="auto"/>
            </w:tcBorders>
            <w:shd w:val="clear" w:color="00FFFF" w:fill="auto"/>
            <w:vAlign w:val="bottom"/>
          </w:tcPr>
          <w:p w:rsidR="006D74A3" w:rsidRPr="00AA4E25" w:rsidRDefault="004415E1" w:rsidP="00AB6292">
            <w:pPr>
              <w:jc w:val="right"/>
              <w:rPr>
                <w:sz w:val="20"/>
                <w:szCs w:val="20"/>
              </w:rPr>
            </w:pPr>
            <w:r w:rsidRPr="00AA4E25">
              <w:rPr>
                <w:sz w:val="20"/>
                <w:szCs w:val="20"/>
              </w:rPr>
              <w:t>1</w:t>
            </w:r>
          </w:p>
        </w:tc>
        <w:tc>
          <w:tcPr>
            <w:tcW w:w="990" w:type="pct"/>
            <w:tcBorders>
              <w:top w:val="single" w:sz="4" w:space="0" w:color="auto"/>
              <w:left w:val="single" w:sz="4" w:space="0" w:color="auto"/>
              <w:bottom w:val="single" w:sz="4" w:space="0" w:color="auto"/>
              <w:right w:val="single" w:sz="4" w:space="0" w:color="auto"/>
            </w:tcBorders>
            <w:shd w:val="clear" w:color="00FFFF" w:fill="auto"/>
            <w:vAlign w:val="bottom"/>
          </w:tcPr>
          <w:p w:rsidR="006D74A3" w:rsidRPr="00AA4E25" w:rsidRDefault="004415E1" w:rsidP="00AB6292">
            <w:pPr>
              <w:jc w:val="right"/>
              <w:rPr>
                <w:sz w:val="20"/>
                <w:szCs w:val="20"/>
              </w:rPr>
            </w:pPr>
            <w:r w:rsidRPr="00AA4E25">
              <w:rPr>
                <w:sz w:val="20"/>
                <w:szCs w:val="20"/>
              </w:rPr>
              <w:t>-</w:t>
            </w:r>
          </w:p>
        </w:tc>
      </w:tr>
      <w:tr w:rsidR="006D74A3" w:rsidRPr="00A167F2" w:rsidTr="00AB6292">
        <w:trPr>
          <w:cantSplit/>
          <w:trHeight w:val="284"/>
        </w:trPr>
        <w:tc>
          <w:tcPr>
            <w:tcW w:w="2015" w:type="pct"/>
            <w:tcBorders>
              <w:top w:val="single" w:sz="4" w:space="0" w:color="auto"/>
              <w:left w:val="single" w:sz="4" w:space="0" w:color="auto"/>
              <w:bottom w:val="single" w:sz="4" w:space="0" w:color="auto"/>
              <w:right w:val="single" w:sz="4" w:space="0" w:color="auto"/>
            </w:tcBorders>
            <w:vAlign w:val="center"/>
          </w:tcPr>
          <w:p w:rsidR="006D74A3" w:rsidRPr="00AA4E25" w:rsidRDefault="00AB6292" w:rsidP="00AB6292">
            <w:pPr>
              <w:tabs>
                <w:tab w:val="left" w:pos="1956"/>
              </w:tabs>
              <w:rPr>
                <w:sz w:val="20"/>
                <w:szCs w:val="20"/>
              </w:rPr>
            </w:pPr>
            <w:r w:rsidRPr="00AA4E25">
              <w:rPr>
                <w:sz w:val="20"/>
                <w:szCs w:val="20"/>
              </w:rPr>
              <w:t>105,000 -</w:t>
            </w:r>
            <w:r w:rsidR="006D74A3" w:rsidRPr="00AA4E25">
              <w:rPr>
                <w:sz w:val="20"/>
                <w:szCs w:val="20"/>
              </w:rPr>
              <w:t xml:space="preserve"> 109,999</w:t>
            </w:r>
          </w:p>
        </w:tc>
        <w:tc>
          <w:tcPr>
            <w:tcW w:w="973" w:type="pct"/>
            <w:tcBorders>
              <w:top w:val="single" w:sz="4" w:space="0" w:color="auto"/>
              <w:left w:val="single" w:sz="4" w:space="0" w:color="auto"/>
              <w:bottom w:val="single" w:sz="4" w:space="0" w:color="auto"/>
              <w:right w:val="single" w:sz="4" w:space="0" w:color="auto"/>
            </w:tcBorders>
            <w:vAlign w:val="bottom"/>
          </w:tcPr>
          <w:p w:rsidR="006D74A3" w:rsidRPr="00AA4E25" w:rsidRDefault="00AB6292" w:rsidP="00AB6292">
            <w:pPr>
              <w:jc w:val="right"/>
              <w:rPr>
                <w:sz w:val="20"/>
                <w:szCs w:val="20"/>
              </w:rPr>
            </w:pPr>
            <w:r w:rsidRPr="00AA4E25">
              <w:rPr>
                <w:sz w:val="20"/>
                <w:szCs w:val="20"/>
              </w:rPr>
              <w:t>-</w:t>
            </w:r>
          </w:p>
        </w:tc>
        <w:tc>
          <w:tcPr>
            <w:tcW w:w="1022" w:type="pct"/>
            <w:tcBorders>
              <w:top w:val="single" w:sz="4" w:space="0" w:color="auto"/>
              <w:left w:val="single" w:sz="4" w:space="0" w:color="auto"/>
              <w:bottom w:val="single" w:sz="4" w:space="0" w:color="auto"/>
              <w:right w:val="single" w:sz="4" w:space="0" w:color="auto"/>
            </w:tcBorders>
            <w:shd w:val="clear" w:color="00FFFF" w:fill="auto"/>
            <w:vAlign w:val="bottom"/>
          </w:tcPr>
          <w:p w:rsidR="006D74A3" w:rsidRPr="00AA4E25" w:rsidRDefault="00AB6292" w:rsidP="00AB6292">
            <w:pPr>
              <w:jc w:val="right"/>
              <w:rPr>
                <w:sz w:val="20"/>
                <w:szCs w:val="20"/>
              </w:rPr>
            </w:pPr>
            <w:r w:rsidRPr="00AA4E25">
              <w:rPr>
                <w:sz w:val="20"/>
                <w:szCs w:val="20"/>
              </w:rPr>
              <w:t>-</w:t>
            </w:r>
          </w:p>
        </w:tc>
        <w:tc>
          <w:tcPr>
            <w:tcW w:w="990" w:type="pct"/>
            <w:tcBorders>
              <w:top w:val="single" w:sz="4" w:space="0" w:color="auto"/>
              <w:left w:val="single" w:sz="4" w:space="0" w:color="auto"/>
              <w:bottom w:val="single" w:sz="4" w:space="0" w:color="auto"/>
              <w:right w:val="single" w:sz="4" w:space="0" w:color="auto"/>
            </w:tcBorders>
            <w:shd w:val="clear" w:color="00FFFF" w:fill="auto"/>
            <w:vAlign w:val="bottom"/>
          </w:tcPr>
          <w:p w:rsidR="006D74A3" w:rsidRPr="00AA4E25" w:rsidRDefault="004415E1" w:rsidP="00AB6292">
            <w:pPr>
              <w:jc w:val="right"/>
              <w:rPr>
                <w:sz w:val="20"/>
                <w:szCs w:val="20"/>
              </w:rPr>
            </w:pPr>
            <w:r w:rsidRPr="00AA4E25">
              <w:rPr>
                <w:sz w:val="20"/>
                <w:szCs w:val="20"/>
              </w:rPr>
              <w:t>3</w:t>
            </w:r>
          </w:p>
        </w:tc>
      </w:tr>
      <w:tr w:rsidR="006D74A3" w:rsidRPr="00A167F2" w:rsidTr="00AB6292">
        <w:trPr>
          <w:cantSplit/>
          <w:trHeight w:val="284"/>
        </w:trPr>
        <w:tc>
          <w:tcPr>
            <w:tcW w:w="2015" w:type="pct"/>
            <w:tcBorders>
              <w:top w:val="single" w:sz="4" w:space="0" w:color="auto"/>
              <w:left w:val="single" w:sz="4" w:space="0" w:color="auto"/>
              <w:bottom w:val="single" w:sz="4" w:space="0" w:color="auto"/>
              <w:right w:val="single" w:sz="4" w:space="0" w:color="auto"/>
            </w:tcBorders>
            <w:vAlign w:val="center"/>
          </w:tcPr>
          <w:p w:rsidR="006D74A3" w:rsidRPr="00AA4E25" w:rsidRDefault="006D74A3" w:rsidP="00AB6292">
            <w:pPr>
              <w:rPr>
                <w:sz w:val="20"/>
                <w:szCs w:val="20"/>
              </w:rPr>
            </w:pPr>
            <w:r w:rsidRPr="00AA4E25">
              <w:rPr>
                <w:sz w:val="20"/>
                <w:szCs w:val="20"/>
              </w:rPr>
              <w:t>110,000 - 114,999</w:t>
            </w:r>
          </w:p>
        </w:tc>
        <w:tc>
          <w:tcPr>
            <w:tcW w:w="973" w:type="pct"/>
            <w:tcBorders>
              <w:top w:val="single" w:sz="4" w:space="0" w:color="auto"/>
              <w:left w:val="single" w:sz="4" w:space="0" w:color="auto"/>
              <w:bottom w:val="single" w:sz="4" w:space="0" w:color="auto"/>
              <w:right w:val="single" w:sz="4" w:space="0" w:color="auto"/>
            </w:tcBorders>
            <w:vAlign w:val="bottom"/>
          </w:tcPr>
          <w:p w:rsidR="006D74A3" w:rsidRPr="00AA4E25" w:rsidRDefault="006D74A3" w:rsidP="00AB6292">
            <w:pPr>
              <w:jc w:val="right"/>
              <w:rPr>
                <w:sz w:val="20"/>
                <w:szCs w:val="20"/>
              </w:rPr>
            </w:pPr>
            <w:r w:rsidRPr="00AA4E25">
              <w:rPr>
                <w:sz w:val="20"/>
                <w:szCs w:val="20"/>
              </w:rPr>
              <w:t>-</w:t>
            </w:r>
          </w:p>
        </w:tc>
        <w:tc>
          <w:tcPr>
            <w:tcW w:w="1022" w:type="pct"/>
            <w:tcBorders>
              <w:top w:val="single" w:sz="4" w:space="0" w:color="auto"/>
              <w:left w:val="single" w:sz="4" w:space="0" w:color="auto"/>
              <w:bottom w:val="single" w:sz="4" w:space="0" w:color="auto"/>
              <w:right w:val="single" w:sz="4" w:space="0" w:color="auto"/>
            </w:tcBorders>
            <w:shd w:val="clear" w:color="00FFFF" w:fill="auto"/>
            <w:vAlign w:val="bottom"/>
          </w:tcPr>
          <w:p w:rsidR="006D74A3" w:rsidRPr="00AA4E25" w:rsidRDefault="006D74A3" w:rsidP="00AB6292">
            <w:pPr>
              <w:jc w:val="right"/>
              <w:rPr>
                <w:sz w:val="20"/>
                <w:szCs w:val="20"/>
              </w:rPr>
            </w:pPr>
            <w:r w:rsidRPr="00AA4E25">
              <w:rPr>
                <w:sz w:val="20"/>
                <w:szCs w:val="20"/>
              </w:rPr>
              <w:t>-</w:t>
            </w:r>
          </w:p>
        </w:tc>
        <w:tc>
          <w:tcPr>
            <w:tcW w:w="990" w:type="pct"/>
            <w:tcBorders>
              <w:top w:val="single" w:sz="4" w:space="0" w:color="auto"/>
              <w:left w:val="single" w:sz="4" w:space="0" w:color="auto"/>
              <w:bottom w:val="single" w:sz="4" w:space="0" w:color="auto"/>
              <w:right w:val="single" w:sz="4" w:space="0" w:color="auto"/>
            </w:tcBorders>
            <w:shd w:val="clear" w:color="00FFFF" w:fill="auto"/>
            <w:vAlign w:val="center"/>
          </w:tcPr>
          <w:p w:rsidR="006D74A3" w:rsidRPr="00AA4E25" w:rsidRDefault="00AB6292" w:rsidP="00AB6292">
            <w:pPr>
              <w:jc w:val="right"/>
              <w:rPr>
                <w:sz w:val="20"/>
                <w:szCs w:val="20"/>
              </w:rPr>
            </w:pPr>
            <w:r w:rsidRPr="00AA4E25">
              <w:rPr>
                <w:sz w:val="20"/>
                <w:szCs w:val="20"/>
              </w:rPr>
              <w:t>-</w:t>
            </w:r>
          </w:p>
        </w:tc>
      </w:tr>
      <w:tr w:rsidR="006D74A3" w:rsidRPr="00A167F2" w:rsidTr="00AB6292">
        <w:trPr>
          <w:cantSplit/>
          <w:trHeight w:val="284"/>
        </w:trPr>
        <w:tc>
          <w:tcPr>
            <w:tcW w:w="2015" w:type="pct"/>
            <w:tcBorders>
              <w:top w:val="single" w:sz="4" w:space="0" w:color="auto"/>
              <w:left w:val="single" w:sz="4" w:space="0" w:color="auto"/>
              <w:bottom w:val="single" w:sz="4" w:space="0" w:color="auto"/>
              <w:right w:val="single" w:sz="4" w:space="0" w:color="auto"/>
            </w:tcBorders>
            <w:vAlign w:val="center"/>
          </w:tcPr>
          <w:p w:rsidR="006D74A3" w:rsidRPr="00AA4E25" w:rsidRDefault="00AB6292" w:rsidP="00AB6292">
            <w:pPr>
              <w:rPr>
                <w:sz w:val="20"/>
                <w:szCs w:val="20"/>
              </w:rPr>
            </w:pPr>
            <w:r w:rsidRPr="00AA4E25">
              <w:rPr>
                <w:sz w:val="20"/>
                <w:szCs w:val="20"/>
              </w:rPr>
              <w:t>115,000 -</w:t>
            </w:r>
            <w:r w:rsidR="006D74A3" w:rsidRPr="00AA4E25">
              <w:rPr>
                <w:sz w:val="20"/>
                <w:szCs w:val="20"/>
              </w:rPr>
              <w:t xml:space="preserve"> 119,999</w:t>
            </w:r>
          </w:p>
        </w:tc>
        <w:tc>
          <w:tcPr>
            <w:tcW w:w="973" w:type="pct"/>
            <w:tcBorders>
              <w:top w:val="single" w:sz="4" w:space="0" w:color="auto"/>
              <w:left w:val="single" w:sz="4" w:space="0" w:color="auto"/>
              <w:bottom w:val="single" w:sz="4" w:space="0" w:color="auto"/>
              <w:right w:val="single" w:sz="4" w:space="0" w:color="auto"/>
            </w:tcBorders>
            <w:vAlign w:val="bottom"/>
          </w:tcPr>
          <w:p w:rsidR="006D74A3" w:rsidRPr="00AA4E25" w:rsidRDefault="006D74A3" w:rsidP="00AB6292">
            <w:pPr>
              <w:jc w:val="right"/>
              <w:rPr>
                <w:sz w:val="20"/>
                <w:szCs w:val="20"/>
              </w:rPr>
            </w:pPr>
            <w:r w:rsidRPr="00AA4E25">
              <w:rPr>
                <w:sz w:val="20"/>
                <w:szCs w:val="20"/>
              </w:rPr>
              <w:t>1</w:t>
            </w:r>
          </w:p>
        </w:tc>
        <w:tc>
          <w:tcPr>
            <w:tcW w:w="1022" w:type="pct"/>
            <w:tcBorders>
              <w:top w:val="single" w:sz="4" w:space="0" w:color="auto"/>
              <w:left w:val="single" w:sz="4" w:space="0" w:color="auto"/>
              <w:bottom w:val="single" w:sz="4" w:space="0" w:color="auto"/>
              <w:right w:val="single" w:sz="4" w:space="0" w:color="auto"/>
            </w:tcBorders>
            <w:shd w:val="clear" w:color="00FFFF" w:fill="auto"/>
            <w:vAlign w:val="bottom"/>
          </w:tcPr>
          <w:p w:rsidR="006D74A3" w:rsidRPr="00AA4E25" w:rsidRDefault="00AB6292" w:rsidP="00AB6292">
            <w:pPr>
              <w:jc w:val="right"/>
              <w:rPr>
                <w:sz w:val="20"/>
                <w:szCs w:val="20"/>
              </w:rPr>
            </w:pPr>
            <w:r w:rsidRPr="00AA4E25">
              <w:rPr>
                <w:sz w:val="20"/>
                <w:szCs w:val="20"/>
              </w:rPr>
              <w:t>-</w:t>
            </w:r>
          </w:p>
        </w:tc>
        <w:tc>
          <w:tcPr>
            <w:tcW w:w="990" w:type="pct"/>
            <w:tcBorders>
              <w:top w:val="single" w:sz="4" w:space="0" w:color="auto"/>
              <w:left w:val="single" w:sz="4" w:space="0" w:color="auto"/>
              <w:bottom w:val="single" w:sz="4" w:space="0" w:color="auto"/>
              <w:right w:val="single" w:sz="4" w:space="0" w:color="auto"/>
            </w:tcBorders>
            <w:shd w:val="clear" w:color="00FFFF" w:fill="auto"/>
            <w:vAlign w:val="center"/>
          </w:tcPr>
          <w:p w:rsidR="006D74A3" w:rsidRPr="00AA4E25" w:rsidRDefault="00AB6292" w:rsidP="00AB6292">
            <w:pPr>
              <w:jc w:val="right"/>
              <w:rPr>
                <w:sz w:val="20"/>
                <w:szCs w:val="20"/>
              </w:rPr>
            </w:pPr>
            <w:r w:rsidRPr="00AA4E25">
              <w:rPr>
                <w:sz w:val="20"/>
                <w:szCs w:val="20"/>
              </w:rPr>
              <w:t>-</w:t>
            </w:r>
          </w:p>
        </w:tc>
      </w:tr>
      <w:tr w:rsidR="006D74A3" w:rsidRPr="00A167F2" w:rsidTr="00AB6292">
        <w:trPr>
          <w:cantSplit/>
          <w:trHeight w:val="284"/>
        </w:trPr>
        <w:tc>
          <w:tcPr>
            <w:tcW w:w="2015" w:type="pct"/>
            <w:tcBorders>
              <w:top w:val="single" w:sz="4" w:space="0" w:color="auto"/>
              <w:left w:val="single" w:sz="4" w:space="0" w:color="auto"/>
              <w:bottom w:val="single" w:sz="4" w:space="0" w:color="auto"/>
              <w:right w:val="single" w:sz="4" w:space="0" w:color="auto"/>
            </w:tcBorders>
            <w:vAlign w:val="center"/>
          </w:tcPr>
          <w:p w:rsidR="006D74A3" w:rsidRPr="00AA4E25" w:rsidRDefault="00AB6292" w:rsidP="00AB6292">
            <w:pPr>
              <w:rPr>
                <w:sz w:val="20"/>
                <w:szCs w:val="20"/>
              </w:rPr>
            </w:pPr>
            <w:r w:rsidRPr="00AA4E25">
              <w:rPr>
                <w:sz w:val="20"/>
                <w:szCs w:val="20"/>
              </w:rPr>
              <w:t>120,000 -</w:t>
            </w:r>
            <w:r w:rsidR="006D74A3" w:rsidRPr="00AA4E25">
              <w:rPr>
                <w:sz w:val="20"/>
                <w:szCs w:val="20"/>
              </w:rPr>
              <w:t xml:space="preserve"> 124,999</w:t>
            </w:r>
          </w:p>
        </w:tc>
        <w:tc>
          <w:tcPr>
            <w:tcW w:w="973" w:type="pct"/>
            <w:tcBorders>
              <w:top w:val="single" w:sz="4" w:space="0" w:color="auto"/>
              <w:left w:val="single" w:sz="4" w:space="0" w:color="auto"/>
              <w:bottom w:val="single" w:sz="4" w:space="0" w:color="auto"/>
              <w:right w:val="single" w:sz="4" w:space="0" w:color="auto"/>
            </w:tcBorders>
            <w:vAlign w:val="bottom"/>
          </w:tcPr>
          <w:p w:rsidR="006D74A3" w:rsidRPr="00AA4E25" w:rsidRDefault="006D74A3" w:rsidP="00AB6292">
            <w:pPr>
              <w:jc w:val="right"/>
              <w:rPr>
                <w:sz w:val="20"/>
                <w:szCs w:val="20"/>
              </w:rPr>
            </w:pPr>
            <w:r w:rsidRPr="00AA4E25">
              <w:rPr>
                <w:sz w:val="20"/>
                <w:szCs w:val="20"/>
              </w:rPr>
              <w:t>-</w:t>
            </w:r>
          </w:p>
        </w:tc>
        <w:tc>
          <w:tcPr>
            <w:tcW w:w="1022" w:type="pct"/>
            <w:tcBorders>
              <w:top w:val="single" w:sz="4" w:space="0" w:color="auto"/>
              <w:left w:val="single" w:sz="4" w:space="0" w:color="auto"/>
              <w:bottom w:val="single" w:sz="4" w:space="0" w:color="auto"/>
              <w:right w:val="single" w:sz="4" w:space="0" w:color="auto"/>
            </w:tcBorders>
            <w:shd w:val="clear" w:color="00FFFF" w:fill="auto"/>
            <w:vAlign w:val="bottom"/>
          </w:tcPr>
          <w:p w:rsidR="006D74A3" w:rsidRPr="00AA4E25" w:rsidRDefault="006D74A3" w:rsidP="00AB6292">
            <w:pPr>
              <w:jc w:val="right"/>
              <w:rPr>
                <w:sz w:val="20"/>
                <w:szCs w:val="20"/>
              </w:rPr>
            </w:pPr>
            <w:r w:rsidRPr="00AA4E25">
              <w:rPr>
                <w:sz w:val="20"/>
                <w:szCs w:val="20"/>
              </w:rPr>
              <w:t>-</w:t>
            </w:r>
          </w:p>
        </w:tc>
        <w:tc>
          <w:tcPr>
            <w:tcW w:w="990" w:type="pct"/>
            <w:tcBorders>
              <w:top w:val="single" w:sz="4" w:space="0" w:color="auto"/>
              <w:left w:val="single" w:sz="4" w:space="0" w:color="auto"/>
              <w:bottom w:val="single" w:sz="4" w:space="0" w:color="auto"/>
              <w:right w:val="single" w:sz="4" w:space="0" w:color="auto"/>
            </w:tcBorders>
            <w:shd w:val="clear" w:color="00FFFF" w:fill="auto"/>
            <w:vAlign w:val="center"/>
          </w:tcPr>
          <w:p w:rsidR="006D74A3" w:rsidRPr="00AA4E25" w:rsidRDefault="00AB6292" w:rsidP="00AB6292">
            <w:pPr>
              <w:jc w:val="right"/>
              <w:rPr>
                <w:sz w:val="20"/>
                <w:szCs w:val="20"/>
              </w:rPr>
            </w:pPr>
            <w:r w:rsidRPr="00AA4E25">
              <w:rPr>
                <w:sz w:val="20"/>
                <w:szCs w:val="20"/>
              </w:rPr>
              <w:t>-</w:t>
            </w:r>
          </w:p>
        </w:tc>
      </w:tr>
      <w:tr w:rsidR="006D74A3" w:rsidRPr="00A167F2" w:rsidTr="00AB6292">
        <w:trPr>
          <w:cantSplit/>
          <w:trHeight w:val="284"/>
        </w:trPr>
        <w:tc>
          <w:tcPr>
            <w:tcW w:w="2015" w:type="pct"/>
            <w:tcBorders>
              <w:top w:val="single" w:sz="4" w:space="0" w:color="auto"/>
              <w:left w:val="single" w:sz="4" w:space="0" w:color="auto"/>
              <w:bottom w:val="single" w:sz="4" w:space="0" w:color="auto"/>
              <w:right w:val="single" w:sz="4" w:space="0" w:color="auto"/>
            </w:tcBorders>
            <w:vAlign w:val="center"/>
          </w:tcPr>
          <w:p w:rsidR="006D74A3" w:rsidRPr="00AA4E25" w:rsidRDefault="00AB6292" w:rsidP="00AB6292">
            <w:pPr>
              <w:rPr>
                <w:sz w:val="20"/>
                <w:szCs w:val="20"/>
              </w:rPr>
            </w:pPr>
            <w:r w:rsidRPr="00AA4E25">
              <w:rPr>
                <w:sz w:val="20"/>
                <w:szCs w:val="20"/>
              </w:rPr>
              <w:t>125,000 -</w:t>
            </w:r>
            <w:r w:rsidR="006D74A3" w:rsidRPr="00AA4E25">
              <w:rPr>
                <w:sz w:val="20"/>
                <w:szCs w:val="20"/>
              </w:rPr>
              <w:t xml:space="preserve"> 129,999</w:t>
            </w:r>
          </w:p>
        </w:tc>
        <w:tc>
          <w:tcPr>
            <w:tcW w:w="973" w:type="pct"/>
            <w:tcBorders>
              <w:top w:val="single" w:sz="4" w:space="0" w:color="auto"/>
              <w:left w:val="single" w:sz="4" w:space="0" w:color="auto"/>
              <w:bottom w:val="single" w:sz="4" w:space="0" w:color="auto"/>
              <w:right w:val="single" w:sz="4" w:space="0" w:color="auto"/>
            </w:tcBorders>
            <w:vAlign w:val="bottom"/>
          </w:tcPr>
          <w:p w:rsidR="006D74A3" w:rsidRPr="00AA4E25" w:rsidRDefault="006D74A3" w:rsidP="00AB6292">
            <w:pPr>
              <w:jc w:val="right"/>
              <w:rPr>
                <w:sz w:val="20"/>
                <w:szCs w:val="20"/>
              </w:rPr>
            </w:pPr>
            <w:r w:rsidRPr="00AA4E25">
              <w:rPr>
                <w:sz w:val="20"/>
                <w:szCs w:val="20"/>
              </w:rPr>
              <w:t>-</w:t>
            </w:r>
          </w:p>
        </w:tc>
        <w:tc>
          <w:tcPr>
            <w:tcW w:w="1022" w:type="pct"/>
            <w:tcBorders>
              <w:top w:val="single" w:sz="4" w:space="0" w:color="auto"/>
              <w:left w:val="single" w:sz="4" w:space="0" w:color="auto"/>
              <w:bottom w:val="single" w:sz="4" w:space="0" w:color="auto"/>
              <w:right w:val="single" w:sz="4" w:space="0" w:color="auto"/>
            </w:tcBorders>
            <w:shd w:val="clear" w:color="00FFFF" w:fill="auto"/>
            <w:vAlign w:val="bottom"/>
          </w:tcPr>
          <w:p w:rsidR="006D74A3" w:rsidRPr="00AA4E25" w:rsidRDefault="006D74A3" w:rsidP="00AB6292">
            <w:pPr>
              <w:jc w:val="right"/>
              <w:rPr>
                <w:sz w:val="20"/>
                <w:szCs w:val="20"/>
              </w:rPr>
            </w:pPr>
            <w:r w:rsidRPr="00AA4E25">
              <w:rPr>
                <w:sz w:val="20"/>
                <w:szCs w:val="20"/>
              </w:rPr>
              <w:t>-</w:t>
            </w:r>
          </w:p>
        </w:tc>
        <w:tc>
          <w:tcPr>
            <w:tcW w:w="990" w:type="pct"/>
            <w:tcBorders>
              <w:top w:val="single" w:sz="4" w:space="0" w:color="auto"/>
              <w:left w:val="single" w:sz="4" w:space="0" w:color="auto"/>
              <w:bottom w:val="single" w:sz="4" w:space="0" w:color="auto"/>
              <w:right w:val="single" w:sz="4" w:space="0" w:color="auto"/>
            </w:tcBorders>
            <w:shd w:val="clear" w:color="00FFFF" w:fill="auto"/>
            <w:vAlign w:val="center"/>
          </w:tcPr>
          <w:p w:rsidR="006D74A3" w:rsidRPr="00AA4E25" w:rsidRDefault="00AB6292" w:rsidP="00AB6292">
            <w:pPr>
              <w:jc w:val="right"/>
              <w:rPr>
                <w:sz w:val="20"/>
                <w:szCs w:val="20"/>
              </w:rPr>
            </w:pPr>
            <w:r w:rsidRPr="00AA4E25">
              <w:rPr>
                <w:sz w:val="20"/>
                <w:szCs w:val="20"/>
              </w:rPr>
              <w:t>-</w:t>
            </w:r>
          </w:p>
        </w:tc>
      </w:tr>
      <w:tr w:rsidR="006D74A3" w:rsidRPr="00A167F2" w:rsidTr="00AB6292">
        <w:trPr>
          <w:cantSplit/>
          <w:trHeight w:val="284"/>
        </w:trPr>
        <w:tc>
          <w:tcPr>
            <w:tcW w:w="2015" w:type="pct"/>
            <w:tcBorders>
              <w:top w:val="single" w:sz="4" w:space="0" w:color="auto"/>
              <w:left w:val="single" w:sz="4" w:space="0" w:color="auto"/>
              <w:bottom w:val="single" w:sz="4" w:space="0" w:color="auto"/>
              <w:right w:val="single" w:sz="4" w:space="0" w:color="auto"/>
            </w:tcBorders>
            <w:vAlign w:val="center"/>
          </w:tcPr>
          <w:p w:rsidR="006D74A3" w:rsidRPr="00AA4E25" w:rsidRDefault="00AB6292" w:rsidP="00AB6292">
            <w:pPr>
              <w:rPr>
                <w:sz w:val="20"/>
                <w:szCs w:val="20"/>
              </w:rPr>
            </w:pPr>
            <w:r w:rsidRPr="00AA4E25">
              <w:rPr>
                <w:sz w:val="20"/>
                <w:szCs w:val="20"/>
              </w:rPr>
              <w:t>130,000 -</w:t>
            </w:r>
            <w:r w:rsidR="006D74A3" w:rsidRPr="00AA4E25">
              <w:rPr>
                <w:sz w:val="20"/>
                <w:szCs w:val="20"/>
              </w:rPr>
              <w:t xml:space="preserve"> 134,999</w:t>
            </w:r>
          </w:p>
        </w:tc>
        <w:tc>
          <w:tcPr>
            <w:tcW w:w="973" w:type="pct"/>
            <w:tcBorders>
              <w:top w:val="single" w:sz="4" w:space="0" w:color="auto"/>
              <w:left w:val="single" w:sz="4" w:space="0" w:color="auto"/>
              <w:bottom w:val="single" w:sz="4" w:space="0" w:color="auto"/>
              <w:right w:val="single" w:sz="4" w:space="0" w:color="auto"/>
            </w:tcBorders>
            <w:vAlign w:val="bottom"/>
          </w:tcPr>
          <w:p w:rsidR="006D74A3" w:rsidRPr="00AA4E25" w:rsidRDefault="006D74A3" w:rsidP="00AB6292">
            <w:pPr>
              <w:jc w:val="right"/>
              <w:rPr>
                <w:sz w:val="20"/>
                <w:szCs w:val="20"/>
              </w:rPr>
            </w:pPr>
            <w:r w:rsidRPr="00AA4E25">
              <w:rPr>
                <w:sz w:val="20"/>
                <w:szCs w:val="20"/>
              </w:rPr>
              <w:t>-</w:t>
            </w:r>
          </w:p>
        </w:tc>
        <w:tc>
          <w:tcPr>
            <w:tcW w:w="1022" w:type="pct"/>
            <w:tcBorders>
              <w:top w:val="single" w:sz="4" w:space="0" w:color="auto"/>
              <w:left w:val="single" w:sz="4" w:space="0" w:color="auto"/>
              <w:bottom w:val="single" w:sz="4" w:space="0" w:color="auto"/>
              <w:right w:val="single" w:sz="4" w:space="0" w:color="auto"/>
            </w:tcBorders>
            <w:shd w:val="clear" w:color="00FFFF" w:fill="auto"/>
            <w:vAlign w:val="bottom"/>
          </w:tcPr>
          <w:p w:rsidR="006D74A3" w:rsidRPr="00AA4E25" w:rsidRDefault="006D74A3" w:rsidP="00AB6292">
            <w:pPr>
              <w:jc w:val="right"/>
              <w:rPr>
                <w:sz w:val="20"/>
                <w:szCs w:val="20"/>
              </w:rPr>
            </w:pPr>
            <w:r w:rsidRPr="00AA4E25">
              <w:rPr>
                <w:sz w:val="20"/>
                <w:szCs w:val="20"/>
              </w:rPr>
              <w:t>-</w:t>
            </w:r>
          </w:p>
        </w:tc>
        <w:tc>
          <w:tcPr>
            <w:tcW w:w="990" w:type="pct"/>
            <w:tcBorders>
              <w:top w:val="single" w:sz="4" w:space="0" w:color="auto"/>
              <w:left w:val="single" w:sz="4" w:space="0" w:color="auto"/>
              <w:bottom w:val="single" w:sz="4" w:space="0" w:color="auto"/>
              <w:right w:val="single" w:sz="4" w:space="0" w:color="auto"/>
            </w:tcBorders>
            <w:shd w:val="clear" w:color="00FFFF" w:fill="auto"/>
            <w:vAlign w:val="center"/>
          </w:tcPr>
          <w:p w:rsidR="006D74A3" w:rsidRPr="00AA4E25" w:rsidRDefault="00AB6292" w:rsidP="00AB6292">
            <w:pPr>
              <w:jc w:val="right"/>
              <w:rPr>
                <w:sz w:val="20"/>
                <w:szCs w:val="20"/>
              </w:rPr>
            </w:pPr>
            <w:r w:rsidRPr="00AA4E25">
              <w:rPr>
                <w:sz w:val="20"/>
                <w:szCs w:val="20"/>
              </w:rPr>
              <w:t>-</w:t>
            </w:r>
          </w:p>
        </w:tc>
      </w:tr>
      <w:tr w:rsidR="006D74A3" w:rsidRPr="00A167F2" w:rsidTr="00AB6292">
        <w:trPr>
          <w:cantSplit/>
          <w:trHeight w:val="284"/>
        </w:trPr>
        <w:tc>
          <w:tcPr>
            <w:tcW w:w="2015" w:type="pct"/>
            <w:tcBorders>
              <w:top w:val="single" w:sz="4" w:space="0" w:color="auto"/>
              <w:left w:val="single" w:sz="4" w:space="0" w:color="auto"/>
              <w:bottom w:val="single" w:sz="4" w:space="0" w:color="auto"/>
              <w:right w:val="single" w:sz="4" w:space="0" w:color="auto"/>
            </w:tcBorders>
            <w:vAlign w:val="center"/>
          </w:tcPr>
          <w:p w:rsidR="006D74A3" w:rsidRPr="00AA4E25" w:rsidRDefault="00AB6292" w:rsidP="00AB6292">
            <w:pPr>
              <w:rPr>
                <w:sz w:val="20"/>
                <w:szCs w:val="20"/>
              </w:rPr>
            </w:pPr>
            <w:r w:rsidRPr="00AA4E25">
              <w:rPr>
                <w:sz w:val="20"/>
                <w:szCs w:val="20"/>
              </w:rPr>
              <w:t>135,000 -</w:t>
            </w:r>
            <w:r w:rsidR="006D74A3" w:rsidRPr="00AA4E25">
              <w:rPr>
                <w:sz w:val="20"/>
                <w:szCs w:val="20"/>
              </w:rPr>
              <w:t xml:space="preserve"> 139,999</w:t>
            </w:r>
          </w:p>
        </w:tc>
        <w:tc>
          <w:tcPr>
            <w:tcW w:w="973" w:type="pct"/>
            <w:tcBorders>
              <w:top w:val="single" w:sz="4" w:space="0" w:color="auto"/>
              <w:left w:val="single" w:sz="4" w:space="0" w:color="auto"/>
              <w:bottom w:val="single" w:sz="4" w:space="0" w:color="auto"/>
              <w:right w:val="single" w:sz="4" w:space="0" w:color="auto"/>
            </w:tcBorders>
            <w:vAlign w:val="bottom"/>
          </w:tcPr>
          <w:p w:rsidR="006D74A3" w:rsidRPr="00AA4E25" w:rsidRDefault="006D74A3" w:rsidP="00AB6292">
            <w:pPr>
              <w:jc w:val="right"/>
              <w:rPr>
                <w:sz w:val="20"/>
                <w:szCs w:val="20"/>
              </w:rPr>
            </w:pPr>
            <w:r w:rsidRPr="00AA4E25">
              <w:rPr>
                <w:sz w:val="20"/>
                <w:szCs w:val="20"/>
              </w:rPr>
              <w:t>-</w:t>
            </w:r>
          </w:p>
        </w:tc>
        <w:tc>
          <w:tcPr>
            <w:tcW w:w="1022" w:type="pct"/>
            <w:tcBorders>
              <w:top w:val="single" w:sz="4" w:space="0" w:color="auto"/>
              <w:left w:val="single" w:sz="4" w:space="0" w:color="auto"/>
              <w:bottom w:val="single" w:sz="4" w:space="0" w:color="auto"/>
              <w:right w:val="single" w:sz="4" w:space="0" w:color="auto"/>
            </w:tcBorders>
            <w:shd w:val="clear" w:color="00FFFF" w:fill="auto"/>
            <w:vAlign w:val="bottom"/>
          </w:tcPr>
          <w:p w:rsidR="006D74A3" w:rsidRPr="00AA4E25" w:rsidRDefault="006D74A3" w:rsidP="00AB6292">
            <w:pPr>
              <w:jc w:val="right"/>
              <w:rPr>
                <w:sz w:val="20"/>
                <w:szCs w:val="20"/>
              </w:rPr>
            </w:pPr>
            <w:r w:rsidRPr="00AA4E25">
              <w:rPr>
                <w:sz w:val="20"/>
                <w:szCs w:val="20"/>
              </w:rPr>
              <w:t>-</w:t>
            </w:r>
          </w:p>
        </w:tc>
        <w:tc>
          <w:tcPr>
            <w:tcW w:w="990" w:type="pct"/>
            <w:tcBorders>
              <w:top w:val="single" w:sz="4" w:space="0" w:color="auto"/>
              <w:left w:val="single" w:sz="4" w:space="0" w:color="auto"/>
              <w:bottom w:val="single" w:sz="4" w:space="0" w:color="auto"/>
              <w:right w:val="single" w:sz="4" w:space="0" w:color="auto"/>
            </w:tcBorders>
            <w:shd w:val="clear" w:color="00FFFF" w:fill="auto"/>
            <w:vAlign w:val="center"/>
          </w:tcPr>
          <w:p w:rsidR="006D74A3" w:rsidRPr="00AA4E25" w:rsidRDefault="00AB6292" w:rsidP="00AB6292">
            <w:pPr>
              <w:jc w:val="right"/>
              <w:rPr>
                <w:sz w:val="20"/>
                <w:szCs w:val="20"/>
              </w:rPr>
            </w:pPr>
            <w:r w:rsidRPr="00AA4E25">
              <w:rPr>
                <w:sz w:val="20"/>
                <w:szCs w:val="20"/>
              </w:rPr>
              <w:t>-</w:t>
            </w:r>
          </w:p>
        </w:tc>
      </w:tr>
      <w:tr w:rsidR="006D74A3" w:rsidRPr="00A167F2" w:rsidTr="00AB6292">
        <w:trPr>
          <w:cantSplit/>
          <w:trHeight w:val="284"/>
        </w:trPr>
        <w:tc>
          <w:tcPr>
            <w:tcW w:w="2015" w:type="pct"/>
            <w:tcBorders>
              <w:top w:val="single" w:sz="4" w:space="0" w:color="auto"/>
              <w:left w:val="single" w:sz="4" w:space="0" w:color="auto"/>
              <w:bottom w:val="single" w:sz="4" w:space="0" w:color="auto"/>
              <w:right w:val="single" w:sz="4" w:space="0" w:color="auto"/>
            </w:tcBorders>
            <w:vAlign w:val="center"/>
          </w:tcPr>
          <w:p w:rsidR="006D74A3" w:rsidRPr="00AA4E25" w:rsidRDefault="00AB6292" w:rsidP="00AB6292">
            <w:pPr>
              <w:rPr>
                <w:sz w:val="20"/>
                <w:szCs w:val="20"/>
              </w:rPr>
            </w:pPr>
            <w:r w:rsidRPr="00AA4E25">
              <w:rPr>
                <w:sz w:val="20"/>
                <w:szCs w:val="20"/>
              </w:rPr>
              <w:t>140,000 -</w:t>
            </w:r>
            <w:r w:rsidR="006D74A3" w:rsidRPr="00AA4E25">
              <w:rPr>
                <w:sz w:val="20"/>
                <w:szCs w:val="20"/>
              </w:rPr>
              <w:t xml:space="preserve"> 144,999</w:t>
            </w:r>
          </w:p>
        </w:tc>
        <w:tc>
          <w:tcPr>
            <w:tcW w:w="973" w:type="pct"/>
            <w:tcBorders>
              <w:top w:val="single" w:sz="4" w:space="0" w:color="auto"/>
              <w:left w:val="single" w:sz="4" w:space="0" w:color="auto"/>
              <w:bottom w:val="single" w:sz="4" w:space="0" w:color="auto"/>
              <w:right w:val="single" w:sz="4" w:space="0" w:color="auto"/>
            </w:tcBorders>
            <w:vAlign w:val="bottom"/>
          </w:tcPr>
          <w:p w:rsidR="006D74A3" w:rsidRPr="00AA4E25" w:rsidRDefault="006D74A3" w:rsidP="00AB6292">
            <w:pPr>
              <w:jc w:val="right"/>
              <w:rPr>
                <w:sz w:val="20"/>
                <w:szCs w:val="20"/>
              </w:rPr>
            </w:pPr>
            <w:r w:rsidRPr="00AA4E25">
              <w:rPr>
                <w:sz w:val="20"/>
                <w:szCs w:val="20"/>
              </w:rPr>
              <w:t>-</w:t>
            </w:r>
          </w:p>
        </w:tc>
        <w:tc>
          <w:tcPr>
            <w:tcW w:w="1022" w:type="pct"/>
            <w:tcBorders>
              <w:top w:val="single" w:sz="4" w:space="0" w:color="auto"/>
              <w:left w:val="single" w:sz="4" w:space="0" w:color="auto"/>
              <w:bottom w:val="single" w:sz="4" w:space="0" w:color="auto"/>
              <w:right w:val="single" w:sz="4" w:space="0" w:color="auto"/>
            </w:tcBorders>
            <w:shd w:val="clear" w:color="00FFFF" w:fill="auto"/>
            <w:vAlign w:val="bottom"/>
          </w:tcPr>
          <w:p w:rsidR="006D74A3" w:rsidRPr="00AA4E25" w:rsidRDefault="006D74A3" w:rsidP="00AB6292">
            <w:pPr>
              <w:jc w:val="right"/>
              <w:rPr>
                <w:sz w:val="20"/>
                <w:szCs w:val="20"/>
              </w:rPr>
            </w:pPr>
            <w:r w:rsidRPr="00AA4E25">
              <w:rPr>
                <w:sz w:val="20"/>
                <w:szCs w:val="20"/>
              </w:rPr>
              <w:t>-</w:t>
            </w:r>
          </w:p>
        </w:tc>
        <w:tc>
          <w:tcPr>
            <w:tcW w:w="990" w:type="pct"/>
            <w:tcBorders>
              <w:top w:val="single" w:sz="4" w:space="0" w:color="auto"/>
              <w:left w:val="single" w:sz="4" w:space="0" w:color="auto"/>
              <w:bottom w:val="single" w:sz="4" w:space="0" w:color="auto"/>
              <w:right w:val="single" w:sz="4" w:space="0" w:color="auto"/>
            </w:tcBorders>
            <w:shd w:val="clear" w:color="00FFFF" w:fill="auto"/>
            <w:vAlign w:val="center"/>
          </w:tcPr>
          <w:p w:rsidR="006D74A3" w:rsidRPr="00AA4E25" w:rsidRDefault="00AB6292" w:rsidP="00AB6292">
            <w:pPr>
              <w:jc w:val="right"/>
              <w:rPr>
                <w:sz w:val="20"/>
                <w:szCs w:val="20"/>
              </w:rPr>
            </w:pPr>
            <w:r w:rsidRPr="00AA4E25">
              <w:rPr>
                <w:sz w:val="20"/>
                <w:szCs w:val="20"/>
              </w:rPr>
              <w:t>-</w:t>
            </w:r>
          </w:p>
        </w:tc>
      </w:tr>
      <w:tr w:rsidR="006D74A3" w:rsidRPr="00A167F2" w:rsidTr="00AB6292">
        <w:trPr>
          <w:cantSplit/>
          <w:trHeight w:val="284"/>
        </w:trPr>
        <w:tc>
          <w:tcPr>
            <w:tcW w:w="2015" w:type="pct"/>
            <w:tcBorders>
              <w:top w:val="single" w:sz="4" w:space="0" w:color="auto"/>
              <w:left w:val="single" w:sz="4" w:space="0" w:color="auto"/>
              <w:bottom w:val="single" w:sz="4" w:space="0" w:color="auto"/>
              <w:right w:val="single" w:sz="4" w:space="0" w:color="auto"/>
            </w:tcBorders>
            <w:vAlign w:val="center"/>
          </w:tcPr>
          <w:p w:rsidR="006D74A3" w:rsidRPr="00AA4E25" w:rsidRDefault="00AB6292" w:rsidP="00AB6292">
            <w:pPr>
              <w:rPr>
                <w:sz w:val="20"/>
                <w:szCs w:val="20"/>
              </w:rPr>
            </w:pPr>
            <w:r w:rsidRPr="00AA4E25">
              <w:rPr>
                <w:sz w:val="20"/>
                <w:szCs w:val="20"/>
              </w:rPr>
              <w:t>145,000 -</w:t>
            </w:r>
            <w:r w:rsidR="006D74A3" w:rsidRPr="00AA4E25">
              <w:rPr>
                <w:sz w:val="20"/>
                <w:szCs w:val="20"/>
              </w:rPr>
              <w:t xml:space="preserve"> 149,999</w:t>
            </w:r>
          </w:p>
        </w:tc>
        <w:tc>
          <w:tcPr>
            <w:tcW w:w="973" w:type="pct"/>
            <w:tcBorders>
              <w:top w:val="single" w:sz="4" w:space="0" w:color="auto"/>
              <w:left w:val="single" w:sz="4" w:space="0" w:color="auto"/>
              <w:bottom w:val="single" w:sz="4" w:space="0" w:color="auto"/>
              <w:right w:val="single" w:sz="4" w:space="0" w:color="auto"/>
            </w:tcBorders>
            <w:vAlign w:val="bottom"/>
          </w:tcPr>
          <w:p w:rsidR="006D74A3" w:rsidRPr="00AA4E25" w:rsidRDefault="006D74A3" w:rsidP="00AB6292">
            <w:pPr>
              <w:jc w:val="right"/>
              <w:rPr>
                <w:sz w:val="20"/>
                <w:szCs w:val="20"/>
              </w:rPr>
            </w:pPr>
            <w:r w:rsidRPr="00AA4E25">
              <w:rPr>
                <w:sz w:val="20"/>
                <w:szCs w:val="20"/>
              </w:rPr>
              <w:t>1</w:t>
            </w:r>
          </w:p>
        </w:tc>
        <w:tc>
          <w:tcPr>
            <w:tcW w:w="1022" w:type="pct"/>
            <w:tcBorders>
              <w:top w:val="single" w:sz="4" w:space="0" w:color="auto"/>
              <w:left w:val="single" w:sz="4" w:space="0" w:color="auto"/>
              <w:bottom w:val="single" w:sz="4" w:space="0" w:color="auto"/>
              <w:right w:val="single" w:sz="4" w:space="0" w:color="auto"/>
            </w:tcBorders>
            <w:shd w:val="clear" w:color="00FFFF" w:fill="auto"/>
            <w:vAlign w:val="bottom"/>
          </w:tcPr>
          <w:p w:rsidR="006D74A3" w:rsidRPr="00AA4E25" w:rsidRDefault="006D74A3" w:rsidP="00AB6292">
            <w:pPr>
              <w:jc w:val="right"/>
              <w:rPr>
                <w:sz w:val="20"/>
                <w:szCs w:val="20"/>
              </w:rPr>
            </w:pPr>
            <w:r w:rsidRPr="00AA4E25">
              <w:rPr>
                <w:sz w:val="20"/>
                <w:szCs w:val="20"/>
              </w:rPr>
              <w:t>-</w:t>
            </w:r>
          </w:p>
        </w:tc>
        <w:tc>
          <w:tcPr>
            <w:tcW w:w="990" w:type="pct"/>
            <w:tcBorders>
              <w:top w:val="single" w:sz="4" w:space="0" w:color="auto"/>
              <w:left w:val="single" w:sz="4" w:space="0" w:color="auto"/>
              <w:bottom w:val="single" w:sz="4" w:space="0" w:color="auto"/>
              <w:right w:val="single" w:sz="4" w:space="0" w:color="auto"/>
            </w:tcBorders>
            <w:shd w:val="clear" w:color="00FFFF" w:fill="auto"/>
            <w:vAlign w:val="center"/>
          </w:tcPr>
          <w:p w:rsidR="006D74A3" w:rsidRPr="00AA4E25" w:rsidRDefault="00AB6292" w:rsidP="00AB6292">
            <w:pPr>
              <w:jc w:val="right"/>
              <w:rPr>
                <w:sz w:val="20"/>
                <w:szCs w:val="20"/>
              </w:rPr>
            </w:pPr>
            <w:r w:rsidRPr="00AA4E25">
              <w:rPr>
                <w:sz w:val="20"/>
                <w:szCs w:val="20"/>
              </w:rPr>
              <w:t>-</w:t>
            </w:r>
          </w:p>
        </w:tc>
      </w:tr>
      <w:tr w:rsidR="006D74A3" w:rsidRPr="00A167F2" w:rsidTr="00AB6292">
        <w:trPr>
          <w:cantSplit/>
          <w:trHeight w:val="284"/>
        </w:trPr>
        <w:tc>
          <w:tcPr>
            <w:tcW w:w="2015" w:type="pct"/>
            <w:tcBorders>
              <w:top w:val="single" w:sz="4" w:space="0" w:color="auto"/>
              <w:left w:val="single" w:sz="4" w:space="0" w:color="auto"/>
              <w:bottom w:val="single" w:sz="4" w:space="0" w:color="auto"/>
              <w:right w:val="single" w:sz="4" w:space="0" w:color="auto"/>
            </w:tcBorders>
            <w:vAlign w:val="center"/>
          </w:tcPr>
          <w:p w:rsidR="006D74A3" w:rsidRPr="00AA4E25" w:rsidRDefault="00AB6292" w:rsidP="00AB6292">
            <w:pPr>
              <w:rPr>
                <w:sz w:val="20"/>
                <w:szCs w:val="20"/>
              </w:rPr>
            </w:pPr>
            <w:r w:rsidRPr="00AA4E25">
              <w:rPr>
                <w:sz w:val="20"/>
                <w:szCs w:val="20"/>
              </w:rPr>
              <w:t>150,000 -</w:t>
            </w:r>
            <w:r w:rsidR="006D74A3" w:rsidRPr="00AA4E25">
              <w:rPr>
                <w:sz w:val="20"/>
                <w:szCs w:val="20"/>
              </w:rPr>
              <w:t xml:space="preserve"> 154,999</w:t>
            </w:r>
          </w:p>
        </w:tc>
        <w:tc>
          <w:tcPr>
            <w:tcW w:w="973" w:type="pct"/>
            <w:tcBorders>
              <w:top w:val="single" w:sz="4" w:space="0" w:color="auto"/>
              <w:left w:val="single" w:sz="4" w:space="0" w:color="auto"/>
              <w:bottom w:val="single" w:sz="4" w:space="0" w:color="auto"/>
              <w:right w:val="single" w:sz="4" w:space="0" w:color="auto"/>
            </w:tcBorders>
            <w:vAlign w:val="bottom"/>
          </w:tcPr>
          <w:p w:rsidR="006D74A3" w:rsidRPr="00AA4E25" w:rsidRDefault="006D74A3" w:rsidP="00AB6292">
            <w:pPr>
              <w:jc w:val="right"/>
              <w:rPr>
                <w:sz w:val="20"/>
                <w:szCs w:val="20"/>
              </w:rPr>
            </w:pPr>
            <w:r w:rsidRPr="00AA4E25">
              <w:rPr>
                <w:sz w:val="20"/>
                <w:szCs w:val="20"/>
              </w:rPr>
              <w:t>-</w:t>
            </w:r>
          </w:p>
        </w:tc>
        <w:tc>
          <w:tcPr>
            <w:tcW w:w="1022" w:type="pct"/>
            <w:tcBorders>
              <w:top w:val="single" w:sz="4" w:space="0" w:color="auto"/>
              <w:left w:val="single" w:sz="4" w:space="0" w:color="auto"/>
              <w:bottom w:val="single" w:sz="4" w:space="0" w:color="auto"/>
              <w:right w:val="single" w:sz="4" w:space="0" w:color="auto"/>
            </w:tcBorders>
            <w:shd w:val="clear" w:color="00FFFF" w:fill="auto"/>
            <w:vAlign w:val="bottom"/>
          </w:tcPr>
          <w:p w:rsidR="006D74A3" w:rsidRPr="00AA4E25" w:rsidRDefault="006D74A3" w:rsidP="00AB6292">
            <w:pPr>
              <w:jc w:val="right"/>
              <w:rPr>
                <w:sz w:val="20"/>
                <w:szCs w:val="20"/>
              </w:rPr>
            </w:pPr>
            <w:r w:rsidRPr="00AA4E25">
              <w:rPr>
                <w:sz w:val="20"/>
                <w:szCs w:val="20"/>
              </w:rPr>
              <w:t>-</w:t>
            </w:r>
          </w:p>
        </w:tc>
        <w:tc>
          <w:tcPr>
            <w:tcW w:w="990" w:type="pct"/>
            <w:tcBorders>
              <w:top w:val="single" w:sz="4" w:space="0" w:color="auto"/>
              <w:left w:val="single" w:sz="4" w:space="0" w:color="auto"/>
              <w:bottom w:val="single" w:sz="4" w:space="0" w:color="auto"/>
              <w:right w:val="single" w:sz="4" w:space="0" w:color="auto"/>
            </w:tcBorders>
            <w:shd w:val="clear" w:color="00FFFF" w:fill="auto"/>
            <w:vAlign w:val="center"/>
          </w:tcPr>
          <w:p w:rsidR="006D74A3" w:rsidRPr="00AA4E25" w:rsidRDefault="00AB6292" w:rsidP="00AB6292">
            <w:pPr>
              <w:jc w:val="right"/>
              <w:rPr>
                <w:sz w:val="20"/>
                <w:szCs w:val="20"/>
              </w:rPr>
            </w:pPr>
            <w:r w:rsidRPr="00AA4E25">
              <w:rPr>
                <w:sz w:val="20"/>
                <w:szCs w:val="20"/>
              </w:rPr>
              <w:t>-</w:t>
            </w:r>
          </w:p>
        </w:tc>
      </w:tr>
      <w:tr w:rsidR="006D74A3" w:rsidRPr="00A167F2" w:rsidTr="00AB6292">
        <w:trPr>
          <w:cantSplit/>
          <w:trHeight w:val="284"/>
        </w:trPr>
        <w:tc>
          <w:tcPr>
            <w:tcW w:w="2015" w:type="pct"/>
            <w:tcBorders>
              <w:top w:val="single" w:sz="4" w:space="0" w:color="auto"/>
              <w:left w:val="single" w:sz="4" w:space="0" w:color="auto"/>
              <w:bottom w:val="single" w:sz="4" w:space="0" w:color="auto"/>
              <w:right w:val="single" w:sz="4" w:space="0" w:color="auto"/>
            </w:tcBorders>
            <w:vAlign w:val="center"/>
          </w:tcPr>
          <w:p w:rsidR="006D74A3" w:rsidRPr="00AA4E25" w:rsidRDefault="006D74A3" w:rsidP="00AB6292">
            <w:pPr>
              <w:rPr>
                <w:sz w:val="20"/>
                <w:szCs w:val="20"/>
              </w:rPr>
            </w:pPr>
            <w:r w:rsidRPr="00AA4E25">
              <w:rPr>
                <w:sz w:val="20"/>
                <w:szCs w:val="20"/>
              </w:rPr>
              <w:t>155,000 - 159,999</w:t>
            </w:r>
          </w:p>
        </w:tc>
        <w:tc>
          <w:tcPr>
            <w:tcW w:w="973" w:type="pct"/>
            <w:tcBorders>
              <w:top w:val="single" w:sz="4" w:space="0" w:color="auto"/>
              <w:left w:val="single" w:sz="4" w:space="0" w:color="auto"/>
              <w:bottom w:val="single" w:sz="4" w:space="0" w:color="auto"/>
              <w:right w:val="single" w:sz="4" w:space="0" w:color="auto"/>
            </w:tcBorders>
            <w:vAlign w:val="bottom"/>
          </w:tcPr>
          <w:p w:rsidR="006D74A3" w:rsidRPr="00AA4E25" w:rsidRDefault="006D74A3" w:rsidP="00AB6292">
            <w:pPr>
              <w:jc w:val="right"/>
              <w:rPr>
                <w:sz w:val="20"/>
                <w:szCs w:val="20"/>
              </w:rPr>
            </w:pPr>
            <w:r w:rsidRPr="00AA4E25">
              <w:rPr>
                <w:sz w:val="20"/>
                <w:szCs w:val="20"/>
              </w:rPr>
              <w:t>-</w:t>
            </w:r>
          </w:p>
        </w:tc>
        <w:tc>
          <w:tcPr>
            <w:tcW w:w="1022" w:type="pct"/>
            <w:tcBorders>
              <w:top w:val="single" w:sz="4" w:space="0" w:color="auto"/>
              <w:left w:val="single" w:sz="4" w:space="0" w:color="auto"/>
              <w:bottom w:val="single" w:sz="4" w:space="0" w:color="auto"/>
              <w:right w:val="single" w:sz="4" w:space="0" w:color="auto"/>
            </w:tcBorders>
            <w:shd w:val="clear" w:color="00FFFF" w:fill="auto"/>
            <w:vAlign w:val="bottom"/>
          </w:tcPr>
          <w:p w:rsidR="006D74A3" w:rsidRPr="00AA4E25" w:rsidRDefault="006D74A3" w:rsidP="00AB6292">
            <w:pPr>
              <w:jc w:val="right"/>
              <w:rPr>
                <w:sz w:val="20"/>
                <w:szCs w:val="20"/>
              </w:rPr>
            </w:pPr>
            <w:r w:rsidRPr="00AA4E25">
              <w:rPr>
                <w:sz w:val="20"/>
                <w:szCs w:val="20"/>
              </w:rPr>
              <w:t>-</w:t>
            </w:r>
          </w:p>
        </w:tc>
        <w:tc>
          <w:tcPr>
            <w:tcW w:w="990" w:type="pct"/>
            <w:tcBorders>
              <w:top w:val="single" w:sz="4" w:space="0" w:color="auto"/>
              <w:left w:val="single" w:sz="4" w:space="0" w:color="auto"/>
              <w:bottom w:val="single" w:sz="4" w:space="0" w:color="auto"/>
              <w:right w:val="single" w:sz="4" w:space="0" w:color="auto"/>
            </w:tcBorders>
            <w:shd w:val="clear" w:color="00FFFF" w:fill="auto"/>
            <w:vAlign w:val="bottom"/>
          </w:tcPr>
          <w:p w:rsidR="006D74A3" w:rsidRPr="00AA4E25" w:rsidRDefault="006D74A3" w:rsidP="00AB6292">
            <w:pPr>
              <w:jc w:val="right"/>
              <w:rPr>
                <w:sz w:val="20"/>
                <w:szCs w:val="20"/>
              </w:rPr>
            </w:pPr>
            <w:r w:rsidRPr="00AA4E25">
              <w:rPr>
                <w:sz w:val="20"/>
                <w:szCs w:val="20"/>
              </w:rPr>
              <w:t>-</w:t>
            </w:r>
          </w:p>
        </w:tc>
      </w:tr>
      <w:tr w:rsidR="006D74A3" w:rsidRPr="00A167F2" w:rsidTr="00AB6292">
        <w:trPr>
          <w:cantSplit/>
          <w:trHeight w:val="284"/>
        </w:trPr>
        <w:tc>
          <w:tcPr>
            <w:tcW w:w="2015" w:type="pct"/>
            <w:tcBorders>
              <w:top w:val="single" w:sz="4" w:space="0" w:color="auto"/>
              <w:left w:val="single" w:sz="4" w:space="0" w:color="auto"/>
              <w:bottom w:val="single" w:sz="4" w:space="0" w:color="auto"/>
              <w:right w:val="single" w:sz="4" w:space="0" w:color="auto"/>
            </w:tcBorders>
            <w:vAlign w:val="center"/>
          </w:tcPr>
          <w:p w:rsidR="006D74A3" w:rsidRPr="00AA4E25" w:rsidRDefault="006D74A3" w:rsidP="00AB6292">
            <w:pPr>
              <w:ind w:right="1512"/>
              <w:rPr>
                <w:b/>
                <w:sz w:val="20"/>
                <w:szCs w:val="20"/>
              </w:rPr>
            </w:pPr>
            <w:r w:rsidRPr="00AA4E25">
              <w:rPr>
                <w:b/>
                <w:sz w:val="20"/>
                <w:szCs w:val="20"/>
              </w:rPr>
              <w:t>TOTALS</w:t>
            </w:r>
          </w:p>
        </w:tc>
        <w:tc>
          <w:tcPr>
            <w:tcW w:w="973" w:type="pct"/>
            <w:tcBorders>
              <w:top w:val="single" w:sz="4" w:space="0" w:color="auto"/>
              <w:left w:val="single" w:sz="4" w:space="0" w:color="auto"/>
              <w:bottom w:val="single" w:sz="4" w:space="0" w:color="auto"/>
              <w:right w:val="single" w:sz="4" w:space="0" w:color="auto"/>
            </w:tcBorders>
            <w:vAlign w:val="center"/>
          </w:tcPr>
          <w:p w:rsidR="006D74A3" w:rsidRPr="00AA4E25" w:rsidRDefault="004415E1" w:rsidP="00AB6292">
            <w:pPr>
              <w:jc w:val="right"/>
              <w:rPr>
                <w:b/>
                <w:bCs/>
                <w:sz w:val="20"/>
                <w:szCs w:val="20"/>
              </w:rPr>
            </w:pPr>
            <w:r w:rsidRPr="00AA4E25">
              <w:rPr>
                <w:b/>
                <w:bCs/>
                <w:sz w:val="20"/>
                <w:szCs w:val="20"/>
              </w:rPr>
              <w:t>230</w:t>
            </w:r>
          </w:p>
        </w:tc>
        <w:tc>
          <w:tcPr>
            <w:tcW w:w="1022" w:type="pct"/>
            <w:tcBorders>
              <w:top w:val="single" w:sz="4" w:space="0" w:color="auto"/>
              <w:left w:val="single" w:sz="4" w:space="0" w:color="auto"/>
              <w:bottom w:val="single" w:sz="4" w:space="0" w:color="auto"/>
              <w:right w:val="single" w:sz="4" w:space="0" w:color="auto"/>
            </w:tcBorders>
            <w:shd w:val="clear" w:color="00FFFF" w:fill="auto"/>
            <w:vAlign w:val="center"/>
          </w:tcPr>
          <w:p w:rsidR="006D74A3" w:rsidRPr="00AA4E25" w:rsidRDefault="004415E1" w:rsidP="00AB6292">
            <w:pPr>
              <w:jc w:val="right"/>
              <w:rPr>
                <w:b/>
                <w:bCs/>
                <w:sz w:val="20"/>
                <w:szCs w:val="20"/>
              </w:rPr>
            </w:pPr>
            <w:r w:rsidRPr="00AA4E25">
              <w:rPr>
                <w:b/>
                <w:bCs/>
                <w:sz w:val="20"/>
                <w:szCs w:val="20"/>
              </w:rPr>
              <w:t>21</w:t>
            </w:r>
          </w:p>
        </w:tc>
        <w:tc>
          <w:tcPr>
            <w:tcW w:w="990" w:type="pct"/>
            <w:tcBorders>
              <w:top w:val="single" w:sz="4" w:space="0" w:color="auto"/>
              <w:left w:val="single" w:sz="4" w:space="0" w:color="auto"/>
              <w:bottom w:val="single" w:sz="4" w:space="0" w:color="auto"/>
              <w:right w:val="single" w:sz="4" w:space="0" w:color="auto"/>
            </w:tcBorders>
            <w:shd w:val="clear" w:color="00FFFF" w:fill="auto"/>
            <w:vAlign w:val="center"/>
          </w:tcPr>
          <w:p w:rsidR="006D74A3" w:rsidRPr="00AA4E25" w:rsidRDefault="004415E1" w:rsidP="00AB6292">
            <w:pPr>
              <w:jc w:val="right"/>
              <w:rPr>
                <w:b/>
                <w:bCs/>
                <w:sz w:val="20"/>
                <w:szCs w:val="20"/>
              </w:rPr>
            </w:pPr>
            <w:r w:rsidRPr="00AA4E25">
              <w:rPr>
                <w:b/>
                <w:bCs/>
                <w:sz w:val="20"/>
                <w:szCs w:val="20"/>
              </w:rPr>
              <w:t>724</w:t>
            </w:r>
          </w:p>
        </w:tc>
      </w:tr>
    </w:tbl>
    <w:p w:rsidR="00BC1301" w:rsidRPr="00A167F2" w:rsidRDefault="00BC1301" w:rsidP="005C69DF">
      <w:pPr>
        <w:ind w:left="720"/>
        <w:jc w:val="both"/>
      </w:pPr>
    </w:p>
    <w:p w:rsidR="000E3952" w:rsidRDefault="000E3952" w:rsidP="005C69DF">
      <w:pPr>
        <w:ind w:left="720"/>
        <w:jc w:val="both"/>
        <w:rPr>
          <w:highlight w:val="yellow"/>
        </w:rPr>
      </w:pPr>
    </w:p>
    <w:p w:rsidR="000E3952" w:rsidRPr="00286C0E" w:rsidRDefault="000E3952" w:rsidP="005C69DF">
      <w:pPr>
        <w:ind w:left="720"/>
        <w:jc w:val="both"/>
        <w:rPr>
          <w:highlight w:val="yellow"/>
        </w:rPr>
      </w:pPr>
    </w:p>
    <w:p w:rsidR="0061112B" w:rsidRPr="00286C0E" w:rsidRDefault="0061112B" w:rsidP="00416ED6">
      <w:pPr>
        <w:rPr>
          <w:sz w:val="22"/>
          <w:szCs w:val="22"/>
          <w:highlight w:val="yellow"/>
        </w:rPr>
      </w:pPr>
    </w:p>
    <w:p w:rsidR="000E3952" w:rsidRDefault="000E3952" w:rsidP="00BC6A99">
      <w:pPr>
        <w:jc w:val="both"/>
        <w:rPr>
          <w:sz w:val="22"/>
          <w:szCs w:val="22"/>
          <w:highlight w:val="yellow"/>
        </w:rPr>
      </w:pPr>
    </w:p>
    <w:p w:rsidR="000E3952" w:rsidRDefault="000E3952" w:rsidP="00BC6A99">
      <w:pPr>
        <w:jc w:val="both"/>
        <w:rPr>
          <w:sz w:val="22"/>
          <w:szCs w:val="22"/>
          <w:highlight w:val="yellow"/>
        </w:rPr>
      </w:pPr>
    </w:p>
    <w:p w:rsidR="000E3952" w:rsidRDefault="000E3952" w:rsidP="00BC6A99">
      <w:pPr>
        <w:jc w:val="both"/>
        <w:rPr>
          <w:sz w:val="22"/>
          <w:szCs w:val="22"/>
          <w:highlight w:val="yellow"/>
        </w:rPr>
      </w:pPr>
    </w:p>
    <w:p w:rsidR="000E3952" w:rsidRDefault="000E3952" w:rsidP="00BC6A99">
      <w:pPr>
        <w:jc w:val="both"/>
        <w:rPr>
          <w:sz w:val="22"/>
          <w:szCs w:val="22"/>
          <w:highlight w:val="yellow"/>
        </w:rPr>
      </w:pPr>
    </w:p>
    <w:p w:rsidR="000E3952" w:rsidRDefault="000E3952" w:rsidP="00BC6A99">
      <w:pPr>
        <w:jc w:val="both"/>
        <w:rPr>
          <w:sz w:val="22"/>
          <w:szCs w:val="22"/>
          <w:highlight w:val="yellow"/>
        </w:rPr>
      </w:pPr>
    </w:p>
    <w:p w:rsidR="000E3952" w:rsidRDefault="000E3952" w:rsidP="00BC6A99">
      <w:pPr>
        <w:jc w:val="both"/>
        <w:rPr>
          <w:sz w:val="22"/>
          <w:szCs w:val="22"/>
          <w:highlight w:val="yellow"/>
        </w:rPr>
      </w:pPr>
    </w:p>
    <w:p w:rsidR="000E3952" w:rsidRDefault="000E3952" w:rsidP="00BC6A99">
      <w:pPr>
        <w:jc w:val="both"/>
        <w:rPr>
          <w:sz w:val="22"/>
          <w:szCs w:val="22"/>
          <w:highlight w:val="yellow"/>
        </w:rPr>
      </w:pPr>
    </w:p>
    <w:p w:rsidR="000E3952" w:rsidRDefault="000E3952" w:rsidP="00BC6A99">
      <w:pPr>
        <w:jc w:val="both"/>
        <w:rPr>
          <w:sz w:val="22"/>
          <w:szCs w:val="22"/>
          <w:highlight w:val="yellow"/>
        </w:rPr>
      </w:pPr>
    </w:p>
    <w:p w:rsidR="000E3952" w:rsidRDefault="000E3952" w:rsidP="00BC6A99">
      <w:pPr>
        <w:jc w:val="both"/>
        <w:rPr>
          <w:sz w:val="22"/>
          <w:szCs w:val="22"/>
          <w:highlight w:val="yellow"/>
        </w:rPr>
      </w:pPr>
    </w:p>
    <w:p w:rsidR="000E3952" w:rsidRDefault="000E3952" w:rsidP="00BC6A99">
      <w:pPr>
        <w:jc w:val="both"/>
        <w:rPr>
          <w:sz w:val="22"/>
          <w:szCs w:val="22"/>
          <w:highlight w:val="yellow"/>
        </w:rPr>
      </w:pPr>
    </w:p>
    <w:p w:rsidR="000E3952" w:rsidRDefault="000E3952" w:rsidP="00BC6A99">
      <w:pPr>
        <w:jc w:val="both"/>
        <w:rPr>
          <w:sz w:val="22"/>
          <w:szCs w:val="22"/>
          <w:highlight w:val="yellow"/>
        </w:rPr>
      </w:pPr>
    </w:p>
    <w:p w:rsidR="000E3952" w:rsidRDefault="000E3952" w:rsidP="00BC6A99">
      <w:pPr>
        <w:jc w:val="both"/>
        <w:rPr>
          <w:sz w:val="22"/>
          <w:szCs w:val="22"/>
          <w:highlight w:val="yellow"/>
        </w:rPr>
      </w:pPr>
    </w:p>
    <w:p w:rsidR="000E3952" w:rsidRDefault="000E3952" w:rsidP="00BC6A99">
      <w:pPr>
        <w:jc w:val="both"/>
        <w:rPr>
          <w:sz w:val="22"/>
          <w:szCs w:val="22"/>
          <w:highlight w:val="yellow"/>
        </w:rPr>
      </w:pPr>
    </w:p>
    <w:p w:rsidR="000E3952" w:rsidRDefault="000E3952" w:rsidP="00BC6A99">
      <w:pPr>
        <w:jc w:val="both"/>
        <w:rPr>
          <w:sz w:val="22"/>
          <w:szCs w:val="22"/>
          <w:highlight w:val="yellow"/>
        </w:rPr>
      </w:pPr>
    </w:p>
    <w:p w:rsidR="000E3952" w:rsidRDefault="000E3952" w:rsidP="00BC6A99">
      <w:pPr>
        <w:jc w:val="both"/>
        <w:rPr>
          <w:sz w:val="22"/>
          <w:szCs w:val="22"/>
          <w:highlight w:val="yellow"/>
        </w:rPr>
      </w:pPr>
    </w:p>
    <w:p w:rsidR="000E3952" w:rsidRDefault="000E3952" w:rsidP="00BC6A99">
      <w:pPr>
        <w:jc w:val="both"/>
        <w:rPr>
          <w:sz w:val="22"/>
          <w:szCs w:val="22"/>
          <w:highlight w:val="yellow"/>
        </w:rPr>
      </w:pPr>
    </w:p>
    <w:p w:rsidR="000E3952" w:rsidRDefault="000E3952" w:rsidP="00BC6A99">
      <w:pPr>
        <w:jc w:val="both"/>
        <w:rPr>
          <w:sz w:val="22"/>
          <w:szCs w:val="22"/>
          <w:highlight w:val="yellow"/>
        </w:rPr>
      </w:pPr>
    </w:p>
    <w:p w:rsidR="000E3952" w:rsidRDefault="000E3952" w:rsidP="00BC6A99">
      <w:pPr>
        <w:jc w:val="both"/>
        <w:rPr>
          <w:sz w:val="22"/>
          <w:szCs w:val="22"/>
          <w:highlight w:val="yellow"/>
        </w:rPr>
      </w:pPr>
    </w:p>
    <w:p w:rsidR="000E3952" w:rsidRDefault="000E3952" w:rsidP="00BC6A99">
      <w:pPr>
        <w:jc w:val="both"/>
        <w:rPr>
          <w:sz w:val="22"/>
          <w:szCs w:val="22"/>
          <w:highlight w:val="yellow"/>
        </w:rPr>
      </w:pPr>
    </w:p>
    <w:p w:rsidR="000E3952" w:rsidRDefault="000E3952" w:rsidP="00BC6A99">
      <w:pPr>
        <w:jc w:val="both"/>
        <w:rPr>
          <w:sz w:val="22"/>
          <w:szCs w:val="22"/>
          <w:highlight w:val="yellow"/>
        </w:rPr>
      </w:pPr>
    </w:p>
    <w:p w:rsidR="000E3952" w:rsidRDefault="000E3952" w:rsidP="00BC6A99">
      <w:pPr>
        <w:jc w:val="both"/>
        <w:rPr>
          <w:sz w:val="22"/>
          <w:szCs w:val="22"/>
          <w:highlight w:val="yellow"/>
        </w:rPr>
      </w:pPr>
    </w:p>
    <w:p w:rsidR="000E3952" w:rsidRDefault="000E3952" w:rsidP="00BC6A99">
      <w:pPr>
        <w:jc w:val="both"/>
        <w:rPr>
          <w:sz w:val="22"/>
          <w:szCs w:val="22"/>
          <w:highlight w:val="yellow"/>
        </w:rPr>
      </w:pPr>
    </w:p>
    <w:p w:rsidR="000E3952" w:rsidRDefault="000E3952" w:rsidP="00BC6A99">
      <w:pPr>
        <w:jc w:val="both"/>
        <w:rPr>
          <w:sz w:val="22"/>
          <w:szCs w:val="22"/>
          <w:highlight w:val="yellow"/>
        </w:rPr>
      </w:pPr>
    </w:p>
    <w:p w:rsidR="000E3952" w:rsidRDefault="000E3952" w:rsidP="00BC6A99">
      <w:pPr>
        <w:jc w:val="both"/>
        <w:rPr>
          <w:sz w:val="22"/>
          <w:szCs w:val="22"/>
          <w:highlight w:val="yellow"/>
        </w:rPr>
      </w:pPr>
    </w:p>
    <w:p w:rsidR="000E3952" w:rsidRDefault="000E3952" w:rsidP="00BC6A99">
      <w:pPr>
        <w:jc w:val="both"/>
        <w:rPr>
          <w:sz w:val="22"/>
          <w:szCs w:val="22"/>
          <w:highlight w:val="yellow"/>
        </w:rPr>
      </w:pPr>
    </w:p>
    <w:p w:rsidR="000E3952" w:rsidRDefault="000E3952" w:rsidP="00BC6A99">
      <w:pPr>
        <w:jc w:val="both"/>
        <w:rPr>
          <w:sz w:val="22"/>
          <w:szCs w:val="22"/>
          <w:highlight w:val="yellow"/>
        </w:rPr>
      </w:pPr>
    </w:p>
    <w:p w:rsidR="00E66706" w:rsidRDefault="00E66706">
      <w:pPr>
        <w:rPr>
          <w:sz w:val="8"/>
          <w:szCs w:val="8"/>
        </w:rPr>
      </w:pPr>
      <w:r>
        <w:rPr>
          <w:sz w:val="8"/>
          <w:szCs w:val="8"/>
        </w:rPr>
        <w:br w:type="page"/>
      </w:r>
    </w:p>
    <w:p w:rsidR="00DD4406" w:rsidRPr="00E66706" w:rsidRDefault="00DD4406" w:rsidP="00BC6A99">
      <w:pPr>
        <w:jc w:val="both"/>
        <w:rPr>
          <w:sz w:val="8"/>
          <w:szCs w:val="8"/>
        </w:rPr>
      </w:pPr>
    </w:p>
    <w:p w:rsidR="000E3952" w:rsidRPr="00AA4E25" w:rsidRDefault="00AA4E25" w:rsidP="00BC6A99">
      <w:pPr>
        <w:jc w:val="both"/>
        <w:rPr>
          <w:sz w:val="22"/>
          <w:szCs w:val="22"/>
        </w:rPr>
      </w:pPr>
      <w:r w:rsidRPr="00AA4E25">
        <w:rPr>
          <w:sz w:val="22"/>
          <w:szCs w:val="22"/>
        </w:rPr>
        <w:t>The number of staff in receipt of a redundancy payment in the table above is broken down as follows:</w:t>
      </w:r>
    </w:p>
    <w:p w:rsidR="00AA4E25" w:rsidRPr="00E66706" w:rsidRDefault="00AA4E25" w:rsidP="00BC6A99">
      <w:pPr>
        <w:jc w:val="both"/>
        <w:rPr>
          <w:sz w:val="8"/>
          <w:szCs w:val="8"/>
          <w:highlight w:val="yellow"/>
        </w:rPr>
      </w:pPr>
    </w:p>
    <w:tbl>
      <w:tblPr>
        <w:tblW w:w="7513" w:type="dxa"/>
        <w:tblInd w:w="817" w:type="dxa"/>
        <w:tblLook w:val="04A0"/>
      </w:tblPr>
      <w:tblGrid>
        <w:gridCol w:w="2977"/>
        <w:gridCol w:w="1417"/>
        <w:gridCol w:w="1418"/>
        <w:gridCol w:w="1701"/>
      </w:tblGrid>
      <w:tr w:rsidR="00571E2A" w:rsidRPr="00725D01" w:rsidTr="0025306E">
        <w:trPr>
          <w:trHeight w:val="80"/>
        </w:trPr>
        <w:tc>
          <w:tcPr>
            <w:tcW w:w="2977" w:type="dxa"/>
            <w:tcBorders>
              <w:top w:val="nil"/>
              <w:left w:val="nil"/>
              <w:bottom w:val="nil"/>
              <w:right w:val="nil"/>
            </w:tcBorders>
            <w:shd w:val="clear" w:color="auto" w:fill="auto"/>
            <w:noWrap/>
            <w:vAlign w:val="center"/>
            <w:hideMark/>
          </w:tcPr>
          <w:p w:rsidR="00571E2A" w:rsidRPr="00AA4E25" w:rsidRDefault="00571E2A" w:rsidP="00571E2A">
            <w:pPr>
              <w:tabs>
                <w:tab w:val="left" w:pos="1956"/>
              </w:tabs>
              <w:rPr>
                <w:sz w:val="20"/>
                <w:szCs w:val="20"/>
              </w:rPr>
            </w:pPr>
            <w:r w:rsidRPr="00AA4E25">
              <w:rPr>
                <w:sz w:val="20"/>
                <w:szCs w:val="20"/>
              </w:rPr>
              <w:t>Remuneration Band (£)</w:t>
            </w:r>
          </w:p>
        </w:tc>
        <w:tc>
          <w:tcPr>
            <w:tcW w:w="1417" w:type="dxa"/>
            <w:tcBorders>
              <w:top w:val="nil"/>
              <w:left w:val="nil"/>
              <w:bottom w:val="nil"/>
              <w:right w:val="nil"/>
            </w:tcBorders>
            <w:shd w:val="clear" w:color="auto" w:fill="auto"/>
            <w:noWrap/>
            <w:vAlign w:val="center"/>
            <w:hideMark/>
          </w:tcPr>
          <w:p w:rsidR="00571E2A" w:rsidRPr="00AA4E25" w:rsidRDefault="00571E2A" w:rsidP="00571E2A">
            <w:pPr>
              <w:jc w:val="center"/>
              <w:rPr>
                <w:sz w:val="20"/>
                <w:szCs w:val="20"/>
              </w:rPr>
            </w:pPr>
            <w:r w:rsidRPr="00AA4E25">
              <w:rPr>
                <w:sz w:val="20"/>
                <w:szCs w:val="20"/>
              </w:rPr>
              <w:t>LCC Non teaching staff</w:t>
            </w:r>
          </w:p>
        </w:tc>
        <w:tc>
          <w:tcPr>
            <w:tcW w:w="1418" w:type="dxa"/>
            <w:tcBorders>
              <w:top w:val="nil"/>
              <w:left w:val="nil"/>
              <w:bottom w:val="nil"/>
              <w:right w:val="nil"/>
            </w:tcBorders>
            <w:shd w:val="clear" w:color="auto" w:fill="auto"/>
            <w:noWrap/>
            <w:vAlign w:val="center"/>
            <w:hideMark/>
          </w:tcPr>
          <w:p w:rsidR="00571E2A" w:rsidRPr="00AA4E25" w:rsidRDefault="00571E2A" w:rsidP="00571E2A">
            <w:pPr>
              <w:jc w:val="center"/>
              <w:rPr>
                <w:sz w:val="20"/>
                <w:szCs w:val="20"/>
              </w:rPr>
            </w:pPr>
            <w:r w:rsidRPr="00AA4E25">
              <w:rPr>
                <w:sz w:val="20"/>
                <w:szCs w:val="20"/>
              </w:rPr>
              <w:t>OneConnect Ltd</w:t>
            </w:r>
          </w:p>
        </w:tc>
        <w:tc>
          <w:tcPr>
            <w:tcW w:w="1701" w:type="dxa"/>
            <w:tcBorders>
              <w:top w:val="nil"/>
              <w:left w:val="nil"/>
              <w:bottom w:val="nil"/>
              <w:right w:val="nil"/>
            </w:tcBorders>
            <w:shd w:val="clear" w:color="auto" w:fill="auto"/>
            <w:noWrap/>
            <w:vAlign w:val="center"/>
            <w:hideMark/>
          </w:tcPr>
          <w:p w:rsidR="00571E2A" w:rsidRPr="00AA4E25" w:rsidRDefault="00571E2A" w:rsidP="00571E2A">
            <w:pPr>
              <w:jc w:val="center"/>
              <w:rPr>
                <w:sz w:val="20"/>
                <w:szCs w:val="20"/>
              </w:rPr>
            </w:pPr>
            <w:r w:rsidRPr="00AA4E25">
              <w:rPr>
                <w:sz w:val="20"/>
                <w:szCs w:val="20"/>
              </w:rPr>
              <w:t>Teaching staff</w:t>
            </w:r>
          </w:p>
        </w:tc>
      </w:tr>
      <w:tr w:rsidR="00571E2A" w:rsidRPr="00725D01" w:rsidTr="0025306E">
        <w:trPr>
          <w:trHeight w:val="300"/>
        </w:trPr>
        <w:tc>
          <w:tcPr>
            <w:tcW w:w="2977" w:type="dxa"/>
            <w:tcBorders>
              <w:top w:val="nil"/>
              <w:left w:val="nil"/>
              <w:bottom w:val="nil"/>
              <w:right w:val="nil"/>
            </w:tcBorders>
            <w:shd w:val="clear" w:color="auto" w:fill="auto"/>
            <w:noWrap/>
            <w:vAlign w:val="bottom"/>
            <w:hideMark/>
          </w:tcPr>
          <w:p w:rsidR="00571E2A" w:rsidRPr="00AA4E25" w:rsidRDefault="00571E2A" w:rsidP="00571E2A">
            <w:pPr>
              <w:rPr>
                <w:sz w:val="20"/>
                <w:szCs w:val="20"/>
              </w:rPr>
            </w:pPr>
            <w:r w:rsidRPr="00AA4E25">
              <w:rPr>
                <w:sz w:val="20"/>
                <w:szCs w:val="20"/>
              </w:rPr>
              <w:t>£50,000 - £54,999</w:t>
            </w:r>
          </w:p>
        </w:tc>
        <w:tc>
          <w:tcPr>
            <w:tcW w:w="1417" w:type="dxa"/>
            <w:tcBorders>
              <w:top w:val="nil"/>
              <w:left w:val="nil"/>
              <w:bottom w:val="nil"/>
              <w:right w:val="nil"/>
            </w:tcBorders>
            <w:shd w:val="clear" w:color="auto" w:fill="auto"/>
            <w:noWrap/>
            <w:vAlign w:val="bottom"/>
            <w:hideMark/>
          </w:tcPr>
          <w:p w:rsidR="00571E2A" w:rsidRPr="00AA4E25" w:rsidRDefault="00571E2A" w:rsidP="00571E2A">
            <w:pPr>
              <w:jc w:val="right"/>
              <w:rPr>
                <w:sz w:val="20"/>
                <w:szCs w:val="20"/>
              </w:rPr>
            </w:pPr>
            <w:r w:rsidRPr="00AA4E25">
              <w:rPr>
                <w:sz w:val="20"/>
                <w:szCs w:val="20"/>
              </w:rPr>
              <w:t>10</w:t>
            </w:r>
          </w:p>
        </w:tc>
        <w:tc>
          <w:tcPr>
            <w:tcW w:w="1418" w:type="dxa"/>
            <w:tcBorders>
              <w:top w:val="nil"/>
              <w:left w:val="nil"/>
              <w:bottom w:val="nil"/>
              <w:right w:val="nil"/>
            </w:tcBorders>
            <w:shd w:val="clear" w:color="auto" w:fill="auto"/>
            <w:noWrap/>
            <w:vAlign w:val="bottom"/>
            <w:hideMark/>
          </w:tcPr>
          <w:p w:rsidR="00571E2A" w:rsidRPr="00AA4E25" w:rsidRDefault="0025306E" w:rsidP="0025306E">
            <w:pPr>
              <w:jc w:val="right"/>
              <w:rPr>
                <w:sz w:val="20"/>
                <w:szCs w:val="20"/>
              </w:rPr>
            </w:pPr>
            <w:r>
              <w:rPr>
                <w:sz w:val="20"/>
                <w:szCs w:val="20"/>
              </w:rPr>
              <w:t>-</w:t>
            </w:r>
          </w:p>
        </w:tc>
        <w:tc>
          <w:tcPr>
            <w:tcW w:w="1701" w:type="dxa"/>
            <w:tcBorders>
              <w:top w:val="nil"/>
              <w:left w:val="nil"/>
              <w:bottom w:val="nil"/>
              <w:right w:val="nil"/>
            </w:tcBorders>
            <w:shd w:val="clear" w:color="auto" w:fill="auto"/>
            <w:noWrap/>
            <w:vAlign w:val="bottom"/>
            <w:hideMark/>
          </w:tcPr>
          <w:p w:rsidR="00571E2A" w:rsidRPr="00AA4E25" w:rsidRDefault="0025306E" w:rsidP="0025306E">
            <w:pPr>
              <w:jc w:val="right"/>
              <w:rPr>
                <w:sz w:val="20"/>
                <w:szCs w:val="20"/>
              </w:rPr>
            </w:pPr>
            <w:r>
              <w:rPr>
                <w:sz w:val="20"/>
                <w:szCs w:val="20"/>
              </w:rPr>
              <w:t>-</w:t>
            </w:r>
          </w:p>
        </w:tc>
      </w:tr>
      <w:tr w:rsidR="0025306E" w:rsidRPr="00725D01" w:rsidTr="0025306E">
        <w:trPr>
          <w:trHeight w:val="300"/>
        </w:trPr>
        <w:tc>
          <w:tcPr>
            <w:tcW w:w="2977" w:type="dxa"/>
            <w:tcBorders>
              <w:top w:val="nil"/>
              <w:left w:val="nil"/>
              <w:bottom w:val="nil"/>
              <w:right w:val="nil"/>
            </w:tcBorders>
            <w:shd w:val="clear" w:color="auto" w:fill="auto"/>
            <w:noWrap/>
            <w:vAlign w:val="bottom"/>
            <w:hideMark/>
          </w:tcPr>
          <w:p w:rsidR="0025306E" w:rsidRPr="00AA4E25" w:rsidRDefault="0025306E" w:rsidP="00571E2A">
            <w:pPr>
              <w:rPr>
                <w:sz w:val="20"/>
                <w:szCs w:val="20"/>
              </w:rPr>
            </w:pPr>
            <w:r w:rsidRPr="00AA4E25">
              <w:rPr>
                <w:sz w:val="20"/>
                <w:szCs w:val="20"/>
              </w:rPr>
              <w:t>£55,000 - £59,999</w:t>
            </w:r>
          </w:p>
        </w:tc>
        <w:tc>
          <w:tcPr>
            <w:tcW w:w="1417" w:type="dxa"/>
            <w:tcBorders>
              <w:top w:val="nil"/>
              <w:left w:val="nil"/>
              <w:bottom w:val="nil"/>
              <w:right w:val="nil"/>
            </w:tcBorders>
            <w:shd w:val="clear" w:color="auto" w:fill="auto"/>
            <w:noWrap/>
            <w:vAlign w:val="bottom"/>
            <w:hideMark/>
          </w:tcPr>
          <w:p w:rsidR="0025306E" w:rsidRPr="00AA4E25" w:rsidRDefault="0025306E" w:rsidP="00571E2A">
            <w:pPr>
              <w:jc w:val="right"/>
              <w:rPr>
                <w:sz w:val="20"/>
                <w:szCs w:val="20"/>
              </w:rPr>
            </w:pPr>
            <w:r w:rsidRPr="00AA4E25">
              <w:rPr>
                <w:sz w:val="20"/>
                <w:szCs w:val="20"/>
              </w:rPr>
              <w:t>11</w:t>
            </w:r>
          </w:p>
        </w:tc>
        <w:tc>
          <w:tcPr>
            <w:tcW w:w="1418" w:type="dxa"/>
            <w:tcBorders>
              <w:top w:val="nil"/>
              <w:left w:val="nil"/>
              <w:bottom w:val="nil"/>
              <w:right w:val="nil"/>
            </w:tcBorders>
            <w:shd w:val="clear" w:color="auto" w:fill="auto"/>
            <w:noWrap/>
            <w:vAlign w:val="bottom"/>
            <w:hideMark/>
          </w:tcPr>
          <w:p w:rsidR="0025306E" w:rsidRPr="00AA4E25" w:rsidRDefault="0025306E" w:rsidP="00933A46">
            <w:pPr>
              <w:jc w:val="right"/>
              <w:rPr>
                <w:sz w:val="20"/>
                <w:szCs w:val="20"/>
              </w:rPr>
            </w:pPr>
            <w:r>
              <w:rPr>
                <w:sz w:val="20"/>
                <w:szCs w:val="20"/>
              </w:rPr>
              <w:t>-</w:t>
            </w:r>
          </w:p>
        </w:tc>
        <w:tc>
          <w:tcPr>
            <w:tcW w:w="1701" w:type="dxa"/>
            <w:tcBorders>
              <w:top w:val="nil"/>
              <w:left w:val="nil"/>
              <w:bottom w:val="nil"/>
              <w:right w:val="nil"/>
            </w:tcBorders>
            <w:shd w:val="clear" w:color="auto" w:fill="auto"/>
            <w:noWrap/>
            <w:vAlign w:val="bottom"/>
            <w:hideMark/>
          </w:tcPr>
          <w:p w:rsidR="0025306E" w:rsidRPr="00AA4E25" w:rsidRDefault="0025306E" w:rsidP="00933A46">
            <w:pPr>
              <w:jc w:val="right"/>
              <w:rPr>
                <w:sz w:val="20"/>
                <w:szCs w:val="20"/>
              </w:rPr>
            </w:pPr>
            <w:r>
              <w:rPr>
                <w:sz w:val="20"/>
                <w:szCs w:val="20"/>
              </w:rPr>
              <w:t>-</w:t>
            </w:r>
          </w:p>
        </w:tc>
      </w:tr>
      <w:tr w:rsidR="0025306E" w:rsidRPr="00725D01" w:rsidTr="0025306E">
        <w:trPr>
          <w:trHeight w:val="300"/>
        </w:trPr>
        <w:tc>
          <w:tcPr>
            <w:tcW w:w="2977" w:type="dxa"/>
            <w:tcBorders>
              <w:top w:val="nil"/>
              <w:left w:val="nil"/>
              <w:bottom w:val="nil"/>
              <w:right w:val="nil"/>
            </w:tcBorders>
            <w:shd w:val="clear" w:color="auto" w:fill="auto"/>
            <w:noWrap/>
            <w:vAlign w:val="bottom"/>
            <w:hideMark/>
          </w:tcPr>
          <w:p w:rsidR="0025306E" w:rsidRPr="00AA4E25" w:rsidRDefault="0025306E" w:rsidP="00571E2A">
            <w:pPr>
              <w:rPr>
                <w:sz w:val="20"/>
                <w:szCs w:val="20"/>
              </w:rPr>
            </w:pPr>
            <w:r w:rsidRPr="00AA4E25">
              <w:rPr>
                <w:sz w:val="20"/>
                <w:szCs w:val="20"/>
              </w:rPr>
              <w:t>£60,000 - £64,999</w:t>
            </w:r>
          </w:p>
        </w:tc>
        <w:tc>
          <w:tcPr>
            <w:tcW w:w="1417" w:type="dxa"/>
            <w:tcBorders>
              <w:top w:val="nil"/>
              <w:left w:val="nil"/>
              <w:bottom w:val="nil"/>
              <w:right w:val="nil"/>
            </w:tcBorders>
            <w:shd w:val="clear" w:color="auto" w:fill="auto"/>
            <w:noWrap/>
            <w:vAlign w:val="bottom"/>
            <w:hideMark/>
          </w:tcPr>
          <w:p w:rsidR="0025306E" w:rsidRPr="00AA4E25" w:rsidRDefault="0025306E" w:rsidP="00571E2A">
            <w:pPr>
              <w:jc w:val="right"/>
              <w:rPr>
                <w:sz w:val="20"/>
                <w:szCs w:val="20"/>
              </w:rPr>
            </w:pPr>
            <w:r w:rsidRPr="00AA4E25">
              <w:rPr>
                <w:sz w:val="20"/>
                <w:szCs w:val="20"/>
              </w:rPr>
              <w:t>3</w:t>
            </w:r>
          </w:p>
        </w:tc>
        <w:tc>
          <w:tcPr>
            <w:tcW w:w="1418" w:type="dxa"/>
            <w:tcBorders>
              <w:top w:val="nil"/>
              <w:left w:val="nil"/>
              <w:bottom w:val="nil"/>
              <w:right w:val="nil"/>
            </w:tcBorders>
            <w:shd w:val="clear" w:color="auto" w:fill="auto"/>
            <w:noWrap/>
            <w:vAlign w:val="bottom"/>
            <w:hideMark/>
          </w:tcPr>
          <w:p w:rsidR="0025306E" w:rsidRPr="00AA4E25" w:rsidRDefault="0025306E" w:rsidP="0025306E">
            <w:pPr>
              <w:jc w:val="right"/>
              <w:rPr>
                <w:sz w:val="20"/>
                <w:szCs w:val="20"/>
              </w:rPr>
            </w:pPr>
            <w:r w:rsidRPr="00AA4E25">
              <w:rPr>
                <w:sz w:val="20"/>
                <w:szCs w:val="20"/>
              </w:rPr>
              <w:t>1</w:t>
            </w:r>
          </w:p>
        </w:tc>
        <w:tc>
          <w:tcPr>
            <w:tcW w:w="1701" w:type="dxa"/>
            <w:tcBorders>
              <w:top w:val="nil"/>
              <w:left w:val="nil"/>
              <w:bottom w:val="nil"/>
              <w:right w:val="nil"/>
            </w:tcBorders>
            <w:shd w:val="clear" w:color="auto" w:fill="auto"/>
            <w:noWrap/>
            <w:vAlign w:val="bottom"/>
            <w:hideMark/>
          </w:tcPr>
          <w:p w:rsidR="0025306E" w:rsidRPr="00AA4E25" w:rsidRDefault="0025306E" w:rsidP="0025306E">
            <w:pPr>
              <w:jc w:val="right"/>
              <w:rPr>
                <w:sz w:val="20"/>
                <w:szCs w:val="20"/>
              </w:rPr>
            </w:pPr>
          </w:p>
        </w:tc>
      </w:tr>
      <w:tr w:rsidR="0025306E" w:rsidRPr="00725D01" w:rsidTr="0025306E">
        <w:trPr>
          <w:trHeight w:val="300"/>
        </w:trPr>
        <w:tc>
          <w:tcPr>
            <w:tcW w:w="2977" w:type="dxa"/>
            <w:tcBorders>
              <w:top w:val="nil"/>
              <w:left w:val="nil"/>
              <w:bottom w:val="nil"/>
              <w:right w:val="nil"/>
            </w:tcBorders>
            <w:shd w:val="clear" w:color="auto" w:fill="auto"/>
            <w:noWrap/>
            <w:vAlign w:val="bottom"/>
            <w:hideMark/>
          </w:tcPr>
          <w:p w:rsidR="0025306E" w:rsidRPr="00AA4E25" w:rsidRDefault="0025306E" w:rsidP="00571E2A">
            <w:pPr>
              <w:rPr>
                <w:sz w:val="20"/>
                <w:szCs w:val="20"/>
              </w:rPr>
            </w:pPr>
            <w:r w:rsidRPr="00AA4E25">
              <w:rPr>
                <w:sz w:val="20"/>
                <w:szCs w:val="20"/>
              </w:rPr>
              <w:t>£65,000 - £69,999</w:t>
            </w:r>
          </w:p>
        </w:tc>
        <w:tc>
          <w:tcPr>
            <w:tcW w:w="1417" w:type="dxa"/>
            <w:tcBorders>
              <w:top w:val="nil"/>
              <w:left w:val="nil"/>
              <w:bottom w:val="nil"/>
              <w:right w:val="nil"/>
            </w:tcBorders>
            <w:shd w:val="clear" w:color="auto" w:fill="auto"/>
            <w:noWrap/>
            <w:vAlign w:val="bottom"/>
            <w:hideMark/>
          </w:tcPr>
          <w:p w:rsidR="0025306E" w:rsidRPr="00AA4E25" w:rsidRDefault="0025306E" w:rsidP="00571E2A">
            <w:pPr>
              <w:jc w:val="right"/>
              <w:rPr>
                <w:sz w:val="20"/>
                <w:szCs w:val="20"/>
              </w:rPr>
            </w:pPr>
            <w:r w:rsidRPr="00AA4E25">
              <w:rPr>
                <w:sz w:val="20"/>
                <w:szCs w:val="20"/>
              </w:rPr>
              <w:t>4</w:t>
            </w:r>
          </w:p>
        </w:tc>
        <w:tc>
          <w:tcPr>
            <w:tcW w:w="1418" w:type="dxa"/>
            <w:tcBorders>
              <w:top w:val="nil"/>
              <w:left w:val="nil"/>
              <w:bottom w:val="nil"/>
              <w:right w:val="nil"/>
            </w:tcBorders>
            <w:shd w:val="clear" w:color="auto" w:fill="auto"/>
            <w:noWrap/>
            <w:vAlign w:val="bottom"/>
            <w:hideMark/>
          </w:tcPr>
          <w:p w:rsidR="0025306E" w:rsidRPr="00AA4E25" w:rsidRDefault="0025306E" w:rsidP="00933A46">
            <w:pPr>
              <w:jc w:val="right"/>
              <w:rPr>
                <w:sz w:val="20"/>
                <w:szCs w:val="20"/>
              </w:rPr>
            </w:pPr>
            <w:r>
              <w:rPr>
                <w:sz w:val="20"/>
                <w:szCs w:val="20"/>
              </w:rPr>
              <w:t>-</w:t>
            </w:r>
          </w:p>
        </w:tc>
        <w:tc>
          <w:tcPr>
            <w:tcW w:w="1701" w:type="dxa"/>
            <w:tcBorders>
              <w:top w:val="nil"/>
              <w:left w:val="nil"/>
              <w:bottom w:val="nil"/>
              <w:right w:val="nil"/>
            </w:tcBorders>
            <w:shd w:val="clear" w:color="auto" w:fill="auto"/>
            <w:noWrap/>
            <w:vAlign w:val="bottom"/>
            <w:hideMark/>
          </w:tcPr>
          <w:p w:rsidR="0025306E" w:rsidRPr="00AA4E25" w:rsidRDefault="0025306E" w:rsidP="00933A46">
            <w:pPr>
              <w:jc w:val="right"/>
              <w:rPr>
                <w:sz w:val="20"/>
                <w:szCs w:val="20"/>
              </w:rPr>
            </w:pPr>
            <w:r>
              <w:rPr>
                <w:sz w:val="20"/>
                <w:szCs w:val="20"/>
              </w:rPr>
              <w:t>-</w:t>
            </w:r>
          </w:p>
        </w:tc>
      </w:tr>
      <w:tr w:rsidR="0025306E" w:rsidRPr="00725D01" w:rsidTr="0025306E">
        <w:trPr>
          <w:trHeight w:val="300"/>
        </w:trPr>
        <w:tc>
          <w:tcPr>
            <w:tcW w:w="2977" w:type="dxa"/>
            <w:tcBorders>
              <w:top w:val="nil"/>
              <w:left w:val="nil"/>
              <w:bottom w:val="nil"/>
              <w:right w:val="nil"/>
            </w:tcBorders>
            <w:shd w:val="clear" w:color="auto" w:fill="auto"/>
            <w:noWrap/>
            <w:vAlign w:val="bottom"/>
            <w:hideMark/>
          </w:tcPr>
          <w:p w:rsidR="0025306E" w:rsidRPr="00AA4E25" w:rsidRDefault="0025306E" w:rsidP="00571E2A">
            <w:pPr>
              <w:rPr>
                <w:sz w:val="20"/>
                <w:szCs w:val="20"/>
              </w:rPr>
            </w:pPr>
            <w:r w:rsidRPr="00AA4E25">
              <w:rPr>
                <w:sz w:val="20"/>
                <w:szCs w:val="20"/>
              </w:rPr>
              <w:t>£70,000 - £74,999</w:t>
            </w:r>
          </w:p>
        </w:tc>
        <w:tc>
          <w:tcPr>
            <w:tcW w:w="1417" w:type="dxa"/>
            <w:tcBorders>
              <w:top w:val="nil"/>
              <w:left w:val="nil"/>
              <w:bottom w:val="nil"/>
              <w:right w:val="nil"/>
            </w:tcBorders>
            <w:shd w:val="clear" w:color="auto" w:fill="auto"/>
            <w:noWrap/>
            <w:vAlign w:val="bottom"/>
            <w:hideMark/>
          </w:tcPr>
          <w:p w:rsidR="0025306E" w:rsidRPr="00AA4E25" w:rsidRDefault="0025306E" w:rsidP="00571E2A">
            <w:pPr>
              <w:jc w:val="right"/>
              <w:rPr>
                <w:sz w:val="20"/>
                <w:szCs w:val="20"/>
              </w:rPr>
            </w:pPr>
            <w:r w:rsidRPr="00AA4E25">
              <w:rPr>
                <w:sz w:val="20"/>
                <w:szCs w:val="20"/>
              </w:rPr>
              <w:t>2</w:t>
            </w:r>
          </w:p>
        </w:tc>
        <w:tc>
          <w:tcPr>
            <w:tcW w:w="1418" w:type="dxa"/>
            <w:tcBorders>
              <w:top w:val="nil"/>
              <w:left w:val="nil"/>
              <w:bottom w:val="nil"/>
              <w:right w:val="nil"/>
            </w:tcBorders>
            <w:shd w:val="clear" w:color="auto" w:fill="auto"/>
            <w:noWrap/>
            <w:vAlign w:val="bottom"/>
            <w:hideMark/>
          </w:tcPr>
          <w:p w:rsidR="0025306E" w:rsidRPr="00AA4E25" w:rsidRDefault="0025306E" w:rsidP="00933A46">
            <w:pPr>
              <w:jc w:val="right"/>
              <w:rPr>
                <w:sz w:val="20"/>
                <w:szCs w:val="20"/>
              </w:rPr>
            </w:pPr>
            <w:r>
              <w:rPr>
                <w:sz w:val="20"/>
                <w:szCs w:val="20"/>
              </w:rPr>
              <w:t>-</w:t>
            </w:r>
          </w:p>
        </w:tc>
        <w:tc>
          <w:tcPr>
            <w:tcW w:w="1701" w:type="dxa"/>
            <w:tcBorders>
              <w:top w:val="nil"/>
              <w:left w:val="nil"/>
              <w:bottom w:val="nil"/>
              <w:right w:val="nil"/>
            </w:tcBorders>
            <w:shd w:val="clear" w:color="auto" w:fill="auto"/>
            <w:noWrap/>
            <w:vAlign w:val="bottom"/>
            <w:hideMark/>
          </w:tcPr>
          <w:p w:rsidR="0025306E" w:rsidRPr="00AA4E25" w:rsidRDefault="0025306E" w:rsidP="00933A46">
            <w:pPr>
              <w:jc w:val="right"/>
              <w:rPr>
                <w:sz w:val="20"/>
                <w:szCs w:val="20"/>
              </w:rPr>
            </w:pPr>
            <w:r>
              <w:rPr>
                <w:sz w:val="20"/>
                <w:szCs w:val="20"/>
              </w:rPr>
              <w:t>-</w:t>
            </w:r>
          </w:p>
        </w:tc>
      </w:tr>
      <w:tr w:rsidR="0025306E" w:rsidRPr="00725D01" w:rsidTr="0025306E">
        <w:trPr>
          <w:trHeight w:val="300"/>
        </w:trPr>
        <w:tc>
          <w:tcPr>
            <w:tcW w:w="2977" w:type="dxa"/>
            <w:tcBorders>
              <w:top w:val="nil"/>
              <w:left w:val="nil"/>
              <w:bottom w:val="nil"/>
              <w:right w:val="nil"/>
            </w:tcBorders>
            <w:shd w:val="clear" w:color="auto" w:fill="auto"/>
            <w:noWrap/>
            <w:vAlign w:val="bottom"/>
            <w:hideMark/>
          </w:tcPr>
          <w:p w:rsidR="0025306E" w:rsidRPr="00AA4E25" w:rsidRDefault="0025306E" w:rsidP="00571E2A">
            <w:pPr>
              <w:rPr>
                <w:sz w:val="20"/>
                <w:szCs w:val="20"/>
              </w:rPr>
            </w:pPr>
            <w:r w:rsidRPr="00AA4E25">
              <w:rPr>
                <w:sz w:val="20"/>
                <w:szCs w:val="20"/>
              </w:rPr>
              <w:t>£75,000 - £79,999</w:t>
            </w:r>
          </w:p>
        </w:tc>
        <w:tc>
          <w:tcPr>
            <w:tcW w:w="1417" w:type="dxa"/>
            <w:tcBorders>
              <w:top w:val="nil"/>
              <w:left w:val="nil"/>
              <w:bottom w:val="nil"/>
              <w:right w:val="nil"/>
            </w:tcBorders>
            <w:shd w:val="clear" w:color="auto" w:fill="auto"/>
            <w:noWrap/>
            <w:vAlign w:val="bottom"/>
            <w:hideMark/>
          </w:tcPr>
          <w:p w:rsidR="0025306E" w:rsidRPr="00AA4E25" w:rsidRDefault="0025306E" w:rsidP="00571E2A">
            <w:pPr>
              <w:jc w:val="right"/>
              <w:rPr>
                <w:sz w:val="20"/>
                <w:szCs w:val="20"/>
              </w:rPr>
            </w:pPr>
            <w:r w:rsidRPr="00AA4E25">
              <w:rPr>
                <w:sz w:val="20"/>
                <w:szCs w:val="20"/>
              </w:rPr>
              <w:t>1</w:t>
            </w:r>
          </w:p>
        </w:tc>
        <w:tc>
          <w:tcPr>
            <w:tcW w:w="1418" w:type="dxa"/>
            <w:tcBorders>
              <w:top w:val="nil"/>
              <w:left w:val="nil"/>
              <w:bottom w:val="nil"/>
              <w:right w:val="nil"/>
            </w:tcBorders>
            <w:shd w:val="clear" w:color="auto" w:fill="auto"/>
            <w:noWrap/>
            <w:vAlign w:val="bottom"/>
            <w:hideMark/>
          </w:tcPr>
          <w:p w:rsidR="0025306E" w:rsidRPr="00AA4E25" w:rsidRDefault="0025306E" w:rsidP="00933A46">
            <w:pPr>
              <w:jc w:val="right"/>
              <w:rPr>
                <w:sz w:val="20"/>
                <w:szCs w:val="20"/>
              </w:rPr>
            </w:pPr>
            <w:r>
              <w:rPr>
                <w:sz w:val="20"/>
                <w:szCs w:val="20"/>
              </w:rPr>
              <w:t>-</w:t>
            </w:r>
          </w:p>
        </w:tc>
        <w:tc>
          <w:tcPr>
            <w:tcW w:w="1701" w:type="dxa"/>
            <w:tcBorders>
              <w:top w:val="nil"/>
              <w:left w:val="nil"/>
              <w:bottom w:val="nil"/>
              <w:right w:val="nil"/>
            </w:tcBorders>
            <w:shd w:val="clear" w:color="auto" w:fill="auto"/>
            <w:noWrap/>
            <w:vAlign w:val="bottom"/>
            <w:hideMark/>
          </w:tcPr>
          <w:p w:rsidR="0025306E" w:rsidRPr="00AA4E25" w:rsidRDefault="0025306E" w:rsidP="00933A46">
            <w:pPr>
              <w:jc w:val="right"/>
              <w:rPr>
                <w:sz w:val="20"/>
                <w:szCs w:val="20"/>
              </w:rPr>
            </w:pPr>
            <w:r>
              <w:rPr>
                <w:sz w:val="20"/>
                <w:szCs w:val="20"/>
              </w:rPr>
              <w:t>-</w:t>
            </w:r>
          </w:p>
        </w:tc>
      </w:tr>
      <w:tr w:rsidR="0025306E" w:rsidRPr="00725D01" w:rsidTr="0025306E">
        <w:trPr>
          <w:trHeight w:val="300"/>
        </w:trPr>
        <w:tc>
          <w:tcPr>
            <w:tcW w:w="2977" w:type="dxa"/>
            <w:tcBorders>
              <w:top w:val="nil"/>
              <w:left w:val="nil"/>
              <w:bottom w:val="nil"/>
              <w:right w:val="nil"/>
            </w:tcBorders>
            <w:shd w:val="clear" w:color="auto" w:fill="auto"/>
            <w:noWrap/>
            <w:vAlign w:val="bottom"/>
            <w:hideMark/>
          </w:tcPr>
          <w:p w:rsidR="0025306E" w:rsidRPr="00AA4E25" w:rsidRDefault="0025306E" w:rsidP="00571E2A">
            <w:pPr>
              <w:rPr>
                <w:sz w:val="20"/>
                <w:szCs w:val="20"/>
              </w:rPr>
            </w:pPr>
            <w:r w:rsidRPr="00AA4E25">
              <w:rPr>
                <w:sz w:val="20"/>
                <w:szCs w:val="20"/>
              </w:rPr>
              <w:t>£85,000 - £89,999</w:t>
            </w:r>
          </w:p>
        </w:tc>
        <w:tc>
          <w:tcPr>
            <w:tcW w:w="1417" w:type="dxa"/>
            <w:tcBorders>
              <w:top w:val="nil"/>
              <w:left w:val="nil"/>
              <w:bottom w:val="nil"/>
              <w:right w:val="nil"/>
            </w:tcBorders>
            <w:shd w:val="clear" w:color="auto" w:fill="auto"/>
            <w:noWrap/>
            <w:vAlign w:val="bottom"/>
            <w:hideMark/>
          </w:tcPr>
          <w:p w:rsidR="0025306E" w:rsidRPr="00AA4E25" w:rsidRDefault="0025306E" w:rsidP="00571E2A">
            <w:pPr>
              <w:jc w:val="right"/>
              <w:rPr>
                <w:sz w:val="20"/>
                <w:szCs w:val="20"/>
              </w:rPr>
            </w:pPr>
            <w:r w:rsidRPr="00AA4E25">
              <w:rPr>
                <w:sz w:val="20"/>
                <w:szCs w:val="20"/>
              </w:rPr>
              <w:t>1</w:t>
            </w:r>
          </w:p>
        </w:tc>
        <w:tc>
          <w:tcPr>
            <w:tcW w:w="1418" w:type="dxa"/>
            <w:tcBorders>
              <w:top w:val="nil"/>
              <w:left w:val="nil"/>
              <w:bottom w:val="nil"/>
              <w:right w:val="nil"/>
            </w:tcBorders>
            <w:shd w:val="clear" w:color="auto" w:fill="auto"/>
            <w:noWrap/>
            <w:vAlign w:val="bottom"/>
            <w:hideMark/>
          </w:tcPr>
          <w:p w:rsidR="0025306E" w:rsidRPr="00AA4E25" w:rsidRDefault="0025306E" w:rsidP="00933A46">
            <w:pPr>
              <w:jc w:val="right"/>
              <w:rPr>
                <w:sz w:val="20"/>
                <w:szCs w:val="20"/>
              </w:rPr>
            </w:pPr>
            <w:r>
              <w:rPr>
                <w:sz w:val="20"/>
                <w:szCs w:val="20"/>
              </w:rPr>
              <w:t>-</w:t>
            </w:r>
          </w:p>
        </w:tc>
        <w:tc>
          <w:tcPr>
            <w:tcW w:w="1701" w:type="dxa"/>
            <w:tcBorders>
              <w:top w:val="nil"/>
              <w:left w:val="nil"/>
              <w:bottom w:val="nil"/>
              <w:right w:val="nil"/>
            </w:tcBorders>
            <w:shd w:val="clear" w:color="auto" w:fill="auto"/>
            <w:noWrap/>
            <w:vAlign w:val="bottom"/>
            <w:hideMark/>
          </w:tcPr>
          <w:p w:rsidR="0025306E" w:rsidRPr="00AA4E25" w:rsidRDefault="0025306E" w:rsidP="00933A46">
            <w:pPr>
              <w:jc w:val="right"/>
              <w:rPr>
                <w:sz w:val="20"/>
                <w:szCs w:val="20"/>
              </w:rPr>
            </w:pPr>
            <w:r>
              <w:rPr>
                <w:sz w:val="20"/>
                <w:szCs w:val="20"/>
              </w:rPr>
              <w:t>-</w:t>
            </w:r>
          </w:p>
        </w:tc>
      </w:tr>
      <w:tr w:rsidR="0025306E" w:rsidRPr="00725D01" w:rsidTr="0025306E">
        <w:trPr>
          <w:trHeight w:val="300"/>
        </w:trPr>
        <w:tc>
          <w:tcPr>
            <w:tcW w:w="2977" w:type="dxa"/>
            <w:tcBorders>
              <w:top w:val="nil"/>
              <w:left w:val="nil"/>
              <w:bottom w:val="nil"/>
              <w:right w:val="nil"/>
            </w:tcBorders>
            <w:shd w:val="clear" w:color="auto" w:fill="auto"/>
            <w:noWrap/>
            <w:vAlign w:val="bottom"/>
            <w:hideMark/>
          </w:tcPr>
          <w:p w:rsidR="0025306E" w:rsidRPr="00AA4E25" w:rsidRDefault="0025306E" w:rsidP="00571E2A">
            <w:pPr>
              <w:rPr>
                <w:sz w:val="20"/>
                <w:szCs w:val="20"/>
              </w:rPr>
            </w:pPr>
            <w:r w:rsidRPr="00AA4E25">
              <w:rPr>
                <w:sz w:val="20"/>
                <w:szCs w:val="20"/>
              </w:rPr>
              <w:t>£90,000 - £94,999</w:t>
            </w:r>
          </w:p>
        </w:tc>
        <w:tc>
          <w:tcPr>
            <w:tcW w:w="1417" w:type="dxa"/>
            <w:tcBorders>
              <w:top w:val="nil"/>
              <w:left w:val="nil"/>
              <w:bottom w:val="nil"/>
              <w:right w:val="nil"/>
            </w:tcBorders>
            <w:shd w:val="clear" w:color="auto" w:fill="auto"/>
            <w:noWrap/>
            <w:vAlign w:val="bottom"/>
            <w:hideMark/>
          </w:tcPr>
          <w:p w:rsidR="0025306E" w:rsidRPr="00AA4E25" w:rsidRDefault="0025306E" w:rsidP="00571E2A">
            <w:pPr>
              <w:jc w:val="right"/>
              <w:rPr>
                <w:sz w:val="20"/>
                <w:szCs w:val="20"/>
              </w:rPr>
            </w:pPr>
            <w:r w:rsidRPr="00AA4E25">
              <w:rPr>
                <w:sz w:val="20"/>
                <w:szCs w:val="20"/>
              </w:rPr>
              <w:t>2</w:t>
            </w:r>
          </w:p>
        </w:tc>
        <w:tc>
          <w:tcPr>
            <w:tcW w:w="1418" w:type="dxa"/>
            <w:tcBorders>
              <w:top w:val="nil"/>
              <w:left w:val="nil"/>
              <w:bottom w:val="nil"/>
              <w:right w:val="nil"/>
            </w:tcBorders>
            <w:shd w:val="clear" w:color="auto" w:fill="auto"/>
            <w:noWrap/>
            <w:vAlign w:val="bottom"/>
            <w:hideMark/>
          </w:tcPr>
          <w:p w:rsidR="0025306E" w:rsidRPr="00AA4E25" w:rsidRDefault="0025306E" w:rsidP="00933A46">
            <w:pPr>
              <w:jc w:val="right"/>
              <w:rPr>
                <w:sz w:val="20"/>
                <w:szCs w:val="20"/>
              </w:rPr>
            </w:pPr>
            <w:r>
              <w:rPr>
                <w:sz w:val="20"/>
                <w:szCs w:val="20"/>
              </w:rPr>
              <w:t>-</w:t>
            </w:r>
          </w:p>
        </w:tc>
        <w:tc>
          <w:tcPr>
            <w:tcW w:w="1701" w:type="dxa"/>
            <w:tcBorders>
              <w:top w:val="nil"/>
              <w:left w:val="nil"/>
              <w:bottom w:val="nil"/>
              <w:right w:val="nil"/>
            </w:tcBorders>
            <w:shd w:val="clear" w:color="auto" w:fill="auto"/>
            <w:noWrap/>
            <w:vAlign w:val="bottom"/>
            <w:hideMark/>
          </w:tcPr>
          <w:p w:rsidR="0025306E" w:rsidRPr="00AA4E25" w:rsidRDefault="0025306E" w:rsidP="00933A46">
            <w:pPr>
              <w:jc w:val="right"/>
              <w:rPr>
                <w:sz w:val="20"/>
                <w:szCs w:val="20"/>
              </w:rPr>
            </w:pPr>
            <w:r>
              <w:rPr>
                <w:sz w:val="20"/>
                <w:szCs w:val="20"/>
              </w:rPr>
              <w:t>-</w:t>
            </w:r>
          </w:p>
        </w:tc>
      </w:tr>
      <w:tr w:rsidR="0025306E" w:rsidRPr="00725D01" w:rsidTr="0025306E">
        <w:trPr>
          <w:trHeight w:val="300"/>
        </w:trPr>
        <w:tc>
          <w:tcPr>
            <w:tcW w:w="2977" w:type="dxa"/>
            <w:tcBorders>
              <w:top w:val="nil"/>
              <w:left w:val="nil"/>
              <w:bottom w:val="nil"/>
              <w:right w:val="nil"/>
            </w:tcBorders>
            <w:shd w:val="clear" w:color="auto" w:fill="auto"/>
            <w:noWrap/>
            <w:vAlign w:val="bottom"/>
            <w:hideMark/>
          </w:tcPr>
          <w:p w:rsidR="0025306E" w:rsidRPr="00AA4E25" w:rsidRDefault="0025306E" w:rsidP="00571E2A">
            <w:pPr>
              <w:rPr>
                <w:sz w:val="20"/>
                <w:szCs w:val="20"/>
              </w:rPr>
            </w:pPr>
            <w:r w:rsidRPr="00AA4E25">
              <w:rPr>
                <w:sz w:val="20"/>
                <w:szCs w:val="20"/>
              </w:rPr>
              <w:t>£145,000 - £149,999</w:t>
            </w:r>
          </w:p>
        </w:tc>
        <w:tc>
          <w:tcPr>
            <w:tcW w:w="1417" w:type="dxa"/>
            <w:tcBorders>
              <w:top w:val="nil"/>
              <w:left w:val="nil"/>
              <w:bottom w:val="nil"/>
              <w:right w:val="nil"/>
            </w:tcBorders>
            <w:shd w:val="clear" w:color="auto" w:fill="auto"/>
            <w:noWrap/>
            <w:vAlign w:val="bottom"/>
            <w:hideMark/>
          </w:tcPr>
          <w:p w:rsidR="0025306E" w:rsidRPr="00AA4E25" w:rsidRDefault="0025306E" w:rsidP="00571E2A">
            <w:pPr>
              <w:jc w:val="right"/>
              <w:rPr>
                <w:sz w:val="20"/>
                <w:szCs w:val="20"/>
              </w:rPr>
            </w:pPr>
            <w:r w:rsidRPr="00AA4E25">
              <w:rPr>
                <w:sz w:val="20"/>
                <w:szCs w:val="20"/>
              </w:rPr>
              <w:t>1</w:t>
            </w:r>
          </w:p>
        </w:tc>
        <w:tc>
          <w:tcPr>
            <w:tcW w:w="1418" w:type="dxa"/>
            <w:tcBorders>
              <w:top w:val="nil"/>
              <w:left w:val="nil"/>
              <w:bottom w:val="nil"/>
              <w:right w:val="nil"/>
            </w:tcBorders>
            <w:shd w:val="clear" w:color="auto" w:fill="auto"/>
            <w:noWrap/>
            <w:vAlign w:val="bottom"/>
            <w:hideMark/>
          </w:tcPr>
          <w:p w:rsidR="0025306E" w:rsidRPr="00AA4E25" w:rsidRDefault="0025306E" w:rsidP="00933A46">
            <w:pPr>
              <w:jc w:val="right"/>
              <w:rPr>
                <w:sz w:val="20"/>
                <w:szCs w:val="20"/>
              </w:rPr>
            </w:pPr>
            <w:r>
              <w:rPr>
                <w:sz w:val="20"/>
                <w:szCs w:val="20"/>
              </w:rPr>
              <w:t>-</w:t>
            </w:r>
          </w:p>
        </w:tc>
        <w:tc>
          <w:tcPr>
            <w:tcW w:w="1701" w:type="dxa"/>
            <w:tcBorders>
              <w:top w:val="nil"/>
              <w:left w:val="nil"/>
              <w:bottom w:val="nil"/>
              <w:right w:val="nil"/>
            </w:tcBorders>
            <w:shd w:val="clear" w:color="auto" w:fill="auto"/>
            <w:noWrap/>
            <w:vAlign w:val="bottom"/>
            <w:hideMark/>
          </w:tcPr>
          <w:p w:rsidR="0025306E" w:rsidRPr="00AA4E25" w:rsidRDefault="0025306E" w:rsidP="00933A46">
            <w:pPr>
              <w:jc w:val="right"/>
              <w:rPr>
                <w:sz w:val="20"/>
                <w:szCs w:val="20"/>
              </w:rPr>
            </w:pPr>
            <w:r>
              <w:rPr>
                <w:sz w:val="20"/>
                <w:szCs w:val="20"/>
              </w:rPr>
              <w:t>-</w:t>
            </w:r>
          </w:p>
        </w:tc>
      </w:tr>
      <w:tr w:rsidR="0025306E" w:rsidRPr="00725D01" w:rsidTr="00AA4E25">
        <w:trPr>
          <w:trHeight w:val="315"/>
        </w:trPr>
        <w:tc>
          <w:tcPr>
            <w:tcW w:w="2977" w:type="dxa"/>
            <w:tcBorders>
              <w:top w:val="nil"/>
              <w:left w:val="nil"/>
              <w:bottom w:val="nil"/>
              <w:right w:val="nil"/>
            </w:tcBorders>
            <w:shd w:val="clear" w:color="auto" w:fill="auto"/>
            <w:noWrap/>
            <w:vAlign w:val="bottom"/>
            <w:hideMark/>
          </w:tcPr>
          <w:p w:rsidR="0025306E" w:rsidRPr="00AA4E25" w:rsidRDefault="0025306E" w:rsidP="00571E2A">
            <w:pPr>
              <w:rPr>
                <w:b/>
                <w:bCs/>
                <w:sz w:val="20"/>
                <w:szCs w:val="20"/>
              </w:rPr>
            </w:pPr>
            <w:r w:rsidRPr="00AA4E25">
              <w:rPr>
                <w:b/>
                <w:bCs/>
                <w:sz w:val="20"/>
                <w:szCs w:val="20"/>
              </w:rPr>
              <w:t>Total</w:t>
            </w:r>
          </w:p>
        </w:tc>
        <w:tc>
          <w:tcPr>
            <w:tcW w:w="1417" w:type="dxa"/>
            <w:tcBorders>
              <w:top w:val="single" w:sz="4" w:space="0" w:color="auto"/>
              <w:left w:val="nil"/>
              <w:bottom w:val="double" w:sz="6" w:space="0" w:color="auto"/>
              <w:right w:val="nil"/>
            </w:tcBorders>
            <w:shd w:val="clear" w:color="auto" w:fill="auto"/>
            <w:noWrap/>
            <w:vAlign w:val="bottom"/>
            <w:hideMark/>
          </w:tcPr>
          <w:p w:rsidR="0025306E" w:rsidRPr="00AA4E25" w:rsidRDefault="0025306E" w:rsidP="00571E2A">
            <w:pPr>
              <w:jc w:val="right"/>
              <w:rPr>
                <w:b/>
                <w:bCs/>
                <w:sz w:val="20"/>
                <w:szCs w:val="20"/>
              </w:rPr>
            </w:pPr>
            <w:r w:rsidRPr="00AA4E25">
              <w:rPr>
                <w:b/>
                <w:bCs/>
                <w:sz w:val="20"/>
                <w:szCs w:val="20"/>
              </w:rPr>
              <w:t>35</w:t>
            </w:r>
          </w:p>
        </w:tc>
        <w:tc>
          <w:tcPr>
            <w:tcW w:w="1418" w:type="dxa"/>
            <w:tcBorders>
              <w:top w:val="single" w:sz="4" w:space="0" w:color="auto"/>
              <w:left w:val="nil"/>
              <w:bottom w:val="double" w:sz="6" w:space="0" w:color="auto"/>
              <w:right w:val="nil"/>
            </w:tcBorders>
            <w:shd w:val="clear" w:color="auto" w:fill="auto"/>
            <w:noWrap/>
            <w:vAlign w:val="bottom"/>
            <w:hideMark/>
          </w:tcPr>
          <w:p w:rsidR="0025306E" w:rsidRPr="00AA4E25" w:rsidRDefault="0025306E" w:rsidP="00571E2A">
            <w:pPr>
              <w:jc w:val="right"/>
              <w:rPr>
                <w:b/>
                <w:bCs/>
                <w:sz w:val="20"/>
                <w:szCs w:val="20"/>
              </w:rPr>
            </w:pPr>
            <w:r w:rsidRPr="00AA4E25">
              <w:rPr>
                <w:b/>
                <w:bCs/>
                <w:sz w:val="20"/>
                <w:szCs w:val="20"/>
              </w:rPr>
              <w:t>1</w:t>
            </w:r>
          </w:p>
        </w:tc>
        <w:tc>
          <w:tcPr>
            <w:tcW w:w="1701" w:type="dxa"/>
            <w:tcBorders>
              <w:top w:val="single" w:sz="4" w:space="0" w:color="auto"/>
              <w:left w:val="nil"/>
              <w:bottom w:val="double" w:sz="6" w:space="0" w:color="auto"/>
              <w:right w:val="nil"/>
            </w:tcBorders>
            <w:shd w:val="clear" w:color="auto" w:fill="auto"/>
            <w:noWrap/>
            <w:vAlign w:val="bottom"/>
            <w:hideMark/>
          </w:tcPr>
          <w:p w:rsidR="0025306E" w:rsidRPr="00AA4E25" w:rsidRDefault="0025306E" w:rsidP="00571E2A">
            <w:pPr>
              <w:jc w:val="right"/>
              <w:rPr>
                <w:b/>
                <w:bCs/>
                <w:sz w:val="20"/>
                <w:szCs w:val="20"/>
              </w:rPr>
            </w:pPr>
            <w:r w:rsidRPr="00AA4E25">
              <w:rPr>
                <w:b/>
                <w:bCs/>
                <w:sz w:val="20"/>
                <w:szCs w:val="20"/>
              </w:rPr>
              <w:t>0</w:t>
            </w:r>
          </w:p>
        </w:tc>
      </w:tr>
    </w:tbl>
    <w:tbl>
      <w:tblPr>
        <w:tblpPr w:leftFromText="180" w:rightFromText="180" w:vertAnchor="text" w:horzAnchor="page" w:tblpX="1283" w:tblpY="791"/>
        <w:tblOverlap w:val="never"/>
        <w:tblW w:w="3567" w:type="pct"/>
        <w:tblLook w:val="0000"/>
      </w:tblPr>
      <w:tblGrid>
        <w:gridCol w:w="3079"/>
        <w:gridCol w:w="1418"/>
        <w:gridCol w:w="1418"/>
        <w:gridCol w:w="1706"/>
      </w:tblGrid>
      <w:tr w:rsidR="00571E2A" w:rsidRPr="00A167F2" w:rsidDel="006C1797" w:rsidTr="00E66706">
        <w:trPr>
          <w:cantSplit/>
          <w:trHeight w:val="284"/>
        </w:trPr>
        <w:tc>
          <w:tcPr>
            <w:tcW w:w="5000" w:type="pct"/>
            <w:gridSpan w:val="4"/>
            <w:vAlign w:val="bottom"/>
          </w:tcPr>
          <w:p w:rsidR="00571E2A" w:rsidRPr="00A167F2" w:rsidDel="006C1797" w:rsidRDefault="00571E2A" w:rsidP="00E66706">
            <w:pPr>
              <w:pStyle w:val="Footer"/>
              <w:tabs>
                <w:tab w:val="clear" w:pos="4153"/>
                <w:tab w:val="clear" w:pos="8306"/>
                <w:tab w:val="decimal" w:pos="1012"/>
              </w:tabs>
              <w:spacing w:after="120"/>
              <w:rPr>
                <w:sz w:val="22"/>
              </w:rPr>
            </w:pPr>
            <w:r w:rsidRPr="00A167F2">
              <w:rPr>
                <w:b/>
                <w:sz w:val="22"/>
              </w:rPr>
              <w:t>Number of Employees – 20</w:t>
            </w:r>
            <w:r>
              <w:rPr>
                <w:b/>
                <w:sz w:val="22"/>
              </w:rPr>
              <w:t>10/11</w:t>
            </w:r>
          </w:p>
        </w:tc>
      </w:tr>
      <w:tr w:rsidR="00571E2A" w:rsidRPr="00A167F2" w:rsidTr="00E66706">
        <w:trPr>
          <w:cantSplit/>
          <w:trHeight w:val="170"/>
        </w:trPr>
        <w:tc>
          <w:tcPr>
            <w:tcW w:w="2021"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tabs>
                <w:tab w:val="left" w:pos="1956"/>
              </w:tabs>
              <w:rPr>
                <w:sz w:val="20"/>
                <w:szCs w:val="20"/>
              </w:rPr>
            </w:pPr>
            <w:r w:rsidRPr="00571E2A">
              <w:rPr>
                <w:sz w:val="20"/>
                <w:szCs w:val="20"/>
              </w:rPr>
              <w:t>Remuneration Band (£)</w:t>
            </w:r>
          </w:p>
        </w:tc>
        <w:tc>
          <w:tcPr>
            <w:tcW w:w="930"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jc w:val="center"/>
              <w:rPr>
                <w:sz w:val="20"/>
                <w:szCs w:val="20"/>
              </w:rPr>
            </w:pPr>
            <w:r w:rsidRPr="00571E2A">
              <w:rPr>
                <w:sz w:val="20"/>
                <w:szCs w:val="20"/>
              </w:rPr>
              <w:t>Non teaching staff</w:t>
            </w:r>
          </w:p>
        </w:tc>
        <w:tc>
          <w:tcPr>
            <w:tcW w:w="930"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center"/>
              <w:rPr>
                <w:sz w:val="20"/>
                <w:szCs w:val="20"/>
              </w:rPr>
            </w:pPr>
            <w:r w:rsidRPr="00571E2A">
              <w:rPr>
                <w:sz w:val="20"/>
                <w:szCs w:val="20"/>
              </w:rPr>
              <w:t>OneConnect ltd</w:t>
            </w:r>
          </w:p>
        </w:tc>
        <w:tc>
          <w:tcPr>
            <w:tcW w:w="1118"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center"/>
              <w:rPr>
                <w:sz w:val="20"/>
                <w:szCs w:val="20"/>
              </w:rPr>
            </w:pPr>
            <w:r w:rsidRPr="00571E2A">
              <w:rPr>
                <w:sz w:val="20"/>
                <w:szCs w:val="20"/>
              </w:rPr>
              <w:t>Teaching staff</w:t>
            </w:r>
          </w:p>
        </w:tc>
      </w:tr>
      <w:tr w:rsidR="00571E2A" w:rsidRPr="00A167F2" w:rsidTr="00E66706">
        <w:trPr>
          <w:cantSplit/>
          <w:trHeight w:val="170"/>
        </w:trPr>
        <w:tc>
          <w:tcPr>
            <w:tcW w:w="2021"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tabs>
                <w:tab w:val="left" w:pos="1956"/>
              </w:tabs>
              <w:rPr>
                <w:sz w:val="20"/>
                <w:szCs w:val="20"/>
              </w:rPr>
            </w:pPr>
            <w:r w:rsidRPr="00571E2A">
              <w:rPr>
                <w:sz w:val="20"/>
                <w:szCs w:val="20"/>
              </w:rPr>
              <w:t>50,000 - 54,999</w:t>
            </w:r>
          </w:p>
        </w:tc>
        <w:tc>
          <w:tcPr>
            <w:tcW w:w="930"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jc w:val="right"/>
              <w:rPr>
                <w:sz w:val="20"/>
                <w:szCs w:val="20"/>
              </w:rPr>
            </w:pPr>
            <w:r w:rsidRPr="00571E2A">
              <w:rPr>
                <w:sz w:val="20"/>
                <w:szCs w:val="20"/>
              </w:rPr>
              <w:t>113</w:t>
            </w:r>
          </w:p>
        </w:tc>
        <w:tc>
          <w:tcPr>
            <w:tcW w:w="930"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9</w:t>
            </w:r>
          </w:p>
        </w:tc>
        <w:tc>
          <w:tcPr>
            <w:tcW w:w="1118"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352</w:t>
            </w:r>
          </w:p>
        </w:tc>
      </w:tr>
      <w:tr w:rsidR="00571E2A" w:rsidRPr="00A167F2" w:rsidTr="00E66706">
        <w:trPr>
          <w:cantSplit/>
          <w:trHeight w:val="284"/>
        </w:trPr>
        <w:tc>
          <w:tcPr>
            <w:tcW w:w="2021"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tabs>
                <w:tab w:val="left" w:pos="1956"/>
              </w:tabs>
              <w:rPr>
                <w:sz w:val="20"/>
                <w:szCs w:val="20"/>
              </w:rPr>
            </w:pPr>
            <w:r w:rsidRPr="00571E2A">
              <w:rPr>
                <w:sz w:val="20"/>
                <w:szCs w:val="20"/>
              </w:rPr>
              <w:t>55,000 - 59,999</w:t>
            </w:r>
          </w:p>
        </w:tc>
        <w:tc>
          <w:tcPr>
            <w:tcW w:w="930"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jc w:val="right"/>
              <w:rPr>
                <w:sz w:val="20"/>
                <w:szCs w:val="20"/>
              </w:rPr>
            </w:pPr>
            <w:r w:rsidRPr="00571E2A">
              <w:rPr>
                <w:sz w:val="20"/>
                <w:szCs w:val="20"/>
              </w:rPr>
              <w:t>73</w:t>
            </w:r>
          </w:p>
        </w:tc>
        <w:tc>
          <w:tcPr>
            <w:tcW w:w="930"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5</w:t>
            </w:r>
          </w:p>
        </w:tc>
        <w:tc>
          <w:tcPr>
            <w:tcW w:w="1118"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187</w:t>
            </w:r>
          </w:p>
        </w:tc>
      </w:tr>
      <w:tr w:rsidR="00571E2A" w:rsidRPr="00A167F2" w:rsidTr="00E66706">
        <w:trPr>
          <w:cantSplit/>
          <w:trHeight w:val="284"/>
        </w:trPr>
        <w:tc>
          <w:tcPr>
            <w:tcW w:w="2021"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tabs>
                <w:tab w:val="left" w:pos="1956"/>
              </w:tabs>
              <w:rPr>
                <w:sz w:val="20"/>
                <w:szCs w:val="20"/>
              </w:rPr>
            </w:pPr>
            <w:r w:rsidRPr="00571E2A">
              <w:rPr>
                <w:sz w:val="20"/>
                <w:szCs w:val="20"/>
              </w:rPr>
              <w:t>60,000 - 64,999</w:t>
            </w:r>
          </w:p>
        </w:tc>
        <w:tc>
          <w:tcPr>
            <w:tcW w:w="930"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jc w:val="right"/>
              <w:rPr>
                <w:sz w:val="20"/>
                <w:szCs w:val="20"/>
              </w:rPr>
            </w:pPr>
            <w:r w:rsidRPr="00571E2A">
              <w:rPr>
                <w:sz w:val="20"/>
                <w:szCs w:val="20"/>
              </w:rPr>
              <w:t>52</w:t>
            </w:r>
          </w:p>
        </w:tc>
        <w:tc>
          <w:tcPr>
            <w:tcW w:w="930"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2</w:t>
            </w:r>
          </w:p>
        </w:tc>
        <w:tc>
          <w:tcPr>
            <w:tcW w:w="1118"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88</w:t>
            </w:r>
          </w:p>
        </w:tc>
      </w:tr>
      <w:tr w:rsidR="00571E2A" w:rsidRPr="00A167F2" w:rsidTr="00E66706">
        <w:trPr>
          <w:cantSplit/>
          <w:trHeight w:val="284"/>
        </w:trPr>
        <w:tc>
          <w:tcPr>
            <w:tcW w:w="2021"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tabs>
                <w:tab w:val="left" w:pos="1956"/>
              </w:tabs>
              <w:rPr>
                <w:sz w:val="20"/>
                <w:szCs w:val="20"/>
              </w:rPr>
            </w:pPr>
            <w:r w:rsidRPr="00571E2A">
              <w:rPr>
                <w:sz w:val="20"/>
                <w:szCs w:val="20"/>
              </w:rPr>
              <w:t>65,000 - 69,999</w:t>
            </w:r>
          </w:p>
        </w:tc>
        <w:tc>
          <w:tcPr>
            <w:tcW w:w="930"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jc w:val="right"/>
              <w:rPr>
                <w:sz w:val="20"/>
                <w:szCs w:val="20"/>
              </w:rPr>
            </w:pPr>
            <w:r w:rsidRPr="00571E2A">
              <w:rPr>
                <w:sz w:val="20"/>
                <w:szCs w:val="20"/>
              </w:rPr>
              <w:t>27</w:t>
            </w:r>
          </w:p>
        </w:tc>
        <w:tc>
          <w:tcPr>
            <w:tcW w:w="930"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w:t>
            </w:r>
          </w:p>
        </w:tc>
        <w:tc>
          <w:tcPr>
            <w:tcW w:w="1118"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41</w:t>
            </w:r>
          </w:p>
        </w:tc>
      </w:tr>
      <w:tr w:rsidR="00571E2A" w:rsidRPr="00A167F2" w:rsidTr="00E66706">
        <w:trPr>
          <w:cantSplit/>
          <w:trHeight w:val="284"/>
        </w:trPr>
        <w:tc>
          <w:tcPr>
            <w:tcW w:w="2021"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rPr>
                <w:sz w:val="20"/>
                <w:szCs w:val="20"/>
              </w:rPr>
            </w:pPr>
            <w:r w:rsidRPr="00571E2A">
              <w:rPr>
                <w:sz w:val="20"/>
                <w:szCs w:val="20"/>
              </w:rPr>
              <w:t>70,000 - 74,999</w:t>
            </w:r>
          </w:p>
        </w:tc>
        <w:tc>
          <w:tcPr>
            <w:tcW w:w="930"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jc w:val="right"/>
              <w:rPr>
                <w:sz w:val="20"/>
                <w:szCs w:val="20"/>
              </w:rPr>
            </w:pPr>
            <w:r w:rsidRPr="00571E2A">
              <w:rPr>
                <w:sz w:val="20"/>
                <w:szCs w:val="20"/>
              </w:rPr>
              <w:t>16</w:t>
            </w:r>
          </w:p>
        </w:tc>
        <w:tc>
          <w:tcPr>
            <w:tcW w:w="930"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w:t>
            </w:r>
          </w:p>
        </w:tc>
        <w:tc>
          <w:tcPr>
            <w:tcW w:w="1118"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25</w:t>
            </w:r>
          </w:p>
        </w:tc>
      </w:tr>
      <w:tr w:rsidR="00571E2A" w:rsidRPr="00A167F2" w:rsidTr="00E66706">
        <w:trPr>
          <w:cantSplit/>
          <w:trHeight w:val="284"/>
        </w:trPr>
        <w:tc>
          <w:tcPr>
            <w:tcW w:w="2021"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rPr>
                <w:sz w:val="20"/>
                <w:szCs w:val="20"/>
              </w:rPr>
            </w:pPr>
            <w:r w:rsidRPr="00571E2A">
              <w:rPr>
                <w:sz w:val="20"/>
                <w:szCs w:val="20"/>
              </w:rPr>
              <w:t>75,000 - 79,999</w:t>
            </w:r>
          </w:p>
        </w:tc>
        <w:tc>
          <w:tcPr>
            <w:tcW w:w="930"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jc w:val="right"/>
              <w:rPr>
                <w:sz w:val="20"/>
                <w:szCs w:val="20"/>
              </w:rPr>
            </w:pPr>
            <w:r w:rsidRPr="00571E2A">
              <w:rPr>
                <w:sz w:val="20"/>
                <w:szCs w:val="20"/>
              </w:rPr>
              <w:t>13</w:t>
            </w:r>
          </w:p>
        </w:tc>
        <w:tc>
          <w:tcPr>
            <w:tcW w:w="930"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w:t>
            </w:r>
          </w:p>
        </w:tc>
        <w:tc>
          <w:tcPr>
            <w:tcW w:w="1118"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22</w:t>
            </w:r>
          </w:p>
        </w:tc>
      </w:tr>
      <w:tr w:rsidR="00571E2A" w:rsidRPr="00A167F2" w:rsidTr="00E66706">
        <w:trPr>
          <w:cantSplit/>
          <w:trHeight w:val="284"/>
        </w:trPr>
        <w:tc>
          <w:tcPr>
            <w:tcW w:w="2021"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rPr>
                <w:sz w:val="20"/>
                <w:szCs w:val="20"/>
              </w:rPr>
            </w:pPr>
            <w:r w:rsidRPr="00571E2A">
              <w:rPr>
                <w:sz w:val="20"/>
                <w:szCs w:val="20"/>
              </w:rPr>
              <w:t>80,000 - 84,999</w:t>
            </w:r>
          </w:p>
        </w:tc>
        <w:tc>
          <w:tcPr>
            <w:tcW w:w="930"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jc w:val="right"/>
              <w:rPr>
                <w:sz w:val="20"/>
                <w:szCs w:val="20"/>
              </w:rPr>
            </w:pPr>
            <w:r w:rsidRPr="00571E2A">
              <w:rPr>
                <w:sz w:val="20"/>
                <w:szCs w:val="20"/>
              </w:rPr>
              <w:t>5</w:t>
            </w:r>
          </w:p>
        </w:tc>
        <w:tc>
          <w:tcPr>
            <w:tcW w:w="930"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1</w:t>
            </w:r>
          </w:p>
        </w:tc>
        <w:tc>
          <w:tcPr>
            <w:tcW w:w="1118"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12</w:t>
            </w:r>
          </w:p>
        </w:tc>
      </w:tr>
      <w:tr w:rsidR="00571E2A" w:rsidRPr="00A167F2" w:rsidTr="00E66706">
        <w:trPr>
          <w:cantSplit/>
          <w:trHeight w:val="284"/>
        </w:trPr>
        <w:tc>
          <w:tcPr>
            <w:tcW w:w="2021"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rPr>
                <w:sz w:val="20"/>
                <w:szCs w:val="20"/>
              </w:rPr>
            </w:pPr>
            <w:r w:rsidRPr="00571E2A">
              <w:rPr>
                <w:sz w:val="20"/>
                <w:szCs w:val="20"/>
              </w:rPr>
              <w:t>85,000 – 89,999</w:t>
            </w:r>
          </w:p>
        </w:tc>
        <w:tc>
          <w:tcPr>
            <w:tcW w:w="930"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jc w:val="right"/>
              <w:rPr>
                <w:sz w:val="20"/>
                <w:szCs w:val="20"/>
              </w:rPr>
            </w:pPr>
            <w:r w:rsidRPr="00571E2A">
              <w:rPr>
                <w:sz w:val="20"/>
                <w:szCs w:val="20"/>
              </w:rPr>
              <w:t>4</w:t>
            </w:r>
          </w:p>
        </w:tc>
        <w:tc>
          <w:tcPr>
            <w:tcW w:w="930"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w:t>
            </w:r>
          </w:p>
        </w:tc>
        <w:tc>
          <w:tcPr>
            <w:tcW w:w="1118"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11</w:t>
            </w:r>
          </w:p>
        </w:tc>
      </w:tr>
      <w:tr w:rsidR="00571E2A" w:rsidRPr="00A167F2" w:rsidTr="00E66706">
        <w:trPr>
          <w:cantSplit/>
          <w:trHeight w:val="284"/>
        </w:trPr>
        <w:tc>
          <w:tcPr>
            <w:tcW w:w="2021"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rPr>
                <w:sz w:val="20"/>
                <w:szCs w:val="20"/>
              </w:rPr>
            </w:pPr>
            <w:r w:rsidRPr="00571E2A">
              <w:rPr>
                <w:sz w:val="20"/>
                <w:szCs w:val="20"/>
              </w:rPr>
              <w:t>90,000 - 94,999</w:t>
            </w:r>
          </w:p>
        </w:tc>
        <w:tc>
          <w:tcPr>
            <w:tcW w:w="930"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jc w:val="right"/>
              <w:rPr>
                <w:sz w:val="20"/>
                <w:szCs w:val="20"/>
              </w:rPr>
            </w:pPr>
            <w:r w:rsidRPr="00571E2A">
              <w:rPr>
                <w:sz w:val="20"/>
                <w:szCs w:val="20"/>
              </w:rPr>
              <w:t>6</w:t>
            </w:r>
          </w:p>
        </w:tc>
        <w:tc>
          <w:tcPr>
            <w:tcW w:w="930"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w:t>
            </w:r>
          </w:p>
        </w:tc>
        <w:tc>
          <w:tcPr>
            <w:tcW w:w="1118"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9</w:t>
            </w:r>
          </w:p>
        </w:tc>
      </w:tr>
      <w:tr w:rsidR="00571E2A" w:rsidRPr="00A167F2" w:rsidTr="00E66706">
        <w:trPr>
          <w:cantSplit/>
          <w:trHeight w:val="284"/>
        </w:trPr>
        <w:tc>
          <w:tcPr>
            <w:tcW w:w="2021"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rPr>
                <w:sz w:val="20"/>
                <w:szCs w:val="20"/>
              </w:rPr>
            </w:pPr>
            <w:r w:rsidRPr="00571E2A">
              <w:rPr>
                <w:sz w:val="20"/>
                <w:szCs w:val="20"/>
              </w:rPr>
              <w:t>95,000 - 99,999</w:t>
            </w:r>
          </w:p>
        </w:tc>
        <w:tc>
          <w:tcPr>
            <w:tcW w:w="930"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jc w:val="right"/>
              <w:rPr>
                <w:sz w:val="20"/>
                <w:szCs w:val="20"/>
              </w:rPr>
            </w:pPr>
            <w:r w:rsidRPr="00571E2A">
              <w:rPr>
                <w:sz w:val="20"/>
                <w:szCs w:val="20"/>
              </w:rPr>
              <w:t>8</w:t>
            </w:r>
          </w:p>
        </w:tc>
        <w:tc>
          <w:tcPr>
            <w:tcW w:w="930"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w:t>
            </w:r>
          </w:p>
        </w:tc>
        <w:tc>
          <w:tcPr>
            <w:tcW w:w="1118"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3</w:t>
            </w:r>
          </w:p>
        </w:tc>
      </w:tr>
      <w:tr w:rsidR="00571E2A" w:rsidRPr="00A167F2" w:rsidTr="00E66706">
        <w:trPr>
          <w:cantSplit/>
          <w:trHeight w:val="284"/>
        </w:trPr>
        <w:tc>
          <w:tcPr>
            <w:tcW w:w="2021"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rPr>
                <w:sz w:val="20"/>
                <w:szCs w:val="20"/>
              </w:rPr>
            </w:pPr>
            <w:r w:rsidRPr="00571E2A">
              <w:rPr>
                <w:sz w:val="20"/>
                <w:szCs w:val="20"/>
              </w:rPr>
              <w:t>100,000 - 104,999</w:t>
            </w:r>
          </w:p>
        </w:tc>
        <w:tc>
          <w:tcPr>
            <w:tcW w:w="930"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jc w:val="right"/>
              <w:rPr>
                <w:sz w:val="20"/>
                <w:szCs w:val="20"/>
              </w:rPr>
            </w:pPr>
            <w:r w:rsidRPr="00571E2A">
              <w:rPr>
                <w:sz w:val="20"/>
                <w:szCs w:val="20"/>
              </w:rPr>
              <w:t>3</w:t>
            </w:r>
          </w:p>
        </w:tc>
        <w:tc>
          <w:tcPr>
            <w:tcW w:w="930"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w:t>
            </w:r>
          </w:p>
        </w:tc>
        <w:tc>
          <w:tcPr>
            <w:tcW w:w="1118"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5</w:t>
            </w:r>
          </w:p>
        </w:tc>
      </w:tr>
      <w:tr w:rsidR="00571E2A" w:rsidRPr="00A167F2" w:rsidTr="00E66706">
        <w:trPr>
          <w:cantSplit/>
          <w:trHeight w:val="284"/>
        </w:trPr>
        <w:tc>
          <w:tcPr>
            <w:tcW w:w="2021"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tabs>
                <w:tab w:val="left" w:pos="1956"/>
              </w:tabs>
              <w:rPr>
                <w:sz w:val="20"/>
                <w:szCs w:val="20"/>
              </w:rPr>
            </w:pPr>
            <w:r w:rsidRPr="00571E2A">
              <w:rPr>
                <w:sz w:val="20"/>
                <w:szCs w:val="20"/>
              </w:rPr>
              <w:t>105,000 - 109,999</w:t>
            </w:r>
          </w:p>
        </w:tc>
        <w:tc>
          <w:tcPr>
            <w:tcW w:w="930"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jc w:val="right"/>
              <w:rPr>
                <w:sz w:val="20"/>
                <w:szCs w:val="20"/>
              </w:rPr>
            </w:pPr>
            <w:r w:rsidRPr="00571E2A">
              <w:rPr>
                <w:sz w:val="20"/>
                <w:szCs w:val="20"/>
              </w:rPr>
              <w:t>1</w:t>
            </w:r>
          </w:p>
        </w:tc>
        <w:tc>
          <w:tcPr>
            <w:tcW w:w="930"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w:t>
            </w:r>
          </w:p>
        </w:tc>
        <w:tc>
          <w:tcPr>
            <w:tcW w:w="1118"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2</w:t>
            </w:r>
          </w:p>
        </w:tc>
      </w:tr>
      <w:tr w:rsidR="00571E2A" w:rsidRPr="00A167F2" w:rsidTr="00E66706">
        <w:trPr>
          <w:cantSplit/>
          <w:trHeight w:val="284"/>
        </w:trPr>
        <w:tc>
          <w:tcPr>
            <w:tcW w:w="2021"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rPr>
                <w:sz w:val="20"/>
                <w:szCs w:val="20"/>
              </w:rPr>
            </w:pPr>
            <w:r w:rsidRPr="00571E2A">
              <w:rPr>
                <w:sz w:val="20"/>
                <w:szCs w:val="20"/>
              </w:rPr>
              <w:t>110,000 - 114,999</w:t>
            </w:r>
          </w:p>
        </w:tc>
        <w:tc>
          <w:tcPr>
            <w:tcW w:w="930"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jc w:val="right"/>
              <w:rPr>
                <w:sz w:val="20"/>
                <w:szCs w:val="20"/>
              </w:rPr>
            </w:pPr>
            <w:r w:rsidRPr="00571E2A">
              <w:rPr>
                <w:sz w:val="20"/>
                <w:szCs w:val="20"/>
              </w:rPr>
              <w:t>1</w:t>
            </w:r>
          </w:p>
        </w:tc>
        <w:tc>
          <w:tcPr>
            <w:tcW w:w="930"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w:t>
            </w:r>
          </w:p>
        </w:tc>
        <w:tc>
          <w:tcPr>
            <w:tcW w:w="1118"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w:t>
            </w:r>
          </w:p>
        </w:tc>
      </w:tr>
      <w:tr w:rsidR="00571E2A" w:rsidRPr="00A167F2" w:rsidTr="00E66706">
        <w:trPr>
          <w:cantSplit/>
          <w:trHeight w:val="284"/>
        </w:trPr>
        <w:tc>
          <w:tcPr>
            <w:tcW w:w="2021"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rPr>
                <w:sz w:val="20"/>
                <w:szCs w:val="20"/>
              </w:rPr>
            </w:pPr>
            <w:r w:rsidRPr="00571E2A">
              <w:rPr>
                <w:sz w:val="20"/>
                <w:szCs w:val="20"/>
              </w:rPr>
              <w:t>115,000 - 119,999</w:t>
            </w:r>
          </w:p>
        </w:tc>
        <w:tc>
          <w:tcPr>
            <w:tcW w:w="930"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jc w:val="right"/>
              <w:rPr>
                <w:sz w:val="20"/>
                <w:szCs w:val="20"/>
              </w:rPr>
            </w:pPr>
            <w:r w:rsidRPr="00571E2A">
              <w:rPr>
                <w:sz w:val="20"/>
                <w:szCs w:val="20"/>
              </w:rPr>
              <w:t>1</w:t>
            </w:r>
          </w:p>
        </w:tc>
        <w:tc>
          <w:tcPr>
            <w:tcW w:w="930"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w:t>
            </w:r>
          </w:p>
        </w:tc>
        <w:tc>
          <w:tcPr>
            <w:tcW w:w="1118"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w:t>
            </w:r>
          </w:p>
        </w:tc>
      </w:tr>
      <w:tr w:rsidR="00571E2A" w:rsidRPr="00A167F2" w:rsidTr="00E66706">
        <w:trPr>
          <w:cantSplit/>
          <w:trHeight w:val="284"/>
        </w:trPr>
        <w:tc>
          <w:tcPr>
            <w:tcW w:w="2021"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rPr>
                <w:sz w:val="20"/>
                <w:szCs w:val="20"/>
              </w:rPr>
            </w:pPr>
            <w:r w:rsidRPr="00571E2A">
              <w:rPr>
                <w:sz w:val="20"/>
                <w:szCs w:val="20"/>
              </w:rPr>
              <w:t>120,000 - 124,999</w:t>
            </w:r>
          </w:p>
        </w:tc>
        <w:tc>
          <w:tcPr>
            <w:tcW w:w="930"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jc w:val="right"/>
              <w:rPr>
                <w:sz w:val="20"/>
                <w:szCs w:val="20"/>
              </w:rPr>
            </w:pPr>
            <w:r w:rsidRPr="00571E2A">
              <w:rPr>
                <w:sz w:val="20"/>
                <w:szCs w:val="20"/>
              </w:rPr>
              <w:t>-</w:t>
            </w:r>
          </w:p>
        </w:tc>
        <w:tc>
          <w:tcPr>
            <w:tcW w:w="930"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w:t>
            </w:r>
          </w:p>
        </w:tc>
        <w:tc>
          <w:tcPr>
            <w:tcW w:w="1118"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w:t>
            </w:r>
          </w:p>
        </w:tc>
      </w:tr>
      <w:tr w:rsidR="00571E2A" w:rsidRPr="00A167F2" w:rsidTr="00E66706">
        <w:trPr>
          <w:cantSplit/>
          <w:trHeight w:val="284"/>
        </w:trPr>
        <w:tc>
          <w:tcPr>
            <w:tcW w:w="2021"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rPr>
                <w:sz w:val="20"/>
                <w:szCs w:val="20"/>
              </w:rPr>
            </w:pPr>
            <w:r w:rsidRPr="00571E2A">
              <w:rPr>
                <w:sz w:val="20"/>
                <w:szCs w:val="20"/>
              </w:rPr>
              <w:t>125,000 - 129,999</w:t>
            </w:r>
          </w:p>
        </w:tc>
        <w:tc>
          <w:tcPr>
            <w:tcW w:w="930"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jc w:val="right"/>
              <w:rPr>
                <w:sz w:val="20"/>
                <w:szCs w:val="20"/>
              </w:rPr>
            </w:pPr>
            <w:r w:rsidRPr="00571E2A">
              <w:rPr>
                <w:sz w:val="20"/>
                <w:szCs w:val="20"/>
              </w:rPr>
              <w:t>1</w:t>
            </w:r>
          </w:p>
        </w:tc>
        <w:tc>
          <w:tcPr>
            <w:tcW w:w="930"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w:t>
            </w:r>
          </w:p>
        </w:tc>
        <w:tc>
          <w:tcPr>
            <w:tcW w:w="1118"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w:t>
            </w:r>
          </w:p>
        </w:tc>
      </w:tr>
      <w:tr w:rsidR="00571E2A" w:rsidRPr="00A167F2" w:rsidTr="00E66706">
        <w:trPr>
          <w:cantSplit/>
          <w:trHeight w:val="284"/>
        </w:trPr>
        <w:tc>
          <w:tcPr>
            <w:tcW w:w="2021"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rPr>
                <w:sz w:val="20"/>
                <w:szCs w:val="20"/>
              </w:rPr>
            </w:pPr>
            <w:r w:rsidRPr="00571E2A">
              <w:rPr>
                <w:sz w:val="20"/>
                <w:szCs w:val="20"/>
              </w:rPr>
              <w:t>130,000 - 134,999</w:t>
            </w:r>
          </w:p>
        </w:tc>
        <w:tc>
          <w:tcPr>
            <w:tcW w:w="930"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jc w:val="right"/>
              <w:rPr>
                <w:sz w:val="20"/>
                <w:szCs w:val="20"/>
              </w:rPr>
            </w:pPr>
            <w:r w:rsidRPr="00571E2A">
              <w:rPr>
                <w:sz w:val="20"/>
                <w:szCs w:val="20"/>
              </w:rPr>
              <w:t>1</w:t>
            </w:r>
          </w:p>
        </w:tc>
        <w:tc>
          <w:tcPr>
            <w:tcW w:w="930"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w:t>
            </w:r>
          </w:p>
        </w:tc>
        <w:tc>
          <w:tcPr>
            <w:tcW w:w="1118"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w:t>
            </w:r>
          </w:p>
        </w:tc>
      </w:tr>
      <w:tr w:rsidR="00571E2A" w:rsidRPr="00A167F2" w:rsidTr="00E66706">
        <w:trPr>
          <w:cantSplit/>
          <w:trHeight w:val="284"/>
        </w:trPr>
        <w:tc>
          <w:tcPr>
            <w:tcW w:w="2021"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rPr>
                <w:sz w:val="20"/>
                <w:szCs w:val="20"/>
              </w:rPr>
            </w:pPr>
            <w:r w:rsidRPr="00571E2A">
              <w:rPr>
                <w:sz w:val="20"/>
                <w:szCs w:val="20"/>
              </w:rPr>
              <w:t>135,000 - 139,999</w:t>
            </w:r>
          </w:p>
        </w:tc>
        <w:tc>
          <w:tcPr>
            <w:tcW w:w="930"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jc w:val="right"/>
              <w:rPr>
                <w:sz w:val="20"/>
                <w:szCs w:val="20"/>
              </w:rPr>
            </w:pPr>
            <w:r w:rsidRPr="00571E2A">
              <w:rPr>
                <w:sz w:val="20"/>
                <w:szCs w:val="20"/>
              </w:rPr>
              <w:t>-</w:t>
            </w:r>
          </w:p>
        </w:tc>
        <w:tc>
          <w:tcPr>
            <w:tcW w:w="930"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w:t>
            </w:r>
          </w:p>
        </w:tc>
        <w:tc>
          <w:tcPr>
            <w:tcW w:w="1118"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w:t>
            </w:r>
          </w:p>
        </w:tc>
      </w:tr>
      <w:tr w:rsidR="00571E2A" w:rsidRPr="00A167F2" w:rsidTr="00E66706">
        <w:trPr>
          <w:cantSplit/>
          <w:trHeight w:val="284"/>
        </w:trPr>
        <w:tc>
          <w:tcPr>
            <w:tcW w:w="2021"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rPr>
                <w:sz w:val="20"/>
                <w:szCs w:val="20"/>
              </w:rPr>
            </w:pPr>
            <w:r w:rsidRPr="00571E2A">
              <w:rPr>
                <w:sz w:val="20"/>
                <w:szCs w:val="20"/>
              </w:rPr>
              <w:t>140,000 - 144,999</w:t>
            </w:r>
          </w:p>
        </w:tc>
        <w:tc>
          <w:tcPr>
            <w:tcW w:w="930"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jc w:val="right"/>
              <w:rPr>
                <w:sz w:val="20"/>
                <w:szCs w:val="20"/>
              </w:rPr>
            </w:pPr>
            <w:r w:rsidRPr="00571E2A">
              <w:rPr>
                <w:sz w:val="20"/>
                <w:szCs w:val="20"/>
              </w:rPr>
              <w:t>-</w:t>
            </w:r>
          </w:p>
        </w:tc>
        <w:tc>
          <w:tcPr>
            <w:tcW w:w="930"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w:t>
            </w:r>
          </w:p>
        </w:tc>
        <w:tc>
          <w:tcPr>
            <w:tcW w:w="1118"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w:t>
            </w:r>
          </w:p>
        </w:tc>
      </w:tr>
      <w:tr w:rsidR="00571E2A" w:rsidRPr="00A167F2" w:rsidTr="00E66706">
        <w:trPr>
          <w:cantSplit/>
          <w:trHeight w:val="284"/>
        </w:trPr>
        <w:tc>
          <w:tcPr>
            <w:tcW w:w="2021"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rPr>
                <w:sz w:val="20"/>
                <w:szCs w:val="20"/>
              </w:rPr>
            </w:pPr>
            <w:r w:rsidRPr="00571E2A">
              <w:rPr>
                <w:sz w:val="20"/>
                <w:szCs w:val="20"/>
              </w:rPr>
              <w:t>145,000 - 149,999</w:t>
            </w:r>
          </w:p>
        </w:tc>
        <w:tc>
          <w:tcPr>
            <w:tcW w:w="930"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jc w:val="right"/>
              <w:rPr>
                <w:sz w:val="20"/>
                <w:szCs w:val="20"/>
              </w:rPr>
            </w:pPr>
            <w:r w:rsidRPr="00571E2A">
              <w:rPr>
                <w:sz w:val="20"/>
                <w:szCs w:val="20"/>
              </w:rPr>
              <w:t>-</w:t>
            </w:r>
          </w:p>
        </w:tc>
        <w:tc>
          <w:tcPr>
            <w:tcW w:w="930"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w:t>
            </w:r>
          </w:p>
        </w:tc>
        <w:tc>
          <w:tcPr>
            <w:tcW w:w="1118"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w:t>
            </w:r>
          </w:p>
        </w:tc>
      </w:tr>
      <w:tr w:rsidR="00571E2A" w:rsidRPr="00A167F2" w:rsidTr="00E66706">
        <w:trPr>
          <w:cantSplit/>
          <w:trHeight w:val="284"/>
        </w:trPr>
        <w:tc>
          <w:tcPr>
            <w:tcW w:w="2021"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rPr>
                <w:sz w:val="20"/>
                <w:szCs w:val="20"/>
              </w:rPr>
            </w:pPr>
            <w:r w:rsidRPr="00571E2A">
              <w:rPr>
                <w:sz w:val="20"/>
                <w:szCs w:val="20"/>
              </w:rPr>
              <w:t>150,000 - 154,999</w:t>
            </w:r>
          </w:p>
        </w:tc>
        <w:tc>
          <w:tcPr>
            <w:tcW w:w="930"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jc w:val="right"/>
              <w:rPr>
                <w:sz w:val="20"/>
                <w:szCs w:val="20"/>
              </w:rPr>
            </w:pPr>
            <w:r w:rsidRPr="00571E2A">
              <w:rPr>
                <w:sz w:val="20"/>
                <w:szCs w:val="20"/>
              </w:rPr>
              <w:t>-</w:t>
            </w:r>
          </w:p>
        </w:tc>
        <w:tc>
          <w:tcPr>
            <w:tcW w:w="930"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w:t>
            </w:r>
          </w:p>
        </w:tc>
        <w:tc>
          <w:tcPr>
            <w:tcW w:w="1118"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w:t>
            </w:r>
          </w:p>
        </w:tc>
      </w:tr>
      <w:tr w:rsidR="00571E2A" w:rsidRPr="00A167F2" w:rsidTr="00E66706">
        <w:trPr>
          <w:cantSplit/>
          <w:trHeight w:val="284"/>
        </w:trPr>
        <w:tc>
          <w:tcPr>
            <w:tcW w:w="2021"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rPr>
                <w:sz w:val="20"/>
                <w:szCs w:val="20"/>
              </w:rPr>
            </w:pPr>
            <w:r w:rsidRPr="00571E2A">
              <w:rPr>
                <w:sz w:val="20"/>
                <w:szCs w:val="20"/>
              </w:rPr>
              <w:t>155,000 - 159,999</w:t>
            </w:r>
          </w:p>
        </w:tc>
        <w:tc>
          <w:tcPr>
            <w:tcW w:w="930"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jc w:val="right"/>
              <w:rPr>
                <w:sz w:val="20"/>
                <w:szCs w:val="20"/>
              </w:rPr>
            </w:pPr>
            <w:r w:rsidRPr="00571E2A">
              <w:rPr>
                <w:sz w:val="20"/>
                <w:szCs w:val="20"/>
              </w:rPr>
              <w:t>-</w:t>
            </w:r>
          </w:p>
        </w:tc>
        <w:tc>
          <w:tcPr>
            <w:tcW w:w="930"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w:t>
            </w:r>
          </w:p>
        </w:tc>
        <w:tc>
          <w:tcPr>
            <w:tcW w:w="1118" w:type="pct"/>
            <w:tcBorders>
              <w:top w:val="single" w:sz="4" w:space="0" w:color="auto"/>
              <w:left w:val="single" w:sz="4" w:space="0" w:color="auto"/>
              <w:bottom w:val="single" w:sz="4" w:space="0" w:color="auto"/>
              <w:right w:val="single" w:sz="4" w:space="0" w:color="auto"/>
            </w:tcBorders>
            <w:shd w:val="clear" w:color="00FFFF" w:fill="auto"/>
            <w:vAlign w:val="center"/>
          </w:tcPr>
          <w:p w:rsidR="00571E2A" w:rsidRPr="00571E2A" w:rsidRDefault="00571E2A" w:rsidP="00E66706">
            <w:pPr>
              <w:jc w:val="right"/>
              <w:rPr>
                <w:sz w:val="20"/>
                <w:szCs w:val="20"/>
              </w:rPr>
            </w:pPr>
            <w:r w:rsidRPr="00571E2A">
              <w:rPr>
                <w:sz w:val="20"/>
                <w:szCs w:val="20"/>
              </w:rPr>
              <w:t>-</w:t>
            </w:r>
          </w:p>
        </w:tc>
      </w:tr>
      <w:tr w:rsidR="00571E2A" w:rsidRPr="00A167F2" w:rsidTr="00E66706">
        <w:trPr>
          <w:cantSplit/>
          <w:trHeight w:val="806"/>
        </w:trPr>
        <w:tc>
          <w:tcPr>
            <w:tcW w:w="2021" w:type="pct"/>
            <w:tcBorders>
              <w:top w:val="single" w:sz="4" w:space="0" w:color="auto"/>
              <w:left w:val="single" w:sz="4" w:space="0" w:color="auto"/>
              <w:bottom w:val="single" w:sz="4" w:space="0" w:color="auto"/>
              <w:right w:val="single" w:sz="4" w:space="0" w:color="auto"/>
            </w:tcBorders>
            <w:vAlign w:val="center"/>
          </w:tcPr>
          <w:p w:rsidR="00571E2A" w:rsidRPr="00571E2A" w:rsidRDefault="00571E2A" w:rsidP="00E66706">
            <w:pPr>
              <w:spacing w:after="120"/>
              <w:ind w:right="1512"/>
              <w:rPr>
                <w:b/>
                <w:sz w:val="20"/>
                <w:szCs w:val="20"/>
              </w:rPr>
            </w:pPr>
            <w:r w:rsidRPr="00571E2A">
              <w:rPr>
                <w:b/>
                <w:sz w:val="20"/>
                <w:szCs w:val="20"/>
              </w:rPr>
              <w:t>TOTALS</w:t>
            </w:r>
          </w:p>
        </w:tc>
        <w:tc>
          <w:tcPr>
            <w:tcW w:w="930" w:type="pct"/>
            <w:tcBorders>
              <w:top w:val="single" w:sz="4" w:space="0" w:color="auto"/>
              <w:left w:val="single" w:sz="4" w:space="0" w:color="auto"/>
              <w:bottom w:val="single" w:sz="4" w:space="0" w:color="auto"/>
              <w:right w:val="single" w:sz="4" w:space="0" w:color="auto"/>
            </w:tcBorders>
            <w:vAlign w:val="bottom"/>
          </w:tcPr>
          <w:p w:rsidR="00571E2A" w:rsidRPr="00571E2A" w:rsidRDefault="00571E2A" w:rsidP="00E66706">
            <w:pPr>
              <w:jc w:val="right"/>
              <w:rPr>
                <w:b/>
                <w:bCs/>
                <w:sz w:val="20"/>
                <w:szCs w:val="20"/>
              </w:rPr>
            </w:pPr>
            <w:r w:rsidRPr="00571E2A">
              <w:rPr>
                <w:b/>
                <w:bCs/>
                <w:sz w:val="20"/>
                <w:szCs w:val="20"/>
              </w:rPr>
              <w:t>325</w:t>
            </w:r>
          </w:p>
        </w:tc>
        <w:tc>
          <w:tcPr>
            <w:tcW w:w="930" w:type="pct"/>
            <w:tcBorders>
              <w:top w:val="single" w:sz="4" w:space="0" w:color="auto"/>
              <w:left w:val="single" w:sz="4" w:space="0" w:color="auto"/>
              <w:bottom w:val="single" w:sz="4" w:space="0" w:color="auto"/>
              <w:right w:val="single" w:sz="4" w:space="0" w:color="auto"/>
            </w:tcBorders>
            <w:shd w:val="clear" w:color="00FFFF" w:fill="auto"/>
            <w:vAlign w:val="bottom"/>
          </w:tcPr>
          <w:p w:rsidR="00571E2A" w:rsidRPr="00571E2A" w:rsidRDefault="00571E2A" w:rsidP="00E66706">
            <w:pPr>
              <w:jc w:val="right"/>
              <w:rPr>
                <w:b/>
                <w:bCs/>
                <w:sz w:val="20"/>
                <w:szCs w:val="20"/>
              </w:rPr>
            </w:pPr>
            <w:r w:rsidRPr="00571E2A">
              <w:rPr>
                <w:b/>
                <w:bCs/>
                <w:sz w:val="20"/>
                <w:szCs w:val="20"/>
              </w:rPr>
              <w:t>17</w:t>
            </w:r>
          </w:p>
        </w:tc>
        <w:tc>
          <w:tcPr>
            <w:tcW w:w="1118" w:type="pct"/>
            <w:tcBorders>
              <w:top w:val="single" w:sz="4" w:space="0" w:color="auto"/>
              <w:left w:val="single" w:sz="4" w:space="0" w:color="auto"/>
              <w:bottom w:val="single" w:sz="4" w:space="0" w:color="auto"/>
              <w:right w:val="single" w:sz="4" w:space="0" w:color="auto"/>
            </w:tcBorders>
            <w:shd w:val="clear" w:color="00FFFF" w:fill="auto"/>
            <w:vAlign w:val="bottom"/>
          </w:tcPr>
          <w:p w:rsidR="00571E2A" w:rsidRPr="00571E2A" w:rsidRDefault="00571E2A" w:rsidP="00E66706">
            <w:pPr>
              <w:jc w:val="right"/>
              <w:rPr>
                <w:b/>
                <w:bCs/>
                <w:sz w:val="20"/>
                <w:szCs w:val="20"/>
              </w:rPr>
            </w:pPr>
            <w:r w:rsidRPr="00571E2A">
              <w:rPr>
                <w:b/>
                <w:bCs/>
                <w:sz w:val="20"/>
                <w:szCs w:val="20"/>
              </w:rPr>
              <w:t>757</w:t>
            </w:r>
          </w:p>
        </w:tc>
      </w:tr>
    </w:tbl>
    <w:p w:rsidR="00E66706" w:rsidRDefault="00E66706" w:rsidP="00571E2A">
      <w:pPr>
        <w:rPr>
          <w:sz w:val="22"/>
          <w:szCs w:val="22"/>
        </w:rPr>
      </w:pPr>
    </w:p>
    <w:p w:rsidR="00BD65FF" w:rsidRDefault="00E66706" w:rsidP="00571E2A">
      <w:pPr>
        <w:rPr>
          <w:sz w:val="22"/>
          <w:szCs w:val="22"/>
          <w:highlight w:val="yellow"/>
        </w:rPr>
      </w:pPr>
      <w:r w:rsidRPr="00AA4E25">
        <w:rPr>
          <w:sz w:val="22"/>
          <w:szCs w:val="22"/>
        </w:rPr>
        <w:t>The number of staff in receipt of a redundancy payment in the table above is broken down as follows</w:t>
      </w:r>
    </w:p>
    <w:p w:rsidR="00571E2A" w:rsidRDefault="00571E2A" w:rsidP="00BC6A99">
      <w:pPr>
        <w:jc w:val="both"/>
        <w:rPr>
          <w:sz w:val="22"/>
          <w:szCs w:val="22"/>
          <w:highlight w:val="yellow"/>
        </w:rPr>
      </w:pPr>
    </w:p>
    <w:p w:rsidR="00571E2A" w:rsidRDefault="00571E2A" w:rsidP="00BC6A99">
      <w:pPr>
        <w:jc w:val="both"/>
        <w:rPr>
          <w:sz w:val="22"/>
          <w:szCs w:val="22"/>
          <w:highlight w:val="yellow"/>
        </w:rPr>
      </w:pPr>
    </w:p>
    <w:p w:rsidR="00571E2A" w:rsidRDefault="00571E2A" w:rsidP="00BC6A99">
      <w:pPr>
        <w:jc w:val="both"/>
        <w:rPr>
          <w:sz w:val="22"/>
          <w:szCs w:val="22"/>
          <w:highlight w:val="yellow"/>
        </w:rPr>
      </w:pPr>
    </w:p>
    <w:p w:rsidR="00571E2A" w:rsidRDefault="00571E2A" w:rsidP="00BC6A99">
      <w:pPr>
        <w:jc w:val="both"/>
        <w:rPr>
          <w:sz w:val="22"/>
          <w:szCs w:val="22"/>
          <w:highlight w:val="yellow"/>
        </w:rPr>
      </w:pPr>
    </w:p>
    <w:p w:rsidR="00571E2A" w:rsidRDefault="00571E2A" w:rsidP="00BC6A99">
      <w:pPr>
        <w:jc w:val="both"/>
        <w:rPr>
          <w:sz w:val="22"/>
          <w:szCs w:val="22"/>
          <w:highlight w:val="yellow"/>
        </w:rPr>
      </w:pPr>
    </w:p>
    <w:p w:rsidR="00571E2A" w:rsidRDefault="00571E2A" w:rsidP="00BC6A99">
      <w:pPr>
        <w:jc w:val="both"/>
        <w:rPr>
          <w:sz w:val="22"/>
          <w:szCs w:val="22"/>
          <w:highlight w:val="yellow"/>
        </w:rPr>
      </w:pPr>
    </w:p>
    <w:p w:rsidR="00571E2A" w:rsidRPr="00AA4E25" w:rsidRDefault="00571E2A" w:rsidP="00571E2A">
      <w:pPr>
        <w:jc w:val="both"/>
        <w:rPr>
          <w:sz w:val="22"/>
          <w:szCs w:val="22"/>
        </w:rPr>
      </w:pPr>
      <w:r w:rsidRPr="00AA4E25">
        <w:rPr>
          <w:sz w:val="22"/>
          <w:szCs w:val="22"/>
        </w:rPr>
        <w:t>:</w:t>
      </w:r>
    </w:p>
    <w:p w:rsidR="00725D01" w:rsidRDefault="00725D01" w:rsidP="00BC6A99">
      <w:pPr>
        <w:jc w:val="both"/>
        <w:rPr>
          <w:sz w:val="22"/>
          <w:szCs w:val="22"/>
        </w:rPr>
      </w:pPr>
    </w:p>
    <w:p w:rsidR="00571E2A" w:rsidRDefault="00571E2A" w:rsidP="00BC6A99">
      <w:pPr>
        <w:jc w:val="both"/>
        <w:rPr>
          <w:sz w:val="22"/>
          <w:szCs w:val="22"/>
        </w:rPr>
      </w:pPr>
    </w:p>
    <w:p w:rsidR="00E66706" w:rsidRDefault="00E66706" w:rsidP="00BC6A99">
      <w:pPr>
        <w:jc w:val="both"/>
        <w:rPr>
          <w:sz w:val="22"/>
          <w:szCs w:val="22"/>
        </w:rPr>
      </w:pPr>
    </w:p>
    <w:p w:rsidR="00E66706" w:rsidRDefault="00E66706" w:rsidP="00BC6A99">
      <w:pPr>
        <w:jc w:val="both"/>
        <w:rPr>
          <w:sz w:val="22"/>
          <w:szCs w:val="22"/>
        </w:rPr>
      </w:pPr>
    </w:p>
    <w:p w:rsidR="00E66706" w:rsidRDefault="00E66706" w:rsidP="00BC6A99">
      <w:pPr>
        <w:jc w:val="both"/>
        <w:rPr>
          <w:sz w:val="22"/>
          <w:szCs w:val="22"/>
        </w:rPr>
      </w:pPr>
    </w:p>
    <w:p w:rsidR="00E66706" w:rsidRDefault="00E66706" w:rsidP="00BC6A99">
      <w:pPr>
        <w:jc w:val="both"/>
        <w:rPr>
          <w:sz w:val="22"/>
          <w:szCs w:val="22"/>
        </w:rPr>
      </w:pPr>
    </w:p>
    <w:p w:rsidR="00E66706" w:rsidRDefault="00E66706" w:rsidP="00BC6A99">
      <w:pPr>
        <w:jc w:val="both"/>
        <w:rPr>
          <w:sz w:val="22"/>
          <w:szCs w:val="22"/>
        </w:rPr>
      </w:pPr>
    </w:p>
    <w:p w:rsidR="00E66706" w:rsidRDefault="00E66706" w:rsidP="00BC6A99">
      <w:pPr>
        <w:jc w:val="both"/>
        <w:rPr>
          <w:sz w:val="22"/>
          <w:szCs w:val="22"/>
        </w:rPr>
      </w:pPr>
    </w:p>
    <w:p w:rsidR="00E66706" w:rsidRDefault="00E66706" w:rsidP="00BC6A99">
      <w:pPr>
        <w:jc w:val="both"/>
        <w:rPr>
          <w:sz w:val="22"/>
          <w:szCs w:val="22"/>
        </w:rPr>
      </w:pPr>
    </w:p>
    <w:p w:rsidR="00E66706" w:rsidRDefault="00E66706" w:rsidP="00BC6A99">
      <w:pPr>
        <w:jc w:val="both"/>
        <w:rPr>
          <w:sz w:val="22"/>
          <w:szCs w:val="22"/>
        </w:rPr>
      </w:pPr>
    </w:p>
    <w:p w:rsidR="00E66706" w:rsidRDefault="00E66706" w:rsidP="00BC6A99">
      <w:pPr>
        <w:jc w:val="both"/>
        <w:rPr>
          <w:sz w:val="22"/>
          <w:szCs w:val="22"/>
        </w:rPr>
      </w:pPr>
    </w:p>
    <w:p w:rsidR="00E66706" w:rsidRDefault="00E66706" w:rsidP="00BC6A99">
      <w:pPr>
        <w:jc w:val="both"/>
        <w:rPr>
          <w:sz w:val="22"/>
          <w:szCs w:val="22"/>
        </w:rPr>
      </w:pPr>
    </w:p>
    <w:p w:rsidR="00E66706" w:rsidRDefault="00E66706" w:rsidP="00BC6A99">
      <w:pPr>
        <w:jc w:val="both"/>
        <w:rPr>
          <w:sz w:val="22"/>
          <w:szCs w:val="22"/>
        </w:rPr>
      </w:pPr>
    </w:p>
    <w:p w:rsidR="00E66706" w:rsidRDefault="00E66706" w:rsidP="00BC6A99">
      <w:pPr>
        <w:jc w:val="both"/>
        <w:rPr>
          <w:sz w:val="22"/>
          <w:szCs w:val="22"/>
        </w:rPr>
      </w:pPr>
    </w:p>
    <w:p w:rsidR="00E66706" w:rsidRDefault="00E66706" w:rsidP="00BC6A99">
      <w:pPr>
        <w:jc w:val="both"/>
        <w:rPr>
          <w:sz w:val="22"/>
          <w:szCs w:val="22"/>
        </w:rPr>
      </w:pPr>
    </w:p>
    <w:p w:rsidR="00E66706" w:rsidRDefault="00E66706" w:rsidP="00BC6A99">
      <w:pPr>
        <w:jc w:val="both"/>
        <w:rPr>
          <w:sz w:val="22"/>
          <w:szCs w:val="22"/>
        </w:rPr>
      </w:pPr>
    </w:p>
    <w:p w:rsidR="00E66706" w:rsidRDefault="00E66706" w:rsidP="00BC6A99">
      <w:pPr>
        <w:jc w:val="both"/>
        <w:rPr>
          <w:sz w:val="22"/>
          <w:szCs w:val="22"/>
        </w:rPr>
      </w:pPr>
    </w:p>
    <w:p w:rsidR="00E66706" w:rsidRDefault="00E66706" w:rsidP="00BC6A99">
      <w:pPr>
        <w:jc w:val="both"/>
        <w:rPr>
          <w:sz w:val="22"/>
          <w:szCs w:val="22"/>
        </w:rPr>
      </w:pPr>
    </w:p>
    <w:p w:rsidR="00E66706" w:rsidRDefault="00E66706" w:rsidP="00BC6A99">
      <w:pPr>
        <w:jc w:val="both"/>
        <w:rPr>
          <w:sz w:val="22"/>
          <w:szCs w:val="22"/>
        </w:rPr>
      </w:pPr>
    </w:p>
    <w:p w:rsidR="00E66706" w:rsidRDefault="00E66706" w:rsidP="00BC6A99">
      <w:pPr>
        <w:jc w:val="both"/>
        <w:rPr>
          <w:sz w:val="22"/>
          <w:szCs w:val="22"/>
        </w:rPr>
      </w:pPr>
    </w:p>
    <w:p w:rsidR="00E66706" w:rsidRDefault="00E66706" w:rsidP="00BC6A99">
      <w:pPr>
        <w:jc w:val="both"/>
        <w:rPr>
          <w:sz w:val="22"/>
          <w:szCs w:val="22"/>
        </w:rPr>
      </w:pPr>
    </w:p>
    <w:p w:rsidR="00E66706" w:rsidRDefault="00E66706" w:rsidP="00BC6A99">
      <w:pPr>
        <w:jc w:val="both"/>
        <w:rPr>
          <w:sz w:val="22"/>
          <w:szCs w:val="22"/>
        </w:rPr>
      </w:pPr>
    </w:p>
    <w:p w:rsidR="00E66706" w:rsidRDefault="00E66706" w:rsidP="00BC6A99">
      <w:pPr>
        <w:jc w:val="both"/>
        <w:rPr>
          <w:sz w:val="22"/>
          <w:szCs w:val="22"/>
        </w:rPr>
      </w:pPr>
    </w:p>
    <w:p w:rsidR="00E66706" w:rsidRDefault="00E66706" w:rsidP="00BC6A99">
      <w:pPr>
        <w:jc w:val="both"/>
        <w:rPr>
          <w:sz w:val="22"/>
          <w:szCs w:val="22"/>
        </w:rPr>
      </w:pPr>
    </w:p>
    <w:p w:rsidR="00E66706" w:rsidRDefault="00E66706" w:rsidP="00BC6A99">
      <w:pPr>
        <w:jc w:val="both"/>
        <w:rPr>
          <w:sz w:val="22"/>
          <w:szCs w:val="22"/>
        </w:rPr>
      </w:pPr>
    </w:p>
    <w:p w:rsidR="00E66706" w:rsidRDefault="00E66706" w:rsidP="00BC6A99">
      <w:pPr>
        <w:jc w:val="both"/>
        <w:rPr>
          <w:sz w:val="22"/>
          <w:szCs w:val="22"/>
        </w:rPr>
      </w:pPr>
    </w:p>
    <w:p w:rsidR="00E66706" w:rsidRDefault="00E66706" w:rsidP="00BC6A99">
      <w:pPr>
        <w:jc w:val="both"/>
        <w:rPr>
          <w:sz w:val="22"/>
          <w:szCs w:val="22"/>
        </w:rPr>
      </w:pPr>
    </w:p>
    <w:p w:rsidR="00E66706" w:rsidRDefault="00E66706" w:rsidP="00E66706">
      <w:pPr>
        <w:rPr>
          <w:sz w:val="8"/>
          <w:szCs w:val="8"/>
        </w:rPr>
      </w:pPr>
    </w:p>
    <w:p w:rsidR="00E66706" w:rsidRDefault="00E66706">
      <w:pPr>
        <w:rPr>
          <w:sz w:val="8"/>
          <w:szCs w:val="8"/>
        </w:rPr>
      </w:pPr>
      <w:r>
        <w:rPr>
          <w:sz w:val="8"/>
          <w:szCs w:val="8"/>
        </w:rPr>
        <w:br w:type="page"/>
      </w:r>
    </w:p>
    <w:p w:rsidR="00E66706" w:rsidRPr="00E66706" w:rsidRDefault="00E66706" w:rsidP="00E66706">
      <w:pPr>
        <w:rPr>
          <w:sz w:val="8"/>
          <w:szCs w:val="8"/>
        </w:rPr>
      </w:pPr>
    </w:p>
    <w:p w:rsidR="00E66706" w:rsidRDefault="00E66706" w:rsidP="00E66706">
      <w:pPr>
        <w:rPr>
          <w:sz w:val="22"/>
          <w:szCs w:val="22"/>
          <w:highlight w:val="yellow"/>
        </w:rPr>
      </w:pPr>
      <w:r w:rsidRPr="00AA4E25">
        <w:rPr>
          <w:sz w:val="22"/>
          <w:szCs w:val="22"/>
        </w:rPr>
        <w:t>The number of staff in receipt of a redundancy payment in the table above is broken down as follows</w:t>
      </w:r>
    </w:p>
    <w:p w:rsidR="00E66706" w:rsidRPr="00E66706" w:rsidRDefault="00E66706" w:rsidP="00BC6A99">
      <w:pPr>
        <w:jc w:val="both"/>
        <w:rPr>
          <w:sz w:val="8"/>
          <w:szCs w:val="8"/>
        </w:rPr>
      </w:pPr>
    </w:p>
    <w:tbl>
      <w:tblPr>
        <w:tblW w:w="7513" w:type="dxa"/>
        <w:tblInd w:w="817" w:type="dxa"/>
        <w:tblLook w:val="04A0"/>
      </w:tblPr>
      <w:tblGrid>
        <w:gridCol w:w="2977"/>
        <w:gridCol w:w="1417"/>
        <w:gridCol w:w="1418"/>
        <w:gridCol w:w="1701"/>
      </w:tblGrid>
      <w:tr w:rsidR="00E66706" w:rsidRPr="00725D01" w:rsidTr="00E66706">
        <w:trPr>
          <w:trHeight w:val="300"/>
        </w:trPr>
        <w:tc>
          <w:tcPr>
            <w:tcW w:w="2977" w:type="dxa"/>
            <w:shd w:val="clear" w:color="auto" w:fill="auto"/>
            <w:noWrap/>
            <w:vAlign w:val="center"/>
            <w:hideMark/>
          </w:tcPr>
          <w:p w:rsidR="00E66706" w:rsidRPr="00571E2A" w:rsidRDefault="00E66706" w:rsidP="00E66706">
            <w:pPr>
              <w:tabs>
                <w:tab w:val="left" w:pos="1956"/>
              </w:tabs>
              <w:rPr>
                <w:sz w:val="20"/>
                <w:szCs w:val="20"/>
              </w:rPr>
            </w:pPr>
            <w:r w:rsidRPr="00571E2A">
              <w:rPr>
                <w:sz w:val="20"/>
                <w:szCs w:val="20"/>
              </w:rPr>
              <w:t>Remuneration Band (£)</w:t>
            </w:r>
          </w:p>
        </w:tc>
        <w:tc>
          <w:tcPr>
            <w:tcW w:w="1417" w:type="dxa"/>
            <w:shd w:val="clear" w:color="auto" w:fill="auto"/>
            <w:noWrap/>
            <w:vAlign w:val="center"/>
            <w:hideMark/>
          </w:tcPr>
          <w:p w:rsidR="00E66706" w:rsidRPr="00571E2A" w:rsidRDefault="00E66706" w:rsidP="00E66706">
            <w:pPr>
              <w:jc w:val="center"/>
              <w:rPr>
                <w:sz w:val="20"/>
                <w:szCs w:val="20"/>
              </w:rPr>
            </w:pPr>
            <w:r w:rsidRPr="00571E2A">
              <w:rPr>
                <w:sz w:val="20"/>
                <w:szCs w:val="20"/>
              </w:rPr>
              <w:t>Non teaching staff</w:t>
            </w:r>
          </w:p>
        </w:tc>
        <w:tc>
          <w:tcPr>
            <w:tcW w:w="1418" w:type="dxa"/>
            <w:shd w:val="clear" w:color="auto" w:fill="auto"/>
            <w:noWrap/>
            <w:vAlign w:val="center"/>
            <w:hideMark/>
          </w:tcPr>
          <w:p w:rsidR="00E66706" w:rsidRPr="00571E2A" w:rsidRDefault="00E66706" w:rsidP="00E66706">
            <w:pPr>
              <w:jc w:val="center"/>
              <w:rPr>
                <w:sz w:val="20"/>
                <w:szCs w:val="20"/>
              </w:rPr>
            </w:pPr>
            <w:r w:rsidRPr="00571E2A">
              <w:rPr>
                <w:sz w:val="20"/>
                <w:szCs w:val="20"/>
              </w:rPr>
              <w:t>OneConnect ltd</w:t>
            </w:r>
          </w:p>
        </w:tc>
        <w:tc>
          <w:tcPr>
            <w:tcW w:w="1701" w:type="dxa"/>
            <w:shd w:val="clear" w:color="auto" w:fill="auto"/>
            <w:noWrap/>
            <w:vAlign w:val="center"/>
            <w:hideMark/>
          </w:tcPr>
          <w:p w:rsidR="00E66706" w:rsidRPr="00571E2A" w:rsidRDefault="00E66706" w:rsidP="00E66706">
            <w:pPr>
              <w:jc w:val="center"/>
              <w:rPr>
                <w:sz w:val="20"/>
                <w:szCs w:val="20"/>
              </w:rPr>
            </w:pPr>
            <w:r w:rsidRPr="00571E2A">
              <w:rPr>
                <w:sz w:val="20"/>
                <w:szCs w:val="20"/>
              </w:rPr>
              <w:t>Teaching staff</w:t>
            </w:r>
          </w:p>
        </w:tc>
      </w:tr>
      <w:tr w:rsidR="00E66706" w:rsidRPr="00725D01" w:rsidTr="00E66706">
        <w:trPr>
          <w:trHeight w:val="300"/>
        </w:trPr>
        <w:tc>
          <w:tcPr>
            <w:tcW w:w="2977" w:type="dxa"/>
            <w:shd w:val="clear" w:color="auto" w:fill="auto"/>
            <w:noWrap/>
            <w:vAlign w:val="bottom"/>
            <w:hideMark/>
          </w:tcPr>
          <w:p w:rsidR="00E66706" w:rsidRPr="00725D01" w:rsidRDefault="00E66706" w:rsidP="00E66706">
            <w:pPr>
              <w:rPr>
                <w:sz w:val="20"/>
                <w:szCs w:val="20"/>
              </w:rPr>
            </w:pPr>
            <w:r w:rsidRPr="00725D01">
              <w:rPr>
                <w:sz w:val="20"/>
                <w:szCs w:val="20"/>
              </w:rPr>
              <w:t>£50,000 - £54,999</w:t>
            </w:r>
          </w:p>
        </w:tc>
        <w:tc>
          <w:tcPr>
            <w:tcW w:w="1417" w:type="dxa"/>
            <w:shd w:val="clear" w:color="auto" w:fill="auto"/>
            <w:noWrap/>
            <w:vAlign w:val="bottom"/>
            <w:hideMark/>
          </w:tcPr>
          <w:p w:rsidR="00E66706" w:rsidRPr="00725D01" w:rsidRDefault="00E66706" w:rsidP="00E66706">
            <w:pPr>
              <w:jc w:val="right"/>
              <w:rPr>
                <w:sz w:val="20"/>
                <w:szCs w:val="20"/>
              </w:rPr>
            </w:pPr>
            <w:r w:rsidRPr="00725D01">
              <w:rPr>
                <w:sz w:val="20"/>
                <w:szCs w:val="20"/>
              </w:rPr>
              <w:t>19</w:t>
            </w:r>
          </w:p>
        </w:tc>
        <w:tc>
          <w:tcPr>
            <w:tcW w:w="1418" w:type="dxa"/>
            <w:shd w:val="clear" w:color="auto" w:fill="auto"/>
            <w:noWrap/>
            <w:vAlign w:val="bottom"/>
            <w:hideMark/>
          </w:tcPr>
          <w:p w:rsidR="00E66706" w:rsidRPr="00AA4E25" w:rsidRDefault="00E66706" w:rsidP="00E66706">
            <w:pPr>
              <w:jc w:val="right"/>
              <w:rPr>
                <w:sz w:val="20"/>
                <w:szCs w:val="20"/>
              </w:rPr>
            </w:pPr>
            <w:r>
              <w:rPr>
                <w:sz w:val="20"/>
                <w:szCs w:val="20"/>
              </w:rPr>
              <w:t>-</w:t>
            </w:r>
          </w:p>
        </w:tc>
        <w:tc>
          <w:tcPr>
            <w:tcW w:w="1701" w:type="dxa"/>
            <w:shd w:val="clear" w:color="auto" w:fill="auto"/>
            <w:noWrap/>
            <w:vAlign w:val="bottom"/>
            <w:hideMark/>
          </w:tcPr>
          <w:p w:rsidR="00E66706" w:rsidRPr="00AA4E25" w:rsidRDefault="00E66706" w:rsidP="00E66706">
            <w:pPr>
              <w:jc w:val="right"/>
              <w:rPr>
                <w:sz w:val="20"/>
                <w:szCs w:val="20"/>
              </w:rPr>
            </w:pPr>
            <w:r>
              <w:rPr>
                <w:sz w:val="20"/>
                <w:szCs w:val="20"/>
              </w:rPr>
              <w:t>-</w:t>
            </w:r>
          </w:p>
        </w:tc>
      </w:tr>
      <w:tr w:rsidR="00E66706" w:rsidRPr="00725D01" w:rsidTr="00E66706">
        <w:trPr>
          <w:trHeight w:val="300"/>
        </w:trPr>
        <w:tc>
          <w:tcPr>
            <w:tcW w:w="2977" w:type="dxa"/>
            <w:shd w:val="clear" w:color="auto" w:fill="auto"/>
            <w:noWrap/>
            <w:vAlign w:val="bottom"/>
            <w:hideMark/>
          </w:tcPr>
          <w:p w:rsidR="00E66706" w:rsidRPr="00725D01" w:rsidRDefault="00E66706" w:rsidP="00E66706">
            <w:pPr>
              <w:rPr>
                <w:sz w:val="20"/>
                <w:szCs w:val="20"/>
              </w:rPr>
            </w:pPr>
            <w:r w:rsidRPr="00725D01">
              <w:rPr>
                <w:sz w:val="20"/>
                <w:szCs w:val="20"/>
              </w:rPr>
              <w:t>£55,000 - £59,999</w:t>
            </w:r>
          </w:p>
        </w:tc>
        <w:tc>
          <w:tcPr>
            <w:tcW w:w="1417" w:type="dxa"/>
            <w:shd w:val="clear" w:color="auto" w:fill="auto"/>
            <w:noWrap/>
            <w:vAlign w:val="bottom"/>
            <w:hideMark/>
          </w:tcPr>
          <w:p w:rsidR="00E66706" w:rsidRPr="00725D01" w:rsidRDefault="00E66706" w:rsidP="00E66706">
            <w:pPr>
              <w:jc w:val="right"/>
              <w:rPr>
                <w:sz w:val="20"/>
                <w:szCs w:val="20"/>
              </w:rPr>
            </w:pPr>
            <w:r w:rsidRPr="00725D01">
              <w:rPr>
                <w:sz w:val="20"/>
                <w:szCs w:val="20"/>
              </w:rPr>
              <w:t>12</w:t>
            </w:r>
          </w:p>
        </w:tc>
        <w:tc>
          <w:tcPr>
            <w:tcW w:w="1418" w:type="dxa"/>
            <w:shd w:val="clear" w:color="auto" w:fill="auto"/>
            <w:noWrap/>
            <w:vAlign w:val="bottom"/>
            <w:hideMark/>
          </w:tcPr>
          <w:p w:rsidR="00E66706" w:rsidRPr="00725D01" w:rsidRDefault="00E66706" w:rsidP="00E66706">
            <w:pPr>
              <w:jc w:val="right"/>
              <w:rPr>
                <w:sz w:val="20"/>
                <w:szCs w:val="20"/>
              </w:rPr>
            </w:pPr>
            <w:r>
              <w:rPr>
                <w:sz w:val="20"/>
                <w:szCs w:val="20"/>
              </w:rPr>
              <w:t>-</w:t>
            </w:r>
          </w:p>
        </w:tc>
        <w:tc>
          <w:tcPr>
            <w:tcW w:w="1701" w:type="dxa"/>
            <w:shd w:val="clear" w:color="auto" w:fill="auto"/>
            <w:noWrap/>
            <w:vAlign w:val="bottom"/>
            <w:hideMark/>
          </w:tcPr>
          <w:p w:rsidR="00E66706" w:rsidRPr="00725D01" w:rsidRDefault="00E66706" w:rsidP="00E66706">
            <w:pPr>
              <w:jc w:val="right"/>
              <w:rPr>
                <w:sz w:val="20"/>
                <w:szCs w:val="20"/>
              </w:rPr>
            </w:pPr>
            <w:r w:rsidRPr="00725D01">
              <w:rPr>
                <w:sz w:val="20"/>
                <w:szCs w:val="20"/>
              </w:rPr>
              <w:t>1</w:t>
            </w:r>
          </w:p>
        </w:tc>
      </w:tr>
      <w:tr w:rsidR="00E66706" w:rsidRPr="00725D01" w:rsidTr="00E66706">
        <w:trPr>
          <w:trHeight w:val="300"/>
        </w:trPr>
        <w:tc>
          <w:tcPr>
            <w:tcW w:w="2977" w:type="dxa"/>
            <w:shd w:val="clear" w:color="auto" w:fill="auto"/>
            <w:noWrap/>
            <w:vAlign w:val="bottom"/>
            <w:hideMark/>
          </w:tcPr>
          <w:p w:rsidR="00E66706" w:rsidRPr="00725D01" w:rsidRDefault="00E66706" w:rsidP="00E66706">
            <w:pPr>
              <w:rPr>
                <w:sz w:val="20"/>
                <w:szCs w:val="20"/>
              </w:rPr>
            </w:pPr>
            <w:r w:rsidRPr="00725D01">
              <w:rPr>
                <w:sz w:val="20"/>
                <w:szCs w:val="20"/>
              </w:rPr>
              <w:t>£60,000 - £64,999</w:t>
            </w:r>
          </w:p>
        </w:tc>
        <w:tc>
          <w:tcPr>
            <w:tcW w:w="1417" w:type="dxa"/>
            <w:shd w:val="clear" w:color="auto" w:fill="auto"/>
            <w:noWrap/>
            <w:vAlign w:val="bottom"/>
            <w:hideMark/>
          </w:tcPr>
          <w:p w:rsidR="00E66706" w:rsidRPr="00725D01" w:rsidRDefault="00E66706" w:rsidP="00E66706">
            <w:pPr>
              <w:jc w:val="right"/>
              <w:rPr>
                <w:sz w:val="20"/>
                <w:szCs w:val="20"/>
              </w:rPr>
            </w:pPr>
            <w:r w:rsidRPr="00725D01">
              <w:rPr>
                <w:sz w:val="20"/>
                <w:szCs w:val="20"/>
              </w:rPr>
              <w:t>6</w:t>
            </w:r>
          </w:p>
        </w:tc>
        <w:tc>
          <w:tcPr>
            <w:tcW w:w="1418" w:type="dxa"/>
            <w:shd w:val="clear" w:color="auto" w:fill="auto"/>
            <w:noWrap/>
            <w:vAlign w:val="bottom"/>
            <w:hideMark/>
          </w:tcPr>
          <w:p w:rsidR="00E66706" w:rsidRPr="00725D01" w:rsidRDefault="00E66706" w:rsidP="00E66706">
            <w:pPr>
              <w:jc w:val="right"/>
              <w:rPr>
                <w:sz w:val="20"/>
                <w:szCs w:val="20"/>
              </w:rPr>
            </w:pPr>
            <w:r>
              <w:rPr>
                <w:sz w:val="20"/>
                <w:szCs w:val="20"/>
              </w:rPr>
              <w:t>-</w:t>
            </w:r>
          </w:p>
        </w:tc>
        <w:tc>
          <w:tcPr>
            <w:tcW w:w="1701" w:type="dxa"/>
            <w:shd w:val="clear" w:color="auto" w:fill="auto"/>
            <w:noWrap/>
            <w:vAlign w:val="bottom"/>
            <w:hideMark/>
          </w:tcPr>
          <w:p w:rsidR="00E66706" w:rsidRPr="00725D01" w:rsidRDefault="00E66706" w:rsidP="00E66706">
            <w:pPr>
              <w:jc w:val="right"/>
              <w:rPr>
                <w:sz w:val="20"/>
                <w:szCs w:val="20"/>
              </w:rPr>
            </w:pPr>
            <w:r w:rsidRPr="00725D01">
              <w:rPr>
                <w:sz w:val="20"/>
                <w:szCs w:val="20"/>
              </w:rPr>
              <w:t>1</w:t>
            </w:r>
          </w:p>
        </w:tc>
      </w:tr>
      <w:tr w:rsidR="00E66706" w:rsidRPr="00725D01" w:rsidTr="00E66706">
        <w:trPr>
          <w:trHeight w:val="300"/>
        </w:trPr>
        <w:tc>
          <w:tcPr>
            <w:tcW w:w="2977" w:type="dxa"/>
            <w:shd w:val="clear" w:color="auto" w:fill="auto"/>
            <w:noWrap/>
            <w:vAlign w:val="bottom"/>
            <w:hideMark/>
          </w:tcPr>
          <w:p w:rsidR="00E66706" w:rsidRPr="00725D01" w:rsidRDefault="00E66706" w:rsidP="00E66706">
            <w:pPr>
              <w:rPr>
                <w:sz w:val="20"/>
                <w:szCs w:val="20"/>
              </w:rPr>
            </w:pPr>
            <w:r w:rsidRPr="00725D01">
              <w:rPr>
                <w:sz w:val="20"/>
                <w:szCs w:val="20"/>
              </w:rPr>
              <w:t>£65,000 - £69,999</w:t>
            </w:r>
          </w:p>
        </w:tc>
        <w:tc>
          <w:tcPr>
            <w:tcW w:w="1417" w:type="dxa"/>
            <w:shd w:val="clear" w:color="auto" w:fill="auto"/>
            <w:noWrap/>
            <w:vAlign w:val="bottom"/>
            <w:hideMark/>
          </w:tcPr>
          <w:p w:rsidR="00E66706" w:rsidRPr="00725D01" w:rsidRDefault="00E66706" w:rsidP="00E66706">
            <w:pPr>
              <w:jc w:val="right"/>
              <w:rPr>
                <w:sz w:val="20"/>
                <w:szCs w:val="20"/>
              </w:rPr>
            </w:pPr>
            <w:r w:rsidRPr="00725D01">
              <w:rPr>
                <w:sz w:val="20"/>
                <w:szCs w:val="20"/>
              </w:rPr>
              <w:t>3</w:t>
            </w:r>
          </w:p>
        </w:tc>
        <w:tc>
          <w:tcPr>
            <w:tcW w:w="1418" w:type="dxa"/>
            <w:shd w:val="clear" w:color="auto" w:fill="auto"/>
            <w:noWrap/>
            <w:vAlign w:val="bottom"/>
            <w:hideMark/>
          </w:tcPr>
          <w:p w:rsidR="00E66706" w:rsidRPr="00AA4E25" w:rsidRDefault="00E66706" w:rsidP="00E66706">
            <w:pPr>
              <w:jc w:val="right"/>
              <w:rPr>
                <w:sz w:val="20"/>
                <w:szCs w:val="20"/>
              </w:rPr>
            </w:pPr>
            <w:r>
              <w:rPr>
                <w:sz w:val="20"/>
                <w:szCs w:val="20"/>
              </w:rPr>
              <w:t>-</w:t>
            </w:r>
          </w:p>
        </w:tc>
        <w:tc>
          <w:tcPr>
            <w:tcW w:w="1701" w:type="dxa"/>
            <w:shd w:val="clear" w:color="auto" w:fill="auto"/>
            <w:noWrap/>
            <w:vAlign w:val="bottom"/>
            <w:hideMark/>
          </w:tcPr>
          <w:p w:rsidR="00E66706" w:rsidRPr="00AA4E25" w:rsidRDefault="00E66706" w:rsidP="00E66706">
            <w:pPr>
              <w:jc w:val="right"/>
              <w:rPr>
                <w:sz w:val="20"/>
                <w:szCs w:val="20"/>
              </w:rPr>
            </w:pPr>
            <w:r>
              <w:rPr>
                <w:sz w:val="20"/>
                <w:szCs w:val="20"/>
              </w:rPr>
              <w:t>-</w:t>
            </w:r>
          </w:p>
        </w:tc>
      </w:tr>
      <w:tr w:rsidR="00E66706" w:rsidRPr="00725D01" w:rsidTr="00E66706">
        <w:trPr>
          <w:trHeight w:val="300"/>
        </w:trPr>
        <w:tc>
          <w:tcPr>
            <w:tcW w:w="2977" w:type="dxa"/>
            <w:shd w:val="clear" w:color="auto" w:fill="auto"/>
            <w:noWrap/>
            <w:vAlign w:val="bottom"/>
            <w:hideMark/>
          </w:tcPr>
          <w:p w:rsidR="00E66706" w:rsidRPr="00725D01" w:rsidRDefault="00E66706" w:rsidP="00E66706">
            <w:pPr>
              <w:rPr>
                <w:sz w:val="20"/>
                <w:szCs w:val="20"/>
              </w:rPr>
            </w:pPr>
            <w:r w:rsidRPr="00725D01">
              <w:rPr>
                <w:sz w:val="20"/>
                <w:szCs w:val="20"/>
              </w:rPr>
              <w:t>£70,000 - £74,999</w:t>
            </w:r>
          </w:p>
        </w:tc>
        <w:tc>
          <w:tcPr>
            <w:tcW w:w="1417" w:type="dxa"/>
            <w:shd w:val="clear" w:color="auto" w:fill="auto"/>
            <w:noWrap/>
            <w:vAlign w:val="bottom"/>
            <w:hideMark/>
          </w:tcPr>
          <w:p w:rsidR="00E66706" w:rsidRPr="00725D01" w:rsidRDefault="00E66706" w:rsidP="00E66706">
            <w:pPr>
              <w:jc w:val="right"/>
              <w:rPr>
                <w:sz w:val="20"/>
                <w:szCs w:val="20"/>
              </w:rPr>
            </w:pPr>
            <w:r w:rsidRPr="00725D01">
              <w:rPr>
                <w:sz w:val="20"/>
                <w:szCs w:val="20"/>
              </w:rPr>
              <w:t>3</w:t>
            </w:r>
          </w:p>
        </w:tc>
        <w:tc>
          <w:tcPr>
            <w:tcW w:w="1418" w:type="dxa"/>
            <w:shd w:val="clear" w:color="auto" w:fill="auto"/>
            <w:noWrap/>
            <w:vAlign w:val="bottom"/>
            <w:hideMark/>
          </w:tcPr>
          <w:p w:rsidR="00E66706" w:rsidRPr="00AA4E25" w:rsidRDefault="00E66706" w:rsidP="00E66706">
            <w:pPr>
              <w:jc w:val="right"/>
              <w:rPr>
                <w:sz w:val="20"/>
                <w:szCs w:val="20"/>
              </w:rPr>
            </w:pPr>
            <w:r>
              <w:rPr>
                <w:sz w:val="20"/>
                <w:szCs w:val="20"/>
              </w:rPr>
              <w:t>-</w:t>
            </w:r>
          </w:p>
        </w:tc>
        <w:tc>
          <w:tcPr>
            <w:tcW w:w="1701" w:type="dxa"/>
            <w:shd w:val="clear" w:color="auto" w:fill="auto"/>
            <w:noWrap/>
            <w:vAlign w:val="bottom"/>
            <w:hideMark/>
          </w:tcPr>
          <w:p w:rsidR="00E66706" w:rsidRPr="00AA4E25" w:rsidRDefault="00E66706" w:rsidP="00E66706">
            <w:pPr>
              <w:jc w:val="right"/>
              <w:rPr>
                <w:sz w:val="20"/>
                <w:szCs w:val="20"/>
              </w:rPr>
            </w:pPr>
            <w:r>
              <w:rPr>
                <w:sz w:val="20"/>
                <w:szCs w:val="20"/>
              </w:rPr>
              <w:t>-</w:t>
            </w:r>
          </w:p>
        </w:tc>
      </w:tr>
      <w:tr w:rsidR="00E66706" w:rsidRPr="00725D01" w:rsidTr="00E66706">
        <w:trPr>
          <w:trHeight w:val="300"/>
        </w:trPr>
        <w:tc>
          <w:tcPr>
            <w:tcW w:w="2977" w:type="dxa"/>
            <w:shd w:val="clear" w:color="auto" w:fill="auto"/>
            <w:noWrap/>
            <w:vAlign w:val="bottom"/>
            <w:hideMark/>
          </w:tcPr>
          <w:p w:rsidR="00E66706" w:rsidRPr="00725D01" w:rsidRDefault="00E66706" w:rsidP="00E66706">
            <w:pPr>
              <w:rPr>
                <w:sz w:val="20"/>
                <w:szCs w:val="20"/>
              </w:rPr>
            </w:pPr>
            <w:r w:rsidRPr="00725D01">
              <w:rPr>
                <w:sz w:val="20"/>
                <w:szCs w:val="20"/>
              </w:rPr>
              <w:t>£75,000 - £79,999</w:t>
            </w:r>
          </w:p>
        </w:tc>
        <w:tc>
          <w:tcPr>
            <w:tcW w:w="1417" w:type="dxa"/>
            <w:shd w:val="clear" w:color="auto" w:fill="auto"/>
            <w:noWrap/>
            <w:vAlign w:val="bottom"/>
            <w:hideMark/>
          </w:tcPr>
          <w:p w:rsidR="00E66706" w:rsidRPr="00725D01" w:rsidRDefault="00E66706" w:rsidP="00E66706">
            <w:pPr>
              <w:jc w:val="right"/>
              <w:rPr>
                <w:sz w:val="20"/>
                <w:szCs w:val="20"/>
              </w:rPr>
            </w:pPr>
            <w:r w:rsidRPr="00725D01">
              <w:rPr>
                <w:sz w:val="20"/>
                <w:szCs w:val="20"/>
              </w:rPr>
              <w:t>7</w:t>
            </w:r>
          </w:p>
        </w:tc>
        <w:tc>
          <w:tcPr>
            <w:tcW w:w="1418" w:type="dxa"/>
            <w:shd w:val="clear" w:color="auto" w:fill="auto"/>
            <w:noWrap/>
            <w:vAlign w:val="bottom"/>
            <w:hideMark/>
          </w:tcPr>
          <w:p w:rsidR="00E66706" w:rsidRPr="00AA4E25" w:rsidRDefault="00E66706" w:rsidP="00E66706">
            <w:pPr>
              <w:jc w:val="right"/>
              <w:rPr>
                <w:sz w:val="20"/>
                <w:szCs w:val="20"/>
              </w:rPr>
            </w:pPr>
            <w:r>
              <w:rPr>
                <w:sz w:val="20"/>
                <w:szCs w:val="20"/>
              </w:rPr>
              <w:t>-</w:t>
            </w:r>
          </w:p>
        </w:tc>
        <w:tc>
          <w:tcPr>
            <w:tcW w:w="1701" w:type="dxa"/>
            <w:shd w:val="clear" w:color="auto" w:fill="auto"/>
            <w:noWrap/>
            <w:vAlign w:val="bottom"/>
            <w:hideMark/>
          </w:tcPr>
          <w:p w:rsidR="00E66706" w:rsidRPr="00AA4E25" w:rsidRDefault="00E66706" w:rsidP="00E66706">
            <w:pPr>
              <w:jc w:val="right"/>
              <w:rPr>
                <w:sz w:val="20"/>
                <w:szCs w:val="20"/>
              </w:rPr>
            </w:pPr>
            <w:r>
              <w:rPr>
                <w:sz w:val="20"/>
                <w:szCs w:val="20"/>
              </w:rPr>
              <w:t>-</w:t>
            </w:r>
          </w:p>
        </w:tc>
      </w:tr>
      <w:tr w:rsidR="00E66706" w:rsidRPr="00725D01" w:rsidTr="00E66706">
        <w:trPr>
          <w:trHeight w:val="300"/>
        </w:trPr>
        <w:tc>
          <w:tcPr>
            <w:tcW w:w="2977" w:type="dxa"/>
            <w:shd w:val="clear" w:color="auto" w:fill="auto"/>
            <w:noWrap/>
            <w:vAlign w:val="bottom"/>
            <w:hideMark/>
          </w:tcPr>
          <w:p w:rsidR="00E66706" w:rsidRPr="00725D01" w:rsidRDefault="00E66706" w:rsidP="00E66706">
            <w:pPr>
              <w:rPr>
                <w:sz w:val="20"/>
                <w:szCs w:val="20"/>
              </w:rPr>
            </w:pPr>
            <w:r w:rsidRPr="00725D01">
              <w:rPr>
                <w:sz w:val="20"/>
                <w:szCs w:val="20"/>
              </w:rPr>
              <w:t>£80,000 - £84,999</w:t>
            </w:r>
          </w:p>
        </w:tc>
        <w:tc>
          <w:tcPr>
            <w:tcW w:w="1417" w:type="dxa"/>
            <w:shd w:val="clear" w:color="auto" w:fill="auto"/>
            <w:noWrap/>
            <w:vAlign w:val="bottom"/>
            <w:hideMark/>
          </w:tcPr>
          <w:p w:rsidR="00E66706" w:rsidRPr="00725D01" w:rsidRDefault="00E66706" w:rsidP="00E66706">
            <w:pPr>
              <w:jc w:val="right"/>
              <w:rPr>
                <w:sz w:val="20"/>
                <w:szCs w:val="20"/>
              </w:rPr>
            </w:pPr>
            <w:r w:rsidRPr="00725D01">
              <w:rPr>
                <w:sz w:val="20"/>
                <w:szCs w:val="20"/>
              </w:rPr>
              <w:t>3</w:t>
            </w:r>
          </w:p>
        </w:tc>
        <w:tc>
          <w:tcPr>
            <w:tcW w:w="1418" w:type="dxa"/>
            <w:shd w:val="clear" w:color="auto" w:fill="auto"/>
            <w:noWrap/>
            <w:vAlign w:val="bottom"/>
            <w:hideMark/>
          </w:tcPr>
          <w:p w:rsidR="00E66706" w:rsidRPr="00AA4E25" w:rsidRDefault="00E66706" w:rsidP="00E66706">
            <w:pPr>
              <w:jc w:val="right"/>
              <w:rPr>
                <w:sz w:val="20"/>
                <w:szCs w:val="20"/>
              </w:rPr>
            </w:pPr>
            <w:r>
              <w:rPr>
                <w:sz w:val="20"/>
                <w:szCs w:val="20"/>
              </w:rPr>
              <w:t>-</w:t>
            </w:r>
          </w:p>
        </w:tc>
        <w:tc>
          <w:tcPr>
            <w:tcW w:w="1701" w:type="dxa"/>
            <w:shd w:val="clear" w:color="auto" w:fill="auto"/>
            <w:noWrap/>
            <w:vAlign w:val="bottom"/>
            <w:hideMark/>
          </w:tcPr>
          <w:p w:rsidR="00E66706" w:rsidRPr="00AA4E25" w:rsidRDefault="00E66706" w:rsidP="00E66706">
            <w:pPr>
              <w:jc w:val="right"/>
              <w:rPr>
                <w:sz w:val="20"/>
                <w:szCs w:val="20"/>
              </w:rPr>
            </w:pPr>
            <w:r>
              <w:rPr>
                <w:sz w:val="20"/>
                <w:szCs w:val="20"/>
              </w:rPr>
              <w:t>-</w:t>
            </w:r>
          </w:p>
        </w:tc>
      </w:tr>
      <w:tr w:rsidR="00E66706" w:rsidRPr="00725D01" w:rsidTr="00E66706">
        <w:trPr>
          <w:trHeight w:val="300"/>
        </w:trPr>
        <w:tc>
          <w:tcPr>
            <w:tcW w:w="2977" w:type="dxa"/>
            <w:shd w:val="clear" w:color="auto" w:fill="auto"/>
            <w:noWrap/>
            <w:vAlign w:val="bottom"/>
            <w:hideMark/>
          </w:tcPr>
          <w:p w:rsidR="00E66706" w:rsidRPr="00725D01" w:rsidRDefault="00E66706" w:rsidP="00E66706">
            <w:pPr>
              <w:rPr>
                <w:sz w:val="20"/>
                <w:szCs w:val="20"/>
              </w:rPr>
            </w:pPr>
            <w:r w:rsidRPr="00725D01">
              <w:rPr>
                <w:sz w:val="20"/>
                <w:szCs w:val="20"/>
              </w:rPr>
              <w:t>£85,000 - £89,999</w:t>
            </w:r>
          </w:p>
        </w:tc>
        <w:tc>
          <w:tcPr>
            <w:tcW w:w="1417" w:type="dxa"/>
            <w:shd w:val="clear" w:color="auto" w:fill="auto"/>
            <w:noWrap/>
            <w:vAlign w:val="bottom"/>
            <w:hideMark/>
          </w:tcPr>
          <w:p w:rsidR="00E66706" w:rsidRPr="00725D01" w:rsidRDefault="00E66706" w:rsidP="00E66706">
            <w:pPr>
              <w:jc w:val="right"/>
              <w:rPr>
                <w:sz w:val="20"/>
                <w:szCs w:val="20"/>
              </w:rPr>
            </w:pPr>
            <w:r w:rsidRPr="00725D01">
              <w:rPr>
                <w:sz w:val="20"/>
                <w:szCs w:val="20"/>
              </w:rPr>
              <w:t>2</w:t>
            </w:r>
          </w:p>
        </w:tc>
        <w:tc>
          <w:tcPr>
            <w:tcW w:w="1418" w:type="dxa"/>
            <w:shd w:val="clear" w:color="auto" w:fill="auto"/>
            <w:noWrap/>
            <w:vAlign w:val="bottom"/>
            <w:hideMark/>
          </w:tcPr>
          <w:p w:rsidR="00E66706" w:rsidRPr="00AA4E25" w:rsidRDefault="00E66706" w:rsidP="00E66706">
            <w:pPr>
              <w:jc w:val="right"/>
              <w:rPr>
                <w:sz w:val="20"/>
                <w:szCs w:val="20"/>
              </w:rPr>
            </w:pPr>
            <w:r>
              <w:rPr>
                <w:sz w:val="20"/>
                <w:szCs w:val="20"/>
              </w:rPr>
              <w:t>-</w:t>
            </w:r>
          </w:p>
        </w:tc>
        <w:tc>
          <w:tcPr>
            <w:tcW w:w="1701" w:type="dxa"/>
            <w:shd w:val="clear" w:color="auto" w:fill="auto"/>
            <w:noWrap/>
            <w:vAlign w:val="bottom"/>
            <w:hideMark/>
          </w:tcPr>
          <w:p w:rsidR="00E66706" w:rsidRPr="00AA4E25" w:rsidRDefault="00E66706" w:rsidP="00E66706">
            <w:pPr>
              <w:jc w:val="right"/>
              <w:rPr>
                <w:sz w:val="20"/>
                <w:szCs w:val="20"/>
              </w:rPr>
            </w:pPr>
            <w:r>
              <w:rPr>
                <w:sz w:val="20"/>
                <w:szCs w:val="20"/>
              </w:rPr>
              <w:t>-</w:t>
            </w:r>
          </w:p>
        </w:tc>
      </w:tr>
      <w:tr w:rsidR="00E66706" w:rsidRPr="00725D01" w:rsidTr="00E66706">
        <w:trPr>
          <w:trHeight w:val="300"/>
        </w:trPr>
        <w:tc>
          <w:tcPr>
            <w:tcW w:w="2977" w:type="dxa"/>
            <w:shd w:val="clear" w:color="auto" w:fill="auto"/>
            <w:noWrap/>
            <w:vAlign w:val="bottom"/>
            <w:hideMark/>
          </w:tcPr>
          <w:p w:rsidR="00E66706" w:rsidRPr="00725D01" w:rsidRDefault="00E66706" w:rsidP="00E66706">
            <w:pPr>
              <w:rPr>
                <w:sz w:val="20"/>
                <w:szCs w:val="20"/>
              </w:rPr>
            </w:pPr>
            <w:r w:rsidRPr="00725D01">
              <w:rPr>
                <w:sz w:val="20"/>
                <w:szCs w:val="20"/>
              </w:rPr>
              <w:t>£90,000 - £94,999</w:t>
            </w:r>
          </w:p>
        </w:tc>
        <w:tc>
          <w:tcPr>
            <w:tcW w:w="1417" w:type="dxa"/>
            <w:shd w:val="clear" w:color="auto" w:fill="auto"/>
            <w:noWrap/>
            <w:vAlign w:val="bottom"/>
            <w:hideMark/>
          </w:tcPr>
          <w:p w:rsidR="00E66706" w:rsidRPr="00725D01" w:rsidRDefault="00E66706" w:rsidP="00E66706">
            <w:pPr>
              <w:rPr>
                <w:sz w:val="20"/>
                <w:szCs w:val="20"/>
              </w:rPr>
            </w:pPr>
          </w:p>
        </w:tc>
        <w:tc>
          <w:tcPr>
            <w:tcW w:w="1418" w:type="dxa"/>
            <w:shd w:val="clear" w:color="auto" w:fill="auto"/>
            <w:noWrap/>
            <w:vAlign w:val="bottom"/>
            <w:hideMark/>
          </w:tcPr>
          <w:p w:rsidR="00E66706" w:rsidRPr="00AA4E25" w:rsidRDefault="00E66706" w:rsidP="00E66706">
            <w:pPr>
              <w:jc w:val="right"/>
              <w:rPr>
                <w:sz w:val="20"/>
                <w:szCs w:val="20"/>
              </w:rPr>
            </w:pPr>
            <w:r>
              <w:rPr>
                <w:sz w:val="20"/>
                <w:szCs w:val="20"/>
              </w:rPr>
              <w:t>-</w:t>
            </w:r>
          </w:p>
        </w:tc>
        <w:tc>
          <w:tcPr>
            <w:tcW w:w="1701" w:type="dxa"/>
            <w:shd w:val="clear" w:color="auto" w:fill="auto"/>
            <w:noWrap/>
            <w:vAlign w:val="bottom"/>
            <w:hideMark/>
          </w:tcPr>
          <w:p w:rsidR="00E66706" w:rsidRPr="00AA4E25" w:rsidRDefault="00E66706" w:rsidP="00E66706">
            <w:pPr>
              <w:jc w:val="right"/>
              <w:rPr>
                <w:sz w:val="20"/>
                <w:szCs w:val="20"/>
              </w:rPr>
            </w:pPr>
            <w:r>
              <w:rPr>
                <w:sz w:val="20"/>
                <w:szCs w:val="20"/>
              </w:rPr>
              <w:t>-</w:t>
            </w:r>
          </w:p>
        </w:tc>
      </w:tr>
      <w:tr w:rsidR="00E66706" w:rsidRPr="00725D01" w:rsidTr="00E66706">
        <w:trPr>
          <w:trHeight w:val="300"/>
        </w:trPr>
        <w:tc>
          <w:tcPr>
            <w:tcW w:w="2977" w:type="dxa"/>
            <w:shd w:val="clear" w:color="auto" w:fill="auto"/>
            <w:noWrap/>
            <w:vAlign w:val="bottom"/>
            <w:hideMark/>
          </w:tcPr>
          <w:p w:rsidR="00E66706" w:rsidRPr="00725D01" w:rsidRDefault="00E66706" w:rsidP="00E66706">
            <w:pPr>
              <w:rPr>
                <w:sz w:val="20"/>
                <w:szCs w:val="20"/>
              </w:rPr>
            </w:pPr>
            <w:r w:rsidRPr="00725D01">
              <w:rPr>
                <w:sz w:val="20"/>
                <w:szCs w:val="20"/>
              </w:rPr>
              <w:t>£95,000 - £99,999</w:t>
            </w:r>
          </w:p>
        </w:tc>
        <w:tc>
          <w:tcPr>
            <w:tcW w:w="1417" w:type="dxa"/>
            <w:shd w:val="clear" w:color="auto" w:fill="auto"/>
            <w:noWrap/>
            <w:vAlign w:val="bottom"/>
            <w:hideMark/>
          </w:tcPr>
          <w:p w:rsidR="00E66706" w:rsidRPr="00725D01" w:rsidRDefault="00E66706" w:rsidP="00E66706">
            <w:pPr>
              <w:jc w:val="right"/>
              <w:rPr>
                <w:sz w:val="20"/>
                <w:szCs w:val="20"/>
              </w:rPr>
            </w:pPr>
            <w:r w:rsidRPr="00725D01">
              <w:rPr>
                <w:sz w:val="20"/>
                <w:szCs w:val="20"/>
              </w:rPr>
              <w:t>2</w:t>
            </w:r>
          </w:p>
        </w:tc>
        <w:tc>
          <w:tcPr>
            <w:tcW w:w="1418" w:type="dxa"/>
            <w:shd w:val="clear" w:color="auto" w:fill="auto"/>
            <w:noWrap/>
            <w:vAlign w:val="bottom"/>
            <w:hideMark/>
          </w:tcPr>
          <w:p w:rsidR="00E66706" w:rsidRPr="00AA4E25" w:rsidRDefault="00E66706" w:rsidP="00E66706">
            <w:pPr>
              <w:jc w:val="right"/>
              <w:rPr>
                <w:sz w:val="20"/>
                <w:szCs w:val="20"/>
              </w:rPr>
            </w:pPr>
            <w:r>
              <w:rPr>
                <w:sz w:val="20"/>
                <w:szCs w:val="20"/>
              </w:rPr>
              <w:t>-</w:t>
            </w:r>
          </w:p>
        </w:tc>
        <w:tc>
          <w:tcPr>
            <w:tcW w:w="1701" w:type="dxa"/>
            <w:shd w:val="clear" w:color="auto" w:fill="auto"/>
            <w:noWrap/>
            <w:vAlign w:val="bottom"/>
            <w:hideMark/>
          </w:tcPr>
          <w:p w:rsidR="00E66706" w:rsidRPr="00AA4E25" w:rsidRDefault="00E66706" w:rsidP="00E66706">
            <w:pPr>
              <w:jc w:val="right"/>
              <w:rPr>
                <w:sz w:val="20"/>
                <w:szCs w:val="20"/>
              </w:rPr>
            </w:pPr>
            <w:r>
              <w:rPr>
                <w:sz w:val="20"/>
                <w:szCs w:val="20"/>
              </w:rPr>
              <w:t>-</w:t>
            </w:r>
          </w:p>
        </w:tc>
      </w:tr>
      <w:tr w:rsidR="00E66706" w:rsidRPr="00725D01" w:rsidTr="00E66706">
        <w:trPr>
          <w:trHeight w:val="300"/>
        </w:trPr>
        <w:tc>
          <w:tcPr>
            <w:tcW w:w="2977" w:type="dxa"/>
            <w:shd w:val="clear" w:color="auto" w:fill="auto"/>
            <w:noWrap/>
            <w:vAlign w:val="bottom"/>
            <w:hideMark/>
          </w:tcPr>
          <w:p w:rsidR="00E66706" w:rsidRPr="00725D01" w:rsidRDefault="00E66706" w:rsidP="00E66706">
            <w:pPr>
              <w:rPr>
                <w:sz w:val="20"/>
                <w:szCs w:val="20"/>
              </w:rPr>
            </w:pPr>
            <w:r w:rsidRPr="00725D01">
              <w:rPr>
                <w:sz w:val="20"/>
                <w:szCs w:val="20"/>
              </w:rPr>
              <w:t>£125,000 - £129,999</w:t>
            </w:r>
          </w:p>
        </w:tc>
        <w:tc>
          <w:tcPr>
            <w:tcW w:w="1417" w:type="dxa"/>
            <w:tcBorders>
              <w:bottom w:val="single" w:sz="4" w:space="0" w:color="auto"/>
            </w:tcBorders>
            <w:shd w:val="clear" w:color="auto" w:fill="auto"/>
            <w:noWrap/>
            <w:vAlign w:val="bottom"/>
            <w:hideMark/>
          </w:tcPr>
          <w:p w:rsidR="00E66706" w:rsidRPr="00725D01" w:rsidRDefault="00E66706" w:rsidP="00E66706">
            <w:pPr>
              <w:jc w:val="right"/>
              <w:rPr>
                <w:sz w:val="20"/>
                <w:szCs w:val="20"/>
              </w:rPr>
            </w:pPr>
            <w:r w:rsidRPr="00725D01">
              <w:rPr>
                <w:sz w:val="20"/>
                <w:szCs w:val="20"/>
              </w:rPr>
              <w:t>1</w:t>
            </w:r>
          </w:p>
        </w:tc>
        <w:tc>
          <w:tcPr>
            <w:tcW w:w="1418" w:type="dxa"/>
            <w:tcBorders>
              <w:bottom w:val="single" w:sz="4" w:space="0" w:color="auto"/>
            </w:tcBorders>
            <w:shd w:val="clear" w:color="auto" w:fill="auto"/>
            <w:noWrap/>
            <w:vAlign w:val="bottom"/>
            <w:hideMark/>
          </w:tcPr>
          <w:p w:rsidR="00E66706" w:rsidRPr="00AA4E25" w:rsidRDefault="00E66706" w:rsidP="00E66706">
            <w:pPr>
              <w:jc w:val="right"/>
              <w:rPr>
                <w:sz w:val="20"/>
                <w:szCs w:val="20"/>
              </w:rPr>
            </w:pPr>
            <w:r>
              <w:rPr>
                <w:sz w:val="20"/>
                <w:szCs w:val="20"/>
              </w:rPr>
              <w:t>-</w:t>
            </w:r>
          </w:p>
        </w:tc>
        <w:tc>
          <w:tcPr>
            <w:tcW w:w="1701" w:type="dxa"/>
            <w:tcBorders>
              <w:bottom w:val="single" w:sz="4" w:space="0" w:color="auto"/>
            </w:tcBorders>
            <w:shd w:val="clear" w:color="auto" w:fill="auto"/>
            <w:noWrap/>
            <w:vAlign w:val="bottom"/>
            <w:hideMark/>
          </w:tcPr>
          <w:p w:rsidR="00E66706" w:rsidRPr="00AA4E25" w:rsidRDefault="00E66706" w:rsidP="00E66706">
            <w:pPr>
              <w:jc w:val="right"/>
              <w:rPr>
                <w:sz w:val="20"/>
                <w:szCs w:val="20"/>
              </w:rPr>
            </w:pPr>
            <w:r>
              <w:rPr>
                <w:sz w:val="20"/>
                <w:szCs w:val="20"/>
              </w:rPr>
              <w:t>-</w:t>
            </w:r>
          </w:p>
        </w:tc>
      </w:tr>
      <w:tr w:rsidR="00E66706" w:rsidRPr="00725D01" w:rsidTr="00E66706">
        <w:trPr>
          <w:trHeight w:val="315"/>
        </w:trPr>
        <w:tc>
          <w:tcPr>
            <w:tcW w:w="2977" w:type="dxa"/>
            <w:shd w:val="clear" w:color="auto" w:fill="auto"/>
            <w:noWrap/>
            <w:vAlign w:val="bottom"/>
            <w:hideMark/>
          </w:tcPr>
          <w:p w:rsidR="00E66706" w:rsidRPr="00725D01" w:rsidRDefault="00E66706" w:rsidP="00E66706">
            <w:pPr>
              <w:rPr>
                <w:b/>
                <w:bCs/>
                <w:sz w:val="20"/>
                <w:szCs w:val="20"/>
              </w:rPr>
            </w:pPr>
            <w:r w:rsidRPr="00725D01">
              <w:rPr>
                <w:b/>
                <w:bCs/>
                <w:sz w:val="20"/>
                <w:szCs w:val="20"/>
              </w:rPr>
              <w:t>Total</w:t>
            </w:r>
          </w:p>
        </w:tc>
        <w:tc>
          <w:tcPr>
            <w:tcW w:w="1417" w:type="dxa"/>
            <w:tcBorders>
              <w:top w:val="single" w:sz="4" w:space="0" w:color="auto"/>
              <w:bottom w:val="double" w:sz="4" w:space="0" w:color="auto"/>
            </w:tcBorders>
            <w:shd w:val="clear" w:color="auto" w:fill="auto"/>
            <w:noWrap/>
            <w:vAlign w:val="bottom"/>
            <w:hideMark/>
          </w:tcPr>
          <w:p w:rsidR="00E66706" w:rsidRPr="00725D01" w:rsidRDefault="00E66706" w:rsidP="00E66706">
            <w:pPr>
              <w:jc w:val="right"/>
              <w:rPr>
                <w:b/>
                <w:bCs/>
                <w:sz w:val="20"/>
                <w:szCs w:val="20"/>
              </w:rPr>
            </w:pPr>
            <w:r w:rsidRPr="00725D01">
              <w:rPr>
                <w:b/>
                <w:bCs/>
                <w:sz w:val="20"/>
                <w:szCs w:val="20"/>
              </w:rPr>
              <w:t>58</w:t>
            </w:r>
          </w:p>
        </w:tc>
        <w:tc>
          <w:tcPr>
            <w:tcW w:w="1418" w:type="dxa"/>
            <w:tcBorders>
              <w:top w:val="single" w:sz="4" w:space="0" w:color="auto"/>
              <w:bottom w:val="double" w:sz="4" w:space="0" w:color="auto"/>
            </w:tcBorders>
            <w:shd w:val="clear" w:color="auto" w:fill="auto"/>
            <w:noWrap/>
            <w:vAlign w:val="bottom"/>
            <w:hideMark/>
          </w:tcPr>
          <w:p w:rsidR="00E66706" w:rsidRPr="00725D01" w:rsidRDefault="00E66706" w:rsidP="00E66706">
            <w:pPr>
              <w:jc w:val="right"/>
              <w:rPr>
                <w:b/>
                <w:bCs/>
                <w:sz w:val="20"/>
                <w:szCs w:val="20"/>
              </w:rPr>
            </w:pPr>
            <w:r w:rsidRPr="00725D01">
              <w:rPr>
                <w:b/>
                <w:bCs/>
                <w:sz w:val="20"/>
                <w:szCs w:val="20"/>
              </w:rPr>
              <w:t>0</w:t>
            </w:r>
          </w:p>
        </w:tc>
        <w:tc>
          <w:tcPr>
            <w:tcW w:w="1701" w:type="dxa"/>
            <w:tcBorders>
              <w:top w:val="single" w:sz="4" w:space="0" w:color="auto"/>
              <w:bottom w:val="double" w:sz="4" w:space="0" w:color="auto"/>
            </w:tcBorders>
            <w:shd w:val="clear" w:color="auto" w:fill="auto"/>
            <w:noWrap/>
            <w:vAlign w:val="bottom"/>
            <w:hideMark/>
          </w:tcPr>
          <w:p w:rsidR="00E66706" w:rsidRPr="00725D01" w:rsidRDefault="00E66706" w:rsidP="00E66706">
            <w:pPr>
              <w:jc w:val="right"/>
              <w:rPr>
                <w:b/>
                <w:bCs/>
                <w:sz w:val="20"/>
                <w:szCs w:val="20"/>
              </w:rPr>
            </w:pPr>
            <w:r w:rsidRPr="00725D01">
              <w:rPr>
                <w:b/>
                <w:bCs/>
                <w:sz w:val="20"/>
                <w:szCs w:val="20"/>
              </w:rPr>
              <w:t>2</w:t>
            </w:r>
          </w:p>
        </w:tc>
      </w:tr>
    </w:tbl>
    <w:p w:rsidR="00E66706" w:rsidRDefault="00E66706" w:rsidP="00BC6A99">
      <w:pPr>
        <w:jc w:val="both"/>
        <w:rPr>
          <w:sz w:val="22"/>
          <w:szCs w:val="22"/>
        </w:rPr>
      </w:pPr>
    </w:p>
    <w:p w:rsidR="00E66706" w:rsidRDefault="00E66706" w:rsidP="00BC6A99">
      <w:pPr>
        <w:jc w:val="both"/>
        <w:rPr>
          <w:sz w:val="22"/>
          <w:szCs w:val="22"/>
        </w:rPr>
        <w:sectPr w:rsidR="00E66706" w:rsidSect="003018D5">
          <w:pgSz w:w="11906" w:h="16838" w:code="9"/>
          <w:pgMar w:top="720" w:right="720" w:bottom="720" w:left="720" w:header="709" w:footer="709" w:gutter="0"/>
          <w:cols w:space="708"/>
          <w:docGrid w:linePitch="360"/>
        </w:sectPr>
      </w:pPr>
    </w:p>
    <w:p w:rsidR="000E3952" w:rsidRPr="003D4053" w:rsidRDefault="003D4053" w:rsidP="00BC6A99">
      <w:pPr>
        <w:jc w:val="both"/>
        <w:rPr>
          <w:sz w:val="22"/>
          <w:szCs w:val="22"/>
        </w:rPr>
      </w:pPr>
      <w:r w:rsidRPr="003D4053">
        <w:rPr>
          <w:sz w:val="22"/>
          <w:szCs w:val="22"/>
        </w:rPr>
        <w:lastRenderedPageBreak/>
        <w:t xml:space="preserve">When an employee leaves the </w:t>
      </w:r>
      <w:r w:rsidR="001F1A1A">
        <w:rPr>
          <w:sz w:val="22"/>
          <w:szCs w:val="22"/>
        </w:rPr>
        <w:t>County Council</w:t>
      </w:r>
      <w:r w:rsidRPr="003D4053">
        <w:rPr>
          <w:sz w:val="22"/>
          <w:szCs w:val="22"/>
        </w:rPr>
        <w:t xml:space="preserve"> through the ongoing voluntary severance scheme, two types of costs are incurred:</w:t>
      </w:r>
    </w:p>
    <w:p w:rsidR="003D4053" w:rsidRPr="003D4053" w:rsidRDefault="003D4053" w:rsidP="00BC6A99">
      <w:pPr>
        <w:jc w:val="both"/>
        <w:rPr>
          <w:sz w:val="22"/>
          <w:szCs w:val="22"/>
        </w:rPr>
      </w:pPr>
    </w:p>
    <w:p w:rsidR="003D4053" w:rsidRPr="00105819" w:rsidRDefault="003D4053" w:rsidP="00BD07E4">
      <w:pPr>
        <w:pStyle w:val="ListParagraph"/>
        <w:numPr>
          <w:ilvl w:val="0"/>
          <w:numId w:val="56"/>
        </w:numPr>
        <w:jc w:val="both"/>
        <w:rPr>
          <w:sz w:val="22"/>
          <w:szCs w:val="22"/>
        </w:rPr>
      </w:pPr>
      <w:r w:rsidRPr="00105819">
        <w:rPr>
          <w:sz w:val="22"/>
          <w:szCs w:val="22"/>
        </w:rPr>
        <w:t>A redundancy payment received by the employee calculated in line with the relevant policies agreed by the Council;</w:t>
      </w:r>
    </w:p>
    <w:p w:rsidR="003D4053" w:rsidRPr="003D4053" w:rsidRDefault="003D4053" w:rsidP="00BD07E4">
      <w:pPr>
        <w:pStyle w:val="ListParagraph"/>
        <w:numPr>
          <w:ilvl w:val="0"/>
          <w:numId w:val="56"/>
        </w:numPr>
        <w:jc w:val="both"/>
        <w:rPr>
          <w:sz w:val="22"/>
          <w:szCs w:val="22"/>
        </w:rPr>
      </w:pPr>
      <w:r w:rsidRPr="003D4053">
        <w:rPr>
          <w:sz w:val="22"/>
          <w:szCs w:val="22"/>
        </w:rPr>
        <w:t xml:space="preserve">Where the employee is able to immediately receive any benefits they have built up in the Pension Fund, a payment calculated by the Independent Actuary is made to compensate the fund for both the employer and employee contributions that will be received due to the early payment of benefits. This payment is </w:t>
      </w:r>
      <w:r w:rsidRPr="003D4053">
        <w:rPr>
          <w:b/>
          <w:sz w:val="22"/>
          <w:szCs w:val="22"/>
        </w:rPr>
        <w:t>not</w:t>
      </w:r>
      <w:r w:rsidRPr="003D4053">
        <w:rPr>
          <w:sz w:val="22"/>
          <w:szCs w:val="22"/>
        </w:rPr>
        <w:t xml:space="preserve"> made to the individual.</w:t>
      </w:r>
    </w:p>
    <w:p w:rsidR="003D4053" w:rsidRPr="003D4053" w:rsidRDefault="003D4053" w:rsidP="003D4053">
      <w:pPr>
        <w:pStyle w:val="ListParagraph"/>
        <w:ind w:left="1004"/>
        <w:jc w:val="both"/>
        <w:rPr>
          <w:sz w:val="22"/>
          <w:szCs w:val="22"/>
        </w:rPr>
      </w:pPr>
    </w:p>
    <w:p w:rsidR="000E3952" w:rsidRPr="00BD65FF" w:rsidRDefault="0005025E" w:rsidP="00BC6A99">
      <w:pPr>
        <w:jc w:val="both"/>
        <w:rPr>
          <w:sz w:val="22"/>
          <w:szCs w:val="22"/>
        </w:rPr>
      </w:pPr>
      <w:r>
        <w:rPr>
          <w:sz w:val="22"/>
          <w:szCs w:val="22"/>
        </w:rPr>
        <w:t>The table below shows the cost to the council of the exit packages and is not the amount received by an employee (which forms only part of the cost shown).</w:t>
      </w:r>
    </w:p>
    <w:p w:rsidR="00BD65FF" w:rsidRDefault="00BD65FF" w:rsidP="00BC6A99">
      <w:pPr>
        <w:jc w:val="both"/>
        <w:rPr>
          <w:sz w:val="22"/>
          <w:szCs w:val="22"/>
          <w:highlight w:val="yellow"/>
        </w:rPr>
      </w:pPr>
    </w:p>
    <w:tbl>
      <w:tblPr>
        <w:tblW w:w="0" w:type="auto"/>
        <w:tblInd w:w="93" w:type="dxa"/>
        <w:tblLook w:val="04A0"/>
      </w:tblPr>
      <w:tblGrid>
        <w:gridCol w:w="3677"/>
        <w:gridCol w:w="1440"/>
        <w:gridCol w:w="1440"/>
        <w:gridCol w:w="1397"/>
        <w:gridCol w:w="1397"/>
        <w:gridCol w:w="1580"/>
        <w:gridCol w:w="1580"/>
        <w:gridCol w:w="1505"/>
        <w:gridCol w:w="1505"/>
      </w:tblGrid>
      <w:tr w:rsidR="00327CB4" w:rsidRPr="00327CB4" w:rsidTr="00BD65FF">
        <w:trPr>
          <w:trHeight w:val="656"/>
        </w:trPr>
        <w:tc>
          <w:tcPr>
            <w:tcW w:w="0" w:type="auto"/>
            <w:tcBorders>
              <w:top w:val="nil"/>
              <w:left w:val="nil"/>
              <w:bottom w:val="nil"/>
              <w:right w:val="nil"/>
            </w:tcBorders>
            <w:shd w:val="clear" w:color="auto" w:fill="auto"/>
            <w:hideMark/>
          </w:tcPr>
          <w:p w:rsidR="00327CB4" w:rsidRPr="00BD65FF" w:rsidRDefault="00327CB4" w:rsidP="00327CB4">
            <w:pPr>
              <w:rPr>
                <w:b/>
                <w:bCs/>
                <w:color w:val="000000"/>
                <w:sz w:val="22"/>
                <w:szCs w:val="22"/>
              </w:rPr>
            </w:pPr>
            <w:r w:rsidRPr="00BD65FF">
              <w:rPr>
                <w:b/>
                <w:bCs/>
                <w:color w:val="000000"/>
                <w:sz w:val="22"/>
                <w:szCs w:val="22"/>
              </w:rPr>
              <w:t>Exit package cost band (including special payments)</w:t>
            </w:r>
          </w:p>
        </w:tc>
        <w:tc>
          <w:tcPr>
            <w:tcW w:w="0" w:type="auto"/>
            <w:gridSpan w:val="2"/>
            <w:tcBorders>
              <w:top w:val="nil"/>
              <w:left w:val="nil"/>
              <w:bottom w:val="nil"/>
              <w:right w:val="nil"/>
            </w:tcBorders>
            <w:shd w:val="clear" w:color="auto" w:fill="auto"/>
            <w:hideMark/>
          </w:tcPr>
          <w:p w:rsidR="00327CB4" w:rsidRPr="00BD65FF" w:rsidRDefault="00327CB4" w:rsidP="00BD65FF">
            <w:pPr>
              <w:jc w:val="center"/>
              <w:rPr>
                <w:b/>
                <w:bCs/>
                <w:color w:val="000000"/>
                <w:sz w:val="22"/>
                <w:szCs w:val="22"/>
              </w:rPr>
            </w:pPr>
            <w:r w:rsidRPr="00BD65FF">
              <w:rPr>
                <w:b/>
                <w:bCs/>
                <w:color w:val="000000"/>
                <w:sz w:val="22"/>
                <w:szCs w:val="22"/>
              </w:rPr>
              <w:t>Number of compulsory redundancies</w:t>
            </w:r>
          </w:p>
        </w:tc>
        <w:tc>
          <w:tcPr>
            <w:tcW w:w="0" w:type="auto"/>
            <w:gridSpan w:val="2"/>
            <w:tcBorders>
              <w:top w:val="nil"/>
              <w:left w:val="nil"/>
              <w:bottom w:val="nil"/>
              <w:right w:val="nil"/>
            </w:tcBorders>
            <w:shd w:val="clear" w:color="auto" w:fill="auto"/>
            <w:hideMark/>
          </w:tcPr>
          <w:p w:rsidR="00327CB4" w:rsidRPr="00BD65FF" w:rsidRDefault="00327CB4" w:rsidP="00BD65FF">
            <w:pPr>
              <w:jc w:val="center"/>
              <w:rPr>
                <w:b/>
                <w:bCs/>
                <w:color w:val="000000"/>
                <w:sz w:val="22"/>
                <w:szCs w:val="22"/>
              </w:rPr>
            </w:pPr>
            <w:r w:rsidRPr="00BD65FF">
              <w:rPr>
                <w:b/>
                <w:bCs/>
                <w:color w:val="000000"/>
                <w:sz w:val="22"/>
                <w:szCs w:val="22"/>
              </w:rPr>
              <w:t>Number of other departures agreed</w:t>
            </w:r>
          </w:p>
        </w:tc>
        <w:tc>
          <w:tcPr>
            <w:tcW w:w="0" w:type="auto"/>
            <w:gridSpan w:val="2"/>
            <w:tcBorders>
              <w:top w:val="nil"/>
              <w:left w:val="nil"/>
              <w:bottom w:val="nil"/>
              <w:right w:val="nil"/>
            </w:tcBorders>
            <w:shd w:val="clear" w:color="auto" w:fill="auto"/>
            <w:hideMark/>
          </w:tcPr>
          <w:p w:rsidR="00327CB4" w:rsidRPr="00BD65FF" w:rsidRDefault="00327CB4" w:rsidP="00BD65FF">
            <w:pPr>
              <w:jc w:val="center"/>
              <w:rPr>
                <w:b/>
                <w:bCs/>
                <w:color w:val="000000"/>
                <w:sz w:val="22"/>
                <w:szCs w:val="22"/>
              </w:rPr>
            </w:pPr>
            <w:r w:rsidRPr="00BD65FF">
              <w:rPr>
                <w:b/>
                <w:bCs/>
                <w:color w:val="000000"/>
                <w:sz w:val="22"/>
                <w:szCs w:val="22"/>
              </w:rPr>
              <w:t>Total number of exit p</w:t>
            </w:r>
            <w:r w:rsidR="00BD65FF" w:rsidRPr="00BD65FF">
              <w:rPr>
                <w:b/>
                <w:bCs/>
                <w:color w:val="000000"/>
                <w:sz w:val="22"/>
                <w:szCs w:val="22"/>
              </w:rPr>
              <w:t>ackages by cost band</w:t>
            </w:r>
          </w:p>
        </w:tc>
        <w:tc>
          <w:tcPr>
            <w:tcW w:w="0" w:type="auto"/>
            <w:gridSpan w:val="2"/>
            <w:tcBorders>
              <w:top w:val="nil"/>
              <w:left w:val="nil"/>
              <w:bottom w:val="nil"/>
              <w:right w:val="nil"/>
            </w:tcBorders>
            <w:shd w:val="clear" w:color="auto" w:fill="auto"/>
            <w:hideMark/>
          </w:tcPr>
          <w:p w:rsidR="00327CB4" w:rsidRPr="00BD65FF" w:rsidRDefault="00327CB4" w:rsidP="00BD65FF">
            <w:pPr>
              <w:jc w:val="center"/>
              <w:rPr>
                <w:b/>
                <w:bCs/>
                <w:color w:val="000000"/>
                <w:sz w:val="22"/>
                <w:szCs w:val="22"/>
              </w:rPr>
            </w:pPr>
            <w:r w:rsidRPr="00BD65FF">
              <w:rPr>
                <w:b/>
                <w:bCs/>
                <w:color w:val="000000"/>
                <w:sz w:val="22"/>
                <w:szCs w:val="22"/>
              </w:rPr>
              <w:t>Total cost of exit packages in each band</w:t>
            </w:r>
          </w:p>
        </w:tc>
      </w:tr>
      <w:tr w:rsidR="00BD65FF" w:rsidRPr="00327CB4" w:rsidTr="00BD65FF">
        <w:trPr>
          <w:trHeight w:val="424"/>
        </w:trPr>
        <w:tc>
          <w:tcPr>
            <w:tcW w:w="0" w:type="auto"/>
            <w:tcBorders>
              <w:top w:val="nil"/>
              <w:left w:val="nil"/>
              <w:bottom w:val="nil"/>
              <w:right w:val="nil"/>
            </w:tcBorders>
            <w:shd w:val="clear" w:color="auto" w:fill="auto"/>
            <w:hideMark/>
          </w:tcPr>
          <w:p w:rsidR="00327CB4" w:rsidRPr="00BD65FF" w:rsidRDefault="00327CB4" w:rsidP="00327CB4">
            <w:pPr>
              <w:rPr>
                <w:color w:val="000000"/>
                <w:sz w:val="22"/>
                <w:szCs w:val="22"/>
              </w:rPr>
            </w:pPr>
          </w:p>
        </w:tc>
        <w:tc>
          <w:tcPr>
            <w:tcW w:w="0" w:type="auto"/>
            <w:tcBorders>
              <w:top w:val="nil"/>
              <w:left w:val="nil"/>
              <w:bottom w:val="nil"/>
              <w:right w:val="nil"/>
            </w:tcBorders>
            <w:shd w:val="clear" w:color="auto" w:fill="auto"/>
            <w:vAlign w:val="center"/>
            <w:hideMark/>
          </w:tcPr>
          <w:p w:rsidR="00327CB4" w:rsidRPr="00BD65FF" w:rsidRDefault="00327CB4" w:rsidP="00BD65FF">
            <w:pPr>
              <w:jc w:val="center"/>
              <w:rPr>
                <w:b/>
                <w:bCs/>
                <w:color w:val="000000"/>
                <w:sz w:val="22"/>
                <w:szCs w:val="22"/>
              </w:rPr>
            </w:pPr>
            <w:r w:rsidRPr="00BD65FF">
              <w:rPr>
                <w:b/>
                <w:bCs/>
                <w:color w:val="000000"/>
                <w:sz w:val="22"/>
                <w:szCs w:val="22"/>
              </w:rPr>
              <w:t>2010/11</w:t>
            </w:r>
          </w:p>
        </w:tc>
        <w:tc>
          <w:tcPr>
            <w:tcW w:w="0" w:type="auto"/>
            <w:tcBorders>
              <w:top w:val="nil"/>
              <w:left w:val="nil"/>
              <w:bottom w:val="nil"/>
              <w:right w:val="nil"/>
            </w:tcBorders>
            <w:shd w:val="clear" w:color="000000" w:fill="D8D8D8"/>
            <w:vAlign w:val="center"/>
            <w:hideMark/>
          </w:tcPr>
          <w:p w:rsidR="00327CB4" w:rsidRPr="00BD65FF" w:rsidRDefault="00327CB4" w:rsidP="00BD65FF">
            <w:pPr>
              <w:jc w:val="center"/>
              <w:rPr>
                <w:b/>
                <w:bCs/>
                <w:color w:val="000000"/>
                <w:sz w:val="22"/>
                <w:szCs w:val="22"/>
              </w:rPr>
            </w:pPr>
            <w:r w:rsidRPr="00BD65FF">
              <w:rPr>
                <w:b/>
                <w:bCs/>
                <w:color w:val="000000"/>
                <w:sz w:val="22"/>
                <w:szCs w:val="22"/>
              </w:rPr>
              <w:t>2011/12</w:t>
            </w:r>
          </w:p>
        </w:tc>
        <w:tc>
          <w:tcPr>
            <w:tcW w:w="0" w:type="auto"/>
            <w:tcBorders>
              <w:top w:val="nil"/>
              <w:left w:val="nil"/>
              <w:bottom w:val="nil"/>
              <w:right w:val="nil"/>
            </w:tcBorders>
            <w:shd w:val="clear" w:color="auto" w:fill="auto"/>
            <w:vAlign w:val="center"/>
            <w:hideMark/>
          </w:tcPr>
          <w:p w:rsidR="00327CB4" w:rsidRPr="00BD65FF" w:rsidRDefault="00327CB4" w:rsidP="00BD65FF">
            <w:pPr>
              <w:jc w:val="center"/>
              <w:rPr>
                <w:b/>
                <w:bCs/>
                <w:color w:val="000000"/>
                <w:sz w:val="22"/>
                <w:szCs w:val="22"/>
              </w:rPr>
            </w:pPr>
            <w:r w:rsidRPr="00BD65FF">
              <w:rPr>
                <w:b/>
                <w:bCs/>
                <w:color w:val="000000"/>
                <w:sz w:val="22"/>
                <w:szCs w:val="22"/>
              </w:rPr>
              <w:t>2010/11</w:t>
            </w:r>
          </w:p>
        </w:tc>
        <w:tc>
          <w:tcPr>
            <w:tcW w:w="0" w:type="auto"/>
            <w:tcBorders>
              <w:top w:val="nil"/>
              <w:left w:val="nil"/>
              <w:bottom w:val="nil"/>
              <w:right w:val="nil"/>
            </w:tcBorders>
            <w:shd w:val="clear" w:color="000000" w:fill="D8D8D8"/>
            <w:vAlign w:val="center"/>
            <w:hideMark/>
          </w:tcPr>
          <w:p w:rsidR="00327CB4" w:rsidRPr="00BD65FF" w:rsidRDefault="00327CB4" w:rsidP="00BD65FF">
            <w:pPr>
              <w:jc w:val="center"/>
              <w:rPr>
                <w:b/>
                <w:bCs/>
                <w:color w:val="000000"/>
                <w:sz w:val="22"/>
                <w:szCs w:val="22"/>
              </w:rPr>
            </w:pPr>
            <w:r w:rsidRPr="00BD65FF">
              <w:rPr>
                <w:b/>
                <w:bCs/>
                <w:color w:val="000000"/>
                <w:sz w:val="22"/>
                <w:szCs w:val="22"/>
              </w:rPr>
              <w:t>2011/12</w:t>
            </w:r>
          </w:p>
        </w:tc>
        <w:tc>
          <w:tcPr>
            <w:tcW w:w="0" w:type="auto"/>
            <w:tcBorders>
              <w:top w:val="nil"/>
              <w:left w:val="nil"/>
              <w:bottom w:val="nil"/>
              <w:right w:val="nil"/>
            </w:tcBorders>
            <w:shd w:val="clear" w:color="auto" w:fill="auto"/>
            <w:vAlign w:val="center"/>
            <w:hideMark/>
          </w:tcPr>
          <w:p w:rsidR="00327CB4" w:rsidRPr="00BD65FF" w:rsidRDefault="00327CB4" w:rsidP="00BD65FF">
            <w:pPr>
              <w:jc w:val="center"/>
              <w:rPr>
                <w:b/>
                <w:bCs/>
                <w:color w:val="000000"/>
                <w:sz w:val="22"/>
                <w:szCs w:val="22"/>
              </w:rPr>
            </w:pPr>
            <w:r w:rsidRPr="00BD65FF">
              <w:rPr>
                <w:b/>
                <w:bCs/>
                <w:color w:val="000000"/>
                <w:sz w:val="22"/>
                <w:szCs w:val="22"/>
              </w:rPr>
              <w:t>2010/11</w:t>
            </w:r>
          </w:p>
        </w:tc>
        <w:tc>
          <w:tcPr>
            <w:tcW w:w="0" w:type="auto"/>
            <w:tcBorders>
              <w:top w:val="nil"/>
              <w:left w:val="nil"/>
              <w:bottom w:val="nil"/>
              <w:right w:val="nil"/>
            </w:tcBorders>
            <w:shd w:val="clear" w:color="000000" w:fill="D8D8D8"/>
            <w:vAlign w:val="center"/>
            <w:hideMark/>
          </w:tcPr>
          <w:p w:rsidR="00327CB4" w:rsidRPr="00BD65FF" w:rsidRDefault="00327CB4" w:rsidP="00BD65FF">
            <w:pPr>
              <w:jc w:val="center"/>
              <w:rPr>
                <w:b/>
                <w:bCs/>
                <w:color w:val="000000"/>
                <w:sz w:val="22"/>
                <w:szCs w:val="22"/>
              </w:rPr>
            </w:pPr>
            <w:r w:rsidRPr="00BD65FF">
              <w:rPr>
                <w:b/>
                <w:bCs/>
                <w:color w:val="000000"/>
                <w:sz w:val="22"/>
                <w:szCs w:val="22"/>
              </w:rPr>
              <w:t>2011/12</w:t>
            </w:r>
          </w:p>
        </w:tc>
        <w:tc>
          <w:tcPr>
            <w:tcW w:w="0" w:type="auto"/>
            <w:tcBorders>
              <w:top w:val="nil"/>
              <w:left w:val="nil"/>
              <w:bottom w:val="nil"/>
              <w:right w:val="nil"/>
            </w:tcBorders>
            <w:shd w:val="clear" w:color="auto" w:fill="auto"/>
            <w:vAlign w:val="center"/>
            <w:hideMark/>
          </w:tcPr>
          <w:p w:rsidR="00327CB4" w:rsidRPr="00BD65FF" w:rsidRDefault="00327CB4" w:rsidP="00BD65FF">
            <w:pPr>
              <w:jc w:val="center"/>
              <w:rPr>
                <w:b/>
                <w:bCs/>
                <w:color w:val="000000"/>
                <w:sz w:val="22"/>
                <w:szCs w:val="22"/>
              </w:rPr>
            </w:pPr>
            <w:r w:rsidRPr="00BD65FF">
              <w:rPr>
                <w:b/>
                <w:bCs/>
                <w:color w:val="000000"/>
                <w:sz w:val="22"/>
                <w:szCs w:val="22"/>
              </w:rPr>
              <w:t>2010/11</w:t>
            </w:r>
          </w:p>
        </w:tc>
        <w:tc>
          <w:tcPr>
            <w:tcW w:w="0" w:type="auto"/>
            <w:tcBorders>
              <w:top w:val="nil"/>
              <w:left w:val="nil"/>
              <w:bottom w:val="nil"/>
              <w:right w:val="nil"/>
            </w:tcBorders>
            <w:shd w:val="clear" w:color="000000" w:fill="D8D8D8"/>
            <w:vAlign w:val="center"/>
            <w:hideMark/>
          </w:tcPr>
          <w:p w:rsidR="00327CB4" w:rsidRPr="00BD65FF" w:rsidRDefault="00327CB4" w:rsidP="00BD65FF">
            <w:pPr>
              <w:jc w:val="center"/>
              <w:rPr>
                <w:b/>
                <w:bCs/>
                <w:color w:val="000000"/>
                <w:sz w:val="22"/>
                <w:szCs w:val="22"/>
              </w:rPr>
            </w:pPr>
            <w:r w:rsidRPr="00BD65FF">
              <w:rPr>
                <w:b/>
                <w:bCs/>
                <w:color w:val="000000"/>
                <w:sz w:val="22"/>
                <w:szCs w:val="22"/>
              </w:rPr>
              <w:t>2011/12</w:t>
            </w:r>
          </w:p>
        </w:tc>
      </w:tr>
      <w:tr w:rsidR="00BD65FF" w:rsidRPr="00327CB4" w:rsidTr="00BD65FF">
        <w:trPr>
          <w:trHeight w:val="315"/>
        </w:trPr>
        <w:tc>
          <w:tcPr>
            <w:tcW w:w="0" w:type="auto"/>
            <w:tcBorders>
              <w:top w:val="nil"/>
              <w:left w:val="nil"/>
              <w:bottom w:val="nil"/>
              <w:right w:val="nil"/>
            </w:tcBorders>
            <w:shd w:val="clear" w:color="auto" w:fill="auto"/>
            <w:hideMark/>
          </w:tcPr>
          <w:p w:rsidR="00327CB4" w:rsidRPr="00BD65FF" w:rsidRDefault="00327CB4" w:rsidP="00327CB4">
            <w:pPr>
              <w:rPr>
                <w:color w:val="000000"/>
                <w:sz w:val="22"/>
                <w:szCs w:val="22"/>
              </w:rPr>
            </w:pPr>
          </w:p>
        </w:tc>
        <w:tc>
          <w:tcPr>
            <w:tcW w:w="0" w:type="auto"/>
            <w:tcBorders>
              <w:top w:val="nil"/>
              <w:left w:val="nil"/>
              <w:bottom w:val="nil"/>
              <w:right w:val="nil"/>
            </w:tcBorders>
            <w:shd w:val="clear" w:color="auto" w:fill="auto"/>
            <w:hideMark/>
          </w:tcPr>
          <w:p w:rsidR="00327CB4" w:rsidRPr="00BD65FF" w:rsidRDefault="00327CB4" w:rsidP="00327CB4">
            <w:pPr>
              <w:jc w:val="right"/>
              <w:rPr>
                <w:b/>
                <w:bCs/>
                <w:color w:val="000000"/>
                <w:sz w:val="22"/>
                <w:szCs w:val="22"/>
              </w:rPr>
            </w:pPr>
          </w:p>
        </w:tc>
        <w:tc>
          <w:tcPr>
            <w:tcW w:w="0" w:type="auto"/>
            <w:tcBorders>
              <w:top w:val="nil"/>
              <w:left w:val="nil"/>
              <w:bottom w:val="nil"/>
              <w:right w:val="nil"/>
            </w:tcBorders>
            <w:shd w:val="clear" w:color="000000" w:fill="D8D8D8"/>
            <w:hideMark/>
          </w:tcPr>
          <w:p w:rsidR="00327CB4" w:rsidRPr="00BD65FF" w:rsidRDefault="00327CB4" w:rsidP="00327CB4">
            <w:pPr>
              <w:jc w:val="right"/>
              <w:rPr>
                <w:b/>
                <w:bCs/>
                <w:color w:val="000000"/>
                <w:sz w:val="22"/>
                <w:szCs w:val="22"/>
              </w:rPr>
            </w:pPr>
            <w:r w:rsidRPr="00BD65FF">
              <w:rPr>
                <w:b/>
                <w:bCs/>
                <w:color w:val="000000"/>
                <w:sz w:val="22"/>
                <w:szCs w:val="22"/>
              </w:rPr>
              <w:t> </w:t>
            </w:r>
          </w:p>
        </w:tc>
        <w:tc>
          <w:tcPr>
            <w:tcW w:w="0" w:type="auto"/>
            <w:tcBorders>
              <w:top w:val="nil"/>
              <w:left w:val="nil"/>
              <w:bottom w:val="nil"/>
              <w:right w:val="nil"/>
            </w:tcBorders>
            <w:shd w:val="clear" w:color="auto" w:fill="auto"/>
            <w:hideMark/>
          </w:tcPr>
          <w:p w:rsidR="00327CB4" w:rsidRPr="00BD65FF" w:rsidRDefault="00327CB4" w:rsidP="00327CB4">
            <w:pPr>
              <w:jc w:val="right"/>
              <w:rPr>
                <w:b/>
                <w:bCs/>
                <w:color w:val="000000"/>
                <w:sz w:val="22"/>
                <w:szCs w:val="22"/>
              </w:rPr>
            </w:pPr>
          </w:p>
        </w:tc>
        <w:tc>
          <w:tcPr>
            <w:tcW w:w="0" w:type="auto"/>
            <w:tcBorders>
              <w:top w:val="nil"/>
              <w:left w:val="nil"/>
              <w:bottom w:val="nil"/>
              <w:right w:val="nil"/>
            </w:tcBorders>
            <w:shd w:val="clear" w:color="000000" w:fill="D8D8D8"/>
            <w:hideMark/>
          </w:tcPr>
          <w:p w:rsidR="00327CB4" w:rsidRPr="00BD65FF" w:rsidRDefault="00327CB4" w:rsidP="00327CB4">
            <w:pPr>
              <w:jc w:val="right"/>
              <w:rPr>
                <w:b/>
                <w:bCs/>
                <w:color w:val="000000"/>
                <w:sz w:val="22"/>
                <w:szCs w:val="22"/>
              </w:rPr>
            </w:pPr>
            <w:r w:rsidRPr="00BD65FF">
              <w:rPr>
                <w:b/>
                <w:bCs/>
                <w:color w:val="000000"/>
                <w:sz w:val="22"/>
                <w:szCs w:val="22"/>
              </w:rPr>
              <w:t> </w:t>
            </w:r>
          </w:p>
        </w:tc>
        <w:tc>
          <w:tcPr>
            <w:tcW w:w="0" w:type="auto"/>
            <w:tcBorders>
              <w:top w:val="nil"/>
              <w:left w:val="nil"/>
              <w:bottom w:val="nil"/>
              <w:right w:val="nil"/>
            </w:tcBorders>
            <w:shd w:val="clear" w:color="auto" w:fill="auto"/>
            <w:hideMark/>
          </w:tcPr>
          <w:p w:rsidR="00327CB4" w:rsidRPr="00BD65FF" w:rsidRDefault="00327CB4" w:rsidP="00327CB4">
            <w:pPr>
              <w:jc w:val="right"/>
              <w:rPr>
                <w:b/>
                <w:bCs/>
                <w:color w:val="000000"/>
                <w:sz w:val="22"/>
                <w:szCs w:val="22"/>
              </w:rPr>
            </w:pPr>
          </w:p>
        </w:tc>
        <w:tc>
          <w:tcPr>
            <w:tcW w:w="0" w:type="auto"/>
            <w:tcBorders>
              <w:top w:val="nil"/>
              <w:left w:val="nil"/>
              <w:bottom w:val="nil"/>
              <w:right w:val="nil"/>
            </w:tcBorders>
            <w:shd w:val="clear" w:color="000000" w:fill="D8D8D8"/>
            <w:hideMark/>
          </w:tcPr>
          <w:p w:rsidR="00327CB4" w:rsidRPr="00BD65FF" w:rsidRDefault="00327CB4" w:rsidP="00327CB4">
            <w:pPr>
              <w:jc w:val="right"/>
              <w:rPr>
                <w:b/>
                <w:bCs/>
                <w:color w:val="000000"/>
                <w:sz w:val="22"/>
                <w:szCs w:val="22"/>
              </w:rPr>
            </w:pPr>
            <w:r w:rsidRPr="00BD65FF">
              <w:rPr>
                <w:b/>
                <w:bCs/>
                <w:color w:val="000000"/>
                <w:sz w:val="22"/>
                <w:szCs w:val="22"/>
              </w:rPr>
              <w:t> </w:t>
            </w:r>
          </w:p>
        </w:tc>
        <w:tc>
          <w:tcPr>
            <w:tcW w:w="0" w:type="auto"/>
            <w:tcBorders>
              <w:top w:val="nil"/>
              <w:left w:val="nil"/>
              <w:bottom w:val="nil"/>
              <w:right w:val="nil"/>
            </w:tcBorders>
            <w:shd w:val="clear" w:color="auto" w:fill="auto"/>
            <w:vAlign w:val="center"/>
            <w:hideMark/>
          </w:tcPr>
          <w:p w:rsidR="00327CB4" w:rsidRPr="00BD65FF" w:rsidRDefault="00327CB4" w:rsidP="00BD65FF">
            <w:pPr>
              <w:jc w:val="center"/>
              <w:rPr>
                <w:b/>
                <w:bCs/>
                <w:color w:val="000000"/>
                <w:sz w:val="22"/>
                <w:szCs w:val="22"/>
              </w:rPr>
            </w:pPr>
            <w:r w:rsidRPr="00BD65FF">
              <w:rPr>
                <w:b/>
                <w:bCs/>
                <w:color w:val="000000"/>
                <w:sz w:val="22"/>
                <w:szCs w:val="22"/>
              </w:rPr>
              <w:t>£000</w:t>
            </w:r>
          </w:p>
        </w:tc>
        <w:tc>
          <w:tcPr>
            <w:tcW w:w="0" w:type="auto"/>
            <w:tcBorders>
              <w:top w:val="nil"/>
              <w:left w:val="nil"/>
              <w:bottom w:val="nil"/>
              <w:right w:val="nil"/>
            </w:tcBorders>
            <w:shd w:val="clear" w:color="000000" w:fill="D8D8D8"/>
            <w:vAlign w:val="center"/>
            <w:hideMark/>
          </w:tcPr>
          <w:p w:rsidR="00327CB4" w:rsidRPr="00BD65FF" w:rsidRDefault="00327CB4" w:rsidP="00BD65FF">
            <w:pPr>
              <w:jc w:val="center"/>
              <w:rPr>
                <w:b/>
                <w:bCs/>
                <w:color w:val="000000"/>
                <w:sz w:val="22"/>
                <w:szCs w:val="22"/>
              </w:rPr>
            </w:pPr>
            <w:r w:rsidRPr="00BD65FF">
              <w:rPr>
                <w:b/>
                <w:bCs/>
                <w:color w:val="000000"/>
                <w:sz w:val="22"/>
                <w:szCs w:val="22"/>
              </w:rPr>
              <w:t>£000</w:t>
            </w:r>
          </w:p>
        </w:tc>
      </w:tr>
      <w:tr w:rsidR="00BD65FF" w:rsidRPr="00327CB4" w:rsidTr="00BD65FF">
        <w:trPr>
          <w:trHeight w:val="300"/>
        </w:trPr>
        <w:tc>
          <w:tcPr>
            <w:tcW w:w="0" w:type="auto"/>
            <w:tcBorders>
              <w:top w:val="nil"/>
              <w:left w:val="nil"/>
              <w:bottom w:val="nil"/>
              <w:right w:val="nil"/>
            </w:tcBorders>
            <w:shd w:val="clear" w:color="auto" w:fill="auto"/>
            <w:hideMark/>
          </w:tcPr>
          <w:p w:rsidR="00327CB4" w:rsidRPr="00BD65FF" w:rsidRDefault="00BD65FF" w:rsidP="00327CB4">
            <w:pPr>
              <w:rPr>
                <w:color w:val="000000"/>
                <w:sz w:val="22"/>
                <w:szCs w:val="22"/>
              </w:rPr>
            </w:pPr>
            <w:r w:rsidRPr="00BD65FF">
              <w:rPr>
                <w:color w:val="000000"/>
                <w:sz w:val="22"/>
                <w:szCs w:val="22"/>
              </w:rPr>
              <w:t>£0 -</w:t>
            </w:r>
            <w:r w:rsidR="00327CB4" w:rsidRPr="00BD65FF">
              <w:rPr>
                <w:color w:val="000000"/>
                <w:sz w:val="22"/>
                <w:szCs w:val="22"/>
              </w:rPr>
              <w:t xml:space="preserve"> £20,000</w:t>
            </w:r>
          </w:p>
        </w:tc>
        <w:tc>
          <w:tcPr>
            <w:tcW w:w="0" w:type="auto"/>
            <w:tcBorders>
              <w:top w:val="nil"/>
              <w:left w:val="nil"/>
              <w:bottom w:val="nil"/>
              <w:right w:val="nil"/>
            </w:tcBorders>
            <w:shd w:val="clear" w:color="auto" w:fill="auto"/>
            <w:vAlign w:val="center"/>
            <w:hideMark/>
          </w:tcPr>
          <w:p w:rsidR="00327CB4" w:rsidRPr="00BD65FF" w:rsidRDefault="00327CB4" w:rsidP="00BD65FF">
            <w:pPr>
              <w:jc w:val="right"/>
              <w:rPr>
                <w:color w:val="000000"/>
                <w:sz w:val="22"/>
                <w:szCs w:val="22"/>
              </w:rPr>
            </w:pPr>
            <w:r w:rsidRPr="00BD65FF">
              <w:rPr>
                <w:color w:val="000000"/>
                <w:sz w:val="22"/>
                <w:szCs w:val="22"/>
              </w:rPr>
              <w:t>32</w:t>
            </w:r>
          </w:p>
        </w:tc>
        <w:tc>
          <w:tcPr>
            <w:tcW w:w="0" w:type="auto"/>
            <w:tcBorders>
              <w:top w:val="nil"/>
              <w:left w:val="nil"/>
              <w:bottom w:val="nil"/>
              <w:right w:val="nil"/>
            </w:tcBorders>
            <w:shd w:val="clear" w:color="000000" w:fill="D8D8D8"/>
            <w:noWrap/>
            <w:vAlign w:val="center"/>
            <w:hideMark/>
          </w:tcPr>
          <w:p w:rsidR="00327CB4" w:rsidRPr="00BD65FF" w:rsidRDefault="00327CB4" w:rsidP="00BD65FF">
            <w:pPr>
              <w:jc w:val="right"/>
              <w:rPr>
                <w:color w:val="000000"/>
                <w:sz w:val="22"/>
                <w:szCs w:val="22"/>
              </w:rPr>
            </w:pPr>
            <w:r w:rsidRPr="00BD65FF">
              <w:rPr>
                <w:color w:val="000000"/>
                <w:sz w:val="22"/>
                <w:szCs w:val="22"/>
              </w:rPr>
              <w:t>12</w:t>
            </w:r>
          </w:p>
        </w:tc>
        <w:tc>
          <w:tcPr>
            <w:tcW w:w="0" w:type="auto"/>
            <w:tcBorders>
              <w:top w:val="nil"/>
              <w:left w:val="nil"/>
              <w:bottom w:val="nil"/>
              <w:right w:val="nil"/>
            </w:tcBorders>
            <w:shd w:val="clear" w:color="auto" w:fill="auto"/>
            <w:vAlign w:val="center"/>
            <w:hideMark/>
          </w:tcPr>
          <w:p w:rsidR="00327CB4" w:rsidRPr="00BD65FF" w:rsidRDefault="00327CB4" w:rsidP="00BD65FF">
            <w:pPr>
              <w:jc w:val="right"/>
              <w:rPr>
                <w:color w:val="000000"/>
                <w:sz w:val="22"/>
                <w:szCs w:val="22"/>
              </w:rPr>
            </w:pPr>
            <w:r w:rsidRPr="00BD65FF">
              <w:rPr>
                <w:color w:val="000000"/>
                <w:sz w:val="22"/>
                <w:szCs w:val="22"/>
              </w:rPr>
              <w:t>246</w:t>
            </w:r>
          </w:p>
        </w:tc>
        <w:tc>
          <w:tcPr>
            <w:tcW w:w="0" w:type="auto"/>
            <w:tcBorders>
              <w:top w:val="nil"/>
              <w:left w:val="nil"/>
              <w:bottom w:val="nil"/>
              <w:right w:val="nil"/>
            </w:tcBorders>
            <w:shd w:val="clear" w:color="000000" w:fill="D8D8D8"/>
            <w:noWrap/>
            <w:vAlign w:val="center"/>
            <w:hideMark/>
          </w:tcPr>
          <w:p w:rsidR="00327CB4" w:rsidRPr="00BD65FF" w:rsidRDefault="00327CB4" w:rsidP="00BD65FF">
            <w:pPr>
              <w:jc w:val="right"/>
              <w:rPr>
                <w:color w:val="000000"/>
                <w:sz w:val="22"/>
                <w:szCs w:val="22"/>
              </w:rPr>
            </w:pPr>
            <w:r w:rsidRPr="00BD65FF">
              <w:rPr>
                <w:color w:val="000000"/>
                <w:sz w:val="22"/>
                <w:szCs w:val="22"/>
              </w:rPr>
              <w:t>189</w:t>
            </w:r>
          </w:p>
        </w:tc>
        <w:tc>
          <w:tcPr>
            <w:tcW w:w="0" w:type="auto"/>
            <w:tcBorders>
              <w:top w:val="nil"/>
              <w:left w:val="nil"/>
              <w:bottom w:val="nil"/>
              <w:right w:val="nil"/>
            </w:tcBorders>
            <w:shd w:val="clear" w:color="auto" w:fill="auto"/>
            <w:vAlign w:val="center"/>
            <w:hideMark/>
          </w:tcPr>
          <w:p w:rsidR="00327CB4" w:rsidRPr="00BD65FF" w:rsidRDefault="00327CB4" w:rsidP="00BD65FF">
            <w:pPr>
              <w:jc w:val="right"/>
              <w:rPr>
                <w:color w:val="000000"/>
                <w:sz w:val="22"/>
                <w:szCs w:val="22"/>
              </w:rPr>
            </w:pPr>
            <w:r w:rsidRPr="00BD65FF">
              <w:rPr>
                <w:color w:val="000000"/>
                <w:sz w:val="22"/>
                <w:szCs w:val="22"/>
              </w:rPr>
              <w:t>278</w:t>
            </w:r>
          </w:p>
        </w:tc>
        <w:tc>
          <w:tcPr>
            <w:tcW w:w="0" w:type="auto"/>
            <w:tcBorders>
              <w:top w:val="nil"/>
              <w:left w:val="nil"/>
              <w:bottom w:val="nil"/>
              <w:right w:val="nil"/>
            </w:tcBorders>
            <w:shd w:val="clear" w:color="000000" w:fill="D8D8D8"/>
            <w:vAlign w:val="center"/>
            <w:hideMark/>
          </w:tcPr>
          <w:p w:rsidR="00327CB4" w:rsidRPr="00BD65FF" w:rsidRDefault="00327CB4" w:rsidP="00BD65FF">
            <w:pPr>
              <w:jc w:val="right"/>
              <w:rPr>
                <w:color w:val="000000"/>
                <w:sz w:val="22"/>
                <w:szCs w:val="22"/>
              </w:rPr>
            </w:pPr>
            <w:r w:rsidRPr="00BD65FF">
              <w:rPr>
                <w:color w:val="000000"/>
                <w:sz w:val="22"/>
                <w:szCs w:val="22"/>
              </w:rPr>
              <w:t>201</w:t>
            </w:r>
          </w:p>
        </w:tc>
        <w:tc>
          <w:tcPr>
            <w:tcW w:w="0" w:type="auto"/>
            <w:tcBorders>
              <w:top w:val="nil"/>
              <w:left w:val="nil"/>
              <w:bottom w:val="nil"/>
              <w:right w:val="nil"/>
            </w:tcBorders>
            <w:shd w:val="clear" w:color="auto" w:fill="auto"/>
            <w:vAlign w:val="center"/>
            <w:hideMark/>
          </w:tcPr>
          <w:p w:rsidR="00327CB4" w:rsidRPr="00BD65FF" w:rsidRDefault="00327CB4" w:rsidP="00BD65FF">
            <w:pPr>
              <w:jc w:val="right"/>
              <w:rPr>
                <w:color w:val="000000"/>
                <w:sz w:val="22"/>
                <w:szCs w:val="22"/>
              </w:rPr>
            </w:pPr>
            <w:r w:rsidRPr="00BD65FF">
              <w:rPr>
                <w:color w:val="000000"/>
                <w:sz w:val="22"/>
                <w:szCs w:val="22"/>
              </w:rPr>
              <w:t>2,759</w:t>
            </w:r>
          </w:p>
        </w:tc>
        <w:tc>
          <w:tcPr>
            <w:tcW w:w="0" w:type="auto"/>
            <w:tcBorders>
              <w:top w:val="nil"/>
              <w:left w:val="nil"/>
              <w:bottom w:val="nil"/>
              <w:right w:val="nil"/>
            </w:tcBorders>
            <w:shd w:val="clear" w:color="000000" w:fill="D8D8D8"/>
            <w:vAlign w:val="center"/>
            <w:hideMark/>
          </w:tcPr>
          <w:p w:rsidR="00327CB4" w:rsidRPr="00BD65FF" w:rsidRDefault="00327CB4" w:rsidP="00BD65FF">
            <w:pPr>
              <w:jc w:val="right"/>
              <w:rPr>
                <w:color w:val="000000"/>
                <w:sz w:val="22"/>
                <w:szCs w:val="22"/>
              </w:rPr>
            </w:pPr>
            <w:r w:rsidRPr="00BD65FF">
              <w:rPr>
                <w:color w:val="000000"/>
                <w:sz w:val="22"/>
                <w:szCs w:val="22"/>
              </w:rPr>
              <w:t>1,743</w:t>
            </w:r>
          </w:p>
        </w:tc>
      </w:tr>
      <w:tr w:rsidR="00BD65FF" w:rsidRPr="00327CB4" w:rsidTr="00BD65FF">
        <w:trPr>
          <w:trHeight w:val="300"/>
        </w:trPr>
        <w:tc>
          <w:tcPr>
            <w:tcW w:w="0" w:type="auto"/>
            <w:tcBorders>
              <w:top w:val="nil"/>
              <w:left w:val="nil"/>
              <w:bottom w:val="nil"/>
              <w:right w:val="nil"/>
            </w:tcBorders>
            <w:shd w:val="clear" w:color="auto" w:fill="auto"/>
            <w:hideMark/>
          </w:tcPr>
          <w:p w:rsidR="00327CB4" w:rsidRPr="00BD65FF" w:rsidRDefault="00BD65FF" w:rsidP="00327CB4">
            <w:pPr>
              <w:rPr>
                <w:color w:val="000000"/>
                <w:sz w:val="22"/>
                <w:szCs w:val="22"/>
              </w:rPr>
            </w:pPr>
            <w:r w:rsidRPr="00BD65FF">
              <w:rPr>
                <w:color w:val="000000"/>
                <w:sz w:val="22"/>
                <w:szCs w:val="22"/>
              </w:rPr>
              <w:t>£20,001 -</w:t>
            </w:r>
            <w:r w:rsidR="00327CB4" w:rsidRPr="00BD65FF">
              <w:rPr>
                <w:color w:val="000000"/>
                <w:sz w:val="22"/>
                <w:szCs w:val="22"/>
              </w:rPr>
              <w:t xml:space="preserve"> £40,000</w:t>
            </w:r>
          </w:p>
        </w:tc>
        <w:tc>
          <w:tcPr>
            <w:tcW w:w="0" w:type="auto"/>
            <w:tcBorders>
              <w:top w:val="nil"/>
              <w:left w:val="nil"/>
              <w:bottom w:val="nil"/>
              <w:right w:val="nil"/>
            </w:tcBorders>
            <w:shd w:val="clear" w:color="auto" w:fill="auto"/>
            <w:vAlign w:val="center"/>
            <w:hideMark/>
          </w:tcPr>
          <w:p w:rsidR="00327CB4" w:rsidRPr="00BD65FF" w:rsidRDefault="00327CB4" w:rsidP="00BD65FF">
            <w:pPr>
              <w:jc w:val="right"/>
              <w:rPr>
                <w:color w:val="000000"/>
                <w:sz w:val="22"/>
                <w:szCs w:val="22"/>
              </w:rPr>
            </w:pPr>
            <w:r w:rsidRPr="00BD65FF">
              <w:rPr>
                <w:color w:val="000000"/>
                <w:sz w:val="22"/>
                <w:szCs w:val="22"/>
              </w:rPr>
              <w:t>3</w:t>
            </w:r>
          </w:p>
        </w:tc>
        <w:tc>
          <w:tcPr>
            <w:tcW w:w="0" w:type="auto"/>
            <w:tcBorders>
              <w:top w:val="nil"/>
              <w:left w:val="nil"/>
              <w:bottom w:val="nil"/>
              <w:right w:val="nil"/>
            </w:tcBorders>
            <w:shd w:val="clear" w:color="000000" w:fill="D8D8D8"/>
            <w:noWrap/>
            <w:vAlign w:val="center"/>
            <w:hideMark/>
          </w:tcPr>
          <w:p w:rsidR="00327CB4" w:rsidRPr="00BD65FF" w:rsidRDefault="00327CB4" w:rsidP="00BD65FF">
            <w:pPr>
              <w:jc w:val="right"/>
              <w:rPr>
                <w:color w:val="000000"/>
                <w:sz w:val="22"/>
                <w:szCs w:val="22"/>
              </w:rPr>
            </w:pPr>
            <w:r w:rsidRPr="00BD65FF">
              <w:rPr>
                <w:color w:val="000000"/>
                <w:sz w:val="22"/>
                <w:szCs w:val="22"/>
              </w:rPr>
              <w:t>1</w:t>
            </w:r>
          </w:p>
        </w:tc>
        <w:tc>
          <w:tcPr>
            <w:tcW w:w="0" w:type="auto"/>
            <w:tcBorders>
              <w:top w:val="nil"/>
              <w:left w:val="nil"/>
              <w:bottom w:val="nil"/>
              <w:right w:val="nil"/>
            </w:tcBorders>
            <w:shd w:val="clear" w:color="auto" w:fill="auto"/>
            <w:vAlign w:val="center"/>
            <w:hideMark/>
          </w:tcPr>
          <w:p w:rsidR="00327CB4" w:rsidRPr="00BD65FF" w:rsidRDefault="00327CB4" w:rsidP="00BD65FF">
            <w:pPr>
              <w:jc w:val="right"/>
              <w:rPr>
                <w:color w:val="000000"/>
                <w:sz w:val="22"/>
                <w:szCs w:val="22"/>
              </w:rPr>
            </w:pPr>
            <w:r w:rsidRPr="00BD65FF">
              <w:rPr>
                <w:color w:val="000000"/>
                <w:sz w:val="22"/>
                <w:szCs w:val="22"/>
              </w:rPr>
              <w:t>157</w:t>
            </w:r>
          </w:p>
        </w:tc>
        <w:tc>
          <w:tcPr>
            <w:tcW w:w="0" w:type="auto"/>
            <w:tcBorders>
              <w:top w:val="nil"/>
              <w:left w:val="nil"/>
              <w:bottom w:val="nil"/>
              <w:right w:val="nil"/>
            </w:tcBorders>
            <w:shd w:val="clear" w:color="000000" w:fill="D8D8D8"/>
            <w:noWrap/>
            <w:vAlign w:val="center"/>
            <w:hideMark/>
          </w:tcPr>
          <w:p w:rsidR="00327CB4" w:rsidRPr="00BD65FF" w:rsidRDefault="00327CB4" w:rsidP="00BD65FF">
            <w:pPr>
              <w:jc w:val="right"/>
              <w:rPr>
                <w:color w:val="000000"/>
                <w:sz w:val="22"/>
                <w:szCs w:val="22"/>
              </w:rPr>
            </w:pPr>
            <w:r w:rsidRPr="00BD65FF">
              <w:rPr>
                <w:color w:val="000000"/>
                <w:sz w:val="22"/>
                <w:szCs w:val="22"/>
              </w:rPr>
              <w:t>93</w:t>
            </w:r>
          </w:p>
        </w:tc>
        <w:tc>
          <w:tcPr>
            <w:tcW w:w="0" w:type="auto"/>
            <w:tcBorders>
              <w:top w:val="nil"/>
              <w:left w:val="nil"/>
              <w:bottom w:val="nil"/>
              <w:right w:val="nil"/>
            </w:tcBorders>
            <w:shd w:val="clear" w:color="auto" w:fill="auto"/>
            <w:vAlign w:val="center"/>
            <w:hideMark/>
          </w:tcPr>
          <w:p w:rsidR="00327CB4" w:rsidRPr="00BD65FF" w:rsidRDefault="00327CB4" w:rsidP="00BD65FF">
            <w:pPr>
              <w:jc w:val="right"/>
              <w:rPr>
                <w:color w:val="000000"/>
                <w:sz w:val="22"/>
                <w:szCs w:val="22"/>
              </w:rPr>
            </w:pPr>
            <w:r w:rsidRPr="00BD65FF">
              <w:rPr>
                <w:color w:val="000000"/>
                <w:sz w:val="22"/>
                <w:szCs w:val="22"/>
              </w:rPr>
              <w:t>160</w:t>
            </w:r>
          </w:p>
        </w:tc>
        <w:tc>
          <w:tcPr>
            <w:tcW w:w="0" w:type="auto"/>
            <w:tcBorders>
              <w:top w:val="nil"/>
              <w:left w:val="nil"/>
              <w:bottom w:val="nil"/>
              <w:right w:val="nil"/>
            </w:tcBorders>
            <w:shd w:val="clear" w:color="000000" w:fill="D8D8D8"/>
            <w:vAlign w:val="center"/>
            <w:hideMark/>
          </w:tcPr>
          <w:p w:rsidR="00327CB4" w:rsidRPr="00BD65FF" w:rsidRDefault="00327CB4" w:rsidP="00BD65FF">
            <w:pPr>
              <w:jc w:val="right"/>
              <w:rPr>
                <w:color w:val="000000"/>
                <w:sz w:val="22"/>
                <w:szCs w:val="22"/>
              </w:rPr>
            </w:pPr>
            <w:r w:rsidRPr="00BD65FF">
              <w:rPr>
                <w:color w:val="000000"/>
                <w:sz w:val="22"/>
                <w:szCs w:val="22"/>
              </w:rPr>
              <w:t>94</w:t>
            </w:r>
          </w:p>
        </w:tc>
        <w:tc>
          <w:tcPr>
            <w:tcW w:w="0" w:type="auto"/>
            <w:tcBorders>
              <w:top w:val="nil"/>
              <w:left w:val="nil"/>
              <w:bottom w:val="nil"/>
              <w:right w:val="nil"/>
            </w:tcBorders>
            <w:shd w:val="clear" w:color="auto" w:fill="auto"/>
            <w:vAlign w:val="center"/>
            <w:hideMark/>
          </w:tcPr>
          <w:p w:rsidR="00327CB4" w:rsidRPr="00BD65FF" w:rsidRDefault="00327CB4" w:rsidP="00BD65FF">
            <w:pPr>
              <w:jc w:val="right"/>
              <w:rPr>
                <w:color w:val="000000"/>
                <w:sz w:val="22"/>
                <w:szCs w:val="22"/>
              </w:rPr>
            </w:pPr>
            <w:r w:rsidRPr="00BD65FF">
              <w:rPr>
                <w:color w:val="000000"/>
                <w:sz w:val="22"/>
                <w:szCs w:val="22"/>
              </w:rPr>
              <w:t>4,636</w:t>
            </w:r>
          </w:p>
        </w:tc>
        <w:tc>
          <w:tcPr>
            <w:tcW w:w="0" w:type="auto"/>
            <w:tcBorders>
              <w:top w:val="nil"/>
              <w:left w:val="nil"/>
              <w:bottom w:val="nil"/>
              <w:right w:val="nil"/>
            </w:tcBorders>
            <w:shd w:val="clear" w:color="000000" w:fill="D8D8D8"/>
            <w:vAlign w:val="center"/>
            <w:hideMark/>
          </w:tcPr>
          <w:p w:rsidR="00327CB4" w:rsidRPr="00BD65FF" w:rsidRDefault="00327CB4" w:rsidP="00BD65FF">
            <w:pPr>
              <w:jc w:val="right"/>
              <w:rPr>
                <w:color w:val="000000"/>
                <w:sz w:val="22"/>
                <w:szCs w:val="22"/>
              </w:rPr>
            </w:pPr>
            <w:r w:rsidRPr="00BD65FF">
              <w:rPr>
                <w:color w:val="000000"/>
                <w:sz w:val="22"/>
                <w:szCs w:val="22"/>
              </w:rPr>
              <w:t>2,673</w:t>
            </w:r>
          </w:p>
        </w:tc>
      </w:tr>
      <w:tr w:rsidR="00BD65FF" w:rsidRPr="00327CB4" w:rsidTr="00BD65FF">
        <w:trPr>
          <w:trHeight w:val="300"/>
        </w:trPr>
        <w:tc>
          <w:tcPr>
            <w:tcW w:w="0" w:type="auto"/>
            <w:tcBorders>
              <w:top w:val="nil"/>
              <w:left w:val="nil"/>
              <w:bottom w:val="nil"/>
              <w:right w:val="nil"/>
            </w:tcBorders>
            <w:shd w:val="clear" w:color="auto" w:fill="auto"/>
            <w:hideMark/>
          </w:tcPr>
          <w:p w:rsidR="00327CB4" w:rsidRPr="00BD65FF" w:rsidRDefault="00BD65FF" w:rsidP="00327CB4">
            <w:pPr>
              <w:rPr>
                <w:color w:val="000000"/>
                <w:sz w:val="22"/>
                <w:szCs w:val="22"/>
              </w:rPr>
            </w:pPr>
            <w:r w:rsidRPr="00BD65FF">
              <w:rPr>
                <w:color w:val="000000"/>
                <w:sz w:val="22"/>
                <w:szCs w:val="22"/>
              </w:rPr>
              <w:t>£40,001 -</w:t>
            </w:r>
            <w:r w:rsidR="00327CB4" w:rsidRPr="00BD65FF">
              <w:rPr>
                <w:color w:val="000000"/>
                <w:sz w:val="22"/>
                <w:szCs w:val="22"/>
              </w:rPr>
              <w:t xml:space="preserve"> £60,000</w:t>
            </w:r>
          </w:p>
        </w:tc>
        <w:tc>
          <w:tcPr>
            <w:tcW w:w="0" w:type="auto"/>
            <w:tcBorders>
              <w:top w:val="nil"/>
              <w:left w:val="nil"/>
              <w:bottom w:val="nil"/>
              <w:right w:val="nil"/>
            </w:tcBorders>
            <w:shd w:val="clear" w:color="auto" w:fill="auto"/>
            <w:vAlign w:val="center"/>
            <w:hideMark/>
          </w:tcPr>
          <w:p w:rsidR="00327CB4" w:rsidRPr="00BD65FF" w:rsidRDefault="0025306E" w:rsidP="00BD65FF">
            <w:pPr>
              <w:jc w:val="right"/>
              <w:rPr>
                <w:color w:val="000000"/>
                <w:sz w:val="22"/>
                <w:szCs w:val="22"/>
              </w:rPr>
            </w:pPr>
            <w:r>
              <w:rPr>
                <w:color w:val="000000"/>
                <w:sz w:val="22"/>
                <w:szCs w:val="22"/>
              </w:rPr>
              <w:t>-</w:t>
            </w:r>
          </w:p>
        </w:tc>
        <w:tc>
          <w:tcPr>
            <w:tcW w:w="0" w:type="auto"/>
            <w:tcBorders>
              <w:top w:val="nil"/>
              <w:left w:val="nil"/>
              <w:bottom w:val="nil"/>
              <w:right w:val="nil"/>
            </w:tcBorders>
            <w:shd w:val="clear" w:color="000000" w:fill="D8D8D8"/>
            <w:noWrap/>
            <w:vAlign w:val="center"/>
            <w:hideMark/>
          </w:tcPr>
          <w:p w:rsidR="00327CB4" w:rsidRPr="00BD65FF" w:rsidRDefault="0025306E" w:rsidP="00BD65FF">
            <w:pPr>
              <w:jc w:val="right"/>
              <w:rPr>
                <w:color w:val="000000"/>
                <w:sz w:val="22"/>
                <w:szCs w:val="22"/>
              </w:rPr>
            </w:pPr>
            <w:r>
              <w:rPr>
                <w:color w:val="000000"/>
                <w:sz w:val="22"/>
                <w:szCs w:val="22"/>
              </w:rPr>
              <w:t>-</w:t>
            </w:r>
          </w:p>
        </w:tc>
        <w:tc>
          <w:tcPr>
            <w:tcW w:w="0" w:type="auto"/>
            <w:tcBorders>
              <w:top w:val="nil"/>
              <w:left w:val="nil"/>
              <w:bottom w:val="nil"/>
              <w:right w:val="nil"/>
            </w:tcBorders>
            <w:shd w:val="clear" w:color="auto" w:fill="auto"/>
            <w:vAlign w:val="center"/>
            <w:hideMark/>
          </w:tcPr>
          <w:p w:rsidR="00327CB4" w:rsidRPr="00BD65FF" w:rsidRDefault="00327CB4" w:rsidP="00BD65FF">
            <w:pPr>
              <w:jc w:val="right"/>
              <w:rPr>
                <w:color w:val="000000"/>
                <w:sz w:val="22"/>
                <w:szCs w:val="22"/>
              </w:rPr>
            </w:pPr>
            <w:r w:rsidRPr="00BD65FF">
              <w:rPr>
                <w:color w:val="000000"/>
                <w:sz w:val="22"/>
                <w:szCs w:val="22"/>
              </w:rPr>
              <w:t>106</w:t>
            </w:r>
          </w:p>
        </w:tc>
        <w:tc>
          <w:tcPr>
            <w:tcW w:w="0" w:type="auto"/>
            <w:tcBorders>
              <w:top w:val="nil"/>
              <w:left w:val="nil"/>
              <w:bottom w:val="nil"/>
              <w:right w:val="nil"/>
            </w:tcBorders>
            <w:shd w:val="clear" w:color="000000" w:fill="D8D8D8"/>
            <w:noWrap/>
            <w:vAlign w:val="center"/>
            <w:hideMark/>
          </w:tcPr>
          <w:p w:rsidR="00327CB4" w:rsidRPr="00BD65FF" w:rsidRDefault="00327CB4" w:rsidP="00BD65FF">
            <w:pPr>
              <w:jc w:val="right"/>
              <w:rPr>
                <w:color w:val="000000"/>
                <w:sz w:val="22"/>
                <w:szCs w:val="22"/>
              </w:rPr>
            </w:pPr>
            <w:r w:rsidRPr="00BD65FF">
              <w:rPr>
                <w:color w:val="000000"/>
                <w:sz w:val="22"/>
                <w:szCs w:val="22"/>
              </w:rPr>
              <w:t>54</w:t>
            </w:r>
          </w:p>
        </w:tc>
        <w:tc>
          <w:tcPr>
            <w:tcW w:w="0" w:type="auto"/>
            <w:tcBorders>
              <w:top w:val="nil"/>
              <w:left w:val="nil"/>
              <w:bottom w:val="nil"/>
              <w:right w:val="nil"/>
            </w:tcBorders>
            <w:shd w:val="clear" w:color="auto" w:fill="auto"/>
            <w:vAlign w:val="center"/>
            <w:hideMark/>
          </w:tcPr>
          <w:p w:rsidR="00327CB4" w:rsidRPr="00BD65FF" w:rsidRDefault="00327CB4" w:rsidP="00BD65FF">
            <w:pPr>
              <w:jc w:val="right"/>
              <w:rPr>
                <w:color w:val="000000"/>
                <w:sz w:val="22"/>
                <w:szCs w:val="22"/>
              </w:rPr>
            </w:pPr>
            <w:r w:rsidRPr="00BD65FF">
              <w:rPr>
                <w:color w:val="000000"/>
                <w:sz w:val="22"/>
                <w:szCs w:val="22"/>
              </w:rPr>
              <w:t>106</w:t>
            </w:r>
          </w:p>
        </w:tc>
        <w:tc>
          <w:tcPr>
            <w:tcW w:w="0" w:type="auto"/>
            <w:tcBorders>
              <w:top w:val="nil"/>
              <w:left w:val="nil"/>
              <w:bottom w:val="nil"/>
              <w:right w:val="nil"/>
            </w:tcBorders>
            <w:shd w:val="clear" w:color="000000" w:fill="D8D8D8"/>
            <w:vAlign w:val="center"/>
            <w:hideMark/>
          </w:tcPr>
          <w:p w:rsidR="00327CB4" w:rsidRPr="00BD65FF" w:rsidRDefault="00327CB4" w:rsidP="00BD65FF">
            <w:pPr>
              <w:jc w:val="right"/>
              <w:rPr>
                <w:color w:val="000000"/>
                <w:sz w:val="22"/>
                <w:szCs w:val="22"/>
              </w:rPr>
            </w:pPr>
            <w:r w:rsidRPr="00BD65FF">
              <w:rPr>
                <w:color w:val="000000"/>
                <w:sz w:val="22"/>
                <w:szCs w:val="22"/>
              </w:rPr>
              <w:t>54</w:t>
            </w:r>
          </w:p>
        </w:tc>
        <w:tc>
          <w:tcPr>
            <w:tcW w:w="0" w:type="auto"/>
            <w:tcBorders>
              <w:top w:val="nil"/>
              <w:left w:val="nil"/>
              <w:bottom w:val="nil"/>
              <w:right w:val="nil"/>
            </w:tcBorders>
            <w:shd w:val="clear" w:color="auto" w:fill="auto"/>
            <w:vAlign w:val="center"/>
            <w:hideMark/>
          </w:tcPr>
          <w:p w:rsidR="00327CB4" w:rsidRPr="00BD65FF" w:rsidRDefault="00327CB4" w:rsidP="00BD65FF">
            <w:pPr>
              <w:jc w:val="right"/>
              <w:rPr>
                <w:color w:val="000000"/>
                <w:sz w:val="22"/>
                <w:szCs w:val="22"/>
              </w:rPr>
            </w:pPr>
            <w:r w:rsidRPr="00BD65FF">
              <w:rPr>
                <w:color w:val="000000"/>
                <w:sz w:val="22"/>
                <w:szCs w:val="22"/>
              </w:rPr>
              <w:t>5,303</w:t>
            </w:r>
          </w:p>
        </w:tc>
        <w:tc>
          <w:tcPr>
            <w:tcW w:w="0" w:type="auto"/>
            <w:tcBorders>
              <w:top w:val="nil"/>
              <w:left w:val="nil"/>
              <w:bottom w:val="nil"/>
              <w:right w:val="nil"/>
            </w:tcBorders>
            <w:shd w:val="clear" w:color="000000" w:fill="D8D8D8"/>
            <w:vAlign w:val="center"/>
            <w:hideMark/>
          </w:tcPr>
          <w:p w:rsidR="00327CB4" w:rsidRPr="00BD65FF" w:rsidRDefault="00327CB4" w:rsidP="00BD65FF">
            <w:pPr>
              <w:jc w:val="right"/>
              <w:rPr>
                <w:color w:val="000000"/>
                <w:sz w:val="22"/>
                <w:szCs w:val="22"/>
              </w:rPr>
            </w:pPr>
            <w:r w:rsidRPr="00BD65FF">
              <w:rPr>
                <w:color w:val="000000"/>
                <w:sz w:val="22"/>
                <w:szCs w:val="22"/>
              </w:rPr>
              <w:t>2,671</w:t>
            </w:r>
          </w:p>
        </w:tc>
      </w:tr>
      <w:tr w:rsidR="0025306E" w:rsidRPr="00327CB4" w:rsidTr="00BD65FF">
        <w:trPr>
          <w:trHeight w:val="300"/>
        </w:trPr>
        <w:tc>
          <w:tcPr>
            <w:tcW w:w="0" w:type="auto"/>
            <w:tcBorders>
              <w:top w:val="nil"/>
              <w:left w:val="nil"/>
              <w:bottom w:val="nil"/>
              <w:right w:val="nil"/>
            </w:tcBorders>
            <w:shd w:val="clear" w:color="auto" w:fill="auto"/>
            <w:hideMark/>
          </w:tcPr>
          <w:p w:rsidR="0025306E" w:rsidRPr="00BD65FF" w:rsidRDefault="0025306E" w:rsidP="00327CB4">
            <w:pPr>
              <w:rPr>
                <w:color w:val="000000"/>
                <w:sz w:val="22"/>
                <w:szCs w:val="22"/>
              </w:rPr>
            </w:pPr>
            <w:r w:rsidRPr="00BD65FF">
              <w:rPr>
                <w:color w:val="000000"/>
                <w:sz w:val="22"/>
                <w:szCs w:val="22"/>
              </w:rPr>
              <w:t>£60,001 - £80,000</w:t>
            </w:r>
          </w:p>
        </w:tc>
        <w:tc>
          <w:tcPr>
            <w:tcW w:w="0" w:type="auto"/>
            <w:tcBorders>
              <w:top w:val="nil"/>
              <w:left w:val="nil"/>
              <w:bottom w:val="nil"/>
              <w:right w:val="nil"/>
            </w:tcBorders>
            <w:shd w:val="clear" w:color="auto" w:fill="auto"/>
            <w:vAlign w:val="center"/>
            <w:hideMark/>
          </w:tcPr>
          <w:p w:rsidR="0025306E" w:rsidRPr="00BD65FF" w:rsidRDefault="0025306E" w:rsidP="00933A46">
            <w:pPr>
              <w:jc w:val="right"/>
              <w:rPr>
                <w:color w:val="000000"/>
                <w:sz w:val="22"/>
                <w:szCs w:val="22"/>
              </w:rPr>
            </w:pPr>
            <w:r>
              <w:rPr>
                <w:color w:val="000000"/>
                <w:sz w:val="22"/>
                <w:szCs w:val="22"/>
              </w:rPr>
              <w:t>-</w:t>
            </w:r>
          </w:p>
        </w:tc>
        <w:tc>
          <w:tcPr>
            <w:tcW w:w="0" w:type="auto"/>
            <w:tcBorders>
              <w:top w:val="nil"/>
              <w:left w:val="nil"/>
              <w:bottom w:val="nil"/>
              <w:right w:val="nil"/>
            </w:tcBorders>
            <w:shd w:val="clear" w:color="000000" w:fill="D8D8D8"/>
            <w:noWrap/>
            <w:vAlign w:val="center"/>
            <w:hideMark/>
          </w:tcPr>
          <w:p w:rsidR="0025306E" w:rsidRPr="00BD65FF" w:rsidRDefault="0025306E" w:rsidP="00933A46">
            <w:pPr>
              <w:jc w:val="right"/>
              <w:rPr>
                <w:color w:val="000000"/>
                <w:sz w:val="22"/>
                <w:szCs w:val="22"/>
              </w:rPr>
            </w:pPr>
            <w:r>
              <w:rPr>
                <w:color w:val="000000"/>
                <w:sz w:val="22"/>
                <w:szCs w:val="22"/>
              </w:rPr>
              <w:t>-</w:t>
            </w:r>
          </w:p>
        </w:tc>
        <w:tc>
          <w:tcPr>
            <w:tcW w:w="0" w:type="auto"/>
            <w:tcBorders>
              <w:top w:val="nil"/>
              <w:left w:val="nil"/>
              <w:bottom w:val="nil"/>
              <w:right w:val="nil"/>
            </w:tcBorders>
            <w:shd w:val="clear" w:color="auto" w:fill="auto"/>
            <w:vAlign w:val="center"/>
            <w:hideMark/>
          </w:tcPr>
          <w:p w:rsidR="0025306E" w:rsidRPr="00BD65FF" w:rsidRDefault="0025306E" w:rsidP="00BD65FF">
            <w:pPr>
              <w:jc w:val="right"/>
              <w:rPr>
                <w:color w:val="000000"/>
                <w:sz w:val="22"/>
                <w:szCs w:val="22"/>
              </w:rPr>
            </w:pPr>
            <w:r w:rsidRPr="00BD65FF">
              <w:rPr>
                <w:color w:val="000000"/>
                <w:sz w:val="22"/>
                <w:szCs w:val="22"/>
              </w:rPr>
              <w:t>67</w:t>
            </w:r>
          </w:p>
        </w:tc>
        <w:tc>
          <w:tcPr>
            <w:tcW w:w="0" w:type="auto"/>
            <w:tcBorders>
              <w:top w:val="nil"/>
              <w:left w:val="nil"/>
              <w:bottom w:val="nil"/>
              <w:right w:val="nil"/>
            </w:tcBorders>
            <w:shd w:val="clear" w:color="000000" w:fill="D8D8D8"/>
            <w:noWrap/>
            <w:vAlign w:val="center"/>
            <w:hideMark/>
          </w:tcPr>
          <w:p w:rsidR="0025306E" w:rsidRPr="00BD65FF" w:rsidRDefault="0025306E" w:rsidP="00BD65FF">
            <w:pPr>
              <w:jc w:val="right"/>
              <w:rPr>
                <w:color w:val="000000"/>
                <w:sz w:val="22"/>
                <w:szCs w:val="22"/>
              </w:rPr>
            </w:pPr>
            <w:r w:rsidRPr="00BD65FF">
              <w:rPr>
                <w:color w:val="000000"/>
                <w:sz w:val="22"/>
                <w:szCs w:val="22"/>
              </w:rPr>
              <w:t>25</w:t>
            </w:r>
          </w:p>
        </w:tc>
        <w:tc>
          <w:tcPr>
            <w:tcW w:w="0" w:type="auto"/>
            <w:tcBorders>
              <w:top w:val="nil"/>
              <w:left w:val="nil"/>
              <w:bottom w:val="nil"/>
              <w:right w:val="nil"/>
            </w:tcBorders>
            <w:shd w:val="clear" w:color="auto" w:fill="auto"/>
            <w:vAlign w:val="center"/>
            <w:hideMark/>
          </w:tcPr>
          <w:p w:rsidR="0025306E" w:rsidRPr="00BD65FF" w:rsidRDefault="0025306E" w:rsidP="00BD65FF">
            <w:pPr>
              <w:jc w:val="right"/>
              <w:rPr>
                <w:color w:val="000000"/>
                <w:sz w:val="22"/>
                <w:szCs w:val="22"/>
              </w:rPr>
            </w:pPr>
            <w:r w:rsidRPr="00BD65FF">
              <w:rPr>
                <w:color w:val="000000"/>
                <w:sz w:val="22"/>
                <w:szCs w:val="22"/>
              </w:rPr>
              <w:t>67</w:t>
            </w:r>
          </w:p>
        </w:tc>
        <w:tc>
          <w:tcPr>
            <w:tcW w:w="0" w:type="auto"/>
            <w:tcBorders>
              <w:top w:val="nil"/>
              <w:left w:val="nil"/>
              <w:bottom w:val="nil"/>
              <w:right w:val="nil"/>
            </w:tcBorders>
            <w:shd w:val="clear" w:color="000000" w:fill="D8D8D8"/>
            <w:vAlign w:val="center"/>
            <w:hideMark/>
          </w:tcPr>
          <w:p w:rsidR="0025306E" w:rsidRPr="00BD65FF" w:rsidRDefault="0025306E" w:rsidP="00BD65FF">
            <w:pPr>
              <w:jc w:val="right"/>
              <w:rPr>
                <w:color w:val="000000"/>
                <w:sz w:val="22"/>
                <w:szCs w:val="22"/>
              </w:rPr>
            </w:pPr>
            <w:r w:rsidRPr="00BD65FF">
              <w:rPr>
                <w:color w:val="000000"/>
                <w:sz w:val="22"/>
                <w:szCs w:val="22"/>
              </w:rPr>
              <w:t>25</w:t>
            </w:r>
          </w:p>
        </w:tc>
        <w:tc>
          <w:tcPr>
            <w:tcW w:w="0" w:type="auto"/>
            <w:tcBorders>
              <w:top w:val="nil"/>
              <w:left w:val="nil"/>
              <w:bottom w:val="nil"/>
              <w:right w:val="nil"/>
            </w:tcBorders>
            <w:shd w:val="clear" w:color="auto" w:fill="auto"/>
            <w:vAlign w:val="center"/>
            <w:hideMark/>
          </w:tcPr>
          <w:p w:rsidR="0025306E" w:rsidRPr="00BD65FF" w:rsidRDefault="0025306E" w:rsidP="00BD65FF">
            <w:pPr>
              <w:jc w:val="right"/>
              <w:rPr>
                <w:color w:val="000000"/>
                <w:sz w:val="22"/>
                <w:szCs w:val="22"/>
              </w:rPr>
            </w:pPr>
            <w:r w:rsidRPr="00BD65FF">
              <w:rPr>
                <w:color w:val="000000"/>
                <w:sz w:val="22"/>
                <w:szCs w:val="22"/>
              </w:rPr>
              <w:t>4,711</w:t>
            </w:r>
          </w:p>
        </w:tc>
        <w:tc>
          <w:tcPr>
            <w:tcW w:w="0" w:type="auto"/>
            <w:tcBorders>
              <w:top w:val="nil"/>
              <w:left w:val="nil"/>
              <w:bottom w:val="nil"/>
              <w:right w:val="nil"/>
            </w:tcBorders>
            <w:shd w:val="clear" w:color="000000" w:fill="D8D8D8"/>
            <w:vAlign w:val="center"/>
            <w:hideMark/>
          </w:tcPr>
          <w:p w:rsidR="0025306E" w:rsidRPr="00BD65FF" w:rsidRDefault="0025306E" w:rsidP="00BD65FF">
            <w:pPr>
              <w:jc w:val="right"/>
              <w:rPr>
                <w:color w:val="000000"/>
                <w:sz w:val="22"/>
                <w:szCs w:val="22"/>
              </w:rPr>
            </w:pPr>
            <w:r w:rsidRPr="00BD65FF">
              <w:rPr>
                <w:color w:val="000000"/>
                <w:sz w:val="22"/>
                <w:szCs w:val="22"/>
              </w:rPr>
              <w:t>1,776</w:t>
            </w:r>
          </w:p>
        </w:tc>
      </w:tr>
      <w:tr w:rsidR="0025306E" w:rsidRPr="00327CB4" w:rsidTr="00BD65FF">
        <w:trPr>
          <w:trHeight w:val="300"/>
        </w:trPr>
        <w:tc>
          <w:tcPr>
            <w:tcW w:w="0" w:type="auto"/>
            <w:tcBorders>
              <w:top w:val="nil"/>
              <w:left w:val="nil"/>
              <w:bottom w:val="nil"/>
              <w:right w:val="nil"/>
            </w:tcBorders>
            <w:shd w:val="clear" w:color="auto" w:fill="auto"/>
            <w:hideMark/>
          </w:tcPr>
          <w:p w:rsidR="0025306E" w:rsidRPr="00BD65FF" w:rsidRDefault="0025306E" w:rsidP="00327CB4">
            <w:pPr>
              <w:rPr>
                <w:color w:val="000000"/>
                <w:sz w:val="22"/>
                <w:szCs w:val="22"/>
              </w:rPr>
            </w:pPr>
            <w:r w:rsidRPr="00BD65FF">
              <w:rPr>
                <w:color w:val="000000"/>
                <w:sz w:val="22"/>
                <w:szCs w:val="22"/>
              </w:rPr>
              <w:t>£80,001 - £100,000</w:t>
            </w:r>
          </w:p>
        </w:tc>
        <w:tc>
          <w:tcPr>
            <w:tcW w:w="0" w:type="auto"/>
            <w:tcBorders>
              <w:top w:val="nil"/>
              <w:left w:val="nil"/>
              <w:bottom w:val="nil"/>
              <w:right w:val="nil"/>
            </w:tcBorders>
            <w:shd w:val="clear" w:color="auto" w:fill="auto"/>
            <w:vAlign w:val="center"/>
            <w:hideMark/>
          </w:tcPr>
          <w:p w:rsidR="0025306E" w:rsidRPr="00BD65FF" w:rsidRDefault="0025306E" w:rsidP="00933A46">
            <w:pPr>
              <w:jc w:val="right"/>
              <w:rPr>
                <w:color w:val="000000"/>
                <w:sz w:val="22"/>
                <w:szCs w:val="22"/>
              </w:rPr>
            </w:pPr>
            <w:r>
              <w:rPr>
                <w:color w:val="000000"/>
                <w:sz w:val="22"/>
                <w:szCs w:val="22"/>
              </w:rPr>
              <w:t>-</w:t>
            </w:r>
          </w:p>
        </w:tc>
        <w:tc>
          <w:tcPr>
            <w:tcW w:w="0" w:type="auto"/>
            <w:tcBorders>
              <w:top w:val="nil"/>
              <w:left w:val="nil"/>
              <w:bottom w:val="nil"/>
              <w:right w:val="nil"/>
            </w:tcBorders>
            <w:shd w:val="clear" w:color="000000" w:fill="D8D8D8"/>
            <w:noWrap/>
            <w:vAlign w:val="center"/>
            <w:hideMark/>
          </w:tcPr>
          <w:p w:rsidR="0025306E" w:rsidRPr="00BD65FF" w:rsidRDefault="0025306E" w:rsidP="00933A46">
            <w:pPr>
              <w:jc w:val="right"/>
              <w:rPr>
                <w:color w:val="000000"/>
                <w:sz w:val="22"/>
                <w:szCs w:val="22"/>
              </w:rPr>
            </w:pPr>
            <w:r>
              <w:rPr>
                <w:color w:val="000000"/>
                <w:sz w:val="22"/>
                <w:szCs w:val="22"/>
              </w:rPr>
              <w:t>-</w:t>
            </w:r>
          </w:p>
        </w:tc>
        <w:tc>
          <w:tcPr>
            <w:tcW w:w="0" w:type="auto"/>
            <w:tcBorders>
              <w:top w:val="nil"/>
              <w:left w:val="nil"/>
              <w:bottom w:val="nil"/>
              <w:right w:val="nil"/>
            </w:tcBorders>
            <w:shd w:val="clear" w:color="auto" w:fill="auto"/>
            <w:vAlign w:val="center"/>
            <w:hideMark/>
          </w:tcPr>
          <w:p w:rsidR="0025306E" w:rsidRPr="00BD65FF" w:rsidRDefault="0025306E" w:rsidP="00BD65FF">
            <w:pPr>
              <w:jc w:val="right"/>
              <w:rPr>
                <w:color w:val="000000"/>
                <w:sz w:val="22"/>
                <w:szCs w:val="22"/>
              </w:rPr>
            </w:pPr>
            <w:r w:rsidRPr="00BD65FF">
              <w:rPr>
                <w:color w:val="000000"/>
                <w:sz w:val="22"/>
                <w:szCs w:val="22"/>
              </w:rPr>
              <w:t>59</w:t>
            </w:r>
          </w:p>
        </w:tc>
        <w:tc>
          <w:tcPr>
            <w:tcW w:w="0" w:type="auto"/>
            <w:tcBorders>
              <w:top w:val="nil"/>
              <w:left w:val="nil"/>
              <w:bottom w:val="nil"/>
              <w:right w:val="nil"/>
            </w:tcBorders>
            <w:shd w:val="clear" w:color="000000" w:fill="D8D8D8"/>
            <w:noWrap/>
            <w:vAlign w:val="center"/>
            <w:hideMark/>
          </w:tcPr>
          <w:p w:rsidR="0025306E" w:rsidRPr="00BD65FF" w:rsidRDefault="0025306E" w:rsidP="00BD65FF">
            <w:pPr>
              <w:jc w:val="right"/>
              <w:rPr>
                <w:color w:val="000000"/>
                <w:sz w:val="22"/>
                <w:szCs w:val="22"/>
              </w:rPr>
            </w:pPr>
            <w:r w:rsidRPr="00BD65FF">
              <w:rPr>
                <w:color w:val="000000"/>
                <w:sz w:val="22"/>
                <w:szCs w:val="22"/>
              </w:rPr>
              <w:t>28</w:t>
            </w:r>
          </w:p>
        </w:tc>
        <w:tc>
          <w:tcPr>
            <w:tcW w:w="0" w:type="auto"/>
            <w:tcBorders>
              <w:top w:val="nil"/>
              <w:left w:val="nil"/>
              <w:bottom w:val="nil"/>
              <w:right w:val="nil"/>
            </w:tcBorders>
            <w:shd w:val="clear" w:color="auto" w:fill="auto"/>
            <w:vAlign w:val="center"/>
            <w:hideMark/>
          </w:tcPr>
          <w:p w:rsidR="0025306E" w:rsidRPr="00BD65FF" w:rsidRDefault="0025306E" w:rsidP="00BD65FF">
            <w:pPr>
              <w:jc w:val="right"/>
              <w:rPr>
                <w:color w:val="000000"/>
                <w:sz w:val="22"/>
                <w:szCs w:val="22"/>
              </w:rPr>
            </w:pPr>
            <w:r w:rsidRPr="00BD65FF">
              <w:rPr>
                <w:color w:val="000000"/>
                <w:sz w:val="22"/>
                <w:szCs w:val="22"/>
              </w:rPr>
              <w:t>59</w:t>
            </w:r>
          </w:p>
        </w:tc>
        <w:tc>
          <w:tcPr>
            <w:tcW w:w="0" w:type="auto"/>
            <w:tcBorders>
              <w:top w:val="nil"/>
              <w:left w:val="nil"/>
              <w:bottom w:val="nil"/>
              <w:right w:val="nil"/>
            </w:tcBorders>
            <w:shd w:val="clear" w:color="000000" w:fill="D8D8D8"/>
            <w:vAlign w:val="center"/>
            <w:hideMark/>
          </w:tcPr>
          <w:p w:rsidR="0025306E" w:rsidRPr="00BD65FF" w:rsidRDefault="0025306E" w:rsidP="00BD65FF">
            <w:pPr>
              <w:jc w:val="right"/>
              <w:rPr>
                <w:color w:val="000000"/>
                <w:sz w:val="22"/>
                <w:szCs w:val="22"/>
              </w:rPr>
            </w:pPr>
            <w:r w:rsidRPr="00BD65FF">
              <w:rPr>
                <w:color w:val="000000"/>
                <w:sz w:val="22"/>
                <w:szCs w:val="22"/>
              </w:rPr>
              <w:t>28</w:t>
            </w:r>
          </w:p>
        </w:tc>
        <w:tc>
          <w:tcPr>
            <w:tcW w:w="0" w:type="auto"/>
            <w:tcBorders>
              <w:top w:val="nil"/>
              <w:left w:val="nil"/>
              <w:bottom w:val="nil"/>
              <w:right w:val="nil"/>
            </w:tcBorders>
            <w:shd w:val="clear" w:color="auto" w:fill="auto"/>
            <w:vAlign w:val="center"/>
            <w:hideMark/>
          </w:tcPr>
          <w:p w:rsidR="0025306E" w:rsidRPr="00BD65FF" w:rsidRDefault="0025306E" w:rsidP="00BD65FF">
            <w:pPr>
              <w:jc w:val="right"/>
              <w:rPr>
                <w:color w:val="000000"/>
                <w:sz w:val="22"/>
                <w:szCs w:val="22"/>
              </w:rPr>
            </w:pPr>
            <w:r w:rsidRPr="00BD65FF">
              <w:rPr>
                <w:color w:val="000000"/>
                <w:sz w:val="22"/>
                <w:szCs w:val="22"/>
              </w:rPr>
              <w:t>5,233</w:t>
            </w:r>
          </w:p>
        </w:tc>
        <w:tc>
          <w:tcPr>
            <w:tcW w:w="0" w:type="auto"/>
            <w:tcBorders>
              <w:top w:val="nil"/>
              <w:left w:val="nil"/>
              <w:bottom w:val="nil"/>
              <w:right w:val="nil"/>
            </w:tcBorders>
            <w:shd w:val="clear" w:color="000000" w:fill="D8D8D8"/>
            <w:vAlign w:val="center"/>
            <w:hideMark/>
          </w:tcPr>
          <w:p w:rsidR="0025306E" w:rsidRPr="00BD65FF" w:rsidRDefault="0025306E" w:rsidP="00BD65FF">
            <w:pPr>
              <w:jc w:val="right"/>
              <w:rPr>
                <w:color w:val="000000"/>
                <w:sz w:val="22"/>
                <w:szCs w:val="22"/>
              </w:rPr>
            </w:pPr>
            <w:r w:rsidRPr="00BD65FF">
              <w:rPr>
                <w:color w:val="000000"/>
                <w:sz w:val="22"/>
                <w:szCs w:val="22"/>
              </w:rPr>
              <w:t>2,494</w:t>
            </w:r>
          </w:p>
        </w:tc>
      </w:tr>
      <w:tr w:rsidR="00BD65FF" w:rsidRPr="00327CB4" w:rsidTr="00BD65FF">
        <w:trPr>
          <w:trHeight w:val="300"/>
        </w:trPr>
        <w:tc>
          <w:tcPr>
            <w:tcW w:w="0" w:type="auto"/>
            <w:tcBorders>
              <w:top w:val="nil"/>
              <w:left w:val="nil"/>
              <w:bottom w:val="nil"/>
              <w:right w:val="nil"/>
            </w:tcBorders>
            <w:shd w:val="clear" w:color="auto" w:fill="auto"/>
            <w:hideMark/>
          </w:tcPr>
          <w:p w:rsidR="00327CB4" w:rsidRPr="00BD65FF" w:rsidRDefault="00BD65FF" w:rsidP="00327CB4">
            <w:pPr>
              <w:rPr>
                <w:color w:val="000000"/>
                <w:sz w:val="22"/>
                <w:szCs w:val="22"/>
              </w:rPr>
            </w:pPr>
            <w:r w:rsidRPr="00BD65FF">
              <w:rPr>
                <w:color w:val="000000"/>
                <w:sz w:val="22"/>
                <w:szCs w:val="22"/>
              </w:rPr>
              <w:t>£100,001 -</w:t>
            </w:r>
            <w:r w:rsidR="00327CB4" w:rsidRPr="00BD65FF">
              <w:rPr>
                <w:color w:val="000000"/>
                <w:sz w:val="22"/>
                <w:szCs w:val="22"/>
              </w:rPr>
              <w:t xml:space="preserve"> £150,000</w:t>
            </w:r>
          </w:p>
        </w:tc>
        <w:tc>
          <w:tcPr>
            <w:tcW w:w="0" w:type="auto"/>
            <w:tcBorders>
              <w:top w:val="nil"/>
              <w:left w:val="nil"/>
              <w:bottom w:val="nil"/>
              <w:right w:val="nil"/>
            </w:tcBorders>
            <w:shd w:val="clear" w:color="auto" w:fill="auto"/>
            <w:vAlign w:val="center"/>
            <w:hideMark/>
          </w:tcPr>
          <w:p w:rsidR="00327CB4" w:rsidRPr="00BD65FF" w:rsidRDefault="00327CB4" w:rsidP="00BD65FF">
            <w:pPr>
              <w:jc w:val="right"/>
              <w:rPr>
                <w:color w:val="000000"/>
                <w:sz w:val="22"/>
                <w:szCs w:val="22"/>
              </w:rPr>
            </w:pPr>
            <w:r w:rsidRPr="00BD65FF">
              <w:rPr>
                <w:color w:val="000000"/>
                <w:sz w:val="22"/>
                <w:szCs w:val="22"/>
              </w:rPr>
              <w:t>1</w:t>
            </w:r>
          </w:p>
        </w:tc>
        <w:tc>
          <w:tcPr>
            <w:tcW w:w="0" w:type="auto"/>
            <w:tcBorders>
              <w:top w:val="nil"/>
              <w:left w:val="nil"/>
              <w:bottom w:val="nil"/>
              <w:right w:val="nil"/>
            </w:tcBorders>
            <w:shd w:val="clear" w:color="000000" w:fill="D8D8D8"/>
            <w:noWrap/>
            <w:vAlign w:val="center"/>
            <w:hideMark/>
          </w:tcPr>
          <w:p w:rsidR="00327CB4" w:rsidRPr="00BD65FF" w:rsidRDefault="0025306E" w:rsidP="00BD65FF">
            <w:pPr>
              <w:jc w:val="right"/>
              <w:rPr>
                <w:color w:val="000000"/>
                <w:sz w:val="22"/>
                <w:szCs w:val="22"/>
              </w:rPr>
            </w:pPr>
            <w:r>
              <w:rPr>
                <w:color w:val="000000"/>
                <w:sz w:val="22"/>
                <w:szCs w:val="22"/>
              </w:rPr>
              <w:t>-</w:t>
            </w:r>
          </w:p>
        </w:tc>
        <w:tc>
          <w:tcPr>
            <w:tcW w:w="0" w:type="auto"/>
            <w:tcBorders>
              <w:top w:val="nil"/>
              <w:left w:val="nil"/>
              <w:bottom w:val="nil"/>
              <w:right w:val="nil"/>
            </w:tcBorders>
            <w:shd w:val="clear" w:color="auto" w:fill="auto"/>
            <w:vAlign w:val="center"/>
            <w:hideMark/>
          </w:tcPr>
          <w:p w:rsidR="00327CB4" w:rsidRPr="00BD65FF" w:rsidRDefault="00327CB4" w:rsidP="00BD65FF">
            <w:pPr>
              <w:jc w:val="right"/>
              <w:rPr>
                <w:color w:val="000000"/>
                <w:sz w:val="22"/>
                <w:szCs w:val="22"/>
              </w:rPr>
            </w:pPr>
            <w:r w:rsidRPr="00BD65FF">
              <w:rPr>
                <w:color w:val="000000"/>
                <w:sz w:val="22"/>
                <w:szCs w:val="22"/>
              </w:rPr>
              <w:t>95</w:t>
            </w:r>
          </w:p>
        </w:tc>
        <w:tc>
          <w:tcPr>
            <w:tcW w:w="0" w:type="auto"/>
            <w:tcBorders>
              <w:top w:val="nil"/>
              <w:left w:val="nil"/>
              <w:bottom w:val="nil"/>
              <w:right w:val="nil"/>
            </w:tcBorders>
            <w:shd w:val="clear" w:color="000000" w:fill="D8D8D8"/>
            <w:noWrap/>
            <w:vAlign w:val="center"/>
            <w:hideMark/>
          </w:tcPr>
          <w:p w:rsidR="00327CB4" w:rsidRPr="00BD65FF" w:rsidRDefault="00327CB4" w:rsidP="00BD65FF">
            <w:pPr>
              <w:jc w:val="right"/>
              <w:rPr>
                <w:color w:val="000000"/>
                <w:sz w:val="22"/>
                <w:szCs w:val="22"/>
              </w:rPr>
            </w:pPr>
            <w:r w:rsidRPr="00BD65FF">
              <w:rPr>
                <w:color w:val="000000"/>
                <w:sz w:val="22"/>
                <w:szCs w:val="22"/>
              </w:rPr>
              <w:t>26</w:t>
            </w:r>
          </w:p>
        </w:tc>
        <w:tc>
          <w:tcPr>
            <w:tcW w:w="0" w:type="auto"/>
            <w:tcBorders>
              <w:top w:val="nil"/>
              <w:left w:val="nil"/>
              <w:bottom w:val="nil"/>
              <w:right w:val="nil"/>
            </w:tcBorders>
            <w:shd w:val="clear" w:color="auto" w:fill="auto"/>
            <w:vAlign w:val="center"/>
            <w:hideMark/>
          </w:tcPr>
          <w:p w:rsidR="00327CB4" w:rsidRPr="00BD65FF" w:rsidRDefault="00327CB4" w:rsidP="00BD65FF">
            <w:pPr>
              <w:jc w:val="right"/>
              <w:rPr>
                <w:color w:val="000000"/>
                <w:sz w:val="22"/>
                <w:szCs w:val="22"/>
              </w:rPr>
            </w:pPr>
            <w:r w:rsidRPr="00BD65FF">
              <w:rPr>
                <w:color w:val="000000"/>
                <w:sz w:val="22"/>
                <w:szCs w:val="22"/>
              </w:rPr>
              <w:t>96</w:t>
            </w:r>
          </w:p>
        </w:tc>
        <w:tc>
          <w:tcPr>
            <w:tcW w:w="0" w:type="auto"/>
            <w:tcBorders>
              <w:top w:val="nil"/>
              <w:left w:val="nil"/>
              <w:bottom w:val="nil"/>
              <w:right w:val="nil"/>
            </w:tcBorders>
            <w:shd w:val="clear" w:color="000000" w:fill="D8D8D8"/>
            <w:vAlign w:val="center"/>
            <w:hideMark/>
          </w:tcPr>
          <w:p w:rsidR="00327CB4" w:rsidRPr="00BD65FF" w:rsidRDefault="00327CB4" w:rsidP="00BD65FF">
            <w:pPr>
              <w:jc w:val="right"/>
              <w:rPr>
                <w:color w:val="000000"/>
                <w:sz w:val="22"/>
                <w:szCs w:val="22"/>
              </w:rPr>
            </w:pPr>
            <w:r w:rsidRPr="00BD65FF">
              <w:rPr>
                <w:color w:val="000000"/>
                <w:sz w:val="22"/>
                <w:szCs w:val="22"/>
              </w:rPr>
              <w:t>26</w:t>
            </w:r>
          </w:p>
        </w:tc>
        <w:tc>
          <w:tcPr>
            <w:tcW w:w="0" w:type="auto"/>
            <w:tcBorders>
              <w:top w:val="nil"/>
              <w:left w:val="nil"/>
              <w:bottom w:val="nil"/>
              <w:right w:val="nil"/>
            </w:tcBorders>
            <w:shd w:val="clear" w:color="auto" w:fill="auto"/>
            <w:vAlign w:val="center"/>
            <w:hideMark/>
          </w:tcPr>
          <w:p w:rsidR="00327CB4" w:rsidRPr="00BD65FF" w:rsidRDefault="00327CB4" w:rsidP="00BD65FF">
            <w:pPr>
              <w:jc w:val="right"/>
              <w:rPr>
                <w:color w:val="000000"/>
                <w:sz w:val="22"/>
                <w:szCs w:val="22"/>
              </w:rPr>
            </w:pPr>
            <w:r w:rsidRPr="00BD65FF">
              <w:rPr>
                <w:color w:val="000000"/>
                <w:sz w:val="22"/>
                <w:szCs w:val="22"/>
              </w:rPr>
              <w:t>11,673</w:t>
            </w:r>
          </w:p>
        </w:tc>
        <w:tc>
          <w:tcPr>
            <w:tcW w:w="0" w:type="auto"/>
            <w:tcBorders>
              <w:top w:val="nil"/>
              <w:left w:val="nil"/>
              <w:bottom w:val="nil"/>
              <w:right w:val="nil"/>
            </w:tcBorders>
            <w:shd w:val="clear" w:color="000000" w:fill="D8D8D8"/>
            <w:vAlign w:val="center"/>
            <w:hideMark/>
          </w:tcPr>
          <w:p w:rsidR="00327CB4" w:rsidRPr="00BD65FF" w:rsidRDefault="00327CB4" w:rsidP="00BD65FF">
            <w:pPr>
              <w:jc w:val="right"/>
              <w:rPr>
                <w:color w:val="000000"/>
                <w:sz w:val="22"/>
                <w:szCs w:val="22"/>
              </w:rPr>
            </w:pPr>
            <w:r w:rsidRPr="00BD65FF">
              <w:rPr>
                <w:color w:val="000000"/>
                <w:sz w:val="22"/>
                <w:szCs w:val="22"/>
              </w:rPr>
              <w:t>3,211</w:t>
            </w:r>
          </w:p>
        </w:tc>
      </w:tr>
      <w:tr w:rsidR="00BD65FF" w:rsidRPr="00327CB4" w:rsidTr="00BD65FF">
        <w:trPr>
          <w:trHeight w:val="300"/>
        </w:trPr>
        <w:tc>
          <w:tcPr>
            <w:tcW w:w="0" w:type="auto"/>
            <w:tcBorders>
              <w:top w:val="nil"/>
              <w:left w:val="nil"/>
              <w:bottom w:val="nil"/>
              <w:right w:val="nil"/>
            </w:tcBorders>
            <w:shd w:val="clear" w:color="auto" w:fill="auto"/>
            <w:hideMark/>
          </w:tcPr>
          <w:p w:rsidR="00327CB4" w:rsidRPr="00BD65FF" w:rsidRDefault="00327CB4" w:rsidP="00BD65FF">
            <w:pPr>
              <w:rPr>
                <w:color w:val="000000"/>
                <w:sz w:val="22"/>
                <w:szCs w:val="22"/>
              </w:rPr>
            </w:pPr>
            <w:r w:rsidRPr="00BD65FF">
              <w:rPr>
                <w:color w:val="000000"/>
                <w:sz w:val="22"/>
                <w:szCs w:val="22"/>
              </w:rPr>
              <w:t>£151,000</w:t>
            </w:r>
            <w:r w:rsidR="00BD65FF" w:rsidRPr="00BD65FF">
              <w:rPr>
                <w:color w:val="000000"/>
                <w:sz w:val="22"/>
                <w:szCs w:val="22"/>
              </w:rPr>
              <w:t xml:space="preserve"> - </w:t>
            </w:r>
            <w:r w:rsidRPr="00BD65FF">
              <w:rPr>
                <w:color w:val="000000"/>
                <w:sz w:val="22"/>
                <w:szCs w:val="22"/>
              </w:rPr>
              <w:t>£200,000</w:t>
            </w:r>
          </w:p>
        </w:tc>
        <w:tc>
          <w:tcPr>
            <w:tcW w:w="0" w:type="auto"/>
            <w:tcBorders>
              <w:top w:val="nil"/>
              <w:left w:val="nil"/>
              <w:bottom w:val="nil"/>
              <w:right w:val="nil"/>
            </w:tcBorders>
            <w:shd w:val="clear" w:color="auto" w:fill="auto"/>
            <w:vAlign w:val="center"/>
            <w:hideMark/>
          </w:tcPr>
          <w:p w:rsidR="00327CB4" w:rsidRPr="00BD65FF" w:rsidRDefault="00327CB4" w:rsidP="00BD65FF">
            <w:pPr>
              <w:jc w:val="right"/>
              <w:rPr>
                <w:color w:val="000000"/>
                <w:sz w:val="22"/>
                <w:szCs w:val="22"/>
              </w:rPr>
            </w:pPr>
            <w:r w:rsidRPr="00BD65FF">
              <w:rPr>
                <w:color w:val="000000"/>
                <w:sz w:val="22"/>
                <w:szCs w:val="22"/>
              </w:rPr>
              <w:t>1</w:t>
            </w:r>
          </w:p>
        </w:tc>
        <w:tc>
          <w:tcPr>
            <w:tcW w:w="0" w:type="auto"/>
            <w:tcBorders>
              <w:top w:val="nil"/>
              <w:left w:val="nil"/>
              <w:bottom w:val="nil"/>
              <w:right w:val="nil"/>
            </w:tcBorders>
            <w:shd w:val="clear" w:color="000000" w:fill="D8D8D8"/>
            <w:noWrap/>
            <w:vAlign w:val="center"/>
            <w:hideMark/>
          </w:tcPr>
          <w:p w:rsidR="00327CB4" w:rsidRPr="00BD65FF" w:rsidRDefault="0025306E" w:rsidP="00BD65FF">
            <w:pPr>
              <w:jc w:val="right"/>
              <w:rPr>
                <w:color w:val="000000"/>
                <w:sz w:val="22"/>
                <w:szCs w:val="22"/>
              </w:rPr>
            </w:pPr>
            <w:r>
              <w:rPr>
                <w:color w:val="000000"/>
                <w:sz w:val="22"/>
                <w:szCs w:val="22"/>
              </w:rPr>
              <w:t>-</w:t>
            </w:r>
          </w:p>
        </w:tc>
        <w:tc>
          <w:tcPr>
            <w:tcW w:w="0" w:type="auto"/>
            <w:tcBorders>
              <w:top w:val="nil"/>
              <w:left w:val="nil"/>
              <w:bottom w:val="nil"/>
              <w:right w:val="nil"/>
            </w:tcBorders>
            <w:shd w:val="clear" w:color="auto" w:fill="auto"/>
            <w:vAlign w:val="center"/>
            <w:hideMark/>
          </w:tcPr>
          <w:p w:rsidR="00327CB4" w:rsidRPr="00BD65FF" w:rsidRDefault="00327CB4" w:rsidP="00BD65FF">
            <w:pPr>
              <w:jc w:val="right"/>
              <w:rPr>
                <w:color w:val="000000"/>
                <w:sz w:val="22"/>
                <w:szCs w:val="22"/>
              </w:rPr>
            </w:pPr>
            <w:r w:rsidRPr="00BD65FF">
              <w:rPr>
                <w:color w:val="000000"/>
                <w:sz w:val="22"/>
                <w:szCs w:val="22"/>
              </w:rPr>
              <w:t>36</w:t>
            </w:r>
          </w:p>
        </w:tc>
        <w:tc>
          <w:tcPr>
            <w:tcW w:w="0" w:type="auto"/>
            <w:tcBorders>
              <w:top w:val="nil"/>
              <w:left w:val="nil"/>
              <w:bottom w:val="nil"/>
              <w:right w:val="nil"/>
            </w:tcBorders>
            <w:shd w:val="clear" w:color="000000" w:fill="D8D8D8"/>
            <w:noWrap/>
            <w:vAlign w:val="center"/>
            <w:hideMark/>
          </w:tcPr>
          <w:p w:rsidR="00327CB4" w:rsidRPr="00BD65FF" w:rsidRDefault="00327CB4" w:rsidP="00BD65FF">
            <w:pPr>
              <w:jc w:val="right"/>
              <w:rPr>
                <w:color w:val="000000"/>
                <w:sz w:val="22"/>
                <w:szCs w:val="22"/>
              </w:rPr>
            </w:pPr>
            <w:r w:rsidRPr="00BD65FF">
              <w:rPr>
                <w:color w:val="000000"/>
                <w:sz w:val="22"/>
                <w:szCs w:val="22"/>
              </w:rPr>
              <w:t>5</w:t>
            </w:r>
          </w:p>
        </w:tc>
        <w:tc>
          <w:tcPr>
            <w:tcW w:w="0" w:type="auto"/>
            <w:tcBorders>
              <w:top w:val="nil"/>
              <w:left w:val="nil"/>
              <w:bottom w:val="nil"/>
              <w:right w:val="nil"/>
            </w:tcBorders>
            <w:shd w:val="clear" w:color="auto" w:fill="auto"/>
            <w:vAlign w:val="center"/>
            <w:hideMark/>
          </w:tcPr>
          <w:p w:rsidR="00327CB4" w:rsidRPr="00BD65FF" w:rsidRDefault="00327CB4" w:rsidP="00BD65FF">
            <w:pPr>
              <w:jc w:val="right"/>
              <w:rPr>
                <w:color w:val="000000"/>
                <w:sz w:val="22"/>
                <w:szCs w:val="22"/>
              </w:rPr>
            </w:pPr>
            <w:r w:rsidRPr="00BD65FF">
              <w:rPr>
                <w:color w:val="000000"/>
                <w:sz w:val="22"/>
                <w:szCs w:val="22"/>
              </w:rPr>
              <w:t>37</w:t>
            </w:r>
          </w:p>
        </w:tc>
        <w:tc>
          <w:tcPr>
            <w:tcW w:w="0" w:type="auto"/>
            <w:tcBorders>
              <w:top w:val="nil"/>
              <w:left w:val="nil"/>
              <w:bottom w:val="nil"/>
              <w:right w:val="nil"/>
            </w:tcBorders>
            <w:shd w:val="clear" w:color="000000" w:fill="D8D8D8"/>
            <w:vAlign w:val="center"/>
            <w:hideMark/>
          </w:tcPr>
          <w:p w:rsidR="00327CB4" w:rsidRPr="00BD65FF" w:rsidRDefault="00327CB4" w:rsidP="00BD65FF">
            <w:pPr>
              <w:jc w:val="right"/>
              <w:rPr>
                <w:color w:val="000000"/>
                <w:sz w:val="22"/>
                <w:szCs w:val="22"/>
              </w:rPr>
            </w:pPr>
            <w:r w:rsidRPr="00BD65FF">
              <w:rPr>
                <w:color w:val="000000"/>
                <w:sz w:val="22"/>
                <w:szCs w:val="22"/>
              </w:rPr>
              <w:t>5</w:t>
            </w:r>
          </w:p>
        </w:tc>
        <w:tc>
          <w:tcPr>
            <w:tcW w:w="0" w:type="auto"/>
            <w:tcBorders>
              <w:top w:val="nil"/>
              <w:left w:val="nil"/>
              <w:bottom w:val="nil"/>
              <w:right w:val="nil"/>
            </w:tcBorders>
            <w:shd w:val="clear" w:color="auto" w:fill="auto"/>
            <w:vAlign w:val="center"/>
            <w:hideMark/>
          </w:tcPr>
          <w:p w:rsidR="00327CB4" w:rsidRPr="00BD65FF" w:rsidRDefault="00327CB4" w:rsidP="00BD65FF">
            <w:pPr>
              <w:jc w:val="right"/>
              <w:rPr>
                <w:color w:val="000000"/>
                <w:sz w:val="22"/>
                <w:szCs w:val="22"/>
              </w:rPr>
            </w:pPr>
            <w:r w:rsidRPr="00BD65FF">
              <w:rPr>
                <w:color w:val="000000"/>
                <w:sz w:val="22"/>
                <w:szCs w:val="22"/>
              </w:rPr>
              <w:t>6,217</w:t>
            </w:r>
          </w:p>
        </w:tc>
        <w:tc>
          <w:tcPr>
            <w:tcW w:w="0" w:type="auto"/>
            <w:tcBorders>
              <w:top w:val="nil"/>
              <w:left w:val="nil"/>
              <w:bottom w:val="nil"/>
              <w:right w:val="nil"/>
            </w:tcBorders>
            <w:shd w:val="clear" w:color="000000" w:fill="D8D8D8"/>
            <w:vAlign w:val="center"/>
            <w:hideMark/>
          </w:tcPr>
          <w:p w:rsidR="00327CB4" w:rsidRPr="00BD65FF" w:rsidRDefault="00327CB4" w:rsidP="00BD65FF">
            <w:pPr>
              <w:jc w:val="right"/>
              <w:rPr>
                <w:color w:val="000000"/>
                <w:sz w:val="22"/>
                <w:szCs w:val="22"/>
              </w:rPr>
            </w:pPr>
            <w:r w:rsidRPr="00BD65FF">
              <w:rPr>
                <w:color w:val="000000"/>
                <w:sz w:val="22"/>
                <w:szCs w:val="22"/>
              </w:rPr>
              <w:t>871</w:t>
            </w:r>
          </w:p>
        </w:tc>
      </w:tr>
      <w:tr w:rsidR="0025306E" w:rsidRPr="00327CB4" w:rsidTr="00BD65FF">
        <w:trPr>
          <w:trHeight w:val="300"/>
        </w:trPr>
        <w:tc>
          <w:tcPr>
            <w:tcW w:w="0" w:type="auto"/>
            <w:tcBorders>
              <w:top w:val="nil"/>
              <w:left w:val="nil"/>
              <w:bottom w:val="nil"/>
              <w:right w:val="nil"/>
            </w:tcBorders>
            <w:shd w:val="clear" w:color="auto" w:fill="auto"/>
            <w:hideMark/>
          </w:tcPr>
          <w:p w:rsidR="0025306E" w:rsidRPr="00BD65FF" w:rsidRDefault="0025306E" w:rsidP="00327CB4">
            <w:pPr>
              <w:rPr>
                <w:color w:val="000000"/>
                <w:sz w:val="22"/>
                <w:szCs w:val="22"/>
              </w:rPr>
            </w:pPr>
            <w:r w:rsidRPr="00BD65FF">
              <w:rPr>
                <w:color w:val="000000"/>
                <w:sz w:val="22"/>
                <w:szCs w:val="22"/>
              </w:rPr>
              <w:t>£201,000 - £250,000</w:t>
            </w:r>
          </w:p>
        </w:tc>
        <w:tc>
          <w:tcPr>
            <w:tcW w:w="0" w:type="auto"/>
            <w:tcBorders>
              <w:top w:val="nil"/>
              <w:left w:val="nil"/>
              <w:bottom w:val="nil"/>
              <w:right w:val="nil"/>
            </w:tcBorders>
            <w:shd w:val="clear" w:color="auto" w:fill="auto"/>
            <w:vAlign w:val="center"/>
            <w:hideMark/>
          </w:tcPr>
          <w:p w:rsidR="0025306E" w:rsidRPr="00BD65FF" w:rsidRDefault="0025306E" w:rsidP="00933A46">
            <w:pPr>
              <w:jc w:val="right"/>
              <w:rPr>
                <w:color w:val="000000"/>
                <w:sz w:val="22"/>
                <w:szCs w:val="22"/>
              </w:rPr>
            </w:pPr>
            <w:r>
              <w:rPr>
                <w:color w:val="000000"/>
                <w:sz w:val="22"/>
                <w:szCs w:val="22"/>
              </w:rPr>
              <w:t>-</w:t>
            </w:r>
          </w:p>
        </w:tc>
        <w:tc>
          <w:tcPr>
            <w:tcW w:w="0" w:type="auto"/>
            <w:tcBorders>
              <w:top w:val="nil"/>
              <w:left w:val="nil"/>
              <w:bottom w:val="nil"/>
              <w:right w:val="nil"/>
            </w:tcBorders>
            <w:shd w:val="clear" w:color="000000" w:fill="D8D8D8"/>
            <w:noWrap/>
            <w:vAlign w:val="center"/>
            <w:hideMark/>
          </w:tcPr>
          <w:p w:rsidR="0025306E" w:rsidRPr="00BD65FF" w:rsidRDefault="0025306E" w:rsidP="00933A46">
            <w:pPr>
              <w:jc w:val="right"/>
              <w:rPr>
                <w:color w:val="000000"/>
                <w:sz w:val="22"/>
                <w:szCs w:val="22"/>
              </w:rPr>
            </w:pPr>
            <w:r>
              <w:rPr>
                <w:color w:val="000000"/>
                <w:sz w:val="22"/>
                <w:szCs w:val="22"/>
              </w:rPr>
              <w:t>-</w:t>
            </w:r>
          </w:p>
        </w:tc>
        <w:tc>
          <w:tcPr>
            <w:tcW w:w="0" w:type="auto"/>
            <w:tcBorders>
              <w:top w:val="nil"/>
              <w:left w:val="nil"/>
              <w:bottom w:val="nil"/>
              <w:right w:val="nil"/>
            </w:tcBorders>
            <w:shd w:val="clear" w:color="auto" w:fill="auto"/>
            <w:vAlign w:val="center"/>
            <w:hideMark/>
          </w:tcPr>
          <w:p w:rsidR="0025306E" w:rsidRPr="00BD65FF" w:rsidRDefault="0025306E" w:rsidP="00BD65FF">
            <w:pPr>
              <w:jc w:val="right"/>
              <w:rPr>
                <w:color w:val="000000"/>
                <w:sz w:val="22"/>
                <w:szCs w:val="22"/>
              </w:rPr>
            </w:pPr>
            <w:r w:rsidRPr="00BD65FF">
              <w:rPr>
                <w:color w:val="000000"/>
                <w:sz w:val="22"/>
                <w:szCs w:val="22"/>
              </w:rPr>
              <w:t>7</w:t>
            </w:r>
          </w:p>
        </w:tc>
        <w:tc>
          <w:tcPr>
            <w:tcW w:w="0" w:type="auto"/>
            <w:tcBorders>
              <w:top w:val="nil"/>
              <w:left w:val="nil"/>
              <w:bottom w:val="nil"/>
              <w:right w:val="nil"/>
            </w:tcBorders>
            <w:shd w:val="clear" w:color="000000" w:fill="D8D8D8"/>
            <w:noWrap/>
            <w:vAlign w:val="center"/>
            <w:hideMark/>
          </w:tcPr>
          <w:p w:rsidR="0025306E" w:rsidRPr="00BD65FF" w:rsidRDefault="0025306E" w:rsidP="00BD65FF">
            <w:pPr>
              <w:jc w:val="right"/>
              <w:rPr>
                <w:color w:val="000000"/>
                <w:sz w:val="22"/>
                <w:szCs w:val="22"/>
              </w:rPr>
            </w:pPr>
            <w:r w:rsidRPr="00BD65FF">
              <w:rPr>
                <w:color w:val="000000"/>
                <w:sz w:val="22"/>
                <w:szCs w:val="22"/>
              </w:rPr>
              <w:t>3</w:t>
            </w:r>
          </w:p>
        </w:tc>
        <w:tc>
          <w:tcPr>
            <w:tcW w:w="0" w:type="auto"/>
            <w:tcBorders>
              <w:top w:val="nil"/>
              <w:left w:val="nil"/>
              <w:bottom w:val="nil"/>
              <w:right w:val="nil"/>
            </w:tcBorders>
            <w:shd w:val="clear" w:color="auto" w:fill="auto"/>
            <w:vAlign w:val="center"/>
            <w:hideMark/>
          </w:tcPr>
          <w:p w:rsidR="0025306E" w:rsidRPr="00BD65FF" w:rsidRDefault="0025306E" w:rsidP="00BD65FF">
            <w:pPr>
              <w:jc w:val="right"/>
              <w:rPr>
                <w:color w:val="000000"/>
                <w:sz w:val="22"/>
                <w:szCs w:val="22"/>
              </w:rPr>
            </w:pPr>
            <w:r w:rsidRPr="00BD65FF">
              <w:rPr>
                <w:color w:val="000000"/>
                <w:sz w:val="22"/>
                <w:szCs w:val="22"/>
              </w:rPr>
              <w:t>7</w:t>
            </w:r>
          </w:p>
        </w:tc>
        <w:tc>
          <w:tcPr>
            <w:tcW w:w="0" w:type="auto"/>
            <w:tcBorders>
              <w:top w:val="nil"/>
              <w:left w:val="nil"/>
              <w:bottom w:val="nil"/>
              <w:right w:val="nil"/>
            </w:tcBorders>
            <w:shd w:val="clear" w:color="000000" w:fill="D8D8D8"/>
            <w:vAlign w:val="center"/>
            <w:hideMark/>
          </w:tcPr>
          <w:p w:rsidR="0025306E" w:rsidRPr="00BD65FF" w:rsidRDefault="0025306E" w:rsidP="00BD65FF">
            <w:pPr>
              <w:jc w:val="right"/>
              <w:rPr>
                <w:color w:val="000000"/>
                <w:sz w:val="22"/>
                <w:szCs w:val="22"/>
              </w:rPr>
            </w:pPr>
            <w:r w:rsidRPr="00BD65FF">
              <w:rPr>
                <w:color w:val="000000"/>
                <w:sz w:val="22"/>
                <w:szCs w:val="22"/>
              </w:rPr>
              <w:t>3</w:t>
            </w:r>
          </w:p>
        </w:tc>
        <w:tc>
          <w:tcPr>
            <w:tcW w:w="0" w:type="auto"/>
            <w:tcBorders>
              <w:top w:val="nil"/>
              <w:left w:val="nil"/>
              <w:bottom w:val="nil"/>
              <w:right w:val="nil"/>
            </w:tcBorders>
            <w:shd w:val="clear" w:color="auto" w:fill="auto"/>
            <w:vAlign w:val="center"/>
            <w:hideMark/>
          </w:tcPr>
          <w:p w:rsidR="0025306E" w:rsidRPr="00BD65FF" w:rsidRDefault="0025306E" w:rsidP="00BD65FF">
            <w:pPr>
              <w:jc w:val="right"/>
              <w:rPr>
                <w:color w:val="000000"/>
                <w:sz w:val="22"/>
                <w:szCs w:val="22"/>
              </w:rPr>
            </w:pPr>
            <w:r w:rsidRPr="00BD65FF">
              <w:rPr>
                <w:color w:val="000000"/>
                <w:sz w:val="22"/>
                <w:szCs w:val="22"/>
              </w:rPr>
              <w:t>1,647</w:t>
            </w:r>
          </w:p>
        </w:tc>
        <w:tc>
          <w:tcPr>
            <w:tcW w:w="0" w:type="auto"/>
            <w:tcBorders>
              <w:top w:val="nil"/>
              <w:left w:val="nil"/>
              <w:bottom w:val="nil"/>
              <w:right w:val="nil"/>
            </w:tcBorders>
            <w:shd w:val="clear" w:color="000000" w:fill="D8D8D8"/>
            <w:vAlign w:val="center"/>
            <w:hideMark/>
          </w:tcPr>
          <w:p w:rsidR="0025306E" w:rsidRPr="00BD65FF" w:rsidRDefault="0025306E" w:rsidP="00BD65FF">
            <w:pPr>
              <w:jc w:val="right"/>
              <w:rPr>
                <w:color w:val="000000"/>
                <w:sz w:val="22"/>
                <w:szCs w:val="22"/>
              </w:rPr>
            </w:pPr>
            <w:r w:rsidRPr="00BD65FF">
              <w:rPr>
                <w:color w:val="000000"/>
                <w:sz w:val="22"/>
                <w:szCs w:val="22"/>
              </w:rPr>
              <w:t>699</w:t>
            </w:r>
          </w:p>
        </w:tc>
      </w:tr>
      <w:tr w:rsidR="0025306E" w:rsidRPr="00327CB4" w:rsidTr="00BD65FF">
        <w:trPr>
          <w:trHeight w:val="300"/>
        </w:trPr>
        <w:tc>
          <w:tcPr>
            <w:tcW w:w="0" w:type="auto"/>
            <w:tcBorders>
              <w:top w:val="nil"/>
              <w:left w:val="nil"/>
              <w:bottom w:val="nil"/>
              <w:right w:val="nil"/>
            </w:tcBorders>
            <w:shd w:val="clear" w:color="auto" w:fill="auto"/>
            <w:noWrap/>
            <w:vAlign w:val="bottom"/>
            <w:hideMark/>
          </w:tcPr>
          <w:p w:rsidR="0025306E" w:rsidRPr="00BD65FF" w:rsidRDefault="0025306E" w:rsidP="00327CB4">
            <w:pPr>
              <w:rPr>
                <w:color w:val="000000"/>
                <w:sz w:val="22"/>
                <w:szCs w:val="22"/>
              </w:rPr>
            </w:pPr>
            <w:r w:rsidRPr="00BD65FF">
              <w:rPr>
                <w:color w:val="000000"/>
                <w:sz w:val="22"/>
                <w:szCs w:val="22"/>
              </w:rPr>
              <w:t>£250,001 - £300,000</w:t>
            </w:r>
          </w:p>
        </w:tc>
        <w:tc>
          <w:tcPr>
            <w:tcW w:w="0" w:type="auto"/>
            <w:tcBorders>
              <w:top w:val="nil"/>
              <w:left w:val="nil"/>
              <w:bottom w:val="nil"/>
              <w:right w:val="nil"/>
            </w:tcBorders>
            <w:shd w:val="clear" w:color="auto" w:fill="auto"/>
            <w:vAlign w:val="center"/>
            <w:hideMark/>
          </w:tcPr>
          <w:p w:rsidR="0025306E" w:rsidRPr="00BD65FF" w:rsidRDefault="0025306E" w:rsidP="00933A46">
            <w:pPr>
              <w:jc w:val="right"/>
              <w:rPr>
                <w:color w:val="000000"/>
                <w:sz w:val="22"/>
                <w:szCs w:val="22"/>
              </w:rPr>
            </w:pPr>
            <w:r>
              <w:rPr>
                <w:color w:val="000000"/>
                <w:sz w:val="22"/>
                <w:szCs w:val="22"/>
              </w:rPr>
              <w:t>-</w:t>
            </w:r>
          </w:p>
        </w:tc>
        <w:tc>
          <w:tcPr>
            <w:tcW w:w="0" w:type="auto"/>
            <w:tcBorders>
              <w:top w:val="nil"/>
              <w:left w:val="nil"/>
              <w:bottom w:val="nil"/>
              <w:right w:val="nil"/>
            </w:tcBorders>
            <w:shd w:val="clear" w:color="000000" w:fill="D8D8D8"/>
            <w:noWrap/>
            <w:vAlign w:val="center"/>
            <w:hideMark/>
          </w:tcPr>
          <w:p w:rsidR="0025306E" w:rsidRPr="00BD65FF" w:rsidRDefault="0025306E" w:rsidP="00933A46">
            <w:pPr>
              <w:jc w:val="right"/>
              <w:rPr>
                <w:color w:val="000000"/>
                <w:sz w:val="22"/>
                <w:szCs w:val="22"/>
              </w:rPr>
            </w:pPr>
            <w:r>
              <w:rPr>
                <w:color w:val="000000"/>
                <w:sz w:val="22"/>
                <w:szCs w:val="22"/>
              </w:rPr>
              <w:t>-</w:t>
            </w:r>
          </w:p>
        </w:tc>
        <w:tc>
          <w:tcPr>
            <w:tcW w:w="0" w:type="auto"/>
            <w:tcBorders>
              <w:top w:val="nil"/>
              <w:left w:val="nil"/>
              <w:bottom w:val="nil"/>
              <w:right w:val="nil"/>
            </w:tcBorders>
            <w:shd w:val="clear" w:color="auto" w:fill="auto"/>
            <w:vAlign w:val="center"/>
            <w:hideMark/>
          </w:tcPr>
          <w:p w:rsidR="0025306E" w:rsidRPr="00BD65FF" w:rsidRDefault="0025306E" w:rsidP="00BD65FF">
            <w:pPr>
              <w:jc w:val="right"/>
              <w:rPr>
                <w:color w:val="000000"/>
                <w:sz w:val="22"/>
                <w:szCs w:val="22"/>
              </w:rPr>
            </w:pPr>
            <w:r w:rsidRPr="00BD65FF">
              <w:rPr>
                <w:color w:val="000000"/>
                <w:sz w:val="22"/>
                <w:szCs w:val="22"/>
              </w:rPr>
              <w:t>4</w:t>
            </w:r>
          </w:p>
        </w:tc>
        <w:tc>
          <w:tcPr>
            <w:tcW w:w="0" w:type="auto"/>
            <w:tcBorders>
              <w:top w:val="nil"/>
              <w:left w:val="nil"/>
              <w:bottom w:val="nil"/>
              <w:right w:val="nil"/>
            </w:tcBorders>
            <w:shd w:val="clear" w:color="000000" w:fill="D8D8D8"/>
            <w:noWrap/>
            <w:vAlign w:val="center"/>
            <w:hideMark/>
          </w:tcPr>
          <w:p w:rsidR="0025306E" w:rsidRPr="00BD65FF" w:rsidRDefault="0025306E" w:rsidP="00BD65FF">
            <w:pPr>
              <w:jc w:val="right"/>
              <w:rPr>
                <w:color w:val="000000"/>
                <w:sz w:val="22"/>
                <w:szCs w:val="22"/>
              </w:rPr>
            </w:pPr>
            <w:r w:rsidRPr="00BD65FF">
              <w:rPr>
                <w:color w:val="000000"/>
                <w:sz w:val="22"/>
                <w:szCs w:val="22"/>
              </w:rPr>
              <w:t>0</w:t>
            </w:r>
          </w:p>
        </w:tc>
        <w:tc>
          <w:tcPr>
            <w:tcW w:w="0" w:type="auto"/>
            <w:tcBorders>
              <w:top w:val="nil"/>
              <w:left w:val="nil"/>
              <w:bottom w:val="nil"/>
              <w:right w:val="nil"/>
            </w:tcBorders>
            <w:shd w:val="clear" w:color="auto" w:fill="auto"/>
            <w:vAlign w:val="center"/>
            <w:hideMark/>
          </w:tcPr>
          <w:p w:rsidR="0025306E" w:rsidRPr="00BD65FF" w:rsidRDefault="0025306E" w:rsidP="00BD65FF">
            <w:pPr>
              <w:jc w:val="right"/>
              <w:rPr>
                <w:color w:val="000000"/>
                <w:sz w:val="22"/>
                <w:szCs w:val="22"/>
              </w:rPr>
            </w:pPr>
            <w:r w:rsidRPr="00BD65FF">
              <w:rPr>
                <w:color w:val="000000"/>
                <w:sz w:val="22"/>
                <w:szCs w:val="22"/>
              </w:rPr>
              <w:t>4</w:t>
            </w:r>
          </w:p>
        </w:tc>
        <w:tc>
          <w:tcPr>
            <w:tcW w:w="0" w:type="auto"/>
            <w:tcBorders>
              <w:top w:val="nil"/>
              <w:left w:val="nil"/>
              <w:bottom w:val="nil"/>
              <w:right w:val="nil"/>
            </w:tcBorders>
            <w:shd w:val="clear" w:color="000000" w:fill="D8D8D8"/>
            <w:vAlign w:val="center"/>
            <w:hideMark/>
          </w:tcPr>
          <w:p w:rsidR="0025306E" w:rsidRPr="00BD65FF" w:rsidRDefault="0025306E" w:rsidP="00BD65FF">
            <w:pPr>
              <w:jc w:val="right"/>
              <w:rPr>
                <w:color w:val="000000"/>
                <w:sz w:val="22"/>
                <w:szCs w:val="22"/>
              </w:rPr>
            </w:pPr>
            <w:r>
              <w:rPr>
                <w:color w:val="000000"/>
                <w:sz w:val="22"/>
                <w:szCs w:val="22"/>
              </w:rPr>
              <w:t>-</w:t>
            </w:r>
          </w:p>
        </w:tc>
        <w:tc>
          <w:tcPr>
            <w:tcW w:w="0" w:type="auto"/>
            <w:tcBorders>
              <w:top w:val="nil"/>
              <w:left w:val="nil"/>
              <w:bottom w:val="nil"/>
              <w:right w:val="nil"/>
            </w:tcBorders>
            <w:shd w:val="clear" w:color="auto" w:fill="auto"/>
            <w:vAlign w:val="center"/>
            <w:hideMark/>
          </w:tcPr>
          <w:p w:rsidR="0025306E" w:rsidRPr="00BD65FF" w:rsidRDefault="0025306E" w:rsidP="00BD65FF">
            <w:pPr>
              <w:jc w:val="right"/>
              <w:rPr>
                <w:color w:val="000000"/>
                <w:sz w:val="22"/>
                <w:szCs w:val="22"/>
              </w:rPr>
            </w:pPr>
            <w:r w:rsidRPr="00BD65FF">
              <w:rPr>
                <w:color w:val="000000"/>
                <w:sz w:val="22"/>
                <w:szCs w:val="22"/>
              </w:rPr>
              <w:t>1,031</w:t>
            </w:r>
          </w:p>
        </w:tc>
        <w:tc>
          <w:tcPr>
            <w:tcW w:w="0" w:type="auto"/>
            <w:tcBorders>
              <w:top w:val="nil"/>
              <w:left w:val="nil"/>
              <w:bottom w:val="nil"/>
              <w:right w:val="nil"/>
            </w:tcBorders>
            <w:shd w:val="clear" w:color="000000" w:fill="D8D8D8"/>
            <w:vAlign w:val="center"/>
            <w:hideMark/>
          </w:tcPr>
          <w:p w:rsidR="0025306E" w:rsidRPr="00BD65FF" w:rsidRDefault="0025306E" w:rsidP="00BD65FF">
            <w:pPr>
              <w:jc w:val="right"/>
              <w:rPr>
                <w:color w:val="000000"/>
                <w:sz w:val="22"/>
                <w:szCs w:val="22"/>
              </w:rPr>
            </w:pPr>
            <w:r>
              <w:rPr>
                <w:color w:val="000000"/>
                <w:sz w:val="22"/>
                <w:szCs w:val="22"/>
              </w:rPr>
              <w:t>-</w:t>
            </w:r>
          </w:p>
        </w:tc>
      </w:tr>
      <w:tr w:rsidR="0025306E" w:rsidRPr="00327CB4" w:rsidTr="00BD65FF">
        <w:trPr>
          <w:trHeight w:val="300"/>
        </w:trPr>
        <w:tc>
          <w:tcPr>
            <w:tcW w:w="0" w:type="auto"/>
            <w:tcBorders>
              <w:top w:val="nil"/>
              <w:left w:val="nil"/>
              <w:bottom w:val="nil"/>
              <w:right w:val="nil"/>
            </w:tcBorders>
            <w:shd w:val="clear" w:color="auto" w:fill="auto"/>
            <w:noWrap/>
            <w:vAlign w:val="bottom"/>
            <w:hideMark/>
          </w:tcPr>
          <w:p w:rsidR="0025306E" w:rsidRPr="00BD65FF" w:rsidRDefault="0025306E" w:rsidP="00327CB4">
            <w:pPr>
              <w:rPr>
                <w:color w:val="000000"/>
                <w:sz w:val="22"/>
                <w:szCs w:val="22"/>
              </w:rPr>
            </w:pPr>
            <w:r w:rsidRPr="00BD65FF">
              <w:rPr>
                <w:color w:val="000000"/>
                <w:sz w:val="22"/>
                <w:szCs w:val="22"/>
              </w:rPr>
              <w:t>£300,001 - £350,000</w:t>
            </w:r>
          </w:p>
        </w:tc>
        <w:tc>
          <w:tcPr>
            <w:tcW w:w="0" w:type="auto"/>
            <w:tcBorders>
              <w:top w:val="nil"/>
              <w:left w:val="nil"/>
              <w:bottom w:val="nil"/>
              <w:right w:val="nil"/>
            </w:tcBorders>
            <w:shd w:val="clear" w:color="auto" w:fill="auto"/>
            <w:vAlign w:val="center"/>
            <w:hideMark/>
          </w:tcPr>
          <w:p w:rsidR="0025306E" w:rsidRPr="00BD65FF" w:rsidRDefault="0025306E" w:rsidP="00933A46">
            <w:pPr>
              <w:jc w:val="right"/>
              <w:rPr>
                <w:color w:val="000000"/>
                <w:sz w:val="22"/>
                <w:szCs w:val="22"/>
              </w:rPr>
            </w:pPr>
            <w:r>
              <w:rPr>
                <w:color w:val="000000"/>
                <w:sz w:val="22"/>
                <w:szCs w:val="22"/>
              </w:rPr>
              <w:t>-</w:t>
            </w:r>
          </w:p>
        </w:tc>
        <w:tc>
          <w:tcPr>
            <w:tcW w:w="0" w:type="auto"/>
            <w:tcBorders>
              <w:top w:val="nil"/>
              <w:left w:val="nil"/>
              <w:bottom w:val="nil"/>
              <w:right w:val="nil"/>
            </w:tcBorders>
            <w:shd w:val="clear" w:color="000000" w:fill="D8D8D8"/>
            <w:noWrap/>
            <w:vAlign w:val="center"/>
            <w:hideMark/>
          </w:tcPr>
          <w:p w:rsidR="0025306E" w:rsidRPr="00BD65FF" w:rsidRDefault="0025306E" w:rsidP="00933A46">
            <w:pPr>
              <w:jc w:val="right"/>
              <w:rPr>
                <w:color w:val="000000"/>
                <w:sz w:val="22"/>
                <w:szCs w:val="22"/>
              </w:rPr>
            </w:pPr>
            <w:r>
              <w:rPr>
                <w:color w:val="000000"/>
                <w:sz w:val="22"/>
                <w:szCs w:val="22"/>
              </w:rPr>
              <w:t>-</w:t>
            </w:r>
          </w:p>
        </w:tc>
        <w:tc>
          <w:tcPr>
            <w:tcW w:w="0" w:type="auto"/>
            <w:tcBorders>
              <w:top w:val="nil"/>
              <w:left w:val="nil"/>
              <w:bottom w:val="nil"/>
              <w:right w:val="nil"/>
            </w:tcBorders>
            <w:shd w:val="clear" w:color="auto" w:fill="auto"/>
            <w:vAlign w:val="center"/>
            <w:hideMark/>
          </w:tcPr>
          <w:p w:rsidR="0025306E" w:rsidRPr="00BD65FF" w:rsidRDefault="0025306E" w:rsidP="00BD65FF">
            <w:pPr>
              <w:jc w:val="right"/>
              <w:rPr>
                <w:color w:val="000000"/>
                <w:sz w:val="22"/>
                <w:szCs w:val="22"/>
              </w:rPr>
            </w:pPr>
            <w:r w:rsidRPr="00BD65FF">
              <w:rPr>
                <w:color w:val="000000"/>
                <w:sz w:val="22"/>
                <w:szCs w:val="22"/>
              </w:rPr>
              <w:t>1</w:t>
            </w:r>
          </w:p>
        </w:tc>
        <w:tc>
          <w:tcPr>
            <w:tcW w:w="0" w:type="auto"/>
            <w:tcBorders>
              <w:top w:val="nil"/>
              <w:left w:val="nil"/>
              <w:bottom w:val="nil"/>
              <w:right w:val="nil"/>
            </w:tcBorders>
            <w:shd w:val="clear" w:color="000000" w:fill="D8D8D8"/>
            <w:noWrap/>
            <w:vAlign w:val="center"/>
            <w:hideMark/>
          </w:tcPr>
          <w:p w:rsidR="0025306E" w:rsidRPr="00BD65FF" w:rsidRDefault="0025306E" w:rsidP="00BD65FF">
            <w:pPr>
              <w:jc w:val="right"/>
              <w:rPr>
                <w:color w:val="000000"/>
                <w:sz w:val="22"/>
                <w:szCs w:val="22"/>
              </w:rPr>
            </w:pPr>
            <w:r w:rsidRPr="00BD65FF">
              <w:rPr>
                <w:color w:val="000000"/>
                <w:sz w:val="22"/>
                <w:szCs w:val="22"/>
              </w:rPr>
              <w:t>2</w:t>
            </w:r>
          </w:p>
        </w:tc>
        <w:tc>
          <w:tcPr>
            <w:tcW w:w="0" w:type="auto"/>
            <w:tcBorders>
              <w:top w:val="nil"/>
              <w:left w:val="nil"/>
              <w:bottom w:val="nil"/>
              <w:right w:val="nil"/>
            </w:tcBorders>
            <w:shd w:val="clear" w:color="auto" w:fill="auto"/>
            <w:vAlign w:val="center"/>
            <w:hideMark/>
          </w:tcPr>
          <w:p w:rsidR="0025306E" w:rsidRPr="00BD65FF" w:rsidRDefault="0025306E" w:rsidP="00BD65FF">
            <w:pPr>
              <w:jc w:val="right"/>
              <w:rPr>
                <w:color w:val="000000"/>
                <w:sz w:val="22"/>
                <w:szCs w:val="22"/>
              </w:rPr>
            </w:pPr>
            <w:r w:rsidRPr="00BD65FF">
              <w:rPr>
                <w:color w:val="000000"/>
                <w:sz w:val="22"/>
                <w:szCs w:val="22"/>
              </w:rPr>
              <w:t>1</w:t>
            </w:r>
          </w:p>
        </w:tc>
        <w:tc>
          <w:tcPr>
            <w:tcW w:w="0" w:type="auto"/>
            <w:tcBorders>
              <w:top w:val="nil"/>
              <w:left w:val="nil"/>
              <w:bottom w:val="nil"/>
              <w:right w:val="nil"/>
            </w:tcBorders>
            <w:shd w:val="clear" w:color="000000" w:fill="D8D8D8"/>
            <w:vAlign w:val="center"/>
            <w:hideMark/>
          </w:tcPr>
          <w:p w:rsidR="0025306E" w:rsidRPr="00BD65FF" w:rsidRDefault="0025306E" w:rsidP="00BD65FF">
            <w:pPr>
              <w:jc w:val="right"/>
              <w:rPr>
                <w:color w:val="000000"/>
                <w:sz w:val="22"/>
                <w:szCs w:val="22"/>
              </w:rPr>
            </w:pPr>
            <w:r w:rsidRPr="00BD65FF">
              <w:rPr>
                <w:color w:val="000000"/>
                <w:sz w:val="22"/>
                <w:szCs w:val="22"/>
              </w:rPr>
              <w:t>2</w:t>
            </w:r>
          </w:p>
        </w:tc>
        <w:tc>
          <w:tcPr>
            <w:tcW w:w="0" w:type="auto"/>
            <w:tcBorders>
              <w:top w:val="nil"/>
              <w:left w:val="nil"/>
              <w:bottom w:val="nil"/>
              <w:right w:val="nil"/>
            </w:tcBorders>
            <w:shd w:val="clear" w:color="auto" w:fill="auto"/>
            <w:vAlign w:val="center"/>
            <w:hideMark/>
          </w:tcPr>
          <w:p w:rsidR="0025306E" w:rsidRPr="00BD65FF" w:rsidRDefault="0025306E" w:rsidP="00BD65FF">
            <w:pPr>
              <w:jc w:val="right"/>
              <w:rPr>
                <w:color w:val="000000"/>
                <w:sz w:val="22"/>
                <w:szCs w:val="22"/>
              </w:rPr>
            </w:pPr>
            <w:r w:rsidRPr="00BD65FF">
              <w:rPr>
                <w:color w:val="000000"/>
                <w:sz w:val="22"/>
                <w:szCs w:val="22"/>
              </w:rPr>
              <w:t>303</w:t>
            </w:r>
          </w:p>
        </w:tc>
        <w:tc>
          <w:tcPr>
            <w:tcW w:w="0" w:type="auto"/>
            <w:tcBorders>
              <w:top w:val="nil"/>
              <w:left w:val="nil"/>
              <w:bottom w:val="nil"/>
              <w:right w:val="nil"/>
            </w:tcBorders>
            <w:shd w:val="clear" w:color="000000" w:fill="D8D8D8"/>
            <w:vAlign w:val="center"/>
            <w:hideMark/>
          </w:tcPr>
          <w:p w:rsidR="0025306E" w:rsidRPr="00BD65FF" w:rsidRDefault="0025306E" w:rsidP="00BD65FF">
            <w:pPr>
              <w:jc w:val="right"/>
              <w:rPr>
                <w:color w:val="000000"/>
                <w:sz w:val="22"/>
                <w:szCs w:val="22"/>
              </w:rPr>
            </w:pPr>
            <w:r w:rsidRPr="00BD65FF">
              <w:rPr>
                <w:color w:val="000000"/>
                <w:sz w:val="22"/>
                <w:szCs w:val="22"/>
              </w:rPr>
              <w:t>606</w:t>
            </w:r>
          </w:p>
        </w:tc>
      </w:tr>
      <w:tr w:rsidR="00BD65FF" w:rsidRPr="00327CB4" w:rsidTr="00BD65FF">
        <w:trPr>
          <w:trHeight w:val="315"/>
        </w:trPr>
        <w:tc>
          <w:tcPr>
            <w:tcW w:w="0" w:type="auto"/>
            <w:tcBorders>
              <w:top w:val="nil"/>
              <w:left w:val="nil"/>
              <w:bottom w:val="nil"/>
              <w:right w:val="nil"/>
            </w:tcBorders>
            <w:shd w:val="clear" w:color="auto" w:fill="auto"/>
            <w:hideMark/>
          </w:tcPr>
          <w:p w:rsidR="00327CB4" w:rsidRPr="00BD65FF" w:rsidRDefault="00327CB4" w:rsidP="00327CB4">
            <w:pPr>
              <w:rPr>
                <w:color w:val="000000"/>
                <w:sz w:val="22"/>
                <w:szCs w:val="22"/>
              </w:rPr>
            </w:pPr>
            <w:r w:rsidRPr="00BD65FF">
              <w:rPr>
                <w:color w:val="000000"/>
                <w:sz w:val="22"/>
                <w:szCs w:val="22"/>
              </w:rPr>
              <w:t xml:space="preserve">total </w:t>
            </w:r>
          </w:p>
        </w:tc>
        <w:tc>
          <w:tcPr>
            <w:tcW w:w="0" w:type="auto"/>
            <w:tcBorders>
              <w:top w:val="nil"/>
              <w:left w:val="nil"/>
              <w:bottom w:val="nil"/>
              <w:right w:val="nil"/>
            </w:tcBorders>
            <w:shd w:val="clear" w:color="auto" w:fill="auto"/>
            <w:vAlign w:val="center"/>
            <w:hideMark/>
          </w:tcPr>
          <w:p w:rsidR="00327CB4" w:rsidRPr="00BD65FF" w:rsidRDefault="00327CB4" w:rsidP="00BD65FF">
            <w:pPr>
              <w:jc w:val="right"/>
              <w:rPr>
                <w:b/>
                <w:bCs/>
                <w:color w:val="000000"/>
                <w:sz w:val="22"/>
                <w:szCs w:val="22"/>
              </w:rPr>
            </w:pPr>
            <w:r w:rsidRPr="00BD65FF">
              <w:rPr>
                <w:b/>
                <w:bCs/>
                <w:color w:val="000000"/>
                <w:sz w:val="22"/>
                <w:szCs w:val="22"/>
              </w:rPr>
              <w:t>37</w:t>
            </w:r>
          </w:p>
        </w:tc>
        <w:tc>
          <w:tcPr>
            <w:tcW w:w="0" w:type="auto"/>
            <w:tcBorders>
              <w:top w:val="nil"/>
              <w:left w:val="nil"/>
              <w:bottom w:val="nil"/>
              <w:right w:val="nil"/>
            </w:tcBorders>
            <w:shd w:val="clear" w:color="000000" w:fill="D8D8D8"/>
            <w:noWrap/>
            <w:vAlign w:val="center"/>
            <w:hideMark/>
          </w:tcPr>
          <w:p w:rsidR="00327CB4" w:rsidRPr="00BD65FF" w:rsidRDefault="00327CB4" w:rsidP="00BD65FF">
            <w:pPr>
              <w:jc w:val="right"/>
              <w:rPr>
                <w:b/>
                <w:bCs/>
                <w:color w:val="000000"/>
                <w:sz w:val="22"/>
                <w:szCs w:val="22"/>
              </w:rPr>
            </w:pPr>
            <w:r w:rsidRPr="00BD65FF">
              <w:rPr>
                <w:b/>
                <w:bCs/>
                <w:color w:val="000000"/>
                <w:sz w:val="22"/>
                <w:szCs w:val="22"/>
              </w:rPr>
              <w:t>13</w:t>
            </w:r>
          </w:p>
        </w:tc>
        <w:tc>
          <w:tcPr>
            <w:tcW w:w="0" w:type="auto"/>
            <w:tcBorders>
              <w:top w:val="nil"/>
              <w:left w:val="nil"/>
              <w:bottom w:val="nil"/>
              <w:right w:val="nil"/>
            </w:tcBorders>
            <w:shd w:val="clear" w:color="auto" w:fill="auto"/>
            <w:vAlign w:val="center"/>
            <w:hideMark/>
          </w:tcPr>
          <w:p w:rsidR="00327CB4" w:rsidRPr="00BD65FF" w:rsidRDefault="00327CB4" w:rsidP="00BD65FF">
            <w:pPr>
              <w:jc w:val="right"/>
              <w:rPr>
                <w:b/>
                <w:bCs/>
                <w:color w:val="000000"/>
                <w:sz w:val="22"/>
                <w:szCs w:val="22"/>
              </w:rPr>
            </w:pPr>
            <w:r w:rsidRPr="00BD65FF">
              <w:rPr>
                <w:b/>
                <w:bCs/>
                <w:color w:val="000000"/>
                <w:sz w:val="22"/>
                <w:szCs w:val="22"/>
              </w:rPr>
              <w:t>778</w:t>
            </w:r>
          </w:p>
        </w:tc>
        <w:tc>
          <w:tcPr>
            <w:tcW w:w="0" w:type="auto"/>
            <w:tcBorders>
              <w:top w:val="nil"/>
              <w:left w:val="nil"/>
              <w:bottom w:val="nil"/>
              <w:right w:val="nil"/>
            </w:tcBorders>
            <w:shd w:val="clear" w:color="000000" w:fill="D8D8D8"/>
            <w:noWrap/>
            <w:vAlign w:val="center"/>
            <w:hideMark/>
          </w:tcPr>
          <w:p w:rsidR="00327CB4" w:rsidRPr="00BD65FF" w:rsidRDefault="00327CB4" w:rsidP="00BD65FF">
            <w:pPr>
              <w:jc w:val="right"/>
              <w:rPr>
                <w:b/>
                <w:bCs/>
                <w:color w:val="000000"/>
                <w:sz w:val="22"/>
                <w:szCs w:val="22"/>
              </w:rPr>
            </w:pPr>
            <w:r w:rsidRPr="00BD65FF">
              <w:rPr>
                <w:b/>
                <w:bCs/>
                <w:color w:val="000000"/>
                <w:sz w:val="22"/>
                <w:szCs w:val="22"/>
              </w:rPr>
              <w:t>425</w:t>
            </w:r>
          </w:p>
        </w:tc>
        <w:tc>
          <w:tcPr>
            <w:tcW w:w="0" w:type="auto"/>
            <w:tcBorders>
              <w:top w:val="nil"/>
              <w:left w:val="nil"/>
              <w:bottom w:val="nil"/>
              <w:right w:val="nil"/>
            </w:tcBorders>
            <w:shd w:val="clear" w:color="auto" w:fill="auto"/>
            <w:vAlign w:val="center"/>
            <w:hideMark/>
          </w:tcPr>
          <w:p w:rsidR="00327CB4" w:rsidRPr="00BD65FF" w:rsidRDefault="00327CB4" w:rsidP="00BD65FF">
            <w:pPr>
              <w:jc w:val="right"/>
              <w:rPr>
                <w:b/>
                <w:bCs/>
                <w:color w:val="000000"/>
                <w:sz w:val="22"/>
                <w:szCs w:val="22"/>
              </w:rPr>
            </w:pPr>
            <w:r w:rsidRPr="00BD65FF">
              <w:rPr>
                <w:b/>
                <w:bCs/>
                <w:color w:val="000000"/>
                <w:sz w:val="22"/>
                <w:szCs w:val="22"/>
              </w:rPr>
              <w:t>815</w:t>
            </w:r>
          </w:p>
        </w:tc>
        <w:tc>
          <w:tcPr>
            <w:tcW w:w="0" w:type="auto"/>
            <w:tcBorders>
              <w:top w:val="nil"/>
              <w:left w:val="nil"/>
              <w:bottom w:val="nil"/>
              <w:right w:val="nil"/>
            </w:tcBorders>
            <w:shd w:val="clear" w:color="000000" w:fill="D8D8D8"/>
            <w:vAlign w:val="center"/>
            <w:hideMark/>
          </w:tcPr>
          <w:p w:rsidR="00327CB4" w:rsidRPr="00BD65FF" w:rsidRDefault="00327CB4" w:rsidP="00BD65FF">
            <w:pPr>
              <w:jc w:val="right"/>
              <w:rPr>
                <w:b/>
                <w:bCs/>
                <w:color w:val="000000"/>
                <w:sz w:val="22"/>
                <w:szCs w:val="22"/>
              </w:rPr>
            </w:pPr>
            <w:r w:rsidRPr="00BD65FF">
              <w:rPr>
                <w:b/>
                <w:bCs/>
                <w:color w:val="000000"/>
                <w:sz w:val="22"/>
                <w:szCs w:val="22"/>
              </w:rPr>
              <w:t>438</w:t>
            </w:r>
          </w:p>
        </w:tc>
        <w:tc>
          <w:tcPr>
            <w:tcW w:w="0" w:type="auto"/>
            <w:tcBorders>
              <w:top w:val="nil"/>
              <w:left w:val="nil"/>
              <w:bottom w:val="nil"/>
              <w:right w:val="nil"/>
            </w:tcBorders>
            <w:shd w:val="clear" w:color="auto" w:fill="auto"/>
            <w:vAlign w:val="center"/>
            <w:hideMark/>
          </w:tcPr>
          <w:p w:rsidR="00327CB4" w:rsidRPr="00BD65FF" w:rsidRDefault="00327CB4" w:rsidP="00BD65FF">
            <w:pPr>
              <w:jc w:val="right"/>
              <w:rPr>
                <w:b/>
                <w:bCs/>
                <w:color w:val="000000"/>
                <w:sz w:val="22"/>
                <w:szCs w:val="22"/>
              </w:rPr>
            </w:pPr>
            <w:r w:rsidRPr="00BD65FF">
              <w:rPr>
                <w:b/>
                <w:bCs/>
                <w:color w:val="000000"/>
                <w:sz w:val="22"/>
                <w:szCs w:val="22"/>
              </w:rPr>
              <w:t>43,515</w:t>
            </w:r>
          </w:p>
        </w:tc>
        <w:tc>
          <w:tcPr>
            <w:tcW w:w="0" w:type="auto"/>
            <w:tcBorders>
              <w:top w:val="nil"/>
              <w:left w:val="nil"/>
              <w:bottom w:val="nil"/>
              <w:right w:val="nil"/>
            </w:tcBorders>
            <w:shd w:val="clear" w:color="000000" w:fill="D8D8D8"/>
            <w:vAlign w:val="center"/>
            <w:hideMark/>
          </w:tcPr>
          <w:p w:rsidR="00327CB4" w:rsidRPr="00BD65FF" w:rsidRDefault="00327CB4" w:rsidP="00BD65FF">
            <w:pPr>
              <w:jc w:val="right"/>
              <w:rPr>
                <w:b/>
                <w:bCs/>
                <w:color w:val="000000"/>
                <w:sz w:val="22"/>
                <w:szCs w:val="22"/>
              </w:rPr>
            </w:pPr>
            <w:r w:rsidRPr="00BD65FF">
              <w:rPr>
                <w:b/>
                <w:bCs/>
                <w:color w:val="000000"/>
                <w:sz w:val="22"/>
                <w:szCs w:val="22"/>
              </w:rPr>
              <w:t>16,743</w:t>
            </w:r>
          </w:p>
        </w:tc>
      </w:tr>
    </w:tbl>
    <w:p w:rsidR="00327CB4" w:rsidRDefault="00327CB4" w:rsidP="00BC6A99">
      <w:pPr>
        <w:jc w:val="both"/>
        <w:rPr>
          <w:sz w:val="22"/>
          <w:szCs w:val="22"/>
          <w:highlight w:val="yellow"/>
        </w:rPr>
      </w:pPr>
    </w:p>
    <w:p w:rsidR="00725D01" w:rsidRDefault="00725D01" w:rsidP="00BC6A99">
      <w:pPr>
        <w:jc w:val="both"/>
        <w:rPr>
          <w:sz w:val="22"/>
          <w:szCs w:val="22"/>
          <w:highlight w:val="yellow"/>
        </w:rPr>
        <w:sectPr w:rsidR="00725D01" w:rsidSect="003018D5">
          <w:pgSz w:w="16838" w:h="11906" w:orient="landscape" w:code="9"/>
          <w:pgMar w:top="720" w:right="720" w:bottom="720" w:left="720" w:header="709" w:footer="709" w:gutter="0"/>
          <w:cols w:space="708"/>
          <w:docGrid w:linePitch="360"/>
        </w:sectPr>
      </w:pPr>
    </w:p>
    <w:p w:rsidR="006C142B" w:rsidRPr="00B85310" w:rsidRDefault="006C142B" w:rsidP="00BD07E4">
      <w:pPr>
        <w:numPr>
          <w:ilvl w:val="0"/>
          <w:numId w:val="21"/>
        </w:numPr>
        <w:rPr>
          <w:b/>
        </w:rPr>
      </w:pPr>
      <w:r w:rsidRPr="00B85310">
        <w:rPr>
          <w:b/>
        </w:rPr>
        <w:lastRenderedPageBreak/>
        <w:t>Private Finance Initiative (PFI) Schemes</w:t>
      </w:r>
    </w:p>
    <w:p w:rsidR="008A29CA" w:rsidRPr="00442EEE" w:rsidRDefault="008A29CA" w:rsidP="008A29CA"/>
    <w:p w:rsidR="008A29CA" w:rsidRPr="00442EEE" w:rsidRDefault="008A29CA" w:rsidP="008A29CA">
      <w:pPr>
        <w:spacing w:after="240"/>
        <w:ind w:firstLine="720"/>
        <w:rPr>
          <w:b/>
        </w:rPr>
      </w:pPr>
      <w:smartTag w:uri="urn:schemas-microsoft-com:office:smarttags" w:element="PlaceName">
        <w:r w:rsidRPr="00442EEE">
          <w:rPr>
            <w:b/>
          </w:rPr>
          <w:t>Fleetwood</w:t>
        </w:r>
      </w:smartTag>
      <w:r w:rsidRPr="00442EEE">
        <w:rPr>
          <w:b/>
        </w:rPr>
        <w:t xml:space="preserve"> </w:t>
      </w:r>
      <w:smartTag w:uri="urn:schemas-microsoft-com:office:smarttags" w:element="PlaceName">
        <w:r w:rsidRPr="00442EEE">
          <w:rPr>
            <w:b/>
          </w:rPr>
          <w:t>Sports</w:t>
        </w:r>
      </w:smartTag>
      <w:r w:rsidRPr="00442EEE">
        <w:rPr>
          <w:b/>
        </w:rPr>
        <w:t xml:space="preserve"> </w:t>
      </w:r>
      <w:smartTag w:uri="urn:schemas-microsoft-com:office:smarttags" w:element="PlaceType">
        <w:r w:rsidRPr="00442EEE">
          <w:rPr>
            <w:b/>
          </w:rPr>
          <w:t>College</w:t>
        </w:r>
      </w:smartTag>
      <w:r w:rsidRPr="00442EEE">
        <w:rPr>
          <w:b/>
        </w:rPr>
        <w:t xml:space="preserve"> (formerly </w:t>
      </w:r>
      <w:smartTag w:uri="urn:schemas-microsoft-com:office:smarttags" w:element="place">
        <w:smartTag w:uri="urn:schemas-microsoft-com:office:smarttags" w:element="PlaceName">
          <w:r w:rsidRPr="00442EEE">
            <w:rPr>
              <w:b/>
            </w:rPr>
            <w:t>Fleetwood</w:t>
          </w:r>
        </w:smartTag>
        <w:r w:rsidRPr="00442EEE">
          <w:rPr>
            <w:b/>
          </w:rPr>
          <w:t xml:space="preserve"> </w:t>
        </w:r>
        <w:smartTag w:uri="urn:schemas-microsoft-com:office:smarttags" w:element="PlaceType">
          <w:r w:rsidRPr="00442EEE">
            <w:rPr>
              <w:b/>
            </w:rPr>
            <w:t>High School</w:t>
          </w:r>
        </w:smartTag>
      </w:smartTag>
      <w:r w:rsidRPr="00442EEE">
        <w:rPr>
          <w:b/>
        </w:rPr>
        <w:t xml:space="preserve">) </w:t>
      </w:r>
    </w:p>
    <w:p w:rsidR="008A29CA" w:rsidRPr="00442EEE" w:rsidRDefault="008A29CA" w:rsidP="008A29CA">
      <w:pPr>
        <w:spacing w:after="240"/>
        <w:ind w:left="720"/>
        <w:jc w:val="both"/>
      </w:pPr>
      <w:r w:rsidRPr="00442EEE">
        <w:t>In 2001 we signed a PFI contract with Fleetwood PPP Limited to build and service a new single</w:t>
      </w:r>
      <w:r w:rsidRPr="00442EEE">
        <w:noBreakHyphen/>
        <w:t>site school. Payments made under the contract are performance-related, so deductions are made if parts of the building are not available or if service performance (including caretaking and maintenance) falls below an agreed standard. The estimated capital value of the scheme is £13.4 million.</w:t>
      </w:r>
    </w:p>
    <w:p w:rsidR="008A29CA" w:rsidRPr="00442EEE" w:rsidRDefault="008A29CA" w:rsidP="008A29CA">
      <w:pPr>
        <w:spacing w:after="240"/>
        <w:ind w:left="720"/>
        <w:jc w:val="both"/>
      </w:pPr>
      <w:r w:rsidRPr="00442EEE">
        <w:t xml:space="preserve">The arrangement runs from September 2002 (when the college opened) to August 2027. </w:t>
      </w:r>
    </w:p>
    <w:p w:rsidR="008A29CA" w:rsidRPr="00442EEE" w:rsidRDefault="008A29CA" w:rsidP="008A29CA">
      <w:pPr>
        <w:spacing w:after="240"/>
        <w:ind w:left="720"/>
        <w:jc w:val="both"/>
      </w:pPr>
      <w:r w:rsidRPr="00442EEE">
        <w:t>The Authority makes an agreed payment each year which is increased by inflation and can be reduced if the contractor fails to meet the agreed availability and performance standards in any year, but is otherwise fixed.</w:t>
      </w:r>
    </w:p>
    <w:p w:rsidR="008A29CA" w:rsidRPr="00442EEE" w:rsidRDefault="008A29CA" w:rsidP="008A29CA">
      <w:pPr>
        <w:spacing w:after="240"/>
        <w:ind w:left="720"/>
        <w:jc w:val="both"/>
      </w:pPr>
      <w:r w:rsidRPr="00442EEE">
        <w:t>Payments remaining to be made under the PFI contract at 31 March 201</w:t>
      </w:r>
      <w:r>
        <w:t>2</w:t>
      </w:r>
      <w:r w:rsidRPr="00442EEE">
        <w:t>(excluding any estimation of inflation and availability/performance deductions) are as follows: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1729"/>
        <w:gridCol w:w="2046"/>
        <w:gridCol w:w="1961"/>
        <w:gridCol w:w="2003"/>
      </w:tblGrid>
      <w:tr w:rsidR="008A29CA" w:rsidRPr="00442EEE" w:rsidTr="008A29CA">
        <w:tc>
          <w:tcPr>
            <w:tcW w:w="2126" w:type="dxa"/>
          </w:tcPr>
          <w:p w:rsidR="008A29CA" w:rsidRPr="00442EEE" w:rsidRDefault="008A29CA" w:rsidP="008A29CA">
            <w:pPr>
              <w:spacing w:after="240"/>
            </w:pPr>
          </w:p>
        </w:tc>
        <w:tc>
          <w:tcPr>
            <w:tcW w:w="1729" w:type="dxa"/>
          </w:tcPr>
          <w:p w:rsidR="008A29CA" w:rsidRPr="00442EEE" w:rsidRDefault="008A29CA" w:rsidP="008A29CA">
            <w:pPr>
              <w:spacing w:after="240"/>
              <w:jc w:val="center"/>
            </w:pPr>
            <w:r w:rsidRPr="00442EEE">
              <w:t>Payments for Services</w:t>
            </w:r>
          </w:p>
        </w:tc>
        <w:tc>
          <w:tcPr>
            <w:tcW w:w="2046" w:type="dxa"/>
          </w:tcPr>
          <w:p w:rsidR="008A29CA" w:rsidRPr="00442EEE" w:rsidRDefault="008A29CA" w:rsidP="008A29CA">
            <w:pPr>
              <w:spacing w:after="240"/>
              <w:jc w:val="center"/>
            </w:pPr>
            <w:r w:rsidRPr="00442EEE">
              <w:t>Repayment of Liability</w:t>
            </w:r>
          </w:p>
        </w:tc>
        <w:tc>
          <w:tcPr>
            <w:tcW w:w="1961" w:type="dxa"/>
          </w:tcPr>
          <w:p w:rsidR="008A29CA" w:rsidRPr="00442EEE" w:rsidRDefault="008A29CA" w:rsidP="008A29CA">
            <w:pPr>
              <w:spacing w:after="240"/>
              <w:jc w:val="center"/>
            </w:pPr>
            <w:r w:rsidRPr="00442EEE">
              <w:t>Interest Charges</w:t>
            </w:r>
          </w:p>
        </w:tc>
        <w:tc>
          <w:tcPr>
            <w:tcW w:w="2003" w:type="dxa"/>
          </w:tcPr>
          <w:p w:rsidR="008A29CA" w:rsidRPr="00442EEE" w:rsidRDefault="008A29CA" w:rsidP="008A29CA">
            <w:pPr>
              <w:spacing w:after="240"/>
              <w:jc w:val="center"/>
            </w:pPr>
            <w:r w:rsidRPr="00442EEE">
              <w:t>Total Payments Due</w:t>
            </w:r>
          </w:p>
        </w:tc>
      </w:tr>
      <w:tr w:rsidR="008A29CA" w:rsidRPr="00442EEE" w:rsidTr="008A29CA">
        <w:tc>
          <w:tcPr>
            <w:tcW w:w="2126" w:type="dxa"/>
          </w:tcPr>
          <w:p w:rsidR="008A29CA" w:rsidRPr="00442EEE" w:rsidRDefault="008A29CA" w:rsidP="008A29CA">
            <w:pPr>
              <w:spacing w:after="240"/>
              <w:jc w:val="both"/>
            </w:pPr>
          </w:p>
        </w:tc>
        <w:tc>
          <w:tcPr>
            <w:tcW w:w="1729" w:type="dxa"/>
          </w:tcPr>
          <w:p w:rsidR="008A29CA" w:rsidRPr="00442EEE" w:rsidRDefault="008A29CA" w:rsidP="008A29CA">
            <w:pPr>
              <w:spacing w:after="240"/>
              <w:jc w:val="center"/>
            </w:pPr>
            <w:r w:rsidRPr="00442EEE">
              <w:t>£000</w:t>
            </w:r>
          </w:p>
        </w:tc>
        <w:tc>
          <w:tcPr>
            <w:tcW w:w="2046" w:type="dxa"/>
          </w:tcPr>
          <w:p w:rsidR="008A29CA" w:rsidRPr="00442EEE" w:rsidRDefault="008A29CA" w:rsidP="008A29CA">
            <w:pPr>
              <w:spacing w:after="240"/>
              <w:jc w:val="center"/>
            </w:pPr>
            <w:r w:rsidRPr="00442EEE">
              <w:t>£000</w:t>
            </w:r>
          </w:p>
        </w:tc>
        <w:tc>
          <w:tcPr>
            <w:tcW w:w="1961" w:type="dxa"/>
          </w:tcPr>
          <w:p w:rsidR="008A29CA" w:rsidRPr="00442EEE" w:rsidRDefault="008A29CA" w:rsidP="008A29CA">
            <w:pPr>
              <w:spacing w:after="240"/>
              <w:jc w:val="center"/>
            </w:pPr>
            <w:r w:rsidRPr="00442EEE">
              <w:t>£000</w:t>
            </w:r>
          </w:p>
        </w:tc>
        <w:tc>
          <w:tcPr>
            <w:tcW w:w="2003" w:type="dxa"/>
          </w:tcPr>
          <w:p w:rsidR="008A29CA" w:rsidRPr="00442EEE" w:rsidRDefault="008A29CA" w:rsidP="008A29CA">
            <w:pPr>
              <w:spacing w:after="240"/>
              <w:jc w:val="center"/>
            </w:pPr>
            <w:r w:rsidRPr="00442EEE">
              <w:t>£000</w:t>
            </w:r>
          </w:p>
        </w:tc>
      </w:tr>
      <w:tr w:rsidR="008A29CA" w:rsidRPr="00442EEE" w:rsidTr="008A29CA">
        <w:tc>
          <w:tcPr>
            <w:tcW w:w="2126" w:type="dxa"/>
          </w:tcPr>
          <w:p w:rsidR="008A29CA" w:rsidRPr="00442EEE" w:rsidRDefault="008A29CA" w:rsidP="008A29CA">
            <w:pPr>
              <w:spacing w:after="240"/>
            </w:pPr>
            <w:r w:rsidRPr="00442EEE">
              <w:t>Pa</w:t>
            </w:r>
            <w:r w:rsidR="00EB0EE5">
              <w:t>yable</w:t>
            </w:r>
            <w:r w:rsidRPr="00442EEE">
              <w:t xml:space="preserve"> in  201</w:t>
            </w:r>
            <w:r>
              <w:t>2</w:t>
            </w:r>
            <w:r w:rsidRPr="00442EEE">
              <w:t>/1</w:t>
            </w:r>
            <w:r>
              <w:t>3</w:t>
            </w:r>
          </w:p>
        </w:tc>
        <w:tc>
          <w:tcPr>
            <w:tcW w:w="1729" w:type="dxa"/>
          </w:tcPr>
          <w:p w:rsidR="008A29CA" w:rsidRPr="00442EEE" w:rsidRDefault="008A29CA" w:rsidP="008A29CA">
            <w:pPr>
              <w:spacing w:after="240"/>
              <w:jc w:val="center"/>
            </w:pPr>
            <w:r>
              <w:t>528</w:t>
            </w:r>
          </w:p>
        </w:tc>
        <w:tc>
          <w:tcPr>
            <w:tcW w:w="2046" w:type="dxa"/>
          </w:tcPr>
          <w:p w:rsidR="008A29CA" w:rsidRPr="00442EEE" w:rsidRDefault="008A29CA" w:rsidP="008A29CA">
            <w:pPr>
              <w:spacing w:after="240"/>
              <w:jc w:val="center"/>
            </w:pPr>
            <w:r>
              <w:t>230</w:t>
            </w:r>
          </w:p>
        </w:tc>
        <w:tc>
          <w:tcPr>
            <w:tcW w:w="1961" w:type="dxa"/>
          </w:tcPr>
          <w:p w:rsidR="008A29CA" w:rsidRPr="00442EEE" w:rsidRDefault="008A29CA" w:rsidP="008A29CA">
            <w:pPr>
              <w:spacing w:after="240"/>
              <w:jc w:val="center"/>
            </w:pPr>
            <w:r>
              <w:t>969</w:t>
            </w:r>
          </w:p>
        </w:tc>
        <w:tc>
          <w:tcPr>
            <w:tcW w:w="2003" w:type="dxa"/>
          </w:tcPr>
          <w:p w:rsidR="008A29CA" w:rsidRPr="00442EEE" w:rsidRDefault="008A29CA" w:rsidP="008A29CA">
            <w:pPr>
              <w:spacing w:after="240"/>
              <w:jc w:val="center"/>
            </w:pPr>
            <w:r>
              <w:t>1,727</w:t>
            </w:r>
          </w:p>
        </w:tc>
      </w:tr>
      <w:tr w:rsidR="008A29CA" w:rsidRPr="00442EEE" w:rsidTr="008A29CA">
        <w:tc>
          <w:tcPr>
            <w:tcW w:w="2126" w:type="dxa"/>
          </w:tcPr>
          <w:p w:rsidR="008A29CA" w:rsidRPr="00442EEE" w:rsidRDefault="008A29CA" w:rsidP="008A29CA">
            <w:pPr>
              <w:spacing w:after="240"/>
            </w:pPr>
            <w:r w:rsidRPr="00442EEE">
              <w:t>Payable within two to five years</w:t>
            </w:r>
          </w:p>
        </w:tc>
        <w:tc>
          <w:tcPr>
            <w:tcW w:w="1729" w:type="dxa"/>
          </w:tcPr>
          <w:p w:rsidR="008A29CA" w:rsidRPr="00442EEE" w:rsidRDefault="008A29CA" w:rsidP="008A29CA">
            <w:pPr>
              <w:spacing w:after="240"/>
              <w:jc w:val="center"/>
            </w:pPr>
            <w:r>
              <w:t>2,126</w:t>
            </w:r>
          </w:p>
        </w:tc>
        <w:tc>
          <w:tcPr>
            <w:tcW w:w="2046" w:type="dxa"/>
          </w:tcPr>
          <w:p w:rsidR="008A29CA" w:rsidRPr="00442EEE" w:rsidRDefault="008A29CA" w:rsidP="008A29CA">
            <w:pPr>
              <w:spacing w:after="240"/>
              <w:jc w:val="center"/>
            </w:pPr>
            <w:r>
              <w:t>1,166</w:t>
            </w:r>
          </w:p>
        </w:tc>
        <w:tc>
          <w:tcPr>
            <w:tcW w:w="1961" w:type="dxa"/>
          </w:tcPr>
          <w:p w:rsidR="008A29CA" w:rsidRPr="00442EEE" w:rsidRDefault="008A29CA" w:rsidP="008A29CA">
            <w:pPr>
              <w:spacing w:after="240"/>
              <w:jc w:val="center"/>
            </w:pPr>
            <w:r>
              <w:t>3,615</w:t>
            </w:r>
          </w:p>
        </w:tc>
        <w:tc>
          <w:tcPr>
            <w:tcW w:w="2003" w:type="dxa"/>
          </w:tcPr>
          <w:p w:rsidR="008A29CA" w:rsidRPr="00442EEE" w:rsidRDefault="008A29CA" w:rsidP="008A29CA">
            <w:pPr>
              <w:spacing w:after="240"/>
              <w:jc w:val="center"/>
            </w:pPr>
            <w:r>
              <w:t>6,907</w:t>
            </w:r>
          </w:p>
        </w:tc>
      </w:tr>
      <w:tr w:rsidR="008A29CA" w:rsidRPr="00442EEE" w:rsidTr="008A29CA">
        <w:tc>
          <w:tcPr>
            <w:tcW w:w="2126" w:type="dxa"/>
          </w:tcPr>
          <w:p w:rsidR="008A29CA" w:rsidRPr="00442EEE" w:rsidRDefault="008A29CA" w:rsidP="008A29CA">
            <w:pPr>
              <w:spacing w:after="240"/>
            </w:pPr>
            <w:r w:rsidRPr="00442EEE">
              <w:t>Payable within six to ten years</w:t>
            </w:r>
          </w:p>
        </w:tc>
        <w:tc>
          <w:tcPr>
            <w:tcW w:w="1729" w:type="dxa"/>
          </w:tcPr>
          <w:p w:rsidR="008A29CA" w:rsidRPr="00442EEE" w:rsidRDefault="008A29CA" w:rsidP="008A29CA">
            <w:pPr>
              <w:spacing w:after="240"/>
              <w:jc w:val="center"/>
            </w:pPr>
            <w:r>
              <w:t>2,473</w:t>
            </w:r>
          </w:p>
        </w:tc>
        <w:tc>
          <w:tcPr>
            <w:tcW w:w="2046" w:type="dxa"/>
          </w:tcPr>
          <w:p w:rsidR="008A29CA" w:rsidRPr="00442EEE" w:rsidRDefault="008A29CA" w:rsidP="008A29CA">
            <w:pPr>
              <w:spacing w:after="240"/>
              <w:jc w:val="center"/>
            </w:pPr>
            <w:r>
              <w:t>2,638</w:t>
            </w:r>
          </w:p>
        </w:tc>
        <w:tc>
          <w:tcPr>
            <w:tcW w:w="1961" w:type="dxa"/>
          </w:tcPr>
          <w:p w:rsidR="008A29CA" w:rsidRPr="00442EEE" w:rsidRDefault="008A29CA" w:rsidP="008A29CA">
            <w:pPr>
              <w:spacing w:after="240"/>
              <w:jc w:val="center"/>
            </w:pPr>
            <w:r>
              <w:t>3,523</w:t>
            </w:r>
          </w:p>
        </w:tc>
        <w:tc>
          <w:tcPr>
            <w:tcW w:w="2003" w:type="dxa"/>
          </w:tcPr>
          <w:p w:rsidR="008A29CA" w:rsidRPr="00442EEE" w:rsidRDefault="008A29CA" w:rsidP="008A29CA">
            <w:pPr>
              <w:spacing w:after="240"/>
              <w:jc w:val="center"/>
            </w:pPr>
            <w:r>
              <w:t>8,634</w:t>
            </w:r>
          </w:p>
        </w:tc>
      </w:tr>
      <w:tr w:rsidR="008A29CA" w:rsidRPr="00442EEE" w:rsidTr="008A29CA">
        <w:tc>
          <w:tcPr>
            <w:tcW w:w="2126" w:type="dxa"/>
          </w:tcPr>
          <w:p w:rsidR="008A29CA" w:rsidRPr="00442EEE" w:rsidRDefault="008A29CA" w:rsidP="008A29CA">
            <w:pPr>
              <w:spacing w:after="240"/>
            </w:pPr>
            <w:r w:rsidRPr="00442EEE">
              <w:t>Payable within eleven to fifteen years</w:t>
            </w:r>
          </w:p>
        </w:tc>
        <w:tc>
          <w:tcPr>
            <w:tcW w:w="1729" w:type="dxa"/>
          </w:tcPr>
          <w:p w:rsidR="008A29CA" w:rsidRPr="00442EEE" w:rsidRDefault="008A29CA" w:rsidP="008A29CA">
            <w:pPr>
              <w:spacing w:after="240"/>
              <w:jc w:val="center"/>
            </w:pPr>
            <w:r>
              <w:t>2,691</w:t>
            </w:r>
          </w:p>
        </w:tc>
        <w:tc>
          <w:tcPr>
            <w:tcW w:w="2046" w:type="dxa"/>
          </w:tcPr>
          <w:p w:rsidR="008A29CA" w:rsidRPr="00442EEE" w:rsidRDefault="008A29CA" w:rsidP="008A29CA">
            <w:pPr>
              <w:spacing w:after="240"/>
              <w:jc w:val="center"/>
            </w:pPr>
            <w:r>
              <w:t>4,217</w:t>
            </w:r>
          </w:p>
        </w:tc>
        <w:tc>
          <w:tcPr>
            <w:tcW w:w="1961" w:type="dxa"/>
          </w:tcPr>
          <w:p w:rsidR="008A29CA" w:rsidRPr="00442EEE" w:rsidRDefault="008A29CA" w:rsidP="008A29CA">
            <w:pPr>
              <w:spacing w:after="240"/>
              <w:jc w:val="center"/>
            </w:pPr>
            <w:r>
              <w:t>1,726</w:t>
            </w:r>
          </w:p>
        </w:tc>
        <w:tc>
          <w:tcPr>
            <w:tcW w:w="2003" w:type="dxa"/>
          </w:tcPr>
          <w:p w:rsidR="008A29CA" w:rsidRPr="00442EEE" w:rsidRDefault="008A29CA" w:rsidP="008A29CA">
            <w:pPr>
              <w:spacing w:after="240"/>
              <w:jc w:val="center"/>
            </w:pPr>
            <w:r>
              <w:t>8,634</w:t>
            </w:r>
          </w:p>
        </w:tc>
      </w:tr>
      <w:tr w:rsidR="008A29CA" w:rsidRPr="00442EEE" w:rsidTr="008A29CA">
        <w:tc>
          <w:tcPr>
            <w:tcW w:w="2126" w:type="dxa"/>
          </w:tcPr>
          <w:p w:rsidR="008A29CA" w:rsidRPr="00442EEE" w:rsidRDefault="008A29CA" w:rsidP="008A29CA">
            <w:pPr>
              <w:spacing w:after="240"/>
            </w:pPr>
            <w:r w:rsidRPr="00442EEE">
              <w:t>Payable within sixteen to twenty years</w:t>
            </w:r>
          </w:p>
        </w:tc>
        <w:tc>
          <w:tcPr>
            <w:tcW w:w="1729" w:type="dxa"/>
          </w:tcPr>
          <w:p w:rsidR="008A29CA" w:rsidRPr="00442EEE" w:rsidRDefault="008A29CA" w:rsidP="008A29CA">
            <w:pPr>
              <w:spacing w:after="240"/>
              <w:jc w:val="center"/>
            </w:pPr>
            <w:r>
              <w:t>169</w:t>
            </w:r>
          </w:p>
        </w:tc>
        <w:tc>
          <w:tcPr>
            <w:tcW w:w="2046" w:type="dxa"/>
          </w:tcPr>
          <w:p w:rsidR="008A29CA" w:rsidRPr="00442EEE" w:rsidRDefault="008A29CA" w:rsidP="008A29CA">
            <w:pPr>
              <w:spacing w:after="240"/>
              <w:jc w:val="center"/>
            </w:pPr>
            <w:r>
              <w:t>527</w:t>
            </w:r>
          </w:p>
        </w:tc>
        <w:tc>
          <w:tcPr>
            <w:tcW w:w="1961" w:type="dxa"/>
          </w:tcPr>
          <w:p w:rsidR="008A29CA" w:rsidRPr="00442EEE" w:rsidRDefault="008A29CA" w:rsidP="008A29CA">
            <w:pPr>
              <w:spacing w:after="240"/>
              <w:jc w:val="center"/>
            </w:pPr>
            <w:r>
              <w:t>24</w:t>
            </w:r>
          </w:p>
        </w:tc>
        <w:tc>
          <w:tcPr>
            <w:tcW w:w="2003" w:type="dxa"/>
          </w:tcPr>
          <w:p w:rsidR="008A29CA" w:rsidRPr="00442EEE" w:rsidRDefault="008A29CA" w:rsidP="008A29CA">
            <w:pPr>
              <w:spacing w:after="240"/>
              <w:jc w:val="center"/>
            </w:pPr>
            <w:r>
              <w:t>720</w:t>
            </w:r>
          </w:p>
        </w:tc>
      </w:tr>
      <w:tr w:rsidR="008A29CA" w:rsidRPr="00442EEE" w:rsidTr="008A29CA">
        <w:tc>
          <w:tcPr>
            <w:tcW w:w="2126" w:type="dxa"/>
          </w:tcPr>
          <w:p w:rsidR="008A29CA" w:rsidRPr="00442EEE" w:rsidRDefault="008A29CA" w:rsidP="008A29CA">
            <w:pPr>
              <w:spacing w:after="240"/>
              <w:jc w:val="both"/>
              <w:rPr>
                <w:b/>
              </w:rPr>
            </w:pPr>
            <w:r w:rsidRPr="00442EEE">
              <w:rPr>
                <w:b/>
              </w:rPr>
              <w:t>Total</w:t>
            </w:r>
          </w:p>
        </w:tc>
        <w:tc>
          <w:tcPr>
            <w:tcW w:w="1729" w:type="dxa"/>
          </w:tcPr>
          <w:p w:rsidR="008A29CA" w:rsidRPr="00442EEE" w:rsidRDefault="008A29CA" w:rsidP="008A29CA">
            <w:pPr>
              <w:spacing w:after="240"/>
              <w:jc w:val="center"/>
              <w:rPr>
                <w:b/>
              </w:rPr>
            </w:pPr>
            <w:r>
              <w:rPr>
                <w:b/>
              </w:rPr>
              <w:t>7,987</w:t>
            </w:r>
          </w:p>
        </w:tc>
        <w:tc>
          <w:tcPr>
            <w:tcW w:w="2046" w:type="dxa"/>
          </w:tcPr>
          <w:p w:rsidR="008A29CA" w:rsidRPr="00442EEE" w:rsidRDefault="008A29CA" w:rsidP="008A29CA">
            <w:pPr>
              <w:spacing w:after="240"/>
              <w:jc w:val="center"/>
              <w:rPr>
                <w:b/>
              </w:rPr>
            </w:pPr>
            <w:r>
              <w:rPr>
                <w:b/>
              </w:rPr>
              <w:t>8,778</w:t>
            </w:r>
          </w:p>
        </w:tc>
        <w:tc>
          <w:tcPr>
            <w:tcW w:w="1961" w:type="dxa"/>
          </w:tcPr>
          <w:p w:rsidR="008A29CA" w:rsidRPr="00442EEE" w:rsidRDefault="008A29CA" w:rsidP="008A29CA">
            <w:pPr>
              <w:spacing w:after="240"/>
              <w:jc w:val="center"/>
              <w:rPr>
                <w:b/>
              </w:rPr>
            </w:pPr>
            <w:r>
              <w:rPr>
                <w:b/>
              </w:rPr>
              <w:t>9,857</w:t>
            </w:r>
          </w:p>
        </w:tc>
        <w:tc>
          <w:tcPr>
            <w:tcW w:w="2003" w:type="dxa"/>
          </w:tcPr>
          <w:p w:rsidR="008A29CA" w:rsidRPr="00442EEE" w:rsidRDefault="008A29CA" w:rsidP="008A29CA">
            <w:pPr>
              <w:spacing w:after="240"/>
              <w:jc w:val="center"/>
              <w:rPr>
                <w:b/>
              </w:rPr>
            </w:pPr>
            <w:r>
              <w:rPr>
                <w:b/>
              </w:rPr>
              <w:t>26,622</w:t>
            </w:r>
          </w:p>
        </w:tc>
      </w:tr>
    </w:tbl>
    <w:p w:rsidR="008A29CA" w:rsidRPr="00442EEE" w:rsidRDefault="008A29CA" w:rsidP="008A29CA">
      <w:pPr>
        <w:spacing w:after="240"/>
        <w:ind w:left="720"/>
        <w:jc w:val="both"/>
      </w:pPr>
      <w:r w:rsidRPr="00442EEE">
        <w:br w:type="page"/>
      </w:r>
      <w:r w:rsidRPr="00442EEE">
        <w:lastRenderedPageBreak/>
        <w:t>To help finance the scheme we received the following income:</w:t>
      </w:r>
    </w:p>
    <w:tbl>
      <w:tblPr>
        <w:tblW w:w="996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6"/>
        <w:gridCol w:w="2608"/>
        <w:gridCol w:w="3288"/>
      </w:tblGrid>
      <w:tr w:rsidR="008A29CA" w:rsidRPr="00442EEE" w:rsidTr="008A29CA">
        <w:tc>
          <w:tcPr>
            <w:tcW w:w="4066" w:type="dxa"/>
          </w:tcPr>
          <w:p w:rsidR="008A29CA" w:rsidRPr="00442EEE" w:rsidRDefault="008A29CA" w:rsidP="008A29CA">
            <w:pPr>
              <w:spacing w:after="240"/>
              <w:jc w:val="both"/>
            </w:pPr>
          </w:p>
        </w:tc>
        <w:tc>
          <w:tcPr>
            <w:tcW w:w="2608" w:type="dxa"/>
          </w:tcPr>
          <w:p w:rsidR="008A29CA" w:rsidRPr="00442EEE" w:rsidRDefault="008A29CA" w:rsidP="008A29CA">
            <w:pPr>
              <w:spacing w:after="240"/>
              <w:jc w:val="center"/>
              <w:rPr>
                <w:b/>
              </w:rPr>
            </w:pPr>
            <w:r w:rsidRPr="008A29CA">
              <w:rPr>
                <w:b/>
              </w:rPr>
              <w:t>2011/12</w:t>
            </w:r>
          </w:p>
        </w:tc>
        <w:tc>
          <w:tcPr>
            <w:tcW w:w="3288" w:type="dxa"/>
          </w:tcPr>
          <w:p w:rsidR="008A29CA" w:rsidRPr="00442EEE" w:rsidRDefault="008A29CA" w:rsidP="008A29CA">
            <w:pPr>
              <w:spacing w:after="240"/>
              <w:jc w:val="center"/>
              <w:rPr>
                <w:b/>
              </w:rPr>
            </w:pPr>
            <w:r w:rsidRPr="00442EEE">
              <w:rPr>
                <w:b/>
              </w:rPr>
              <w:t>20</w:t>
            </w:r>
            <w:r>
              <w:rPr>
                <w:b/>
              </w:rPr>
              <w:t>10</w:t>
            </w:r>
            <w:r w:rsidRPr="00442EEE">
              <w:rPr>
                <w:b/>
              </w:rPr>
              <w:t>/1</w:t>
            </w:r>
            <w:r>
              <w:rPr>
                <w:b/>
              </w:rPr>
              <w:t>1</w:t>
            </w:r>
          </w:p>
        </w:tc>
      </w:tr>
      <w:tr w:rsidR="008A29CA" w:rsidRPr="00442EEE" w:rsidTr="008A29CA">
        <w:tc>
          <w:tcPr>
            <w:tcW w:w="4066" w:type="dxa"/>
          </w:tcPr>
          <w:p w:rsidR="008A29CA" w:rsidRPr="00442EEE" w:rsidRDefault="008A29CA" w:rsidP="008A29CA">
            <w:pPr>
              <w:spacing w:after="240"/>
              <w:jc w:val="both"/>
            </w:pPr>
          </w:p>
        </w:tc>
        <w:tc>
          <w:tcPr>
            <w:tcW w:w="2608" w:type="dxa"/>
          </w:tcPr>
          <w:p w:rsidR="008A29CA" w:rsidRPr="00442EEE" w:rsidRDefault="008A29CA" w:rsidP="008A29CA">
            <w:pPr>
              <w:spacing w:after="240"/>
              <w:jc w:val="center"/>
            </w:pPr>
            <w:r w:rsidRPr="00442EEE">
              <w:t>£000</w:t>
            </w:r>
          </w:p>
        </w:tc>
        <w:tc>
          <w:tcPr>
            <w:tcW w:w="3288" w:type="dxa"/>
          </w:tcPr>
          <w:p w:rsidR="008A29CA" w:rsidRPr="00442EEE" w:rsidRDefault="008A29CA" w:rsidP="008A29CA">
            <w:pPr>
              <w:spacing w:after="240"/>
              <w:jc w:val="center"/>
            </w:pPr>
            <w:r w:rsidRPr="00442EEE">
              <w:t>£000</w:t>
            </w:r>
          </w:p>
        </w:tc>
      </w:tr>
      <w:tr w:rsidR="008A29CA" w:rsidRPr="00442EEE" w:rsidTr="008A29CA">
        <w:tc>
          <w:tcPr>
            <w:tcW w:w="4066" w:type="dxa"/>
          </w:tcPr>
          <w:p w:rsidR="008A29CA" w:rsidRPr="00442EEE" w:rsidRDefault="008A29CA" w:rsidP="008A29CA">
            <w:pPr>
              <w:spacing w:after="240"/>
            </w:pPr>
            <w:r w:rsidRPr="00442EEE">
              <w:t>PFI grant from the government</w:t>
            </w:r>
          </w:p>
        </w:tc>
        <w:tc>
          <w:tcPr>
            <w:tcW w:w="2608" w:type="dxa"/>
          </w:tcPr>
          <w:p w:rsidR="008A29CA" w:rsidRPr="00442EEE" w:rsidRDefault="008A29CA" w:rsidP="008A29CA">
            <w:pPr>
              <w:spacing w:after="240"/>
              <w:jc w:val="center"/>
            </w:pPr>
            <w:r>
              <w:t>1,317</w:t>
            </w:r>
          </w:p>
        </w:tc>
        <w:tc>
          <w:tcPr>
            <w:tcW w:w="3288" w:type="dxa"/>
          </w:tcPr>
          <w:p w:rsidR="008A29CA" w:rsidRPr="00442EEE" w:rsidRDefault="008A29CA" w:rsidP="008A29CA">
            <w:pPr>
              <w:spacing w:after="240"/>
              <w:jc w:val="center"/>
            </w:pPr>
            <w:r w:rsidRPr="00442EEE">
              <w:t>1,317</w:t>
            </w:r>
          </w:p>
        </w:tc>
      </w:tr>
      <w:tr w:rsidR="008A29CA" w:rsidRPr="00442EEE" w:rsidTr="008A29CA">
        <w:tc>
          <w:tcPr>
            <w:tcW w:w="4066" w:type="dxa"/>
          </w:tcPr>
          <w:p w:rsidR="008A29CA" w:rsidRPr="00442EEE" w:rsidRDefault="008A29CA" w:rsidP="008A29CA">
            <w:pPr>
              <w:spacing w:after="240"/>
            </w:pPr>
            <w:r w:rsidRPr="00442EEE">
              <w:t>Contributions from the school</w:t>
            </w:r>
          </w:p>
        </w:tc>
        <w:tc>
          <w:tcPr>
            <w:tcW w:w="2608" w:type="dxa"/>
          </w:tcPr>
          <w:p w:rsidR="008A29CA" w:rsidRPr="00442EEE" w:rsidRDefault="008A29CA" w:rsidP="008A29CA">
            <w:pPr>
              <w:spacing w:after="240"/>
              <w:jc w:val="center"/>
            </w:pPr>
            <w:r>
              <w:t>341</w:t>
            </w:r>
          </w:p>
        </w:tc>
        <w:tc>
          <w:tcPr>
            <w:tcW w:w="3288" w:type="dxa"/>
          </w:tcPr>
          <w:p w:rsidR="008A29CA" w:rsidRPr="00442EEE" w:rsidRDefault="008A29CA" w:rsidP="008A29CA">
            <w:pPr>
              <w:spacing w:after="240"/>
              <w:jc w:val="center"/>
            </w:pPr>
            <w:r>
              <w:t>305</w:t>
            </w:r>
          </w:p>
        </w:tc>
      </w:tr>
      <w:tr w:rsidR="008A29CA" w:rsidRPr="00442EEE" w:rsidTr="008A29CA">
        <w:tc>
          <w:tcPr>
            <w:tcW w:w="4066" w:type="dxa"/>
          </w:tcPr>
          <w:p w:rsidR="008A29CA" w:rsidRPr="00442EEE" w:rsidRDefault="008A29CA" w:rsidP="008A29CA">
            <w:pPr>
              <w:spacing w:after="240"/>
            </w:pPr>
            <w:r w:rsidRPr="00442EEE">
              <w:t>Contributions from the local authority</w:t>
            </w:r>
          </w:p>
        </w:tc>
        <w:tc>
          <w:tcPr>
            <w:tcW w:w="2608" w:type="dxa"/>
          </w:tcPr>
          <w:p w:rsidR="008A29CA" w:rsidRPr="00442EEE" w:rsidRDefault="008A29CA" w:rsidP="008A29CA">
            <w:pPr>
              <w:spacing w:after="240"/>
              <w:jc w:val="center"/>
            </w:pPr>
            <w:r>
              <w:t>-</w:t>
            </w:r>
          </w:p>
        </w:tc>
        <w:tc>
          <w:tcPr>
            <w:tcW w:w="3288" w:type="dxa"/>
          </w:tcPr>
          <w:p w:rsidR="008A29CA" w:rsidRPr="00442EEE" w:rsidRDefault="008A29CA" w:rsidP="008A29CA">
            <w:pPr>
              <w:spacing w:after="240"/>
              <w:jc w:val="center"/>
            </w:pPr>
            <w:r w:rsidRPr="00442EEE">
              <w:t>-</w:t>
            </w:r>
          </w:p>
        </w:tc>
      </w:tr>
      <w:tr w:rsidR="008A29CA" w:rsidRPr="00442EEE" w:rsidTr="008A29CA">
        <w:tc>
          <w:tcPr>
            <w:tcW w:w="4066" w:type="dxa"/>
          </w:tcPr>
          <w:p w:rsidR="008A29CA" w:rsidRPr="00442EEE" w:rsidRDefault="008A29CA" w:rsidP="008A29CA">
            <w:pPr>
              <w:spacing w:after="240"/>
              <w:jc w:val="both"/>
              <w:rPr>
                <w:b/>
              </w:rPr>
            </w:pPr>
            <w:r w:rsidRPr="00442EEE">
              <w:rPr>
                <w:b/>
              </w:rPr>
              <w:t>Total</w:t>
            </w:r>
          </w:p>
        </w:tc>
        <w:tc>
          <w:tcPr>
            <w:tcW w:w="2608" w:type="dxa"/>
          </w:tcPr>
          <w:p w:rsidR="008A29CA" w:rsidRPr="00442EEE" w:rsidRDefault="008A29CA" w:rsidP="008A29CA">
            <w:pPr>
              <w:spacing w:after="240"/>
              <w:jc w:val="center"/>
              <w:rPr>
                <w:b/>
              </w:rPr>
            </w:pPr>
            <w:r>
              <w:rPr>
                <w:b/>
              </w:rPr>
              <w:t>1,658</w:t>
            </w:r>
          </w:p>
        </w:tc>
        <w:tc>
          <w:tcPr>
            <w:tcW w:w="3288" w:type="dxa"/>
          </w:tcPr>
          <w:p w:rsidR="008A29CA" w:rsidRPr="00442EEE" w:rsidRDefault="008A29CA" w:rsidP="008A29CA">
            <w:pPr>
              <w:spacing w:after="240"/>
              <w:jc w:val="center"/>
              <w:rPr>
                <w:b/>
              </w:rPr>
            </w:pPr>
            <w:r w:rsidRPr="00442EEE">
              <w:rPr>
                <w:b/>
              </w:rPr>
              <w:t>1,6</w:t>
            </w:r>
            <w:r>
              <w:rPr>
                <w:b/>
              </w:rPr>
              <w:t>22</w:t>
            </w:r>
          </w:p>
        </w:tc>
      </w:tr>
    </w:tbl>
    <w:p w:rsidR="008A29CA" w:rsidRPr="00442EEE" w:rsidRDefault="008A29CA" w:rsidP="008A29CA">
      <w:pPr>
        <w:spacing w:after="240"/>
        <w:ind w:left="720"/>
        <w:jc w:val="both"/>
      </w:pPr>
    </w:p>
    <w:p w:rsidR="008A29CA" w:rsidRPr="00442EEE" w:rsidRDefault="008A29CA" w:rsidP="008A29CA">
      <w:pPr>
        <w:spacing w:after="240"/>
        <w:ind w:left="720"/>
        <w:rPr>
          <w:b/>
        </w:rPr>
      </w:pPr>
      <w:r w:rsidRPr="00442EEE">
        <w:rPr>
          <w:b/>
        </w:rPr>
        <w:t xml:space="preserve">Building Schools for the Future </w:t>
      </w:r>
    </w:p>
    <w:p w:rsidR="008A29CA" w:rsidRDefault="008A29CA" w:rsidP="008A29CA">
      <w:pPr>
        <w:ind w:left="720"/>
        <w:jc w:val="both"/>
      </w:pPr>
      <w:r w:rsidRPr="00442EEE">
        <w:t>We are taking part in the government’s Building Schools for the Future Scheme, which aims to rebuild or modernise every secondary school in the country. As part of wave 1 of the scheme, we have rebuilt the secondary schools in Burnley and part of Pendle in four separate phases</w:t>
      </w:r>
      <w:r w:rsidR="00EE67BB">
        <w:t xml:space="preserve"> under contract with </w:t>
      </w:r>
      <w:r w:rsidR="00EE67BB" w:rsidRPr="00442EEE">
        <w:t>Catalyst Education (</w:t>
      </w:r>
      <w:smartTag w:uri="urn:schemas-microsoft-com:office:smarttags" w:element="place">
        <w:r w:rsidR="00EE67BB" w:rsidRPr="00442EEE">
          <w:t>Lancashire</w:t>
        </w:r>
      </w:smartTag>
      <w:r w:rsidR="00EE67BB" w:rsidRPr="00442EEE">
        <w:t>)</w:t>
      </w:r>
      <w:r w:rsidRPr="00442EEE">
        <w:t>.</w:t>
      </w:r>
    </w:p>
    <w:p w:rsidR="00EE67BB" w:rsidRDefault="00EE67BB" w:rsidP="008A29CA">
      <w:pPr>
        <w:ind w:left="720"/>
        <w:jc w:val="both"/>
      </w:pPr>
    </w:p>
    <w:p w:rsidR="00EE67BB" w:rsidRDefault="00EE67BB" w:rsidP="008A29CA">
      <w:pPr>
        <w:ind w:left="720"/>
        <w:jc w:val="both"/>
      </w:pPr>
      <w:r>
        <w:t>Each delivers a school building (or a number of school buildings) and the provision of on-going services including grounds maintenance, caretaking and building maintenance.</w:t>
      </w:r>
    </w:p>
    <w:p w:rsidR="00EE67BB" w:rsidRDefault="00EE67BB" w:rsidP="008A29CA">
      <w:pPr>
        <w:ind w:left="720"/>
        <w:jc w:val="both"/>
      </w:pPr>
    </w:p>
    <w:p w:rsidR="00EE67BB" w:rsidRPr="00442EEE" w:rsidRDefault="00EE67BB" w:rsidP="00EE67BB">
      <w:pPr>
        <w:ind w:left="720"/>
        <w:jc w:val="both"/>
      </w:pPr>
      <w:r>
        <w:t>For each contract t</w:t>
      </w:r>
      <w:r w:rsidRPr="00442EEE">
        <w:t xml:space="preserve">he authority makes an agreed payment each year which is increased by inflation and can be reduced if the contractor fails to meet the agreed availability and performance standards in any year, but is otherwise fixed. </w:t>
      </w:r>
    </w:p>
    <w:p w:rsidR="008A29CA" w:rsidRPr="00442EEE" w:rsidRDefault="008A29CA" w:rsidP="008A29CA">
      <w:pPr>
        <w:ind w:left="720"/>
      </w:pPr>
    </w:p>
    <w:p w:rsidR="008A29CA" w:rsidRPr="00442EEE" w:rsidRDefault="008A29CA" w:rsidP="008A29CA">
      <w:pPr>
        <w:ind w:left="720"/>
        <w:rPr>
          <w:u w:val="single"/>
        </w:rPr>
      </w:pPr>
      <w:r w:rsidRPr="00442EEE">
        <w:rPr>
          <w:u w:val="single"/>
        </w:rPr>
        <w:t>Phase 1</w:t>
      </w:r>
    </w:p>
    <w:p w:rsidR="008A29CA" w:rsidRPr="00442EEE" w:rsidRDefault="008A29CA" w:rsidP="008A29CA"/>
    <w:p w:rsidR="008A29CA" w:rsidRPr="00442EEE" w:rsidRDefault="008A29CA" w:rsidP="00EE67BB">
      <w:pPr>
        <w:ind w:left="720"/>
        <w:jc w:val="both"/>
      </w:pPr>
      <w:r w:rsidRPr="00442EEE">
        <w:t xml:space="preserve">The contract will provide two 1,050-place secondary schools, one with a co-located 90-place secondary special school, a sixth form centre, a primary school, a children’s centre and a library. </w:t>
      </w:r>
    </w:p>
    <w:p w:rsidR="008A29CA" w:rsidRPr="00442EEE" w:rsidRDefault="008A29CA" w:rsidP="008A29CA">
      <w:pPr>
        <w:ind w:left="720"/>
        <w:jc w:val="both"/>
      </w:pPr>
    </w:p>
    <w:p w:rsidR="008A29CA" w:rsidRPr="00442EEE" w:rsidRDefault="008A29CA" w:rsidP="008A29CA">
      <w:pPr>
        <w:ind w:left="720"/>
        <w:jc w:val="both"/>
      </w:pPr>
      <w:r w:rsidRPr="00442EEE">
        <w:t xml:space="preserve">The arrangement runs from September 2008 to August 2033. </w:t>
      </w:r>
    </w:p>
    <w:p w:rsidR="008A29CA" w:rsidRPr="00442EEE" w:rsidRDefault="008A29CA" w:rsidP="008A29CA">
      <w:pPr>
        <w:ind w:left="720"/>
        <w:jc w:val="both"/>
      </w:pPr>
    </w:p>
    <w:p w:rsidR="008A29CA" w:rsidRPr="00442EEE" w:rsidRDefault="008A29CA" w:rsidP="008A29CA">
      <w:pPr>
        <w:ind w:left="720"/>
        <w:jc w:val="both"/>
      </w:pPr>
    </w:p>
    <w:p w:rsidR="008A29CA" w:rsidRPr="00442EEE" w:rsidRDefault="008A29CA" w:rsidP="008A29CA">
      <w:pPr>
        <w:shd w:val="clear" w:color="auto" w:fill="FFFFFF"/>
        <w:spacing w:before="100" w:beforeAutospacing="1" w:after="100" w:afterAutospacing="1"/>
        <w:ind w:left="720"/>
      </w:pPr>
      <w:r w:rsidRPr="00442EEE">
        <w:br w:type="page"/>
      </w:r>
      <w:r w:rsidRPr="00442EEE">
        <w:lastRenderedPageBreak/>
        <w:t>Payments remaining to be made under the PFI contract at 31 March 201</w:t>
      </w:r>
      <w:r>
        <w:t>2</w:t>
      </w:r>
      <w:r w:rsidRPr="00442EEE">
        <w:t xml:space="preserve"> (excluding any estimation of inflation and availability/performance deductions) are as follows: </w:t>
      </w:r>
    </w:p>
    <w:tbl>
      <w:tblPr>
        <w:tblW w:w="4312"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842"/>
        <w:gridCol w:w="1844"/>
        <w:gridCol w:w="1559"/>
        <w:gridCol w:w="1273"/>
      </w:tblGrid>
      <w:tr w:rsidR="008A29CA" w:rsidRPr="00442EEE" w:rsidTr="008A29CA">
        <w:tc>
          <w:tcPr>
            <w:tcW w:w="1462" w:type="pct"/>
            <w:hideMark/>
          </w:tcPr>
          <w:p w:rsidR="008A29CA" w:rsidRPr="00442EEE" w:rsidRDefault="008A29CA" w:rsidP="008A29CA"/>
        </w:tc>
        <w:tc>
          <w:tcPr>
            <w:tcW w:w="1000" w:type="pct"/>
            <w:shd w:val="clear" w:color="auto" w:fill="auto"/>
            <w:hideMark/>
          </w:tcPr>
          <w:p w:rsidR="008A29CA" w:rsidRPr="00442EEE" w:rsidRDefault="008A29CA" w:rsidP="008A29CA">
            <w:pPr>
              <w:jc w:val="right"/>
            </w:pPr>
            <w:r w:rsidRPr="00442EEE">
              <w:t>Payment for Services</w:t>
            </w:r>
          </w:p>
          <w:p w:rsidR="008A29CA" w:rsidRPr="00442EEE" w:rsidRDefault="008A29CA" w:rsidP="008A29CA">
            <w:pPr>
              <w:jc w:val="right"/>
            </w:pPr>
            <w:r w:rsidRPr="00442EEE">
              <w:t>£000</w:t>
            </w:r>
          </w:p>
        </w:tc>
        <w:tc>
          <w:tcPr>
            <w:tcW w:w="1001" w:type="pct"/>
            <w:shd w:val="clear" w:color="auto" w:fill="auto"/>
          </w:tcPr>
          <w:p w:rsidR="008A29CA" w:rsidRPr="00442EEE" w:rsidRDefault="008A29CA" w:rsidP="008A29CA">
            <w:pPr>
              <w:jc w:val="right"/>
            </w:pPr>
            <w:r w:rsidRPr="00442EEE">
              <w:t>Repayment of Liability</w:t>
            </w:r>
          </w:p>
          <w:p w:rsidR="008A29CA" w:rsidRPr="00442EEE" w:rsidRDefault="008A29CA" w:rsidP="008A29CA">
            <w:pPr>
              <w:jc w:val="right"/>
            </w:pPr>
            <w:r w:rsidRPr="00442EEE">
              <w:t>£000</w:t>
            </w:r>
          </w:p>
          <w:p w:rsidR="008A29CA" w:rsidRPr="00442EEE" w:rsidRDefault="008A29CA" w:rsidP="008A29CA">
            <w:pPr>
              <w:jc w:val="right"/>
            </w:pPr>
          </w:p>
        </w:tc>
        <w:tc>
          <w:tcPr>
            <w:tcW w:w="846" w:type="pct"/>
            <w:shd w:val="clear" w:color="auto" w:fill="auto"/>
          </w:tcPr>
          <w:p w:rsidR="008A29CA" w:rsidRPr="00442EEE" w:rsidRDefault="008A29CA" w:rsidP="008A29CA">
            <w:pPr>
              <w:jc w:val="right"/>
            </w:pPr>
            <w:r w:rsidRPr="00442EEE">
              <w:t>Interest Charges</w:t>
            </w:r>
          </w:p>
          <w:p w:rsidR="008A29CA" w:rsidRPr="00442EEE" w:rsidRDefault="008A29CA" w:rsidP="008A29CA">
            <w:pPr>
              <w:jc w:val="right"/>
            </w:pPr>
            <w:r w:rsidRPr="00442EEE">
              <w:t>£000</w:t>
            </w:r>
          </w:p>
        </w:tc>
        <w:tc>
          <w:tcPr>
            <w:tcW w:w="691" w:type="pct"/>
            <w:shd w:val="clear" w:color="auto" w:fill="auto"/>
            <w:hideMark/>
          </w:tcPr>
          <w:p w:rsidR="008A29CA" w:rsidRPr="00442EEE" w:rsidRDefault="008A29CA" w:rsidP="008A29CA">
            <w:pPr>
              <w:jc w:val="right"/>
            </w:pPr>
            <w:r w:rsidRPr="00442EEE">
              <w:t>Total</w:t>
            </w:r>
          </w:p>
          <w:p w:rsidR="008A29CA" w:rsidRPr="00442EEE" w:rsidRDefault="008A29CA" w:rsidP="008A29CA">
            <w:pPr>
              <w:jc w:val="right"/>
            </w:pPr>
          </w:p>
          <w:p w:rsidR="008A29CA" w:rsidRPr="00442EEE" w:rsidRDefault="008A29CA" w:rsidP="008A29CA">
            <w:pPr>
              <w:jc w:val="right"/>
            </w:pPr>
            <w:r w:rsidRPr="00442EEE">
              <w:t>£000</w:t>
            </w:r>
          </w:p>
        </w:tc>
      </w:tr>
      <w:tr w:rsidR="008A29CA" w:rsidRPr="00442EEE" w:rsidTr="008A29CA">
        <w:tc>
          <w:tcPr>
            <w:tcW w:w="1462" w:type="pct"/>
            <w:hideMark/>
          </w:tcPr>
          <w:p w:rsidR="008A29CA" w:rsidRPr="00442EEE" w:rsidRDefault="008A29CA" w:rsidP="008A29CA">
            <w:r w:rsidRPr="00442EEE">
              <w:t>Payable in 201</w:t>
            </w:r>
            <w:r>
              <w:t>2</w:t>
            </w:r>
            <w:r w:rsidRPr="00442EEE">
              <w:t>/1</w:t>
            </w:r>
            <w:r>
              <w:t>3</w:t>
            </w:r>
          </w:p>
        </w:tc>
        <w:tc>
          <w:tcPr>
            <w:tcW w:w="1000" w:type="pct"/>
            <w:hideMark/>
          </w:tcPr>
          <w:p w:rsidR="008A29CA" w:rsidRPr="00442EEE" w:rsidRDefault="008A29CA" w:rsidP="008A29CA">
            <w:pPr>
              <w:jc w:val="right"/>
            </w:pPr>
            <w:r>
              <w:t>2,995</w:t>
            </w:r>
          </w:p>
        </w:tc>
        <w:tc>
          <w:tcPr>
            <w:tcW w:w="1001" w:type="pct"/>
          </w:tcPr>
          <w:p w:rsidR="008A29CA" w:rsidRPr="00442EEE" w:rsidRDefault="008A29CA" w:rsidP="008A29CA">
            <w:pPr>
              <w:jc w:val="right"/>
            </w:pPr>
            <w:r>
              <w:t>1,812</w:t>
            </w:r>
          </w:p>
        </w:tc>
        <w:tc>
          <w:tcPr>
            <w:tcW w:w="846" w:type="pct"/>
          </w:tcPr>
          <w:p w:rsidR="008A29CA" w:rsidRPr="00442EEE" w:rsidRDefault="008A29CA" w:rsidP="008A29CA">
            <w:pPr>
              <w:jc w:val="right"/>
            </w:pPr>
            <w:r>
              <w:t>5,177</w:t>
            </w:r>
          </w:p>
        </w:tc>
        <w:tc>
          <w:tcPr>
            <w:tcW w:w="691" w:type="pct"/>
            <w:hideMark/>
          </w:tcPr>
          <w:p w:rsidR="008A29CA" w:rsidRPr="00442EEE" w:rsidRDefault="008A29CA" w:rsidP="008A29CA">
            <w:pPr>
              <w:jc w:val="right"/>
            </w:pPr>
            <w:r>
              <w:t>9,984</w:t>
            </w:r>
          </w:p>
        </w:tc>
      </w:tr>
      <w:tr w:rsidR="008A29CA" w:rsidRPr="00442EEE" w:rsidTr="008A29CA">
        <w:tc>
          <w:tcPr>
            <w:tcW w:w="1462" w:type="pct"/>
            <w:hideMark/>
          </w:tcPr>
          <w:p w:rsidR="008A29CA" w:rsidRPr="00442EEE" w:rsidRDefault="008A29CA" w:rsidP="008A29CA">
            <w:r w:rsidRPr="00442EEE">
              <w:t>Payable within two to five years</w:t>
            </w:r>
          </w:p>
        </w:tc>
        <w:tc>
          <w:tcPr>
            <w:tcW w:w="1000" w:type="pct"/>
            <w:hideMark/>
          </w:tcPr>
          <w:p w:rsidR="008A29CA" w:rsidRPr="00442EEE" w:rsidRDefault="008A29CA" w:rsidP="008A29CA">
            <w:pPr>
              <w:jc w:val="right"/>
            </w:pPr>
            <w:r>
              <w:t>13,368</w:t>
            </w:r>
          </w:p>
        </w:tc>
        <w:tc>
          <w:tcPr>
            <w:tcW w:w="1001" w:type="pct"/>
          </w:tcPr>
          <w:p w:rsidR="008A29CA" w:rsidRPr="00442EEE" w:rsidRDefault="008A29CA" w:rsidP="008A29CA">
            <w:pPr>
              <w:jc w:val="right"/>
            </w:pPr>
            <w:r>
              <w:t>7,269</w:t>
            </w:r>
          </w:p>
        </w:tc>
        <w:tc>
          <w:tcPr>
            <w:tcW w:w="846" w:type="pct"/>
          </w:tcPr>
          <w:p w:rsidR="008A29CA" w:rsidRPr="00442EEE" w:rsidRDefault="008A29CA" w:rsidP="008A29CA">
            <w:pPr>
              <w:jc w:val="right"/>
            </w:pPr>
            <w:r>
              <w:t>19,298</w:t>
            </w:r>
          </w:p>
        </w:tc>
        <w:tc>
          <w:tcPr>
            <w:tcW w:w="691" w:type="pct"/>
            <w:hideMark/>
          </w:tcPr>
          <w:p w:rsidR="008A29CA" w:rsidRPr="00442EEE" w:rsidRDefault="008A29CA" w:rsidP="008A29CA">
            <w:pPr>
              <w:jc w:val="right"/>
            </w:pPr>
            <w:r>
              <w:t>39,935</w:t>
            </w:r>
          </w:p>
        </w:tc>
      </w:tr>
      <w:tr w:rsidR="008A29CA" w:rsidRPr="00442EEE" w:rsidTr="008A29CA">
        <w:tc>
          <w:tcPr>
            <w:tcW w:w="1462" w:type="pct"/>
            <w:hideMark/>
          </w:tcPr>
          <w:p w:rsidR="008A29CA" w:rsidRPr="00442EEE" w:rsidRDefault="008A29CA" w:rsidP="008A29CA">
            <w:r w:rsidRPr="00442EEE">
              <w:t>Payable within six to ten years</w:t>
            </w:r>
          </w:p>
        </w:tc>
        <w:tc>
          <w:tcPr>
            <w:tcW w:w="1000" w:type="pct"/>
            <w:hideMark/>
          </w:tcPr>
          <w:p w:rsidR="008A29CA" w:rsidRPr="00442EEE" w:rsidRDefault="008A29CA" w:rsidP="008A29CA">
            <w:pPr>
              <w:jc w:val="right"/>
            </w:pPr>
            <w:r>
              <w:t>17,964</w:t>
            </w:r>
          </w:p>
        </w:tc>
        <w:tc>
          <w:tcPr>
            <w:tcW w:w="1001" w:type="pct"/>
          </w:tcPr>
          <w:p w:rsidR="008A29CA" w:rsidRPr="00442EEE" w:rsidRDefault="008A29CA" w:rsidP="008A29CA">
            <w:pPr>
              <w:jc w:val="right"/>
            </w:pPr>
            <w:r>
              <w:t>11,277</w:t>
            </w:r>
          </w:p>
        </w:tc>
        <w:tc>
          <w:tcPr>
            <w:tcW w:w="846" w:type="pct"/>
          </w:tcPr>
          <w:p w:rsidR="008A29CA" w:rsidRPr="00442EEE" w:rsidRDefault="008A29CA" w:rsidP="008A29CA">
            <w:pPr>
              <w:jc w:val="right"/>
            </w:pPr>
            <w:r>
              <w:t>20,677</w:t>
            </w:r>
          </w:p>
        </w:tc>
        <w:tc>
          <w:tcPr>
            <w:tcW w:w="691" w:type="pct"/>
            <w:hideMark/>
          </w:tcPr>
          <w:p w:rsidR="008A29CA" w:rsidRPr="00442EEE" w:rsidRDefault="008A29CA" w:rsidP="008A29CA">
            <w:pPr>
              <w:jc w:val="right"/>
            </w:pPr>
            <w:r>
              <w:t>49,918</w:t>
            </w:r>
          </w:p>
        </w:tc>
      </w:tr>
      <w:tr w:rsidR="008A29CA" w:rsidRPr="00442EEE" w:rsidTr="008A29CA">
        <w:tc>
          <w:tcPr>
            <w:tcW w:w="1462" w:type="pct"/>
            <w:hideMark/>
          </w:tcPr>
          <w:p w:rsidR="008A29CA" w:rsidRPr="00442EEE" w:rsidRDefault="008A29CA" w:rsidP="008A29CA">
            <w:r w:rsidRPr="00442EEE">
              <w:t>Payable within eleven to fifteen years</w:t>
            </w:r>
          </w:p>
        </w:tc>
        <w:tc>
          <w:tcPr>
            <w:tcW w:w="1000" w:type="pct"/>
            <w:hideMark/>
          </w:tcPr>
          <w:p w:rsidR="008A29CA" w:rsidRPr="00442EEE" w:rsidRDefault="008A29CA" w:rsidP="008A29CA">
            <w:pPr>
              <w:jc w:val="right"/>
            </w:pPr>
            <w:r>
              <w:t>19,221</w:t>
            </w:r>
          </w:p>
        </w:tc>
        <w:tc>
          <w:tcPr>
            <w:tcW w:w="1001" w:type="pct"/>
          </w:tcPr>
          <w:p w:rsidR="008A29CA" w:rsidRPr="00442EEE" w:rsidRDefault="008A29CA" w:rsidP="008A29CA">
            <w:pPr>
              <w:jc w:val="right"/>
            </w:pPr>
            <w:r>
              <w:t>14,908</w:t>
            </w:r>
          </w:p>
        </w:tc>
        <w:tc>
          <w:tcPr>
            <w:tcW w:w="846" w:type="pct"/>
          </w:tcPr>
          <w:p w:rsidR="008A29CA" w:rsidRPr="00442EEE" w:rsidRDefault="008A29CA" w:rsidP="008A29CA">
            <w:pPr>
              <w:jc w:val="right"/>
            </w:pPr>
            <w:r>
              <w:t>15,789</w:t>
            </w:r>
          </w:p>
        </w:tc>
        <w:tc>
          <w:tcPr>
            <w:tcW w:w="691" w:type="pct"/>
            <w:hideMark/>
          </w:tcPr>
          <w:p w:rsidR="008A29CA" w:rsidRPr="00442EEE" w:rsidRDefault="008A29CA" w:rsidP="008A29CA">
            <w:pPr>
              <w:jc w:val="right"/>
            </w:pPr>
            <w:r>
              <w:t>49,918</w:t>
            </w:r>
          </w:p>
        </w:tc>
      </w:tr>
      <w:tr w:rsidR="008A29CA" w:rsidRPr="00442EEE" w:rsidTr="008A29CA">
        <w:tc>
          <w:tcPr>
            <w:tcW w:w="1462" w:type="pct"/>
            <w:hideMark/>
          </w:tcPr>
          <w:p w:rsidR="008A29CA" w:rsidRPr="00442EEE" w:rsidRDefault="008A29CA" w:rsidP="008A29CA">
            <w:r w:rsidRPr="00442EEE">
              <w:t>Payable within sixteen to twenty years</w:t>
            </w:r>
          </w:p>
        </w:tc>
        <w:tc>
          <w:tcPr>
            <w:tcW w:w="1000" w:type="pct"/>
            <w:hideMark/>
          </w:tcPr>
          <w:p w:rsidR="008A29CA" w:rsidRPr="00442EEE" w:rsidRDefault="008A29CA" w:rsidP="008A29CA">
            <w:pPr>
              <w:jc w:val="right"/>
            </w:pPr>
            <w:r>
              <w:t>20,607</w:t>
            </w:r>
          </w:p>
        </w:tc>
        <w:tc>
          <w:tcPr>
            <w:tcW w:w="1001" w:type="pct"/>
          </w:tcPr>
          <w:p w:rsidR="008A29CA" w:rsidRPr="00442EEE" w:rsidRDefault="008A29CA" w:rsidP="008A29CA">
            <w:pPr>
              <w:jc w:val="right"/>
            </w:pPr>
            <w:r>
              <w:t>20,228</w:t>
            </w:r>
          </w:p>
        </w:tc>
        <w:tc>
          <w:tcPr>
            <w:tcW w:w="846" w:type="pct"/>
          </w:tcPr>
          <w:p w:rsidR="008A29CA" w:rsidRPr="00442EEE" w:rsidRDefault="008A29CA" w:rsidP="008A29CA">
            <w:pPr>
              <w:jc w:val="right"/>
            </w:pPr>
            <w:r>
              <w:t>9,083</w:t>
            </w:r>
          </w:p>
        </w:tc>
        <w:tc>
          <w:tcPr>
            <w:tcW w:w="691" w:type="pct"/>
            <w:hideMark/>
          </w:tcPr>
          <w:p w:rsidR="008A29CA" w:rsidRPr="00442EEE" w:rsidRDefault="008A29CA" w:rsidP="008A29CA">
            <w:pPr>
              <w:jc w:val="right"/>
            </w:pPr>
            <w:r>
              <w:t>49,918</w:t>
            </w:r>
          </w:p>
        </w:tc>
      </w:tr>
      <w:tr w:rsidR="008A29CA" w:rsidRPr="00442EEE" w:rsidTr="008A29CA">
        <w:tc>
          <w:tcPr>
            <w:tcW w:w="1462" w:type="pct"/>
            <w:hideMark/>
          </w:tcPr>
          <w:p w:rsidR="008A29CA" w:rsidRPr="00442EEE" w:rsidRDefault="008A29CA" w:rsidP="008A29CA">
            <w:r w:rsidRPr="00442EEE">
              <w:t>Payable within twenty to twenty-five years</w:t>
            </w:r>
          </w:p>
        </w:tc>
        <w:tc>
          <w:tcPr>
            <w:tcW w:w="1000" w:type="pct"/>
            <w:hideMark/>
          </w:tcPr>
          <w:p w:rsidR="008A29CA" w:rsidRPr="00442EEE" w:rsidRDefault="008A29CA" w:rsidP="008A29CA">
            <w:pPr>
              <w:jc w:val="right"/>
            </w:pPr>
            <w:r>
              <w:t>4,366</w:t>
            </w:r>
          </w:p>
        </w:tc>
        <w:tc>
          <w:tcPr>
            <w:tcW w:w="1001" w:type="pct"/>
          </w:tcPr>
          <w:p w:rsidR="008A29CA" w:rsidRPr="00442EEE" w:rsidRDefault="008A29CA" w:rsidP="008A29CA">
            <w:pPr>
              <w:jc w:val="right"/>
            </w:pPr>
            <w:r>
              <w:t>8,962</w:t>
            </w:r>
          </w:p>
        </w:tc>
        <w:tc>
          <w:tcPr>
            <w:tcW w:w="846" w:type="pct"/>
          </w:tcPr>
          <w:p w:rsidR="008A29CA" w:rsidRDefault="008A29CA" w:rsidP="008A29CA">
            <w:pPr>
              <w:jc w:val="right"/>
            </w:pPr>
            <w:r>
              <w:t>816</w:t>
            </w:r>
          </w:p>
          <w:p w:rsidR="008A29CA" w:rsidRPr="00442EEE" w:rsidRDefault="008A29CA" w:rsidP="008A29CA">
            <w:pPr>
              <w:jc w:val="right"/>
            </w:pPr>
          </w:p>
        </w:tc>
        <w:tc>
          <w:tcPr>
            <w:tcW w:w="691" w:type="pct"/>
            <w:hideMark/>
          </w:tcPr>
          <w:p w:rsidR="008A29CA" w:rsidRPr="00442EEE" w:rsidRDefault="008A29CA" w:rsidP="008A29CA">
            <w:pPr>
              <w:jc w:val="right"/>
            </w:pPr>
            <w:r>
              <w:t>14,144</w:t>
            </w:r>
          </w:p>
        </w:tc>
      </w:tr>
      <w:tr w:rsidR="008A29CA" w:rsidRPr="00442EEE" w:rsidTr="008A29CA">
        <w:tc>
          <w:tcPr>
            <w:tcW w:w="1462" w:type="pct"/>
            <w:hideMark/>
          </w:tcPr>
          <w:p w:rsidR="008A29CA" w:rsidRPr="00442EEE" w:rsidRDefault="008A29CA" w:rsidP="008A29CA">
            <w:pPr>
              <w:rPr>
                <w:b/>
              </w:rPr>
            </w:pPr>
            <w:r w:rsidRPr="00442EEE">
              <w:rPr>
                <w:b/>
              </w:rPr>
              <w:t>Total</w:t>
            </w:r>
          </w:p>
        </w:tc>
        <w:tc>
          <w:tcPr>
            <w:tcW w:w="1000" w:type="pct"/>
            <w:hideMark/>
          </w:tcPr>
          <w:p w:rsidR="008A29CA" w:rsidRPr="00442EEE" w:rsidRDefault="008A29CA" w:rsidP="008A29CA">
            <w:pPr>
              <w:jc w:val="right"/>
              <w:rPr>
                <w:b/>
              </w:rPr>
            </w:pPr>
            <w:r>
              <w:rPr>
                <w:b/>
              </w:rPr>
              <w:t>78,521</w:t>
            </w:r>
          </w:p>
        </w:tc>
        <w:tc>
          <w:tcPr>
            <w:tcW w:w="1001" w:type="pct"/>
          </w:tcPr>
          <w:p w:rsidR="008A29CA" w:rsidRPr="00442EEE" w:rsidRDefault="008A29CA" w:rsidP="008A29CA">
            <w:pPr>
              <w:jc w:val="right"/>
              <w:rPr>
                <w:b/>
              </w:rPr>
            </w:pPr>
            <w:r>
              <w:rPr>
                <w:b/>
              </w:rPr>
              <w:t>64,456</w:t>
            </w:r>
          </w:p>
        </w:tc>
        <w:tc>
          <w:tcPr>
            <w:tcW w:w="846" w:type="pct"/>
          </w:tcPr>
          <w:p w:rsidR="008A29CA" w:rsidRPr="00442EEE" w:rsidRDefault="008A29CA" w:rsidP="008A29CA">
            <w:pPr>
              <w:jc w:val="right"/>
              <w:rPr>
                <w:b/>
              </w:rPr>
            </w:pPr>
            <w:r>
              <w:rPr>
                <w:b/>
              </w:rPr>
              <w:t>70,840</w:t>
            </w:r>
          </w:p>
        </w:tc>
        <w:tc>
          <w:tcPr>
            <w:tcW w:w="691" w:type="pct"/>
            <w:hideMark/>
          </w:tcPr>
          <w:p w:rsidR="008A29CA" w:rsidRPr="00442EEE" w:rsidRDefault="008A29CA" w:rsidP="008A29CA">
            <w:pPr>
              <w:jc w:val="right"/>
              <w:rPr>
                <w:b/>
              </w:rPr>
            </w:pPr>
            <w:r>
              <w:rPr>
                <w:b/>
              </w:rPr>
              <w:t>213,817</w:t>
            </w:r>
          </w:p>
        </w:tc>
      </w:tr>
    </w:tbl>
    <w:p w:rsidR="008A29CA" w:rsidRPr="00442EEE" w:rsidRDefault="008A29CA" w:rsidP="008A29CA">
      <w:pPr>
        <w:autoSpaceDE w:val="0"/>
        <w:autoSpaceDN w:val="0"/>
      </w:pPr>
    </w:p>
    <w:p w:rsidR="008A29CA" w:rsidRPr="00442EEE" w:rsidRDefault="008A29CA" w:rsidP="008A29CA">
      <w:pPr>
        <w:autoSpaceDE w:val="0"/>
        <w:autoSpaceDN w:val="0"/>
        <w:ind w:firstLine="720"/>
      </w:pPr>
      <w:r w:rsidRPr="00442EEE">
        <w:t>To help finance the scheme we received the following income:</w:t>
      </w:r>
    </w:p>
    <w:p w:rsidR="008A29CA" w:rsidRPr="00442EEE" w:rsidRDefault="008A29CA" w:rsidP="008A29CA">
      <w:pPr>
        <w:autoSpaceDE w:val="0"/>
        <w:autoSpaceDN w:val="0"/>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275"/>
        <w:gridCol w:w="1843"/>
      </w:tblGrid>
      <w:tr w:rsidR="008A29CA" w:rsidRPr="00442EEE" w:rsidTr="008A29CA">
        <w:tc>
          <w:tcPr>
            <w:tcW w:w="4111" w:type="dxa"/>
          </w:tcPr>
          <w:p w:rsidR="008A29CA" w:rsidRPr="00442EEE" w:rsidRDefault="008A29CA" w:rsidP="008A29CA">
            <w:pPr>
              <w:autoSpaceDE w:val="0"/>
              <w:autoSpaceDN w:val="0"/>
            </w:pPr>
          </w:p>
        </w:tc>
        <w:tc>
          <w:tcPr>
            <w:tcW w:w="1275" w:type="dxa"/>
          </w:tcPr>
          <w:p w:rsidR="008A29CA" w:rsidRPr="00442EEE" w:rsidRDefault="008A29CA" w:rsidP="008A29CA">
            <w:pPr>
              <w:autoSpaceDE w:val="0"/>
              <w:autoSpaceDN w:val="0"/>
              <w:jc w:val="right"/>
            </w:pPr>
            <w:r w:rsidRPr="00442EEE">
              <w:t>201</w:t>
            </w:r>
            <w:r>
              <w:t>1</w:t>
            </w:r>
            <w:r w:rsidRPr="00442EEE">
              <w:t>/1</w:t>
            </w:r>
            <w:r>
              <w:t>2</w:t>
            </w:r>
          </w:p>
        </w:tc>
        <w:tc>
          <w:tcPr>
            <w:tcW w:w="1843" w:type="dxa"/>
          </w:tcPr>
          <w:p w:rsidR="008A29CA" w:rsidRPr="00442EEE" w:rsidRDefault="008A29CA" w:rsidP="008A29CA">
            <w:pPr>
              <w:autoSpaceDE w:val="0"/>
              <w:autoSpaceDN w:val="0"/>
              <w:jc w:val="right"/>
            </w:pPr>
            <w:r w:rsidRPr="00442EEE">
              <w:t>20</w:t>
            </w:r>
            <w:r>
              <w:t>10</w:t>
            </w:r>
            <w:r w:rsidRPr="00442EEE">
              <w:t>/1</w:t>
            </w:r>
            <w:r>
              <w:t>1</w:t>
            </w:r>
          </w:p>
        </w:tc>
      </w:tr>
      <w:tr w:rsidR="008A29CA" w:rsidRPr="00442EEE" w:rsidTr="008A29CA">
        <w:trPr>
          <w:trHeight w:val="491"/>
        </w:trPr>
        <w:tc>
          <w:tcPr>
            <w:tcW w:w="4111" w:type="dxa"/>
          </w:tcPr>
          <w:p w:rsidR="008A29CA" w:rsidRPr="00442EEE" w:rsidRDefault="008A29CA" w:rsidP="008A29CA">
            <w:pPr>
              <w:autoSpaceDE w:val="0"/>
              <w:autoSpaceDN w:val="0"/>
            </w:pPr>
          </w:p>
        </w:tc>
        <w:tc>
          <w:tcPr>
            <w:tcW w:w="1275" w:type="dxa"/>
          </w:tcPr>
          <w:p w:rsidR="008A29CA" w:rsidRPr="00442EEE" w:rsidRDefault="008A29CA" w:rsidP="008A29CA">
            <w:pPr>
              <w:autoSpaceDE w:val="0"/>
              <w:autoSpaceDN w:val="0"/>
              <w:jc w:val="right"/>
            </w:pPr>
            <w:r w:rsidRPr="00442EEE">
              <w:t>£000</w:t>
            </w:r>
          </w:p>
        </w:tc>
        <w:tc>
          <w:tcPr>
            <w:tcW w:w="1843" w:type="dxa"/>
          </w:tcPr>
          <w:p w:rsidR="008A29CA" w:rsidRPr="00442EEE" w:rsidRDefault="008A29CA" w:rsidP="008A29CA">
            <w:pPr>
              <w:autoSpaceDE w:val="0"/>
              <w:autoSpaceDN w:val="0"/>
              <w:jc w:val="right"/>
            </w:pPr>
            <w:r w:rsidRPr="00442EEE">
              <w:t>£000</w:t>
            </w:r>
          </w:p>
        </w:tc>
      </w:tr>
      <w:tr w:rsidR="008A29CA" w:rsidRPr="00442EEE" w:rsidTr="008A29CA">
        <w:trPr>
          <w:trHeight w:val="491"/>
        </w:trPr>
        <w:tc>
          <w:tcPr>
            <w:tcW w:w="4111" w:type="dxa"/>
          </w:tcPr>
          <w:p w:rsidR="008A29CA" w:rsidRPr="00442EEE" w:rsidRDefault="008A29CA" w:rsidP="008A29CA">
            <w:pPr>
              <w:autoSpaceDE w:val="0"/>
              <w:autoSpaceDN w:val="0"/>
            </w:pPr>
            <w:r w:rsidRPr="00442EEE">
              <w:t xml:space="preserve">PFI grant from the government </w:t>
            </w:r>
          </w:p>
        </w:tc>
        <w:tc>
          <w:tcPr>
            <w:tcW w:w="1275" w:type="dxa"/>
          </w:tcPr>
          <w:p w:rsidR="008A29CA" w:rsidRPr="00442EEE" w:rsidRDefault="008A29CA" w:rsidP="008A29CA">
            <w:pPr>
              <w:autoSpaceDE w:val="0"/>
              <w:autoSpaceDN w:val="0"/>
              <w:jc w:val="right"/>
            </w:pPr>
            <w:r>
              <w:t>7,639</w:t>
            </w:r>
          </w:p>
        </w:tc>
        <w:tc>
          <w:tcPr>
            <w:tcW w:w="1843" w:type="dxa"/>
          </w:tcPr>
          <w:p w:rsidR="008A29CA" w:rsidRPr="00442EEE" w:rsidRDefault="008A29CA" w:rsidP="008A29CA">
            <w:pPr>
              <w:autoSpaceDE w:val="0"/>
              <w:autoSpaceDN w:val="0"/>
              <w:jc w:val="right"/>
            </w:pPr>
            <w:r w:rsidRPr="00442EEE">
              <w:t>7,639</w:t>
            </w:r>
          </w:p>
        </w:tc>
      </w:tr>
      <w:tr w:rsidR="008A29CA" w:rsidRPr="00442EEE" w:rsidTr="008A29CA">
        <w:tc>
          <w:tcPr>
            <w:tcW w:w="4111" w:type="dxa"/>
          </w:tcPr>
          <w:p w:rsidR="008A29CA" w:rsidRPr="00442EEE" w:rsidRDefault="008A29CA" w:rsidP="008A29CA">
            <w:pPr>
              <w:autoSpaceDE w:val="0"/>
              <w:autoSpaceDN w:val="0"/>
            </w:pPr>
            <w:r w:rsidRPr="00442EEE">
              <w:t>Contributions from the school  </w:t>
            </w:r>
          </w:p>
        </w:tc>
        <w:tc>
          <w:tcPr>
            <w:tcW w:w="1275" w:type="dxa"/>
          </w:tcPr>
          <w:p w:rsidR="008A29CA" w:rsidRPr="00442EEE" w:rsidRDefault="008A29CA" w:rsidP="008A29CA">
            <w:pPr>
              <w:autoSpaceDE w:val="0"/>
              <w:autoSpaceDN w:val="0"/>
              <w:jc w:val="right"/>
            </w:pPr>
            <w:r>
              <w:t>2,615</w:t>
            </w:r>
          </w:p>
        </w:tc>
        <w:tc>
          <w:tcPr>
            <w:tcW w:w="1843" w:type="dxa"/>
          </w:tcPr>
          <w:p w:rsidR="008A29CA" w:rsidRPr="00442EEE" w:rsidRDefault="008A29CA" w:rsidP="008A29CA">
            <w:pPr>
              <w:autoSpaceDE w:val="0"/>
              <w:autoSpaceDN w:val="0"/>
              <w:jc w:val="right"/>
            </w:pPr>
            <w:r w:rsidRPr="00442EEE">
              <w:t>2,</w:t>
            </w:r>
            <w:r>
              <w:t>414</w:t>
            </w:r>
          </w:p>
        </w:tc>
      </w:tr>
      <w:tr w:rsidR="008A29CA" w:rsidRPr="00442EEE" w:rsidTr="008A29CA">
        <w:tc>
          <w:tcPr>
            <w:tcW w:w="4111" w:type="dxa"/>
          </w:tcPr>
          <w:p w:rsidR="008A29CA" w:rsidRPr="00442EEE" w:rsidRDefault="008A29CA" w:rsidP="008A29CA">
            <w:pPr>
              <w:autoSpaceDE w:val="0"/>
              <w:autoSpaceDN w:val="0"/>
            </w:pPr>
            <w:r w:rsidRPr="00442EEE">
              <w:t>Contributions from the local authority        </w:t>
            </w:r>
          </w:p>
        </w:tc>
        <w:tc>
          <w:tcPr>
            <w:tcW w:w="1275" w:type="dxa"/>
          </w:tcPr>
          <w:p w:rsidR="008A29CA" w:rsidRPr="00442EEE" w:rsidRDefault="008A29CA" w:rsidP="008A29CA">
            <w:pPr>
              <w:autoSpaceDE w:val="0"/>
              <w:autoSpaceDN w:val="0"/>
              <w:jc w:val="right"/>
            </w:pPr>
            <w:r>
              <w:t>83</w:t>
            </w:r>
          </w:p>
        </w:tc>
        <w:tc>
          <w:tcPr>
            <w:tcW w:w="1843" w:type="dxa"/>
          </w:tcPr>
          <w:p w:rsidR="008A29CA" w:rsidRPr="00442EEE" w:rsidRDefault="008A29CA" w:rsidP="008A29CA">
            <w:pPr>
              <w:autoSpaceDE w:val="0"/>
              <w:autoSpaceDN w:val="0"/>
              <w:jc w:val="right"/>
            </w:pPr>
            <w:r>
              <w:t>79</w:t>
            </w:r>
          </w:p>
        </w:tc>
      </w:tr>
      <w:tr w:rsidR="008A29CA" w:rsidRPr="00442EEE" w:rsidTr="008A29CA">
        <w:tc>
          <w:tcPr>
            <w:tcW w:w="4111" w:type="dxa"/>
          </w:tcPr>
          <w:p w:rsidR="008A29CA" w:rsidRPr="00442EEE" w:rsidRDefault="008A29CA" w:rsidP="008A29CA">
            <w:pPr>
              <w:autoSpaceDE w:val="0"/>
              <w:autoSpaceDN w:val="0"/>
              <w:rPr>
                <w:b/>
              </w:rPr>
            </w:pPr>
            <w:r w:rsidRPr="00442EEE">
              <w:rPr>
                <w:b/>
              </w:rPr>
              <w:t>Total</w:t>
            </w:r>
          </w:p>
        </w:tc>
        <w:tc>
          <w:tcPr>
            <w:tcW w:w="1275" w:type="dxa"/>
          </w:tcPr>
          <w:p w:rsidR="008A29CA" w:rsidRPr="00442EEE" w:rsidRDefault="008A29CA" w:rsidP="008A29CA">
            <w:pPr>
              <w:autoSpaceDE w:val="0"/>
              <w:autoSpaceDN w:val="0"/>
              <w:jc w:val="right"/>
              <w:rPr>
                <w:b/>
              </w:rPr>
            </w:pPr>
            <w:r>
              <w:rPr>
                <w:b/>
              </w:rPr>
              <w:t>10,337</w:t>
            </w:r>
          </w:p>
        </w:tc>
        <w:tc>
          <w:tcPr>
            <w:tcW w:w="1843" w:type="dxa"/>
          </w:tcPr>
          <w:p w:rsidR="008A29CA" w:rsidRPr="00442EEE" w:rsidRDefault="008A29CA" w:rsidP="008A29CA">
            <w:pPr>
              <w:autoSpaceDE w:val="0"/>
              <w:autoSpaceDN w:val="0"/>
              <w:jc w:val="right"/>
              <w:rPr>
                <w:b/>
              </w:rPr>
            </w:pPr>
            <w:r w:rsidRPr="00442EEE">
              <w:rPr>
                <w:b/>
              </w:rPr>
              <w:t>10,</w:t>
            </w:r>
            <w:r>
              <w:rPr>
                <w:b/>
              </w:rPr>
              <w:t>132</w:t>
            </w:r>
          </w:p>
        </w:tc>
      </w:tr>
    </w:tbl>
    <w:p w:rsidR="008A29CA" w:rsidRPr="00442EEE" w:rsidRDefault="008A29CA" w:rsidP="008A29CA">
      <w:pPr>
        <w:autoSpaceDE w:val="0"/>
        <w:autoSpaceDN w:val="0"/>
      </w:pPr>
    </w:p>
    <w:p w:rsidR="008A29CA" w:rsidRPr="00442EEE" w:rsidRDefault="008A29CA" w:rsidP="008A29CA">
      <w:pPr>
        <w:rPr>
          <w:u w:val="single"/>
        </w:rPr>
      </w:pPr>
    </w:p>
    <w:p w:rsidR="008A29CA" w:rsidRPr="00442EEE" w:rsidRDefault="008A29CA" w:rsidP="008A29CA">
      <w:pPr>
        <w:ind w:firstLine="720"/>
        <w:jc w:val="both"/>
      </w:pPr>
      <w:r w:rsidRPr="00442EEE">
        <w:rPr>
          <w:u w:val="single"/>
        </w:rPr>
        <w:t>Phase 2</w:t>
      </w:r>
    </w:p>
    <w:p w:rsidR="008A29CA" w:rsidRPr="00442EEE" w:rsidRDefault="008A29CA" w:rsidP="008A29CA">
      <w:pPr>
        <w:jc w:val="both"/>
      </w:pPr>
    </w:p>
    <w:p w:rsidR="008A29CA" w:rsidRPr="00442EEE" w:rsidRDefault="008A29CA" w:rsidP="008A29CA">
      <w:pPr>
        <w:ind w:firstLine="720"/>
        <w:jc w:val="both"/>
      </w:pPr>
      <w:r w:rsidRPr="00442EEE">
        <w:t>The arrangement runs from September 2009 to August 2034.</w:t>
      </w:r>
    </w:p>
    <w:p w:rsidR="008A29CA" w:rsidRPr="00442EEE" w:rsidRDefault="008A29CA" w:rsidP="008A29CA">
      <w:pPr>
        <w:jc w:val="both"/>
      </w:pPr>
    </w:p>
    <w:p w:rsidR="008A29CA" w:rsidRPr="00442EEE" w:rsidRDefault="008A29CA" w:rsidP="008A29CA">
      <w:pPr>
        <w:autoSpaceDE w:val="0"/>
        <w:autoSpaceDN w:val="0"/>
        <w:ind w:left="720"/>
        <w:jc w:val="both"/>
      </w:pPr>
      <w:r w:rsidRPr="00442EEE">
        <w:t>Payments remaining to be made under the PFI contract at 31 March 201</w:t>
      </w:r>
      <w:r>
        <w:t>2</w:t>
      </w:r>
      <w:r w:rsidRPr="00442EEE">
        <w:t xml:space="preserve"> (excluding any estimation of inflation and availability/performance deductions) are as follows: </w:t>
      </w:r>
    </w:p>
    <w:p w:rsidR="008A29CA" w:rsidRPr="00442EEE" w:rsidRDefault="008A29CA" w:rsidP="008A29CA">
      <w:pPr>
        <w:autoSpaceDE w:val="0"/>
        <w:autoSpaceDN w:val="0"/>
      </w:pPr>
    </w:p>
    <w:tbl>
      <w:tblPr>
        <w:tblW w:w="3981"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1560"/>
        <w:gridCol w:w="1842"/>
        <w:gridCol w:w="1242"/>
        <w:gridCol w:w="1310"/>
      </w:tblGrid>
      <w:tr w:rsidR="008A29CA" w:rsidRPr="00442EEE" w:rsidTr="008A29CA">
        <w:tc>
          <w:tcPr>
            <w:tcW w:w="1500" w:type="pct"/>
            <w:shd w:val="clear" w:color="auto" w:fill="auto"/>
            <w:hideMark/>
          </w:tcPr>
          <w:p w:rsidR="008A29CA" w:rsidRPr="00442EEE" w:rsidRDefault="008A29CA" w:rsidP="008A29CA">
            <w:pPr>
              <w:rPr>
                <w:rFonts w:ascii="Times New Roman" w:hAnsi="Times New Roman"/>
              </w:rPr>
            </w:pPr>
          </w:p>
        </w:tc>
        <w:tc>
          <w:tcPr>
            <w:tcW w:w="917" w:type="pct"/>
            <w:shd w:val="clear" w:color="auto" w:fill="auto"/>
            <w:hideMark/>
          </w:tcPr>
          <w:p w:rsidR="008A29CA" w:rsidRPr="00442EEE" w:rsidRDefault="008A29CA" w:rsidP="008A29CA">
            <w:pPr>
              <w:jc w:val="right"/>
            </w:pPr>
            <w:r w:rsidRPr="00442EEE">
              <w:t>Payment for Services</w:t>
            </w:r>
          </w:p>
          <w:p w:rsidR="008A29CA" w:rsidRPr="00442EEE" w:rsidRDefault="008A29CA" w:rsidP="008A29CA">
            <w:pPr>
              <w:jc w:val="right"/>
            </w:pPr>
            <w:r w:rsidRPr="00442EEE">
              <w:t>£000</w:t>
            </w:r>
          </w:p>
        </w:tc>
        <w:tc>
          <w:tcPr>
            <w:tcW w:w="1083" w:type="pct"/>
            <w:shd w:val="clear" w:color="auto" w:fill="auto"/>
          </w:tcPr>
          <w:p w:rsidR="008A29CA" w:rsidRPr="00442EEE" w:rsidRDefault="008A29CA" w:rsidP="008A29CA">
            <w:pPr>
              <w:jc w:val="right"/>
            </w:pPr>
            <w:r w:rsidRPr="00442EEE">
              <w:t>Repayment of liability</w:t>
            </w:r>
          </w:p>
          <w:p w:rsidR="008A29CA" w:rsidRPr="00442EEE" w:rsidRDefault="008A29CA" w:rsidP="008A29CA">
            <w:pPr>
              <w:jc w:val="right"/>
            </w:pPr>
          </w:p>
          <w:p w:rsidR="008A29CA" w:rsidRPr="00442EEE" w:rsidRDefault="008A29CA" w:rsidP="008A29CA">
            <w:pPr>
              <w:jc w:val="right"/>
            </w:pPr>
            <w:r w:rsidRPr="00442EEE">
              <w:t>£000</w:t>
            </w:r>
          </w:p>
          <w:p w:rsidR="008A29CA" w:rsidRPr="00442EEE" w:rsidRDefault="008A29CA" w:rsidP="008A29CA">
            <w:pPr>
              <w:jc w:val="right"/>
            </w:pPr>
          </w:p>
        </w:tc>
        <w:tc>
          <w:tcPr>
            <w:tcW w:w="730" w:type="pct"/>
            <w:shd w:val="clear" w:color="auto" w:fill="auto"/>
          </w:tcPr>
          <w:p w:rsidR="008A29CA" w:rsidRPr="00442EEE" w:rsidRDefault="008A29CA" w:rsidP="008A29CA">
            <w:pPr>
              <w:jc w:val="right"/>
            </w:pPr>
            <w:r w:rsidRPr="00442EEE">
              <w:t>Interest Charges</w:t>
            </w:r>
          </w:p>
          <w:p w:rsidR="008A29CA" w:rsidRPr="00442EEE" w:rsidRDefault="008A29CA" w:rsidP="008A29CA">
            <w:pPr>
              <w:jc w:val="right"/>
            </w:pPr>
          </w:p>
          <w:p w:rsidR="008A29CA" w:rsidRPr="00442EEE" w:rsidRDefault="008A29CA" w:rsidP="008A29CA">
            <w:pPr>
              <w:jc w:val="right"/>
            </w:pPr>
            <w:r w:rsidRPr="00442EEE">
              <w:t>£000</w:t>
            </w:r>
          </w:p>
        </w:tc>
        <w:tc>
          <w:tcPr>
            <w:tcW w:w="770" w:type="pct"/>
            <w:shd w:val="clear" w:color="auto" w:fill="auto"/>
          </w:tcPr>
          <w:p w:rsidR="008A29CA" w:rsidRPr="00442EEE" w:rsidRDefault="008A29CA" w:rsidP="008A29CA">
            <w:pPr>
              <w:jc w:val="right"/>
            </w:pPr>
            <w:r w:rsidRPr="00442EEE">
              <w:t>Total</w:t>
            </w:r>
          </w:p>
          <w:p w:rsidR="008A29CA" w:rsidRPr="00442EEE" w:rsidRDefault="008A29CA" w:rsidP="008A29CA">
            <w:pPr>
              <w:jc w:val="right"/>
            </w:pPr>
          </w:p>
          <w:p w:rsidR="008A29CA" w:rsidRPr="00442EEE" w:rsidRDefault="008A29CA" w:rsidP="008A29CA">
            <w:pPr>
              <w:jc w:val="right"/>
            </w:pPr>
          </w:p>
          <w:p w:rsidR="008A29CA" w:rsidRPr="00442EEE" w:rsidRDefault="008A29CA" w:rsidP="008A29CA">
            <w:pPr>
              <w:jc w:val="right"/>
            </w:pPr>
            <w:r w:rsidRPr="00442EEE">
              <w:t>£000</w:t>
            </w:r>
          </w:p>
        </w:tc>
      </w:tr>
      <w:tr w:rsidR="008A29CA" w:rsidRPr="00442EEE" w:rsidTr="008A29CA">
        <w:tc>
          <w:tcPr>
            <w:tcW w:w="1500" w:type="pct"/>
            <w:shd w:val="clear" w:color="auto" w:fill="auto"/>
            <w:hideMark/>
          </w:tcPr>
          <w:p w:rsidR="008A29CA" w:rsidRPr="00442EEE" w:rsidRDefault="008A29CA" w:rsidP="008A29CA">
            <w:r w:rsidRPr="00442EEE">
              <w:t>Payable in 201</w:t>
            </w:r>
            <w:r>
              <w:t>2</w:t>
            </w:r>
            <w:r w:rsidRPr="00442EEE">
              <w:t>/1</w:t>
            </w:r>
            <w:r>
              <w:t>3</w:t>
            </w:r>
          </w:p>
        </w:tc>
        <w:tc>
          <w:tcPr>
            <w:tcW w:w="917" w:type="pct"/>
            <w:shd w:val="clear" w:color="auto" w:fill="auto"/>
            <w:hideMark/>
          </w:tcPr>
          <w:p w:rsidR="008A29CA" w:rsidRPr="00442EEE" w:rsidRDefault="008A29CA" w:rsidP="008A29CA">
            <w:pPr>
              <w:jc w:val="right"/>
            </w:pPr>
            <w:r>
              <w:t>1,300</w:t>
            </w:r>
          </w:p>
        </w:tc>
        <w:tc>
          <w:tcPr>
            <w:tcW w:w="1083" w:type="pct"/>
            <w:shd w:val="clear" w:color="auto" w:fill="auto"/>
          </w:tcPr>
          <w:p w:rsidR="008A29CA" w:rsidRPr="00442EEE" w:rsidRDefault="008A29CA" w:rsidP="008A29CA">
            <w:pPr>
              <w:jc w:val="right"/>
            </w:pPr>
            <w:r>
              <w:t>774</w:t>
            </w:r>
          </w:p>
        </w:tc>
        <w:tc>
          <w:tcPr>
            <w:tcW w:w="730" w:type="pct"/>
            <w:shd w:val="clear" w:color="auto" w:fill="auto"/>
          </w:tcPr>
          <w:p w:rsidR="008A29CA" w:rsidRPr="00442EEE" w:rsidRDefault="008A29CA" w:rsidP="008A29CA">
            <w:pPr>
              <w:jc w:val="right"/>
            </w:pPr>
            <w:r>
              <w:t>2,791</w:t>
            </w:r>
          </w:p>
        </w:tc>
        <w:tc>
          <w:tcPr>
            <w:tcW w:w="770" w:type="pct"/>
            <w:shd w:val="clear" w:color="auto" w:fill="auto"/>
          </w:tcPr>
          <w:p w:rsidR="008A29CA" w:rsidRPr="00442EEE" w:rsidRDefault="008A29CA" w:rsidP="008A29CA">
            <w:pPr>
              <w:jc w:val="right"/>
            </w:pPr>
            <w:r>
              <w:t>4,865</w:t>
            </w:r>
          </w:p>
        </w:tc>
      </w:tr>
      <w:tr w:rsidR="008A29CA" w:rsidRPr="00442EEE" w:rsidTr="008A29CA">
        <w:tc>
          <w:tcPr>
            <w:tcW w:w="1500" w:type="pct"/>
            <w:shd w:val="clear" w:color="auto" w:fill="auto"/>
            <w:hideMark/>
          </w:tcPr>
          <w:p w:rsidR="008A29CA" w:rsidRPr="00442EEE" w:rsidRDefault="008A29CA" w:rsidP="008A29CA">
            <w:r w:rsidRPr="00442EEE">
              <w:t>Payable within two to five years</w:t>
            </w:r>
          </w:p>
        </w:tc>
        <w:tc>
          <w:tcPr>
            <w:tcW w:w="917" w:type="pct"/>
            <w:shd w:val="clear" w:color="auto" w:fill="auto"/>
            <w:hideMark/>
          </w:tcPr>
          <w:p w:rsidR="008A29CA" w:rsidRPr="00442EEE" w:rsidRDefault="008A29CA" w:rsidP="008A29CA">
            <w:pPr>
              <w:jc w:val="right"/>
            </w:pPr>
            <w:r>
              <w:t>5,891</w:t>
            </w:r>
          </w:p>
        </w:tc>
        <w:tc>
          <w:tcPr>
            <w:tcW w:w="1083" w:type="pct"/>
            <w:shd w:val="clear" w:color="auto" w:fill="auto"/>
          </w:tcPr>
          <w:p w:rsidR="008A29CA" w:rsidRPr="00442EEE" w:rsidRDefault="008A29CA" w:rsidP="008A29CA">
            <w:pPr>
              <w:jc w:val="right"/>
            </w:pPr>
            <w:r>
              <w:t>3,060</w:t>
            </w:r>
          </w:p>
        </w:tc>
        <w:tc>
          <w:tcPr>
            <w:tcW w:w="730" w:type="pct"/>
            <w:shd w:val="clear" w:color="auto" w:fill="auto"/>
          </w:tcPr>
          <w:p w:rsidR="008A29CA" w:rsidRPr="00442EEE" w:rsidRDefault="008A29CA" w:rsidP="008A29CA">
            <w:pPr>
              <w:jc w:val="right"/>
            </w:pPr>
            <w:r>
              <w:t>10,507</w:t>
            </w:r>
          </w:p>
        </w:tc>
        <w:tc>
          <w:tcPr>
            <w:tcW w:w="770" w:type="pct"/>
            <w:shd w:val="clear" w:color="auto" w:fill="auto"/>
          </w:tcPr>
          <w:p w:rsidR="008A29CA" w:rsidRPr="00442EEE" w:rsidRDefault="008A29CA" w:rsidP="008A29CA">
            <w:pPr>
              <w:jc w:val="right"/>
            </w:pPr>
            <w:r>
              <w:t>19,458</w:t>
            </w:r>
          </w:p>
        </w:tc>
      </w:tr>
      <w:tr w:rsidR="008A29CA" w:rsidRPr="00442EEE" w:rsidTr="008A29CA">
        <w:tc>
          <w:tcPr>
            <w:tcW w:w="1500" w:type="pct"/>
            <w:shd w:val="clear" w:color="auto" w:fill="auto"/>
            <w:hideMark/>
          </w:tcPr>
          <w:p w:rsidR="008A29CA" w:rsidRPr="00442EEE" w:rsidRDefault="008A29CA" w:rsidP="008A29CA">
            <w:r w:rsidRPr="00442EEE">
              <w:t xml:space="preserve">Payable within six to </w:t>
            </w:r>
            <w:r w:rsidRPr="00442EEE">
              <w:lastRenderedPageBreak/>
              <w:t>ten years</w:t>
            </w:r>
          </w:p>
        </w:tc>
        <w:tc>
          <w:tcPr>
            <w:tcW w:w="917" w:type="pct"/>
            <w:shd w:val="clear" w:color="auto" w:fill="auto"/>
            <w:hideMark/>
          </w:tcPr>
          <w:p w:rsidR="008A29CA" w:rsidRPr="00442EEE" w:rsidRDefault="008A29CA" w:rsidP="008A29CA">
            <w:pPr>
              <w:jc w:val="right"/>
            </w:pPr>
            <w:r>
              <w:lastRenderedPageBreak/>
              <w:t>7,944</w:t>
            </w:r>
          </w:p>
        </w:tc>
        <w:tc>
          <w:tcPr>
            <w:tcW w:w="1083" w:type="pct"/>
            <w:shd w:val="clear" w:color="auto" w:fill="auto"/>
          </w:tcPr>
          <w:p w:rsidR="008A29CA" w:rsidRPr="00442EEE" w:rsidRDefault="008A29CA" w:rsidP="008A29CA">
            <w:pPr>
              <w:jc w:val="right"/>
            </w:pPr>
            <w:r>
              <w:t>4,868</w:t>
            </w:r>
          </w:p>
        </w:tc>
        <w:tc>
          <w:tcPr>
            <w:tcW w:w="730" w:type="pct"/>
            <w:shd w:val="clear" w:color="auto" w:fill="auto"/>
          </w:tcPr>
          <w:p w:rsidR="008A29CA" w:rsidRPr="00442EEE" w:rsidRDefault="008A29CA" w:rsidP="008A29CA">
            <w:pPr>
              <w:jc w:val="right"/>
            </w:pPr>
            <w:r>
              <w:t>11,511</w:t>
            </w:r>
          </w:p>
        </w:tc>
        <w:tc>
          <w:tcPr>
            <w:tcW w:w="770" w:type="pct"/>
            <w:shd w:val="clear" w:color="auto" w:fill="auto"/>
          </w:tcPr>
          <w:p w:rsidR="008A29CA" w:rsidRPr="00442EEE" w:rsidRDefault="008A29CA" w:rsidP="008A29CA">
            <w:pPr>
              <w:jc w:val="right"/>
            </w:pPr>
            <w:r>
              <w:t>24,323</w:t>
            </w:r>
          </w:p>
        </w:tc>
      </w:tr>
      <w:tr w:rsidR="008A29CA" w:rsidRPr="00442EEE" w:rsidTr="008A29CA">
        <w:tc>
          <w:tcPr>
            <w:tcW w:w="1500" w:type="pct"/>
            <w:shd w:val="clear" w:color="auto" w:fill="auto"/>
            <w:hideMark/>
          </w:tcPr>
          <w:p w:rsidR="008A29CA" w:rsidRPr="00442EEE" w:rsidRDefault="008A29CA" w:rsidP="008A29CA">
            <w:r w:rsidRPr="00442EEE">
              <w:lastRenderedPageBreak/>
              <w:t>Payable within eleven to fifteen years</w:t>
            </w:r>
          </w:p>
        </w:tc>
        <w:tc>
          <w:tcPr>
            <w:tcW w:w="917" w:type="pct"/>
            <w:shd w:val="clear" w:color="auto" w:fill="auto"/>
            <w:hideMark/>
          </w:tcPr>
          <w:p w:rsidR="008A29CA" w:rsidRPr="00442EEE" w:rsidRDefault="008A29CA" w:rsidP="008A29CA">
            <w:pPr>
              <w:jc w:val="right"/>
            </w:pPr>
            <w:r>
              <w:t>8,653</w:t>
            </w:r>
          </w:p>
        </w:tc>
        <w:tc>
          <w:tcPr>
            <w:tcW w:w="1083" w:type="pct"/>
            <w:shd w:val="clear" w:color="auto" w:fill="auto"/>
          </w:tcPr>
          <w:p w:rsidR="008A29CA" w:rsidRPr="00442EEE" w:rsidRDefault="008A29CA" w:rsidP="008A29CA">
            <w:pPr>
              <w:jc w:val="right"/>
            </w:pPr>
            <w:r>
              <w:t>6,553</w:t>
            </w:r>
          </w:p>
        </w:tc>
        <w:tc>
          <w:tcPr>
            <w:tcW w:w="730" w:type="pct"/>
            <w:shd w:val="clear" w:color="auto" w:fill="auto"/>
          </w:tcPr>
          <w:p w:rsidR="008A29CA" w:rsidRPr="00442EEE" w:rsidRDefault="008A29CA" w:rsidP="008A29CA">
            <w:pPr>
              <w:jc w:val="right"/>
            </w:pPr>
            <w:r>
              <w:t>9,117</w:t>
            </w:r>
          </w:p>
        </w:tc>
        <w:tc>
          <w:tcPr>
            <w:tcW w:w="770" w:type="pct"/>
            <w:shd w:val="clear" w:color="auto" w:fill="auto"/>
          </w:tcPr>
          <w:p w:rsidR="008A29CA" w:rsidRPr="00442EEE" w:rsidRDefault="008A29CA" w:rsidP="008A29CA">
            <w:pPr>
              <w:jc w:val="right"/>
            </w:pPr>
            <w:r>
              <w:t>24,323</w:t>
            </w:r>
          </w:p>
        </w:tc>
      </w:tr>
      <w:tr w:rsidR="008A29CA" w:rsidRPr="00442EEE" w:rsidTr="008A29CA">
        <w:tc>
          <w:tcPr>
            <w:tcW w:w="1500" w:type="pct"/>
            <w:shd w:val="clear" w:color="auto" w:fill="auto"/>
            <w:hideMark/>
          </w:tcPr>
          <w:p w:rsidR="008A29CA" w:rsidRPr="00442EEE" w:rsidRDefault="008A29CA" w:rsidP="008A29CA">
            <w:r w:rsidRPr="00442EEE">
              <w:t>Payable within sixteen to twenty years</w:t>
            </w:r>
          </w:p>
        </w:tc>
        <w:tc>
          <w:tcPr>
            <w:tcW w:w="917" w:type="pct"/>
            <w:shd w:val="clear" w:color="auto" w:fill="auto"/>
            <w:hideMark/>
          </w:tcPr>
          <w:p w:rsidR="008A29CA" w:rsidRPr="00442EEE" w:rsidRDefault="008A29CA" w:rsidP="008A29CA">
            <w:pPr>
              <w:jc w:val="right"/>
            </w:pPr>
            <w:r>
              <w:t>8,691</w:t>
            </w:r>
          </w:p>
        </w:tc>
        <w:tc>
          <w:tcPr>
            <w:tcW w:w="1083" w:type="pct"/>
            <w:shd w:val="clear" w:color="auto" w:fill="auto"/>
          </w:tcPr>
          <w:p w:rsidR="008A29CA" w:rsidRPr="00442EEE" w:rsidRDefault="008A29CA" w:rsidP="008A29CA">
            <w:pPr>
              <w:jc w:val="right"/>
            </w:pPr>
            <w:r>
              <w:t>9,836</w:t>
            </w:r>
          </w:p>
        </w:tc>
        <w:tc>
          <w:tcPr>
            <w:tcW w:w="730" w:type="pct"/>
            <w:shd w:val="clear" w:color="auto" w:fill="auto"/>
          </w:tcPr>
          <w:p w:rsidR="008A29CA" w:rsidRPr="00442EEE" w:rsidRDefault="008A29CA" w:rsidP="008A29CA">
            <w:pPr>
              <w:jc w:val="right"/>
            </w:pPr>
            <w:r>
              <w:t>5,796</w:t>
            </w:r>
          </w:p>
        </w:tc>
        <w:tc>
          <w:tcPr>
            <w:tcW w:w="770" w:type="pct"/>
            <w:shd w:val="clear" w:color="auto" w:fill="auto"/>
          </w:tcPr>
          <w:p w:rsidR="008A29CA" w:rsidRPr="00442EEE" w:rsidRDefault="008A29CA" w:rsidP="008A29CA">
            <w:pPr>
              <w:jc w:val="right"/>
            </w:pPr>
            <w:r>
              <w:t>24,323</w:t>
            </w:r>
          </w:p>
        </w:tc>
      </w:tr>
      <w:tr w:rsidR="008A29CA" w:rsidRPr="00442EEE" w:rsidTr="008A29CA">
        <w:tc>
          <w:tcPr>
            <w:tcW w:w="1500" w:type="pct"/>
            <w:shd w:val="clear" w:color="auto" w:fill="auto"/>
            <w:hideMark/>
          </w:tcPr>
          <w:p w:rsidR="008A29CA" w:rsidRPr="00442EEE" w:rsidRDefault="008A29CA" w:rsidP="008A29CA">
            <w:r w:rsidRPr="00442EEE">
              <w:t>Payable within twenty to twenty-five years</w:t>
            </w:r>
          </w:p>
        </w:tc>
        <w:tc>
          <w:tcPr>
            <w:tcW w:w="917" w:type="pct"/>
            <w:shd w:val="clear" w:color="auto" w:fill="auto"/>
            <w:hideMark/>
          </w:tcPr>
          <w:p w:rsidR="008A29CA" w:rsidRPr="00442EEE" w:rsidRDefault="008A29CA" w:rsidP="008A29CA">
            <w:pPr>
              <w:jc w:val="right"/>
            </w:pPr>
            <w:r>
              <w:t>4,019</w:t>
            </w:r>
          </w:p>
        </w:tc>
        <w:tc>
          <w:tcPr>
            <w:tcW w:w="1083" w:type="pct"/>
            <w:shd w:val="clear" w:color="auto" w:fill="auto"/>
          </w:tcPr>
          <w:p w:rsidR="008A29CA" w:rsidRDefault="008A29CA" w:rsidP="008A29CA">
            <w:pPr>
              <w:jc w:val="right"/>
            </w:pPr>
            <w:r>
              <w:t>6,702</w:t>
            </w:r>
          </w:p>
          <w:p w:rsidR="008A29CA" w:rsidRPr="00442EEE" w:rsidRDefault="008A29CA" w:rsidP="008A29CA">
            <w:pPr>
              <w:jc w:val="right"/>
            </w:pPr>
          </w:p>
        </w:tc>
        <w:tc>
          <w:tcPr>
            <w:tcW w:w="730" w:type="pct"/>
            <w:shd w:val="clear" w:color="auto" w:fill="auto"/>
          </w:tcPr>
          <w:p w:rsidR="008A29CA" w:rsidRPr="00442EEE" w:rsidRDefault="008A29CA" w:rsidP="008A29CA">
            <w:pPr>
              <w:jc w:val="right"/>
            </w:pPr>
            <w:r>
              <w:t>1,034</w:t>
            </w:r>
          </w:p>
        </w:tc>
        <w:tc>
          <w:tcPr>
            <w:tcW w:w="770" w:type="pct"/>
            <w:shd w:val="clear" w:color="auto" w:fill="auto"/>
          </w:tcPr>
          <w:p w:rsidR="008A29CA" w:rsidRPr="00442EEE" w:rsidRDefault="008A29CA" w:rsidP="008A29CA">
            <w:pPr>
              <w:jc w:val="right"/>
            </w:pPr>
            <w:r>
              <w:t>11,755</w:t>
            </w:r>
          </w:p>
        </w:tc>
      </w:tr>
      <w:tr w:rsidR="008A29CA" w:rsidRPr="00442EEE" w:rsidTr="008A29CA">
        <w:tc>
          <w:tcPr>
            <w:tcW w:w="1500" w:type="pct"/>
            <w:shd w:val="clear" w:color="auto" w:fill="auto"/>
            <w:hideMark/>
          </w:tcPr>
          <w:p w:rsidR="008A29CA" w:rsidRPr="00442EEE" w:rsidRDefault="008A29CA" w:rsidP="008A29CA">
            <w:pPr>
              <w:rPr>
                <w:b/>
              </w:rPr>
            </w:pPr>
            <w:r w:rsidRPr="00442EEE">
              <w:rPr>
                <w:b/>
              </w:rPr>
              <w:t>Total</w:t>
            </w:r>
          </w:p>
        </w:tc>
        <w:tc>
          <w:tcPr>
            <w:tcW w:w="917" w:type="pct"/>
            <w:shd w:val="clear" w:color="auto" w:fill="auto"/>
            <w:hideMark/>
          </w:tcPr>
          <w:p w:rsidR="008A29CA" w:rsidRPr="00442EEE" w:rsidRDefault="008A29CA" w:rsidP="008A29CA">
            <w:pPr>
              <w:jc w:val="right"/>
              <w:rPr>
                <w:b/>
              </w:rPr>
            </w:pPr>
            <w:r>
              <w:rPr>
                <w:b/>
              </w:rPr>
              <w:t>36,498</w:t>
            </w:r>
          </w:p>
        </w:tc>
        <w:tc>
          <w:tcPr>
            <w:tcW w:w="1083" w:type="pct"/>
            <w:shd w:val="clear" w:color="auto" w:fill="auto"/>
          </w:tcPr>
          <w:p w:rsidR="008A29CA" w:rsidRPr="00442EEE" w:rsidRDefault="008A29CA" w:rsidP="008A29CA">
            <w:pPr>
              <w:jc w:val="right"/>
              <w:rPr>
                <w:b/>
              </w:rPr>
            </w:pPr>
            <w:r>
              <w:rPr>
                <w:b/>
              </w:rPr>
              <w:t>31,793</w:t>
            </w:r>
          </w:p>
        </w:tc>
        <w:tc>
          <w:tcPr>
            <w:tcW w:w="730" w:type="pct"/>
            <w:shd w:val="clear" w:color="auto" w:fill="auto"/>
          </w:tcPr>
          <w:p w:rsidR="008A29CA" w:rsidRPr="00442EEE" w:rsidRDefault="008A29CA" w:rsidP="008A29CA">
            <w:pPr>
              <w:jc w:val="right"/>
              <w:rPr>
                <w:b/>
              </w:rPr>
            </w:pPr>
            <w:r>
              <w:rPr>
                <w:b/>
              </w:rPr>
              <w:t>40,756</w:t>
            </w:r>
          </w:p>
        </w:tc>
        <w:tc>
          <w:tcPr>
            <w:tcW w:w="770" w:type="pct"/>
            <w:shd w:val="clear" w:color="auto" w:fill="auto"/>
          </w:tcPr>
          <w:p w:rsidR="008A29CA" w:rsidRPr="00442EEE" w:rsidRDefault="008A29CA" w:rsidP="008A29CA">
            <w:pPr>
              <w:jc w:val="right"/>
              <w:rPr>
                <w:b/>
              </w:rPr>
            </w:pPr>
            <w:r>
              <w:rPr>
                <w:b/>
              </w:rPr>
              <w:t>109,047</w:t>
            </w:r>
          </w:p>
        </w:tc>
      </w:tr>
    </w:tbl>
    <w:p w:rsidR="008A29CA" w:rsidRPr="00442EEE" w:rsidRDefault="008A29CA" w:rsidP="008A29CA">
      <w:pPr>
        <w:autoSpaceDE w:val="0"/>
        <w:autoSpaceDN w:val="0"/>
      </w:pPr>
    </w:p>
    <w:p w:rsidR="008A29CA" w:rsidRPr="00442EEE" w:rsidRDefault="008A29CA" w:rsidP="008A29CA">
      <w:pPr>
        <w:autoSpaceDE w:val="0"/>
        <w:autoSpaceDN w:val="0"/>
      </w:pPr>
    </w:p>
    <w:p w:rsidR="008A29CA" w:rsidRPr="00442EEE" w:rsidRDefault="008A29CA" w:rsidP="008A29CA">
      <w:pPr>
        <w:autoSpaceDE w:val="0"/>
        <w:autoSpaceDN w:val="0"/>
        <w:ind w:firstLine="720"/>
      </w:pPr>
      <w:r w:rsidRPr="00442EEE">
        <w:t>To help finance the scheme we received the following income:</w:t>
      </w:r>
    </w:p>
    <w:p w:rsidR="008A29CA" w:rsidRPr="00442EEE" w:rsidRDefault="008A29CA" w:rsidP="008A29CA">
      <w:pPr>
        <w:autoSpaceDE w:val="0"/>
        <w:autoSpaceDN w:val="0"/>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984"/>
        <w:gridCol w:w="2126"/>
      </w:tblGrid>
      <w:tr w:rsidR="008A29CA" w:rsidRPr="00442EEE" w:rsidTr="008A29CA">
        <w:tc>
          <w:tcPr>
            <w:tcW w:w="4111" w:type="dxa"/>
          </w:tcPr>
          <w:p w:rsidR="008A29CA" w:rsidRPr="00442EEE" w:rsidRDefault="008A29CA" w:rsidP="008A29CA">
            <w:pPr>
              <w:autoSpaceDE w:val="0"/>
              <w:autoSpaceDN w:val="0"/>
            </w:pPr>
          </w:p>
        </w:tc>
        <w:tc>
          <w:tcPr>
            <w:tcW w:w="1984" w:type="dxa"/>
          </w:tcPr>
          <w:p w:rsidR="008A29CA" w:rsidRPr="00442EEE" w:rsidRDefault="008A29CA" w:rsidP="008A29CA">
            <w:pPr>
              <w:autoSpaceDE w:val="0"/>
              <w:autoSpaceDN w:val="0"/>
              <w:jc w:val="right"/>
            </w:pPr>
            <w:r w:rsidRPr="00442EEE">
              <w:t>201</w:t>
            </w:r>
            <w:r>
              <w:t>1</w:t>
            </w:r>
            <w:r w:rsidRPr="00442EEE">
              <w:t>/1</w:t>
            </w:r>
            <w:r>
              <w:t>2</w:t>
            </w:r>
          </w:p>
        </w:tc>
        <w:tc>
          <w:tcPr>
            <w:tcW w:w="2126" w:type="dxa"/>
          </w:tcPr>
          <w:p w:rsidR="008A29CA" w:rsidRPr="00442EEE" w:rsidRDefault="008A29CA" w:rsidP="008A29CA">
            <w:pPr>
              <w:autoSpaceDE w:val="0"/>
              <w:autoSpaceDN w:val="0"/>
              <w:jc w:val="right"/>
            </w:pPr>
            <w:r w:rsidRPr="00442EEE">
              <w:t>20</w:t>
            </w:r>
            <w:r>
              <w:t>10</w:t>
            </w:r>
            <w:r w:rsidRPr="00442EEE">
              <w:t>/1</w:t>
            </w:r>
            <w:r>
              <w:t>1</w:t>
            </w:r>
          </w:p>
        </w:tc>
      </w:tr>
      <w:tr w:rsidR="008A29CA" w:rsidRPr="00442EEE" w:rsidTr="008A29CA">
        <w:trPr>
          <w:trHeight w:val="370"/>
        </w:trPr>
        <w:tc>
          <w:tcPr>
            <w:tcW w:w="4111" w:type="dxa"/>
          </w:tcPr>
          <w:p w:rsidR="008A29CA" w:rsidRPr="00442EEE" w:rsidRDefault="008A29CA" w:rsidP="008A29CA">
            <w:pPr>
              <w:autoSpaceDE w:val="0"/>
              <w:autoSpaceDN w:val="0"/>
            </w:pPr>
          </w:p>
        </w:tc>
        <w:tc>
          <w:tcPr>
            <w:tcW w:w="1984" w:type="dxa"/>
          </w:tcPr>
          <w:p w:rsidR="008A29CA" w:rsidRPr="00442EEE" w:rsidRDefault="008A29CA" w:rsidP="008A29CA">
            <w:pPr>
              <w:autoSpaceDE w:val="0"/>
              <w:autoSpaceDN w:val="0"/>
              <w:jc w:val="right"/>
            </w:pPr>
            <w:r w:rsidRPr="00442EEE">
              <w:t>£000</w:t>
            </w:r>
          </w:p>
        </w:tc>
        <w:tc>
          <w:tcPr>
            <w:tcW w:w="2126" w:type="dxa"/>
          </w:tcPr>
          <w:p w:rsidR="008A29CA" w:rsidRPr="00442EEE" w:rsidRDefault="008A29CA" w:rsidP="008A29CA">
            <w:pPr>
              <w:autoSpaceDE w:val="0"/>
              <w:autoSpaceDN w:val="0"/>
              <w:jc w:val="right"/>
            </w:pPr>
            <w:r w:rsidRPr="00442EEE">
              <w:t>£000</w:t>
            </w:r>
          </w:p>
        </w:tc>
      </w:tr>
      <w:tr w:rsidR="008A29CA" w:rsidRPr="00442EEE" w:rsidTr="008A29CA">
        <w:trPr>
          <w:trHeight w:val="491"/>
        </w:trPr>
        <w:tc>
          <w:tcPr>
            <w:tcW w:w="4111" w:type="dxa"/>
          </w:tcPr>
          <w:p w:rsidR="008A29CA" w:rsidRPr="00442EEE" w:rsidRDefault="008A29CA" w:rsidP="008A29CA">
            <w:pPr>
              <w:autoSpaceDE w:val="0"/>
              <w:autoSpaceDN w:val="0"/>
            </w:pPr>
            <w:r w:rsidRPr="00442EEE">
              <w:t xml:space="preserve">PFI grant from the government </w:t>
            </w:r>
          </w:p>
        </w:tc>
        <w:tc>
          <w:tcPr>
            <w:tcW w:w="1984" w:type="dxa"/>
          </w:tcPr>
          <w:p w:rsidR="008A29CA" w:rsidRPr="00442EEE" w:rsidRDefault="008A29CA" w:rsidP="008A29CA">
            <w:pPr>
              <w:autoSpaceDE w:val="0"/>
              <w:autoSpaceDN w:val="0"/>
              <w:jc w:val="right"/>
            </w:pPr>
            <w:r>
              <w:t>3,663</w:t>
            </w:r>
          </w:p>
        </w:tc>
        <w:tc>
          <w:tcPr>
            <w:tcW w:w="2126" w:type="dxa"/>
          </w:tcPr>
          <w:p w:rsidR="008A29CA" w:rsidRPr="00442EEE" w:rsidRDefault="008A29CA" w:rsidP="008A29CA">
            <w:pPr>
              <w:autoSpaceDE w:val="0"/>
              <w:autoSpaceDN w:val="0"/>
              <w:jc w:val="right"/>
            </w:pPr>
            <w:r>
              <w:t>3,663</w:t>
            </w:r>
          </w:p>
        </w:tc>
      </w:tr>
      <w:tr w:rsidR="008A29CA" w:rsidRPr="00442EEE" w:rsidTr="008A29CA">
        <w:tc>
          <w:tcPr>
            <w:tcW w:w="4111" w:type="dxa"/>
          </w:tcPr>
          <w:p w:rsidR="008A29CA" w:rsidRPr="00442EEE" w:rsidRDefault="008A29CA" w:rsidP="008A29CA">
            <w:pPr>
              <w:autoSpaceDE w:val="0"/>
              <w:autoSpaceDN w:val="0"/>
            </w:pPr>
            <w:r w:rsidRPr="00442EEE">
              <w:t>Contributions from the school  </w:t>
            </w:r>
          </w:p>
        </w:tc>
        <w:tc>
          <w:tcPr>
            <w:tcW w:w="1984" w:type="dxa"/>
          </w:tcPr>
          <w:p w:rsidR="008A29CA" w:rsidRPr="00442EEE" w:rsidRDefault="008A29CA" w:rsidP="008A29CA">
            <w:pPr>
              <w:autoSpaceDE w:val="0"/>
              <w:autoSpaceDN w:val="0"/>
              <w:jc w:val="right"/>
            </w:pPr>
            <w:r>
              <w:t>1,565</w:t>
            </w:r>
          </w:p>
        </w:tc>
        <w:tc>
          <w:tcPr>
            <w:tcW w:w="2126" w:type="dxa"/>
          </w:tcPr>
          <w:p w:rsidR="008A29CA" w:rsidRPr="00442EEE" w:rsidRDefault="008A29CA" w:rsidP="008A29CA">
            <w:pPr>
              <w:autoSpaceDE w:val="0"/>
              <w:autoSpaceDN w:val="0"/>
              <w:jc w:val="right"/>
            </w:pPr>
            <w:r>
              <w:t>1,217</w:t>
            </w:r>
          </w:p>
        </w:tc>
      </w:tr>
      <w:tr w:rsidR="008A29CA" w:rsidRPr="00442EEE" w:rsidTr="008A29CA">
        <w:tc>
          <w:tcPr>
            <w:tcW w:w="4111" w:type="dxa"/>
          </w:tcPr>
          <w:p w:rsidR="008A29CA" w:rsidRPr="00442EEE" w:rsidRDefault="008A29CA" w:rsidP="008A29CA">
            <w:pPr>
              <w:autoSpaceDE w:val="0"/>
              <w:autoSpaceDN w:val="0"/>
            </w:pPr>
            <w:r w:rsidRPr="00442EEE">
              <w:t>Contributions from the local authority        </w:t>
            </w:r>
          </w:p>
        </w:tc>
        <w:tc>
          <w:tcPr>
            <w:tcW w:w="1984" w:type="dxa"/>
          </w:tcPr>
          <w:p w:rsidR="008A29CA" w:rsidRPr="00442EEE" w:rsidRDefault="008A29CA" w:rsidP="008A29CA">
            <w:pPr>
              <w:autoSpaceDE w:val="0"/>
              <w:autoSpaceDN w:val="0"/>
              <w:jc w:val="right"/>
            </w:pPr>
            <w:r>
              <w:t>-</w:t>
            </w:r>
          </w:p>
        </w:tc>
        <w:tc>
          <w:tcPr>
            <w:tcW w:w="2126" w:type="dxa"/>
          </w:tcPr>
          <w:p w:rsidR="008A29CA" w:rsidRPr="00442EEE" w:rsidRDefault="008A29CA" w:rsidP="008A29CA">
            <w:pPr>
              <w:autoSpaceDE w:val="0"/>
              <w:autoSpaceDN w:val="0"/>
              <w:jc w:val="right"/>
            </w:pPr>
            <w:r>
              <w:t>-</w:t>
            </w:r>
          </w:p>
        </w:tc>
      </w:tr>
      <w:tr w:rsidR="008A29CA" w:rsidRPr="00442EEE" w:rsidTr="008A29CA">
        <w:tc>
          <w:tcPr>
            <w:tcW w:w="4111" w:type="dxa"/>
          </w:tcPr>
          <w:p w:rsidR="008A29CA" w:rsidRPr="00442EEE" w:rsidRDefault="008A29CA" w:rsidP="008A29CA">
            <w:pPr>
              <w:autoSpaceDE w:val="0"/>
              <w:autoSpaceDN w:val="0"/>
              <w:rPr>
                <w:b/>
              </w:rPr>
            </w:pPr>
            <w:r w:rsidRPr="00442EEE">
              <w:rPr>
                <w:b/>
              </w:rPr>
              <w:t>Total</w:t>
            </w:r>
          </w:p>
        </w:tc>
        <w:tc>
          <w:tcPr>
            <w:tcW w:w="1984" w:type="dxa"/>
          </w:tcPr>
          <w:p w:rsidR="008A29CA" w:rsidRPr="00442EEE" w:rsidRDefault="008A29CA" w:rsidP="008A29CA">
            <w:pPr>
              <w:autoSpaceDE w:val="0"/>
              <w:autoSpaceDN w:val="0"/>
              <w:jc w:val="right"/>
              <w:rPr>
                <w:b/>
              </w:rPr>
            </w:pPr>
            <w:r>
              <w:rPr>
                <w:b/>
              </w:rPr>
              <w:t>5,228</w:t>
            </w:r>
          </w:p>
        </w:tc>
        <w:tc>
          <w:tcPr>
            <w:tcW w:w="2126" w:type="dxa"/>
          </w:tcPr>
          <w:p w:rsidR="008A29CA" w:rsidRPr="00442EEE" w:rsidRDefault="008A29CA" w:rsidP="008A29CA">
            <w:pPr>
              <w:autoSpaceDE w:val="0"/>
              <w:autoSpaceDN w:val="0"/>
              <w:jc w:val="right"/>
              <w:rPr>
                <w:b/>
              </w:rPr>
            </w:pPr>
            <w:r>
              <w:rPr>
                <w:b/>
              </w:rPr>
              <w:t>4,880</w:t>
            </w:r>
          </w:p>
        </w:tc>
      </w:tr>
    </w:tbl>
    <w:p w:rsidR="008A29CA" w:rsidRPr="00442EEE" w:rsidRDefault="008A29CA" w:rsidP="008A29CA">
      <w:pPr>
        <w:rPr>
          <w:u w:val="single"/>
        </w:rPr>
      </w:pPr>
    </w:p>
    <w:p w:rsidR="008A29CA" w:rsidRPr="00442EEE" w:rsidRDefault="008A29CA" w:rsidP="008A29CA">
      <w:pPr>
        <w:ind w:firstLine="720"/>
        <w:rPr>
          <w:u w:val="single"/>
        </w:rPr>
      </w:pPr>
    </w:p>
    <w:p w:rsidR="008A29CA" w:rsidRPr="00442EEE" w:rsidRDefault="008A29CA" w:rsidP="008A29CA">
      <w:pPr>
        <w:ind w:firstLine="720"/>
        <w:rPr>
          <w:u w:val="single"/>
        </w:rPr>
      </w:pPr>
      <w:r w:rsidRPr="00442EEE">
        <w:rPr>
          <w:u w:val="single"/>
        </w:rPr>
        <w:t xml:space="preserve">Phase 2a </w:t>
      </w:r>
    </w:p>
    <w:p w:rsidR="008A29CA" w:rsidRPr="00442EEE" w:rsidRDefault="008A29CA" w:rsidP="008A29CA">
      <w:pPr>
        <w:rPr>
          <w:u w:val="single"/>
        </w:rPr>
      </w:pPr>
    </w:p>
    <w:p w:rsidR="008A29CA" w:rsidRPr="00442EEE" w:rsidRDefault="008A29CA" w:rsidP="00EE67BB">
      <w:pPr>
        <w:ind w:left="720"/>
        <w:jc w:val="both"/>
      </w:pPr>
      <w:r w:rsidRPr="00442EEE">
        <w:t>The contract is for approximately 27 years comprising two years construction and 25 years operation once the schools have opened.  One of the two schools opened in April 2010 and the other in September 2010.</w:t>
      </w:r>
    </w:p>
    <w:p w:rsidR="008A29CA" w:rsidRPr="00442EEE" w:rsidRDefault="008A29CA" w:rsidP="008A29CA">
      <w:pPr>
        <w:shd w:val="clear" w:color="auto" w:fill="FFFFFF"/>
        <w:spacing w:before="100" w:beforeAutospacing="1" w:after="100" w:afterAutospacing="1"/>
        <w:ind w:left="720"/>
        <w:jc w:val="both"/>
      </w:pPr>
      <w:r w:rsidRPr="00442EEE">
        <w:t>Payments remaining to be made under the PFI contract at 31 March 201</w:t>
      </w:r>
      <w:r>
        <w:t>2</w:t>
      </w:r>
      <w:r w:rsidRPr="00442EEE">
        <w:t xml:space="preserve">(excluding any estimation of inflation and availability/performance deductions) are as follows: </w:t>
      </w:r>
    </w:p>
    <w:tbl>
      <w:tblPr>
        <w:tblW w:w="4313"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1558"/>
        <w:gridCol w:w="1701"/>
        <w:gridCol w:w="1703"/>
        <w:gridCol w:w="1559"/>
      </w:tblGrid>
      <w:tr w:rsidR="008A29CA" w:rsidRPr="00442EEE" w:rsidTr="008A29CA">
        <w:tc>
          <w:tcPr>
            <w:tcW w:w="1461" w:type="pct"/>
            <w:shd w:val="clear" w:color="auto" w:fill="auto"/>
            <w:hideMark/>
          </w:tcPr>
          <w:p w:rsidR="008A29CA" w:rsidRPr="00442EEE" w:rsidRDefault="008A29CA" w:rsidP="008A29CA"/>
        </w:tc>
        <w:tc>
          <w:tcPr>
            <w:tcW w:w="845" w:type="pct"/>
            <w:shd w:val="clear" w:color="auto" w:fill="auto"/>
            <w:vAlign w:val="center"/>
            <w:hideMark/>
          </w:tcPr>
          <w:p w:rsidR="008A29CA" w:rsidRPr="00442EEE" w:rsidRDefault="008A29CA" w:rsidP="008A29CA">
            <w:pPr>
              <w:jc w:val="right"/>
            </w:pPr>
            <w:r w:rsidRPr="00442EEE">
              <w:t>Payment for services</w:t>
            </w:r>
          </w:p>
          <w:p w:rsidR="008A29CA" w:rsidRPr="00442EEE" w:rsidRDefault="008A29CA" w:rsidP="008A29CA">
            <w:pPr>
              <w:jc w:val="right"/>
            </w:pPr>
            <w:r w:rsidRPr="00442EEE">
              <w:t>£000</w:t>
            </w:r>
          </w:p>
        </w:tc>
        <w:tc>
          <w:tcPr>
            <w:tcW w:w="923" w:type="pct"/>
            <w:shd w:val="clear" w:color="auto" w:fill="auto"/>
            <w:vAlign w:val="center"/>
          </w:tcPr>
          <w:p w:rsidR="008A29CA" w:rsidRPr="00442EEE" w:rsidRDefault="008A29CA" w:rsidP="008A29CA">
            <w:pPr>
              <w:jc w:val="right"/>
            </w:pPr>
            <w:r w:rsidRPr="00442EEE">
              <w:t>Repayment of liability</w:t>
            </w:r>
          </w:p>
          <w:p w:rsidR="008A29CA" w:rsidRPr="00442EEE" w:rsidRDefault="008A29CA" w:rsidP="008A29CA">
            <w:pPr>
              <w:jc w:val="right"/>
            </w:pPr>
            <w:r w:rsidRPr="00442EEE">
              <w:t>£000</w:t>
            </w:r>
          </w:p>
        </w:tc>
        <w:tc>
          <w:tcPr>
            <w:tcW w:w="924" w:type="pct"/>
            <w:shd w:val="clear" w:color="auto" w:fill="auto"/>
            <w:vAlign w:val="center"/>
          </w:tcPr>
          <w:p w:rsidR="008A29CA" w:rsidRPr="00442EEE" w:rsidRDefault="008A29CA" w:rsidP="008A29CA">
            <w:pPr>
              <w:jc w:val="right"/>
            </w:pPr>
            <w:r w:rsidRPr="00442EEE">
              <w:t>Interest Charges</w:t>
            </w:r>
          </w:p>
          <w:p w:rsidR="008A29CA" w:rsidRPr="00442EEE" w:rsidRDefault="008A29CA" w:rsidP="008A29CA">
            <w:pPr>
              <w:jc w:val="right"/>
            </w:pPr>
            <w:r w:rsidRPr="00442EEE">
              <w:t>£000</w:t>
            </w:r>
          </w:p>
        </w:tc>
        <w:tc>
          <w:tcPr>
            <w:tcW w:w="846" w:type="pct"/>
            <w:shd w:val="clear" w:color="auto" w:fill="auto"/>
            <w:vAlign w:val="center"/>
          </w:tcPr>
          <w:p w:rsidR="008A29CA" w:rsidRPr="00442EEE" w:rsidRDefault="008A29CA" w:rsidP="008A29CA">
            <w:pPr>
              <w:jc w:val="right"/>
            </w:pPr>
            <w:r w:rsidRPr="00442EEE">
              <w:t>Total Payments due</w:t>
            </w:r>
          </w:p>
          <w:p w:rsidR="008A29CA" w:rsidRPr="00442EEE" w:rsidRDefault="008A29CA" w:rsidP="008A29CA">
            <w:pPr>
              <w:jc w:val="right"/>
            </w:pPr>
            <w:r w:rsidRPr="00442EEE">
              <w:t>£000</w:t>
            </w:r>
          </w:p>
        </w:tc>
      </w:tr>
      <w:tr w:rsidR="008A29CA" w:rsidRPr="00442EEE" w:rsidTr="008A29CA">
        <w:tc>
          <w:tcPr>
            <w:tcW w:w="1461" w:type="pct"/>
            <w:shd w:val="clear" w:color="auto" w:fill="auto"/>
            <w:hideMark/>
          </w:tcPr>
          <w:p w:rsidR="008A29CA" w:rsidRPr="00442EEE" w:rsidRDefault="008A29CA" w:rsidP="008A29CA">
            <w:r w:rsidRPr="00442EEE">
              <w:t>Payable in 201</w:t>
            </w:r>
            <w:r>
              <w:t>2</w:t>
            </w:r>
            <w:r w:rsidRPr="00442EEE">
              <w:t>/1</w:t>
            </w:r>
            <w:r>
              <w:t>3</w:t>
            </w:r>
          </w:p>
        </w:tc>
        <w:tc>
          <w:tcPr>
            <w:tcW w:w="845" w:type="pct"/>
            <w:shd w:val="clear" w:color="auto" w:fill="auto"/>
            <w:hideMark/>
          </w:tcPr>
          <w:p w:rsidR="008A29CA" w:rsidRPr="00442EEE" w:rsidRDefault="008A29CA" w:rsidP="008A29CA">
            <w:pPr>
              <w:jc w:val="right"/>
            </w:pPr>
            <w:r>
              <w:t>1,699</w:t>
            </w:r>
          </w:p>
        </w:tc>
        <w:tc>
          <w:tcPr>
            <w:tcW w:w="923" w:type="pct"/>
            <w:shd w:val="clear" w:color="auto" w:fill="auto"/>
          </w:tcPr>
          <w:p w:rsidR="008A29CA" w:rsidRPr="00442EEE" w:rsidRDefault="008A29CA" w:rsidP="008A29CA">
            <w:pPr>
              <w:jc w:val="right"/>
            </w:pPr>
            <w:r>
              <w:t>1,259</w:t>
            </w:r>
          </w:p>
        </w:tc>
        <w:tc>
          <w:tcPr>
            <w:tcW w:w="924" w:type="pct"/>
            <w:shd w:val="clear" w:color="auto" w:fill="auto"/>
          </w:tcPr>
          <w:p w:rsidR="008A29CA" w:rsidRPr="00442EEE" w:rsidRDefault="008A29CA" w:rsidP="008A29CA">
            <w:pPr>
              <w:jc w:val="right"/>
            </w:pPr>
            <w:r>
              <w:t>4,064</w:t>
            </w:r>
          </w:p>
        </w:tc>
        <w:tc>
          <w:tcPr>
            <w:tcW w:w="846" w:type="pct"/>
            <w:shd w:val="clear" w:color="auto" w:fill="auto"/>
          </w:tcPr>
          <w:p w:rsidR="008A29CA" w:rsidRPr="00442EEE" w:rsidRDefault="008A29CA" w:rsidP="008A29CA">
            <w:pPr>
              <w:jc w:val="right"/>
            </w:pPr>
            <w:r>
              <w:t>7,022</w:t>
            </w:r>
          </w:p>
        </w:tc>
      </w:tr>
      <w:tr w:rsidR="008A29CA" w:rsidRPr="00442EEE" w:rsidTr="008A29CA">
        <w:tc>
          <w:tcPr>
            <w:tcW w:w="1461" w:type="pct"/>
            <w:shd w:val="clear" w:color="auto" w:fill="auto"/>
            <w:hideMark/>
          </w:tcPr>
          <w:p w:rsidR="008A29CA" w:rsidRPr="00442EEE" w:rsidRDefault="008A29CA" w:rsidP="008A29CA">
            <w:r w:rsidRPr="00442EEE">
              <w:t>Payable within two to five years</w:t>
            </w:r>
          </w:p>
        </w:tc>
        <w:tc>
          <w:tcPr>
            <w:tcW w:w="845" w:type="pct"/>
            <w:shd w:val="clear" w:color="auto" w:fill="auto"/>
            <w:hideMark/>
          </w:tcPr>
          <w:p w:rsidR="008A29CA" w:rsidRPr="00442EEE" w:rsidRDefault="008A29CA" w:rsidP="008A29CA">
            <w:pPr>
              <w:jc w:val="right"/>
            </w:pPr>
            <w:r>
              <w:t>7,577</w:t>
            </w:r>
          </w:p>
        </w:tc>
        <w:tc>
          <w:tcPr>
            <w:tcW w:w="923" w:type="pct"/>
            <w:shd w:val="clear" w:color="auto" w:fill="auto"/>
          </w:tcPr>
          <w:p w:rsidR="008A29CA" w:rsidRPr="00442EEE" w:rsidRDefault="008A29CA" w:rsidP="008A29CA">
            <w:pPr>
              <w:jc w:val="right"/>
            </w:pPr>
            <w:r>
              <w:t>5,294</w:t>
            </w:r>
          </w:p>
        </w:tc>
        <w:tc>
          <w:tcPr>
            <w:tcW w:w="924" w:type="pct"/>
            <w:shd w:val="clear" w:color="auto" w:fill="auto"/>
          </w:tcPr>
          <w:p w:rsidR="008A29CA" w:rsidRPr="00442EEE" w:rsidRDefault="008A29CA" w:rsidP="008A29CA">
            <w:pPr>
              <w:jc w:val="right"/>
            </w:pPr>
            <w:r>
              <w:t>15,218</w:t>
            </w:r>
          </w:p>
        </w:tc>
        <w:tc>
          <w:tcPr>
            <w:tcW w:w="846" w:type="pct"/>
            <w:shd w:val="clear" w:color="auto" w:fill="auto"/>
          </w:tcPr>
          <w:p w:rsidR="008A29CA" w:rsidRPr="00442EEE" w:rsidRDefault="008A29CA" w:rsidP="008A29CA">
            <w:pPr>
              <w:jc w:val="right"/>
            </w:pPr>
            <w:r>
              <w:t>28,089</w:t>
            </w:r>
          </w:p>
        </w:tc>
      </w:tr>
      <w:tr w:rsidR="008A29CA" w:rsidRPr="00442EEE" w:rsidTr="008A29CA">
        <w:tc>
          <w:tcPr>
            <w:tcW w:w="1461" w:type="pct"/>
            <w:shd w:val="clear" w:color="auto" w:fill="auto"/>
            <w:hideMark/>
          </w:tcPr>
          <w:p w:rsidR="008A29CA" w:rsidRPr="00442EEE" w:rsidRDefault="008A29CA" w:rsidP="008A29CA">
            <w:r w:rsidRPr="00442EEE">
              <w:t>Payable within six to ten years</w:t>
            </w:r>
          </w:p>
        </w:tc>
        <w:tc>
          <w:tcPr>
            <w:tcW w:w="845" w:type="pct"/>
            <w:shd w:val="clear" w:color="auto" w:fill="auto"/>
            <w:hideMark/>
          </w:tcPr>
          <w:p w:rsidR="008A29CA" w:rsidRPr="00442EEE" w:rsidRDefault="008A29CA" w:rsidP="008A29CA">
            <w:pPr>
              <w:jc w:val="right"/>
            </w:pPr>
            <w:r>
              <w:t>11,343</w:t>
            </w:r>
          </w:p>
        </w:tc>
        <w:tc>
          <w:tcPr>
            <w:tcW w:w="923" w:type="pct"/>
            <w:shd w:val="clear" w:color="auto" w:fill="auto"/>
          </w:tcPr>
          <w:p w:rsidR="008A29CA" w:rsidRPr="00442EEE" w:rsidRDefault="008A29CA" w:rsidP="008A29CA">
            <w:pPr>
              <w:jc w:val="right"/>
            </w:pPr>
            <w:r>
              <w:t>7,239</w:t>
            </w:r>
          </w:p>
        </w:tc>
        <w:tc>
          <w:tcPr>
            <w:tcW w:w="924" w:type="pct"/>
            <w:shd w:val="clear" w:color="auto" w:fill="auto"/>
          </w:tcPr>
          <w:p w:rsidR="008A29CA" w:rsidRPr="00442EEE" w:rsidRDefault="008A29CA" w:rsidP="008A29CA">
            <w:pPr>
              <w:jc w:val="right"/>
            </w:pPr>
            <w:r>
              <w:t>16,529</w:t>
            </w:r>
          </w:p>
        </w:tc>
        <w:tc>
          <w:tcPr>
            <w:tcW w:w="846" w:type="pct"/>
            <w:shd w:val="clear" w:color="auto" w:fill="auto"/>
          </w:tcPr>
          <w:p w:rsidR="008A29CA" w:rsidRPr="00442EEE" w:rsidRDefault="008A29CA" w:rsidP="008A29CA">
            <w:pPr>
              <w:jc w:val="right"/>
            </w:pPr>
            <w:r>
              <w:t>35,111</w:t>
            </w:r>
          </w:p>
        </w:tc>
      </w:tr>
      <w:tr w:rsidR="008A29CA" w:rsidRPr="00442EEE" w:rsidTr="008A29CA">
        <w:tc>
          <w:tcPr>
            <w:tcW w:w="1461" w:type="pct"/>
            <w:shd w:val="clear" w:color="auto" w:fill="auto"/>
            <w:hideMark/>
          </w:tcPr>
          <w:p w:rsidR="008A29CA" w:rsidRPr="00442EEE" w:rsidRDefault="008A29CA" w:rsidP="008A29CA">
            <w:r w:rsidRPr="00442EEE">
              <w:t>Payable within eleven to fifteen years</w:t>
            </w:r>
          </w:p>
        </w:tc>
        <w:tc>
          <w:tcPr>
            <w:tcW w:w="845" w:type="pct"/>
            <w:shd w:val="clear" w:color="auto" w:fill="auto"/>
            <w:hideMark/>
          </w:tcPr>
          <w:p w:rsidR="008A29CA" w:rsidRPr="00442EEE" w:rsidRDefault="008A29CA" w:rsidP="008A29CA">
            <w:pPr>
              <w:jc w:val="right"/>
            </w:pPr>
            <w:r>
              <w:t>11,097</w:t>
            </w:r>
          </w:p>
        </w:tc>
        <w:tc>
          <w:tcPr>
            <w:tcW w:w="923" w:type="pct"/>
            <w:shd w:val="clear" w:color="auto" w:fill="auto"/>
          </w:tcPr>
          <w:p w:rsidR="008A29CA" w:rsidRPr="00442EEE" w:rsidRDefault="008A29CA" w:rsidP="008A29CA">
            <w:pPr>
              <w:jc w:val="right"/>
            </w:pPr>
            <w:r>
              <w:t>10,873</w:t>
            </w:r>
          </w:p>
        </w:tc>
        <w:tc>
          <w:tcPr>
            <w:tcW w:w="924" w:type="pct"/>
            <w:shd w:val="clear" w:color="auto" w:fill="auto"/>
          </w:tcPr>
          <w:p w:rsidR="008A29CA" w:rsidRPr="00442EEE" w:rsidRDefault="008A29CA" w:rsidP="008A29CA">
            <w:pPr>
              <w:jc w:val="right"/>
            </w:pPr>
            <w:r>
              <w:t>13,141</w:t>
            </w:r>
          </w:p>
        </w:tc>
        <w:tc>
          <w:tcPr>
            <w:tcW w:w="846" w:type="pct"/>
            <w:shd w:val="clear" w:color="auto" w:fill="auto"/>
          </w:tcPr>
          <w:p w:rsidR="008A29CA" w:rsidRPr="00442EEE" w:rsidRDefault="008A29CA" w:rsidP="008A29CA">
            <w:pPr>
              <w:jc w:val="right"/>
            </w:pPr>
            <w:r>
              <w:t>35,111</w:t>
            </w:r>
          </w:p>
        </w:tc>
      </w:tr>
      <w:tr w:rsidR="008A29CA" w:rsidRPr="00442EEE" w:rsidTr="008A29CA">
        <w:tc>
          <w:tcPr>
            <w:tcW w:w="1461" w:type="pct"/>
            <w:shd w:val="clear" w:color="auto" w:fill="auto"/>
            <w:hideMark/>
          </w:tcPr>
          <w:p w:rsidR="008A29CA" w:rsidRPr="00442EEE" w:rsidRDefault="008A29CA" w:rsidP="008A29CA">
            <w:r w:rsidRPr="00442EEE">
              <w:t>Payable within sixteen to twenty years</w:t>
            </w:r>
          </w:p>
        </w:tc>
        <w:tc>
          <w:tcPr>
            <w:tcW w:w="845" w:type="pct"/>
            <w:shd w:val="clear" w:color="auto" w:fill="auto"/>
            <w:hideMark/>
          </w:tcPr>
          <w:p w:rsidR="008A29CA" w:rsidRPr="00442EEE" w:rsidRDefault="008A29CA" w:rsidP="008A29CA">
            <w:pPr>
              <w:jc w:val="right"/>
            </w:pPr>
            <w:r>
              <w:t>13,068</w:t>
            </w:r>
          </w:p>
        </w:tc>
        <w:tc>
          <w:tcPr>
            <w:tcW w:w="923" w:type="pct"/>
            <w:shd w:val="clear" w:color="auto" w:fill="auto"/>
          </w:tcPr>
          <w:p w:rsidR="008A29CA" w:rsidRPr="00442EEE" w:rsidRDefault="008A29CA" w:rsidP="008A29CA">
            <w:pPr>
              <w:jc w:val="right"/>
            </w:pPr>
            <w:r>
              <w:t>13,588</w:t>
            </w:r>
          </w:p>
        </w:tc>
        <w:tc>
          <w:tcPr>
            <w:tcW w:w="924" w:type="pct"/>
            <w:shd w:val="clear" w:color="auto" w:fill="auto"/>
          </w:tcPr>
          <w:p w:rsidR="008A29CA" w:rsidRPr="00442EEE" w:rsidRDefault="008A29CA" w:rsidP="008A29CA">
            <w:pPr>
              <w:jc w:val="right"/>
            </w:pPr>
            <w:r>
              <w:t>8,455</w:t>
            </w:r>
          </w:p>
        </w:tc>
        <w:tc>
          <w:tcPr>
            <w:tcW w:w="846" w:type="pct"/>
            <w:shd w:val="clear" w:color="auto" w:fill="auto"/>
          </w:tcPr>
          <w:p w:rsidR="008A29CA" w:rsidRPr="00442EEE" w:rsidRDefault="008A29CA" w:rsidP="008A29CA">
            <w:pPr>
              <w:jc w:val="right"/>
            </w:pPr>
            <w:r>
              <w:t>35,111</w:t>
            </w:r>
          </w:p>
        </w:tc>
      </w:tr>
      <w:tr w:rsidR="008A29CA" w:rsidRPr="00442EEE" w:rsidTr="008A29CA">
        <w:tc>
          <w:tcPr>
            <w:tcW w:w="1461" w:type="pct"/>
            <w:shd w:val="clear" w:color="auto" w:fill="auto"/>
            <w:hideMark/>
          </w:tcPr>
          <w:p w:rsidR="008A29CA" w:rsidRPr="00442EEE" w:rsidRDefault="008A29CA" w:rsidP="008A29CA">
            <w:r w:rsidRPr="00442EEE">
              <w:t>Payable within twenty to twenty-five years</w:t>
            </w:r>
          </w:p>
        </w:tc>
        <w:tc>
          <w:tcPr>
            <w:tcW w:w="845" w:type="pct"/>
            <w:shd w:val="clear" w:color="auto" w:fill="auto"/>
            <w:hideMark/>
          </w:tcPr>
          <w:p w:rsidR="008A29CA" w:rsidRPr="00442EEE" w:rsidRDefault="008A29CA" w:rsidP="008A29CA">
            <w:pPr>
              <w:jc w:val="right"/>
            </w:pPr>
            <w:r>
              <w:t>6,728</w:t>
            </w:r>
          </w:p>
        </w:tc>
        <w:tc>
          <w:tcPr>
            <w:tcW w:w="923" w:type="pct"/>
            <w:shd w:val="clear" w:color="auto" w:fill="auto"/>
          </w:tcPr>
          <w:p w:rsidR="008A29CA" w:rsidRPr="00442EEE" w:rsidRDefault="008A29CA" w:rsidP="008A29CA">
            <w:pPr>
              <w:jc w:val="right"/>
            </w:pPr>
            <w:r>
              <w:t>12,324</w:t>
            </w:r>
          </w:p>
        </w:tc>
        <w:tc>
          <w:tcPr>
            <w:tcW w:w="924" w:type="pct"/>
            <w:shd w:val="clear" w:color="auto" w:fill="auto"/>
          </w:tcPr>
          <w:p w:rsidR="008A29CA" w:rsidRPr="00442EEE" w:rsidRDefault="008A29CA" w:rsidP="008A29CA">
            <w:pPr>
              <w:jc w:val="right"/>
            </w:pPr>
            <w:r>
              <w:t>2,015</w:t>
            </w:r>
          </w:p>
        </w:tc>
        <w:tc>
          <w:tcPr>
            <w:tcW w:w="846" w:type="pct"/>
            <w:shd w:val="clear" w:color="auto" w:fill="auto"/>
          </w:tcPr>
          <w:p w:rsidR="008A29CA" w:rsidRPr="00442EEE" w:rsidRDefault="008A29CA" w:rsidP="008A29CA">
            <w:pPr>
              <w:jc w:val="right"/>
            </w:pPr>
            <w:r>
              <w:t>21,067</w:t>
            </w:r>
          </w:p>
        </w:tc>
      </w:tr>
      <w:tr w:rsidR="008A29CA" w:rsidRPr="00442EEE" w:rsidTr="008A29CA">
        <w:tc>
          <w:tcPr>
            <w:tcW w:w="1461" w:type="pct"/>
            <w:shd w:val="clear" w:color="auto" w:fill="auto"/>
            <w:hideMark/>
          </w:tcPr>
          <w:p w:rsidR="008A29CA" w:rsidRPr="00442EEE" w:rsidRDefault="008A29CA" w:rsidP="008A29CA">
            <w:pPr>
              <w:rPr>
                <w:b/>
              </w:rPr>
            </w:pPr>
            <w:r w:rsidRPr="00442EEE">
              <w:rPr>
                <w:b/>
              </w:rPr>
              <w:t>Total</w:t>
            </w:r>
          </w:p>
        </w:tc>
        <w:tc>
          <w:tcPr>
            <w:tcW w:w="845" w:type="pct"/>
            <w:shd w:val="clear" w:color="auto" w:fill="auto"/>
            <w:hideMark/>
          </w:tcPr>
          <w:p w:rsidR="008A29CA" w:rsidRPr="00442EEE" w:rsidRDefault="008A29CA" w:rsidP="008A29CA">
            <w:pPr>
              <w:jc w:val="right"/>
              <w:rPr>
                <w:b/>
              </w:rPr>
            </w:pPr>
            <w:r>
              <w:rPr>
                <w:b/>
              </w:rPr>
              <w:t>51,512</w:t>
            </w:r>
          </w:p>
        </w:tc>
        <w:tc>
          <w:tcPr>
            <w:tcW w:w="923" w:type="pct"/>
            <w:shd w:val="clear" w:color="auto" w:fill="auto"/>
          </w:tcPr>
          <w:p w:rsidR="008A29CA" w:rsidRPr="00442EEE" w:rsidRDefault="008A29CA" w:rsidP="008A29CA">
            <w:pPr>
              <w:jc w:val="right"/>
              <w:rPr>
                <w:b/>
              </w:rPr>
            </w:pPr>
            <w:r>
              <w:rPr>
                <w:b/>
              </w:rPr>
              <w:t>50,577</w:t>
            </w:r>
          </w:p>
        </w:tc>
        <w:tc>
          <w:tcPr>
            <w:tcW w:w="924" w:type="pct"/>
            <w:shd w:val="clear" w:color="auto" w:fill="auto"/>
          </w:tcPr>
          <w:p w:rsidR="008A29CA" w:rsidRPr="00442EEE" w:rsidRDefault="008A29CA" w:rsidP="008A29CA">
            <w:pPr>
              <w:jc w:val="right"/>
              <w:rPr>
                <w:b/>
              </w:rPr>
            </w:pPr>
            <w:r>
              <w:rPr>
                <w:b/>
              </w:rPr>
              <w:t>59,422</w:t>
            </w:r>
          </w:p>
        </w:tc>
        <w:tc>
          <w:tcPr>
            <w:tcW w:w="846" w:type="pct"/>
            <w:shd w:val="clear" w:color="auto" w:fill="auto"/>
          </w:tcPr>
          <w:p w:rsidR="008A29CA" w:rsidRPr="00442EEE" w:rsidRDefault="008A29CA" w:rsidP="008A29CA">
            <w:pPr>
              <w:jc w:val="right"/>
              <w:rPr>
                <w:b/>
              </w:rPr>
            </w:pPr>
            <w:r>
              <w:rPr>
                <w:b/>
              </w:rPr>
              <w:t>161,511</w:t>
            </w:r>
          </w:p>
        </w:tc>
      </w:tr>
    </w:tbl>
    <w:p w:rsidR="008A29CA" w:rsidRDefault="008A29CA" w:rsidP="008A29CA">
      <w:pPr>
        <w:autoSpaceDE w:val="0"/>
        <w:autoSpaceDN w:val="0"/>
        <w:ind w:left="720"/>
      </w:pPr>
    </w:p>
    <w:p w:rsidR="00E353CF" w:rsidRPr="00442EEE" w:rsidRDefault="00E353CF" w:rsidP="008A29CA">
      <w:pPr>
        <w:autoSpaceDE w:val="0"/>
        <w:autoSpaceDN w:val="0"/>
        <w:ind w:left="720"/>
      </w:pPr>
    </w:p>
    <w:p w:rsidR="008A29CA" w:rsidRPr="00442EEE" w:rsidRDefault="008A29CA" w:rsidP="008A29CA">
      <w:pPr>
        <w:autoSpaceDE w:val="0"/>
        <w:autoSpaceDN w:val="0"/>
        <w:ind w:firstLine="720"/>
      </w:pPr>
      <w:r w:rsidRPr="00442EEE">
        <w:lastRenderedPageBreak/>
        <w:t>To help finance the scheme we received the following income:</w:t>
      </w:r>
    </w:p>
    <w:p w:rsidR="008A29CA" w:rsidRPr="00442EEE" w:rsidRDefault="008A29CA" w:rsidP="008A29CA">
      <w:pPr>
        <w:autoSpaceDE w:val="0"/>
        <w:autoSpaceDN w:val="0"/>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559"/>
        <w:gridCol w:w="1843"/>
      </w:tblGrid>
      <w:tr w:rsidR="008A29CA" w:rsidRPr="00442EEE" w:rsidTr="008A29CA">
        <w:tc>
          <w:tcPr>
            <w:tcW w:w="4536" w:type="dxa"/>
          </w:tcPr>
          <w:p w:rsidR="008A29CA" w:rsidRPr="00442EEE" w:rsidRDefault="008A29CA" w:rsidP="008A29CA">
            <w:pPr>
              <w:autoSpaceDE w:val="0"/>
              <w:autoSpaceDN w:val="0"/>
            </w:pPr>
          </w:p>
        </w:tc>
        <w:tc>
          <w:tcPr>
            <w:tcW w:w="1559" w:type="dxa"/>
            <w:vAlign w:val="center"/>
          </w:tcPr>
          <w:p w:rsidR="008A29CA" w:rsidRPr="00442EEE" w:rsidRDefault="008A29CA" w:rsidP="008A29CA">
            <w:pPr>
              <w:autoSpaceDE w:val="0"/>
              <w:autoSpaceDN w:val="0"/>
              <w:jc w:val="right"/>
            </w:pPr>
            <w:r w:rsidRPr="00442EEE">
              <w:t>201</w:t>
            </w:r>
            <w:r>
              <w:t>1</w:t>
            </w:r>
            <w:r w:rsidRPr="00442EEE">
              <w:t>/1</w:t>
            </w:r>
            <w:r>
              <w:t>2</w:t>
            </w:r>
          </w:p>
        </w:tc>
        <w:tc>
          <w:tcPr>
            <w:tcW w:w="1843" w:type="dxa"/>
            <w:vAlign w:val="center"/>
          </w:tcPr>
          <w:p w:rsidR="008A29CA" w:rsidRPr="00442EEE" w:rsidRDefault="008A29CA" w:rsidP="008A29CA">
            <w:pPr>
              <w:autoSpaceDE w:val="0"/>
              <w:autoSpaceDN w:val="0"/>
              <w:jc w:val="right"/>
            </w:pPr>
            <w:r w:rsidRPr="00442EEE">
              <w:t>20</w:t>
            </w:r>
            <w:r>
              <w:t>10</w:t>
            </w:r>
            <w:r w:rsidRPr="00442EEE">
              <w:t>/1</w:t>
            </w:r>
            <w:r>
              <w:t>1</w:t>
            </w:r>
          </w:p>
        </w:tc>
      </w:tr>
      <w:tr w:rsidR="008A29CA" w:rsidRPr="00442EEE" w:rsidTr="008A29CA">
        <w:trPr>
          <w:trHeight w:val="491"/>
        </w:trPr>
        <w:tc>
          <w:tcPr>
            <w:tcW w:w="4536" w:type="dxa"/>
          </w:tcPr>
          <w:p w:rsidR="008A29CA" w:rsidRPr="00442EEE" w:rsidRDefault="008A29CA" w:rsidP="008A29CA">
            <w:pPr>
              <w:autoSpaceDE w:val="0"/>
              <w:autoSpaceDN w:val="0"/>
            </w:pPr>
          </w:p>
        </w:tc>
        <w:tc>
          <w:tcPr>
            <w:tcW w:w="1559" w:type="dxa"/>
            <w:vAlign w:val="center"/>
          </w:tcPr>
          <w:p w:rsidR="008A29CA" w:rsidRPr="00442EEE" w:rsidRDefault="008A29CA" w:rsidP="008A29CA">
            <w:pPr>
              <w:autoSpaceDE w:val="0"/>
              <w:autoSpaceDN w:val="0"/>
              <w:jc w:val="right"/>
            </w:pPr>
            <w:r w:rsidRPr="00442EEE">
              <w:t>£000</w:t>
            </w:r>
          </w:p>
        </w:tc>
        <w:tc>
          <w:tcPr>
            <w:tcW w:w="1843" w:type="dxa"/>
            <w:vAlign w:val="center"/>
          </w:tcPr>
          <w:p w:rsidR="008A29CA" w:rsidRPr="00442EEE" w:rsidRDefault="008A29CA" w:rsidP="008A29CA">
            <w:pPr>
              <w:autoSpaceDE w:val="0"/>
              <w:autoSpaceDN w:val="0"/>
              <w:jc w:val="right"/>
            </w:pPr>
            <w:r w:rsidRPr="00442EEE">
              <w:t>£000</w:t>
            </w:r>
          </w:p>
        </w:tc>
      </w:tr>
      <w:tr w:rsidR="008A29CA" w:rsidRPr="00442EEE" w:rsidTr="008A29CA">
        <w:trPr>
          <w:trHeight w:val="491"/>
        </w:trPr>
        <w:tc>
          <w:tcPr>
            <w:tcW w:w="4536" w:type="dxa"/>
          </w:tcPr>
          <w:p w:rsidR="008A29CA" w:rsidRPr="00442EEE" w:rsidRDefault="008A29CA" w:rsidP="008A29CA">
            <w:pPr>
              <w:autoSpaceDE w:val="0"/>
              <w:autoSpaceDN w:val="0"/>
            </w:pPr>
            <w:r w:rsidRPr="00442EEE">
              <w:t xml:space="preserve">PFI grant from the government </w:t>
            </w:r>
          </w:p>
        </w:tc>
        <w:tc>
          <w:tcPr>
            <w:tcW w:w="1559" w:type="dxa"/>
          </w:tcPr>
          <w:p w:rsidR="008A29CA" w:rsidRPr="00442EEE" w:rsidRDefault="008A29CA" w:rsidP="008A29CA">
            <w:pPr>
              <w:autoSpaceDE w:val="0"/>
              <w:autoSpaceDN w:val="0"/>
              <w:jc w:val="right"/>
            </w:pPr>
            <w:r>
              <w:t>6,069</w:t>
            </w:r>
          </w:p>
        </w:tc>
        <w:tc>
          <w:tcPr>
            <w:tcW w:w="1843" w:type="dxa"/>
          </w:tcPr>
          <w:p w:rsidR="008A29CA" w:rsidRPr="00442EEE" w:rsidRDefault="008A29CA" w:rsidP="008A29CA">
            <w:pPr>
              <w:autoSpaceDE w:val="0"/>
              <w:autoSpaceDN w:val="0"/>
              <w:jc w:val="right"/>
            </w:pPr>
            <w:r>
              <w:t>4,612</w:t>
            </w:r>
          </w:p>
        </w:tc>
      </w:tr>
      <w:tr w:rsidR="008A29CA" w:rsidRPr="00442EEE" w:rsidTr="008A29CA">
        <w:tc>
          <w:tcPr>
            <w:tcW w:w="4536" w:type="dxa"/>
          </w:tcPr>
          <w:p w:rsidR="008A29CA" w:rsidRPr="00442EEE" w:rsidRDefault="008A29CA" w:rsidP="008A29CA">
            <w:pPr>
              <w:autoSpaceDE w:val="0"/>
              <w:autoSpaceDN w:val="0"/>
            </w:pPr>
            <w:r w:rsidRPr="00442EEE">
              <w:t>Contributions from the school  </w:t>
            </w:r>
          </w:p>
        </w:tc>
        <w:tc>
          <w:tcPr>
            <w:tcW w:w="1559" w:type="dxa"/>
          </w:tcPr>
          <w:p w:rsidR="008A29CA" w:rsidRPr="00442EEE" w:rsidRDefault="008A29CA" w:rsidP="008A29CA">
            <w:pPr>
              <w:autoSpaceDE w:val="0"/>
              <w:autoSpaceDN w:val="0"/>
              <w:jc w:val="right"/>
            </w:pPr>
            <w:r>
              <w:t>1,334</w:t>
            </w:r>
          </w:p>
        </w:tc>
        <w:tc>
          <w:tcPr>
            <w:tcW w:w="1843" w:type="dxa"/>
          </w:tcPr>
          <w:p w:rsidR="008A29CA" w:rsidRPr="00442EEE" w:rsidRDefault="008A29CA" w:rsidP="008A29CA">
            <w:pPr>
              <w:autoSpaceDE w:val="0"/>
              <w:autoSpaceDN w:val="0"/>
              <w:jc w:val="right"/>
            </w:pPr>
            <w:r>
              <w:t>1,622</w:t>
            </w:r>
          </w:p>
        </w:tc>
      </w:tr>
      <w:tr w:rsidR="008A29CA" w:rsidRPr="00442EEE" w:rsidTr="008A29CA">
        <w:tc>
          <w:tcPr>
            <w:tcW w:w="4536" w:type="dxa"/>
          </w:tcPr>
          <w:p w:rsidR="008A29CA" w:rsidRPr="00442EEE" w:rsidRDefault="008A29CA" w:rsidP="008A29CA">
            <w:pPr>
              <w:autoSpaceDE w:val="0"/>
              <w:autoSpaceDN w:val="0"/>
            </w:pPr>
            <w:r w:rsidRPr="00442EEE">
              <w:t>Contributions from the local authority        </w:t>
            </w:r>
          </w:p>
        </w:tc>
        <w:tc>
          <w:tcPr>
            <w:tcW w:w="1559" w:type="dxa"/>
          </w:tcPr>
          <w:p w:rsidR="008A29CA" w:rsidRPr="00442EEE" w:rsidRDefault="008A29CA" w:rsidP="008A29CA">
            <w:pPr>
              <w:autoSpaceDE w:val="0"/>
              <w:autoSpaceDN w:val="0"/>
              <w:jc w:val="right"/>
            </w:pPr>
            <w:r>
              <w:t>-</w:t>
            </w:r>
          </w:p>
        </w:tc>
        <w:tc>
          <w:tcPr>
            <w:tcW w:w="1843" w:type="dxa"/>
          </w:tcPr>
          <w:p w:rsidR="008A29CA" w:rsidRPr="00442EEE" w:rsidRDefault="008A29CA" w:rsidP="008A29CA">
            <w:pPr>
              <w:autoSpaceDE w:val="0"/>
              <w:autoSpaceDN w:val="0"/>
              <w:jc w:val="right"/>
            </w:pPr>
            <w:r w:rsidRPr="00442EEE">
              <w:t>-</w:t>
            </w:r>
          </w:p>
        </w:tc>
      </w:tr>
      <w:tr w:rsidR="008A29CA" w:rsidRPr="00442EEE" w:rsidTr="008A29CA">
        <w:tc>
          <w:tcPr>
            <w:tcW w:w="4536" w:type="dxa"/>
          </w:tcPr>
          <w:p w:rsidR="008A29CA" w:rsidRPr="00442EEE" w:rsidRDefault="008A29CA" w:rsidP="008A29CA">
            <w:pPr>
              <w:autoSpaceDE w:val="0"/>
              <w:autoSpaceDN w:val="0"/>
              <w:rPr>
                <w:b/>
              </w:rPr>
            </w:pPr>
            <w:r w:rsidRPr="00442EEE">
              <w:rPr>
                <w:b/>
              </w:rPr>
              <w:t>Total</w:t>
            </w:r>
          </w:p>
        </w:tc>
        <w:tc>
          <w:tcPr>
            <w:tcW w:w="1559" w:type="dxa"/>
          </w:tcPr>
          <w:p w:rsidR="008A29CA" w:rsidRPr="00442EEE" w:rsidRDefault="008A29CA" w:rsidP="008A29CA">
            <w:pPr>
              <w:autoSpaceDE w:val="0"/>
              <w:autoSpaceDN w:val="0"/>
              <w:jc w:val="right"/>
              <w:rPr>
                <w:b/>
              </w:rPr>
            </w:pPr>
            <w:r>
              <w:rPr>
                <w:b/>
              </w:rPr>
              <w:t>7,403</w:t>
            </w:r>
          </w:p>
        </w:tc>
        <w:tc>
          <w:tcPr>
            <w:tcW w:w="1843" w:type="dxa"/>
          </w:tcPr>
          <w:p w:rsidR="008A29CA" w:rsidRPr="00442EEE" w:rsidRDefault="008A29CA" w:rsidP="008A29CA">
            <w:pPr>
              <w:autoSpaceDE w:val="0"/>
              <w:autoSpaceDN w:val="0"/>
              <w:jc w:val="right"/>
              <w:rPr>
                <w:b/>
              </w:rPr>
            </w:pPr>
            <w:r>
              <w:rPr>
                <w:b/>
              </w:rPr>
              <w:t>6,234</w:t>
            </w:r>
          </w:p>
        </w:tc>
      </w:tr>
    </w:tbl>
    <w:p w:rsidR="008A29CA" w:rsidRPr="00442EEE" w:rsidRDefault="008A29CA" w:rsidP="008A29CA">
      <w:pPr>
        <w:ind w:left="720"/>
      </w:pPr>
    </w:p>
    <w:p w:rsidR="008A29CA" w:rsidRPr="00442EEE" w:rsidRDefault="008A29CA" w:rsidP="008A29CA">
      <w:pPr>
        <w:ind w:firstLine="720"/>
        <w:rPr>
          <w:u w:val="single"/>
        </w:rPr>
      </w:pPr>
      <w:r w:rsidRPr="00442EEE">
        <w:rPr>
          <w:u w:val="single"/>
        </w:rPr>
        <w:t>Phase 3</w:t>
      </w:r>
    </w:p>
    <w:p w:rsidR="008A29CA" w:rsidRPr="00442EEE" w:rsidRDefault="008A29CA" w:rsidP="008A29CA">
      <w:pPr>
        <w:jc w:val="both"/>
      </w:pPr>
    </w:p>
    <w:p w:rsidR="00EE67BB" w:rsidRDefault="008A29CA" w:rsidP="00EE67BB">
      <w:pPr>
        <w:ind w:left="720"/>
        <w:jc w:val="both"/>
      </w:pPr>
      <w:r w:rsidRPr="00442EEE">
        <w:t xml:space="preserve">The contract is for approximately 27 years comprising two years construction and 25 years operation once the schools have opened.  The two schools opened in September 2010. </w:t>
      </w:r>
    </w:p>
    <w:p w:rsidR="00EE67BB" w:rsidRDefault="00EE67BB" w:rsidP="00EE67BB">
      <w:pPr>
        <w:ind w:left="720"/>
        <w:jc w:val="both"/>
      </w:pPr>
    </w:p>
    <w:p w:rsidR="008A29CA" w:rsidRDefault="008A29CA" w:rsidP="00EE67BB">
      <w:pPr>
        <w:ind w:left="720"/>
        <w:jc w:val="both"/>
      </w:pPr>
      <w:r w:rsidRPr="00442EEE">
        <w:t>Payments remaining to be made under the PFI contract at 31 March 201</w:t>
      </w:r>
      <w:r>
        <w:t>2</w:t>
      </w:r>
      <w:r w:rsidRPr="00442EEE">
        <w:t xml:space="preserve">(excluding any estimation of inflation and availability/performance deductions) are as follows: </w:t>
      </w:r>
    </w:p>
    <w:p w:rsidR="00EE67BB" w:rsidRPr="00442EEE" w:rsidRDefault="00EE67BB" w:rsidP="00EE67BB">
      <w:pPr>
        <w:ind w:left="720"/>
        <w:jc w:val="both"/>
      </w:pPr>
    </w:p>
    <w:tbl>
      <w:tblPr>
        <w:tblW w:w="4445"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0"/>
        <w:gridCol w:w="1419"/>
        <w:gridCol w:w="1702"/>
        <w:gridCol w:w="1844"/>
        <w:gridCol w:w="1981"/>
      </w:tblGrid>
      <w:tr w:rsidR="008A29CA" w:rsidRPr="00442EEE" w:rsidTr="008A29CA">
        <w:tc>
          <w:tcPr>
            <w:tcW w:w="1343" w:type="pct"/>
            <w:shd w:val="clear" w:color="auto" w:fill="auto"/>
            <w:hideMark/>
          </w:tcPr>
          <w:p w:rsidR="008A29CA" w:rsidRPr="00442EEE" w:rsidRDefault="008A29CA" w:rsidP="008A29CA">
            <w:pPr>
              <w:shd w:val="clear" w:color="auto" w:fill="FFFFFF"/>
              <w:spacing w:before="100" w:beforeAutospacing="1" w:after="100" w:afterAutospacing="1"/>
            </w:pPr>
          </w:p>
        </w:tc>
        <w:tc>
          <w:tcPr>
            <w:tcW w:w="747" w:type="pct"/>
            <w:shd w:val="clear" w:color="auto" w:fill="auto"/>
            <w:hideMark/>
          </w:tcPr>
          <w:p w:rsidR="008A29CA" w:rsidRPr="00442EEE" w:rsidRDefault="008A29CA" w:rsidP="008A29CA">
            <w:pPr>
              <w:shd w:val="clear" w:color="auto" w:fill="FFFFFF"/>
              <w:spacing w:before="100" w:beforeAutospacing="1" w:after="100" w:afterAutospacing="1"/>
              <w:jc w:val="right"/>
            </w:pPr>
            <w:r w:rsidRPr="00442EEE">
              <w:t>Payments for Services</w:t>
            </w:r>
          </w:p>
          <w:p w:rsidR="008A29CA" w:rsidRPr="00442EEE" w:rsidRDefault="008A29CA" w:rsidP="008A29CA">
            <w:pPr>
              <w:shd w:val="clear" w:color="auto" w:fill="FFFFFF"/>
              <w:spacing w:before="100" w:beforeAutospacing="1" w:after="100" w:afterAutospacing="1"/>
              <w:jc w:val="right"/>
            </w:pPr>
            <w:r w:rsidRPr="00442EEE">
              <w:t>£000</w:t>
            </w:r>
          </w:p>
        </w:tc>
        <w:tc>
          <w:tcPr>
            <w:tcW w:w="896" w:type="pct"/>
            <w:shd w:val="clear" w:color="auto" w:fill="auto"/>
          </w:tcPr>
          <w:p w:rsidR="008A29CA" w:rsidRPr="00442EEE" w:rsidRDefault="008A29CA" w:rsidP="008A29CA">
            <w:pPr>
              <w:shd w:val="clear" w:color="auto" w:fill="FFFFFF"/>
              <w:spacing w:before="100" w:beforeAutospacing="1" w:after="100" w:afterAutospacing="1"/>
              <w:jc w:val="right"/>
            </w:pPr>
            <w:r w:rsidRPr="00442EEE">
              <w:t>Repayment of liability</w:t>
            </w:r>
          </w:p>
          <w:p w:rsidR="008A29CA" w:rsidRPr="00442EEE" w:rsidRDefault="008A29CA" w:rsidP="008A29CA">
            <w:pPr>
              <w:shd w:val="clear" w:color="auto" w:fill="FFFFFF"/>
              <w:spacing w:before="100" w:beforeAutospacing="1" w:after="100" w:afterAutospacing="1"/>
              <w:jc w:val="right"/>
            </w:pPr>
            <w:r w:rsidRPr="00442EEE">
              <w:t>£000</w:t>
            </w:r>
          </w:p>
          <w:p w:rsidR="008A29CA" w:rsidRPr="00442EEE" w:rsidRDefault="008A29CA" w:rsidP="008A29CA">
            <w:pPr>
              <w:shd w:val="clear" w:color="auto" w:fill="FFFFFF"/>
              <w:spacing w:before="100" w:beforeAutospacing="1" w:after="100" w:afterAutospacing="1"/>
              <w:jc w:val="right"/>
            </w:pPr>
          </w:p>
        </w:tc>
        <w:tc>
          <w:tcPr>
            <w:tcW w:w="971" w:type="pct"/>
            <w:shd w:val="clear" w:color="auto" w:fill="auto"/>
          </w:tcPr>
          <w:p w:rsidR="008A29CA" w:rsidRPr="00442EEE" w:rsidRDefault="008A29CA" w:rsidP="008A29CA">
            <w:pPr>
              <w:shd w:val="clear" w:color="auto" w:fill="FFFFFF"/>
              <w:spacing w:before="100" w:beforeAutospacing="1" w:after="100" w:afterAutospacing="1"/>
              <w:jc w:val="right"/>
            </w:pPr>
            <w:r w:rsidRPr="00442EEE">
              <w:t>Interest Charges</w:t>
            </w:r>
          </w:p>
          <w:p w:rsidR="008A29CA" w:rsidRPr="00442EEE" w:rsidRDefault="008A29CA" w:rsidP="008A29CA">
            <w:pPr>
              <w:shd w:val="clear" w:color="auto" w:fill="FFFFFF"/>
              <w:spacing w:before="100" w:beforeAutospacing="1" w:after="100" w:afterAutospacing="1"/>
              <w:jc w:val="right"/>
            </w:pPr>
            <w:r w:rsidRPr="00442EEE">
              <w:t>£000</w:t>
            </w:r>
          </w:p>
        </w:tc>
        <w:tc>
          <w:tcPr>
            <w:tcW w:w="1043" w:type="pct"/>
            <w:shd w:val="clear" w:color="auto" w:fill="auto"/>
          </w:tcPr>
          <w:p w:rsidR="008A29CA" w:rsidRPr="00442EEE" w:rsidRDefault="008A29CA" w:rsidP="008A29CA">
            <w:pPr>
              <w:shd w:val="clear" w:color="auto" w:fill="FFFFFF"/>
              <w:spacing w:before="100" w:beforeAutospacing="1" w:after="100" w:afterAutospacing="1"/>
              <w:jc w:val="right"/>
            </w:pPr>
            <w:r w:rsidRPr="00442EEE">
              <w:t>Total Payments due</w:t>
            </w:r>
          </w:p>
          <w:p w:rsidR="008A29CA" w:rsidRPr="00442EEE" w:rsidRDefault="008A29CA" w:rsidP="008A29CA">
            <w:pPr>
              <w:shd w:val="clear" w:color="auto" w:fill="FFFFFF"/>
              <w:spacing w:before="100" w:beforeAutospacing="1" w:after="100" w:afterAutospacing="1"/>
              <w:jc w:val="right"/>
            </w:pPr>
            <w:r w:rsidRPr="00442EEE">
              <w:t>£000</w:t>
            </w:r>
          </w:p>
        </w:tc>
      </w:tr>
      <w:tr w:rsidR="008A29CA" w:rsidRPr="00442EEE" w:rsidTr="008A29CA">
        <w:tc>
          <w:tcPr>
            <w:tcW w:w="1343" w:type="pct"/>
            <w:shd w:val="clear" w:color="auto" w:fill="auto"/>
            <w:hideMark/>
          </w:tcPr>
          <w:p w:rsidR="008A29CA" w:rsidRPr="00442EEE" w:rsidRDefault="008A29CA" w:rsidP="008A29CA">
            <w:pPr>
              <w:shd w:val="clear" w:color="auto" w:fill="FFFFFF"/>
              <w:spacing w:before="100" w:beforeAutospacing="1" w:after="100" w:afterAutospacing="1"/>
            </w:pPr>
            <w:r w:rsidRPr="00442EEE">
              <w:t>Payable in 201</w:t>
            </w:r>
            <w:r>
              <w:t>2</w:t>
            </w:r>
            <w:r w:rsidRPr="00442EEE">
              <w:t>/1</w:t>
            </w:r>
            <w:r>
              <w:t>3</w:t>
            </w:r>
          </w:p>
        </w:tc>
        <w:tc>
          <w:tcPr>
            <w:tcW w:w="747" w:type="pct"/>
            <w:shd w:val="clear" w:color="auto" w:fill="auto"/>
            <w:hideMark/>
          </w:tcPr>
          <w:p w:rsidR="008A29CA" w:rsidRPr="00442EEE" w:rsidRDefault="008A29CA" w:rsidP="008A29CA">
            <w:pPr>
              <w:shd w:val="clear" w:color="auto" w:fill="FFFFFF"/>
              <w:spacing w:before="100" w:beforeAutospacing="1" w:after="100" w:afterAutospacing="1"/>
              <w:jc w:val="right"/>
            </w:pPr>
            <w:r>
              <w:t>1,192</w:t>
            </w:r>
          </w:p>
        </w:tc>
        <w:tc>
          <w:tcPr>
            <w:tcW w:w="896" w:type="pct"/>
            <w:shd w:val="clear" w:color="auto" w:fill="auto"/>
          </w:tcPr>
          <w:p w:rsidR="008A29CA" w:rsidRPr="00442EEE" w:rsidRDefault="008A29CA" w:rsidP="008A29CA">
            <w:pPr>
              <w:shd w:val="clear" w:color="auto" w:fill="FFFFFF"/>
              <w:spacing w:before="100" w:beforeAutospacing="1" w:after="100" w:afterAutospacing="1"/>
              <w:jc w:val="right"/>
            </w:pPr>
            <w:r>
              <w:t>545</w:t>
            </w:r>
          </w:p>
        </w:tc>
        <w:tc>
          <w:tcPr>
            <w:tcW w:w="971" w:type="pct"/>
            <w:shd w:val="clear" w:color="auto" w:fill="auto"/>
          </w:tcPr>
          <w:p w:rsidR="008A29CA" w:rsidRPr="00442EEE" w:rsidRDefault="008A29CA" w:rsidP="008A29CA">
            <w:pPr>
              <w:shd w:val="clear" w:color="auto" w:fill="FFFFFF"/>
              <w:spacing w:before="100" w:beforeAutospacing="1" w:after="100" w:afterAutospacing="1"/>
              <w:jc w:val="right"/>
            </w:pPr>
            <w:r>
              <w:t>3,447</w:t>
            </w:r>
          </w:p>
        </w:tc>
        <w:tc>
          <w:tcPr>
            <w:tcW w:w="1043" w:type="pct"/>
            <w:shd w:val="clear" w:color="auto" w:fill="auto"/>
          </w:tcPr>
          <w:p w:rsidR="008A29CA" w:rsidRPr="00442EEE" w:rsidRDefault="008A29CA" w:rsidP="008A29CA">
            <w:pPr>
              <w:shd w:val="clear" w:color="auto" w:fill="FFFFFF"/>
              <w:spacing w:before="100" w:beforeAutospacing="1" w:after="100" w:afterAutospacing="1"/>
              <w:jc w:val="right"/>
            </w:pPr>
            <w:r>
              <w:t>5,184</w:t>
            </w:r>
          </w:p>
        </w:tc>
      </w:tr>
      <w:tr w:rsidR="008A29CA" w:rsidRPr="00442EEE" w:rsidTr="008A29CA">
        <w:tc>
          <w:tcPr>
            <w:tcW w:w="1343" w:type="pct"/>
            <w:shd w:val="clear" w:color="auto" w:fill="auto"/>
            <w:hideMark/>
          </w:tcPr>
          <w:p w:rsidR="008A29CA" w:rsidRPr="00442EEE" w:rsidRDefault="008A29CA" w:rsidP="008A29CA">
            <w:pPr>
              <w:shd w:val="clear" w:color="auto" w:fill="FFFFFF"/>
              <w:spacing w:before="100" w:beforeAutospacing="1" w:after="100" w:afterAutospacing="1"/>
            </w:pPr>
            <w:r w:rsidRPr="00442EEE">
              <w:t>Payable within two to five years</w:t>
            </w:r>
          </w:p>
        </w:tc>
        <w:tc>
          <w:tcPr>
            <w:tcW w:w="747" w:type="pct"/>
            <w:shd w:val="clear" w:color="auto" w:fill="auto"/>
            <w:hideMark/>
          </w:tcPr>
          <w:p w:rsidR="008A29CA" w:rsidRPr="00442EEE" w:rsidRDefault="008A29CA" w:rsidP="008A29CA">
            <w:pPr>
              <w:shd w:val="clear" w:color="auto" w:fill="FFFFFF"/>
              <w:spacing w:before="100" w:beforeAutospacing="1" w:after="100" w:afterAutospacing="1"/>
              <w:jc w:val="right"/>
            </w:pPr>
            <w:r>
              <w:t>5,154</w:t>
            </w:r>
          </w:p>
        </w:tc>
        <w:tc>
          <w:tcPr>
            <w:tcW w:w="896" w:type="pct"/>
            <w:shd w:val="clear" w:color="auto" w:fill="auto"/>
          </w:tcPr>
          <w:p w:rsidR="008A29CA" w:rsidRPr="00442EEE" w:rsidRDefault="008A29CA" w:rsidP="008A29CA">
            <w:pPr>
              <w:shd w:val="clear" w:color="auto" w:fill="FFFFFF"/>
              <w:spacing w:before="100" w:beforeAutospacing="1" w:after="100" w:afterAutospacing="1"/>
              <w:jc w:val="right"/>
            </w:pPr>
            <w:r>
              <w:t>2,444</w:t>
            </w:r>
          </w:p>
        </w:tc>
        <w:tc>
          <w:tcPr>
            <w:tcW w:w="971" w:type="pct"/>
            <w:shd w:val="clear" w:color="auto" w:fill="auto"/>
          </w:tcPr>
          <w:p w:rsidR="008A29CA" w:rsidRPr="00442EEE" w:rsidRDefault="008A29CA" w:rsidP="008A29CA">
            <w:pPr>
              <w:shd w:val="clear" w:color="auto" w:fill="FFFFFF"/>
              <w:spacing w:before="100" w:beforeAutospacing="1" w:after="100" w:afterAutospacing="1"/>
              <w:jc w:val="right"/>
            </w:pPr>
            <w:r>
              <w:t>13,139</w:t>
            </w:r>
          </w:p>
        </w:tc>
        <w:tc>
          <w:tcPr>
            <w:tcW w:w="1043" w:type="pct"/>
            <w:shd w:val="clear" w:color="auto" w:fill="auto"/>
          </w:tcPr>
          <w:p w:rsidR="008A29CA" w:rsidRPr="00442EEE" w:rsidRDefault="008A29CA" w:rsidP="008A29CA">
            <w:pPr>
              <w:shd w:val="clear" w:color="auto" w:fill="FFFFFF"/>
              <w:spacing w:before="100" w:beforeAutospacing="1" w:after="100" w:afterAutospacing="1"/>
              <w:jc w:val="right"/>
            </w:pPr>
            <w:r>
              <w:t>20,737</w:t>
            </w:r>
          </w:p>
        </w:tc>
      </w:tr>
      <w:tr w:rsidR="008A29CA" w:rsidRPr="00442EEE" w:rsidTr="008A29CA">
        <w:tc>
          <w:tcPr>
            <w:tcW w:w="1343" w:type="pct"/>
            <w:shd w:val="clear" w:color="auto" w:fill="auto"/>
            <w:hideMark/>
          </w:tcPr>
          <w:p w:rsidR="008A29CA" w:rsidRPr="00442EEE" w:rsidRDefault="008A29CA" w:rsidP="008A29CA">
            <w:pPr>
              <w:shd w:val="clear" w:color="auto" w:fill="FFFFFF"/>
              <w:spacing w:before="100" w:beforeAutospacing="1" w:after="100" w:afterAutospacing="1"/>
            </w:pPr>
            <w:r w:rsidRPr="00442EEE">
              <w:t>Payable within six to ten years</w:t>
            </w:r>
          </w:p>
        </w:tc>
        <w:tc>
          <w:tcPr>
            <w:tcW w:w="747" w:type="pct"/>
            <w:shd w:val="clear" w:color="auto" w:fill="auto"/>
            <w:hideMark/>
          </w:tcPr>
          <w:p w:rsidR="008A29CA" w:rsidRPr="00442EEE" w:rsidRDefault="008A29CA" w:rsidP="008A29CA">
            <w:pPr>
              <w:shd w:val="clear" w:color="auto" w:fill="FFFFFF"/>
              <w:spacing w:before="100" w:beforeAutospacing="1" w:after="100" w:afterAutospacing="1"/>
              <w:jc w:val="right"/>
            </w:pPr>
            <w:r>
              <w:t>7,743</w:t>
            </w:r>
          </w:p>
        </w:tc>
        <w:tc>
          <w:tcPr>
            <w:tcW w:w="896" w:type="pct"/>
            <w:shd w:val="clear" w:color="auto" w:fill="auto"/>
          </w:tcPr>
          <w:p w:rsidR="008A29CA" w:rsidRPr="00442EEE" w:rsidRDefault="008A29CA" w:rsidP="008A29CA">
            <w:pPr>
              <w:shd w:val="clear" w:color="auto" w:fill="FFFFFF"/>
              <w:spacing w:before="100" w:beforeAutospacing="1" w:after="100" w:afterAutospacing="1"/>
              <w:jc w:val="right"/>
            </w:pPr>
            <w:r>
              <w:t>3,425</w:t>
            </w:r>
          </w:p>
        </w:tc>
        <w:tc>
          <w:tcPr>
            <w:tcW w:w="971" w:type="pct"/>
            <w:shd w:val="clear" w:color="auto" w:fill="auto"/>
          </w:tcPr>
          <w:p w:rsidR="008A29CA" w:rsidRPr="00442EEE" w:rsidRDefault="008A29CA" w:rsidP="008A29CA">
            <w:pPr>
              <w:shd w:val="clear" w:color="auto" w:fill="FFFFFF"/>
              <w:spacing w:before="100" w:beforeAutospacing="1" w:after="100" w:afterAutospacing="1"/>
              <w:jc w:val="right"/>
            </w:pPr>
            <w:r>
              <w:t>14,753</w:t>
            </w:r>
          </w:p>
        </w:tc>
        <w:tc>
          <w:tcPr>
            <w:tcW w:w="1043" w:type="pct"/>
            <w:shd w:val="clear" w:color="auto" w:fill="auto"/>
          </w:tcPr>
          <w:p w:rsidR="008A29CA" w:rsidRPr="00442EEE" w:rsidRDefault="008A29CA" w:rsidP="008A29CA">
            <w:pPr>
              <w:shd w:val="clear" w:color="auto" w:fill="FFFFFF"/>
              <w:spacing w:before="100" w:beforeAutospacing="1" w:after="100" w:afterAutospacing="1"/>
              <w:jc w:val="right"/>
            </w:pPr>
            <w:r>
              <w:t>25,921</w:t>
            </w:r>
          </w:p>
        </w:tc>
      </w:tr>
      <w:tr w:rsidR="008A29CA" w:rsidRPr="00442EEE" w:rsidTr="008A29CA">
        <w:tc>
          <w:tcPr>
            <w:tcW w:w="1343" w:type="pct"/>
            <w:shd w:val="clear" w:color="auto" w:fill="auto"/>
            <w:hideMark/>
          </w:tcPr>
          <w:p w:rsidR="008A29CA" w:rsidRPr="00442EEE" w:rsidRDefault="008A29CA" w:rsidP="008A29CA">
            <w:pPr>
              <w:shd w:val="clear" w:color="auto" w:fill="FFFFFF"/>
              <w:spacing w:before="100" w:beforeAutospacing="1" w:after="100" w:afterAutospacing="1"/>
            </w:pPr>
            <w:r w:rsidRPr="00442EEE">
              <w:t>Payable within eleven to fifteen years</w:t>
            </w:r>
          </w:p>
        </w:tc>
        <w:tc>
          <w:tcPr>
            <w:tcW w:w="747" w:type="pct"/>
            <w:shd w:val="clear" w:color="auto" w:fill="auto"/>
            <w:hideMark/>
          </w:tcPr>
          <w:p w:rsidR="008A29CA" w:rsidRPr="00442EEE" w:rsidRDefault="008A29CA" w:rsidP="008A29CA">
            <w:pPr>
              <w:shd w:val="clear" w:color="auto" w:fill="FFFFFF"/>
              <w:spacing w:before="100" w:beforeAutospacing="1" w:after="100" w:afterAutospacing="1"/>
              <w:jc w:val="right"/>
            </w:pPr>
            <w:r>
              <w:t>7,489</w:t>
            </w:r>
          </w:p>
        </w:tc>
        <w:tc>
          <w:tcPr>
            <w:tcW w:w="896" w:type="pct"/>
            <w:shd w:val="clear" w:color="auto" w:fill="auto"/>
          </w:tcPr>
          <w:p w:rsidR="008A29CA" w:rsidRPr="00442EEE" w:rsidRDefault="008A29CA" w:rsidP="008A29CA">
            <w:pPr>
              <w:shd w:val="clear" w:color="auto" w:fill="FFFFFF"/>
              <w:spacing w:before="100" w:beforeAutospacing="1" w:after="100" w:afterAutospacing="1"/>
              <w:jc w:val="right"/>
            </w:pPr>
            <w:r>
              <w:t>6,043</w:t>
            </w:r>
          </w:p>
        </w:tc>
        <w:tc>
          <w:tcPr>
            <w:tcW w:w="971" w:type="pct"/>
            <w:shd w:val="clear" w:color="auto" w:fill="auto"/>
          </w:tcPr>
          <w:p w:rsidR="008A29CA" w:rsidRPr="00442EEE" w:rsidRDefault="008A29CA" w:rsidP="008A29CA">
            <w:pPr>
              <w:shd w:val="clear" w:color="auto" w:fill="FFFFFF"/>
              <w:spacing w:before="100" w:beforeAutospacing="1" w:after="100" w:afterAutospacing="1"/>
              <w:jc w:val="right"/>
            </w:pPr>
            <w:r>
              <w:t>12,389</w:t>
            </w:r>
          </w:p>
        </w:tc>
        <w:tc>
          <w:tcPr>
            <w:tcW w:w="1043" w:type="pct"/>
            <w:shd w:val="clear" w:color="auto" w:fill="auto"/>
          </w:tcPr>
          <w:p w:rsidR="008A29CA" w:rsidRPr="00442EEE" w:rsidRDefault="008A29CA" w:rsidP="008A29CA">
            <w:pPr>
              <w:shd w:val="clear" w:color="auto" w:fill="FFFFFF"/>
              <w:spacing w:before="100" w:beforeAutospacing="1" w:after="100" w:afterAutospacing="1"/>
              <w:jc w:val="right"/>
            </w:pPr>
            <w:r>
              <w:t>25,921</w:t>
            </w:r>
          </w:p>
        </w:tc>
      </w:tr>
      <w:tr w:rsidR="008A29CA" w:rsidRPr="00442EEE" w:rsidTr="008A29CA">
        <w:tc>
          <w:tcPr>
            <w:tcW w:w="1343" w:type="pct"/>
            <w:shd w:val="clear" w:color="auto" w:fill="auto"/>
            <w:hideMark/>
          </w:tcPr>
          <w:p w:rsidR="008A29CA" w:rsidRPr="00442EEE" w:rsidRDefault="008A29CA" w:rsidP="008A29CA">
            <w:pPr>
              <w:shd w:val="clear" w:color="auto" w:fill="FFFFFF"/>
              <w:spacing w:before="100" w:beforeAutospacing="1" w:after="100" w:afterAutospacing="1"/>
            </w:pPr>
            <w:r w:rsidRPr="00442EEE">
              <w:t>Payable within sixteen to twenty years</w:t>
            </w:r>
          </w:p>
        </w:tc>
        <w:tc>
          <w:tcPr>
            <w:tcW w:w="747" w:type="pct"/>
            <w:shd w:val="clear" w:color="auto" w:fill="auto"/>
            <w:hideMark/>
          </w:tcPr>
          <w:p w:rsidR="008A29CA" w:rsidRPr="00442EEE" w:rsidRDefault="008A29CA" w:rsidP="008A29CA">
            <w:pPr>
              <w:shd w:val="clear" w:color="auto" w:fill="FFFFFF"/>
              <w:spacing w:before="100" w:beforeAutospacing="1" w:after="100" w:afterAutospacing="1"/>
              <w:jc w:val="right"/>
            </w:pPr>
            <w:r>
              <w:t>9,035</w:t>
            </w:r>
          </w:p>
        </w:tc>
        <w:tc>
          <w:tcPr>
            <w:tcW w:w="896" w:type="pct"/>
            <w:shd w:val="clear" w:color="auto" w:fill="auto"/>
          </w:tcPr>
          <w:p w:rsidR="008A29CA" w:rsidRPr="00442EEE" w:rsidRDefault="008A29CA" w:rsidP="008A29CA">
            <w:pPr>
              <w:shd w:val="clear" w:color="auto" w:fill="FFFFFF"/>
              <w:spacing w:before="100" w:beforeAutospacing="1" w:after="100" w:afterAutospacing="1"/>
              <w:jc w:val="right"/>
            </w:pPr>
            <w:r>
              <w:t>8,171</w:t>
            </w:r>
          </w:p>
        </w:tc>
        <w:tc>
          <w:tcPr>
            <w:tcW w:w="971" w:type="pct"/>
            <w:shd w:val="clear" w:color="auto" w:fill="auto"/>
          </w:tcPr>
          <w:p w:rsidR="008A29CA" w:rsidRPr="00442EEE" w:rsidRDefault="008A29CA" w:rsidP="008A29CA">
            <w:pPr>
              <w:shd w:val="clear" w:color="auto" w:fill="FFFFFF"/>
              <w:spacing w:before="100" w:beforeAutospacing="1" w:after="100" w:afterAutospacing="1"/>
              <w:jc w:val="right"/>
            </w:pPr>
            <w:r>
              <w:t>8,715</w:t>
            </w:r>
          </w:p>
        </w:tc>
        <w:tc>
          <w:tcPr>
            <w:tcW w:w="1043" w:type="pct"/>
            <w:shd w:val="clear" w:color="auto" w:fill="auto"/>
          </w:tcPr>
          <w:p w:rsidR="008A29CA" w:rsidRPr="00442EEE" w:rsidRDefault="008A29CA" w:rsidP="008A29CA">
            <w:pPr>
              <w:shd w:val="clear" w:color="auto" w:fill="FFFFFF"/>
              <w:spacing w:before="100" w:beforeAutospacing="1" w:after="100" w:afterAutospacing="1"/>
              <w:jc w:val="right"/>
            </w:pPr>
            <w:r>
              <w:t>25,921</w:t>
            </w:r>
          </w:p>
        </w:tc>
      </w:tr>
      <w:tr w:rsidR="008A29CA" w:rsidRPr="00442EEE" w:rsidTr="008A29CA">
        <w:tc>
          <w:tcPr>
            <w:tcW w:w="1343" w:type="pct"/>
            <w:shd w:val="clear" w:color="auto" w:fill="auto"/>
            <w:hideMark/>
          </w:tcPr>
          <w:p w:rsidR="008A29CA" w:rsidRPr="00442EEE" w:rsidRDefault="008A29CA" w:rsidP="008A29CA">
            <w:pPr>
              <w:shd w:val="clear" w:color="auto" w:fill="FFFFFF"/>
              <w:spacing w:before="100" w:beforeAutospacing="1" w:after="100" w:afterAutospacing="1"/>
            </w:pPr>
            <w:r w:rsidRPr="00442EEE">
              <w:t>Payable within twenty to twenty-five years</w:t>
            </w:r>
          </w:p>
        </w:tc>
        <w:tc>
          <w:tcPr>
            <w:tcW w:w="747" w:type="pct"/>
            <w:shd w:val="clear" w:color="auto" w:fill="auto"/>
            <w:hideMark/>
          </w:tcPr>
          <w:p w:rsidR="008A29CA" w:rsidRPr="00442EEE" w:rsidRDefault="008A29CA" w:rsidP="008A29CA">
            <w:pPr>
              <w:shd w:val="clear" w:color="auto" w:fill="FFFFFF"/>
              <w:spacing w:before="100" w:beforeAutospacing="1" w:after="100" w:afterAutospacing="1"/>
              <w:jc w:val="right"/>
            </w:pPr>
            <w:r>
              <w:t>5,104</w:t>
            </w:r>
          </w:p>
        </w:tc>
        <w:tc>
          <w:tcPr>
            <w:tcW w:w="896" w:type="pct"/>
            <w:shd w:val="clear" w:color="auto" w:fill="auto"/>
          </w:tcPr>
          <w:p w:rsidR="008A29CA" w:rsidRPr="00442EEE" w:rsidRDefault="008A29CA" w:rsidP="008A29CA">
            <w:pPr>
              <w:shd w:val="clear" w:color="auto" w:fill="FFFFFF"/>
              <w:spacing w:before="100" w:beforeAutospacing="1" w:after="100" w:afterAutospacing="1"/>
              <w:jc w:val="right"/>
            </w:pPr>
            <w:r>
              <w:t>10,047</w:t>
            </w:r>
          </w:p>
        </w:tc>
        <w:tc>
          <w:tcPr>
            <w:tcW w:w="971" w:type="pct"/>
            <w:shd w:val="clear" w:color="auto" w:fill="auto"/>
          </w:tcPr>
          <w:p w:rsidR="008A29CA" w:rsidRPr="00442EEE" w:rsidRDefault="008A29CA" w:rsidP="008A29CA">
            <w:pPr>
              <w:shd w:val="clear" w:color="auto" w:fill="FFFFFF"/>
              <w:spacing w:before="100" w:beforeAutospacing="1" w:after="100" w:afterAutospacing="1"/>
              <w:jc w:val="right"/>
            </w:pPr>
            <w:r>
              <w:t>2,561</w:t>
            </w:r>
          </w:p>
        </w:tc>
        <w:tc>
          <w:tcPr>
            <w:tcW w:w="1043" w:type="pct"/>
            <w:shd w:val="clear" w:color="auto" w:fill="auto"/>
          </w:tcPr>
          <w:p w:rsidR="008A29CA" w:rsidRPr="00442EEE" w:rsidRDefault="008A29CA" w:rsidP="008A29CA">
            <w:pPr>
              <w:shd w:val="clear" w:color="auto" w:fill="FFFFFF"/>
              <w:spacing w:before="100" w:beforeAutospacing="1" w:after="100" w:afterAutospacing="1"/>
              <w:jc w:val="right"/>
            </w:pPr>
            <w:r>
              <w:t>17,712</w:t>
            </w:r>
          </w:p>
        </w:tc>
      </w:tr>
      <w:tr w:rsidR="008A29CA" w:rsidRPr="00442EEE" w:rsidTr="008A29CA">
        <w:tc>
          <w:tcPr>
            <w:tcW w:w="1343" w:type="pct"/>
            <w:shd w:val="clear" w:color="auto" w:fill="auto"/>
            <w:hideMark/>
          </w:tcPr>
          <w:p w:rsidR="008A29CA" w:rsidRPr="00442EEE" w:rsidRDefault="008A29CA" w:rsidP="008A29CA">
            <w:pPr>
              <w:shd w:val="clear" w:color="auto" w:fill="FFFFFF"/>
              <w:spacing w:before="100" w:beforeAutospacing="1" w:after="100" w:afterAutospacing="1"/>
              <w:rPr>
                <w:b/>
              </w:rPr>
            </w:pPr>
            <w:r w:rsidRPr="00442EEE">
              <w:rPr>
                <w:b/>
              </w:rPr>
              <w:t>Total</w:t>
            </w:r>
          </w:p>
        </w:tc>
        <w:tc>
          <w:tcPr>
            <w:tcW w:w="747" w:type="pct"/>
            <w:shd w:val="clear" w:color="auto" w:fill="auto"/>
            <w:hideMark/>
          </w:tcPr>
          <w:p w:rsidR="008A29CA" w:rsidRPr="00442EEE" w:rsidRDefault="008A29CA" w:rsidP="008A29CA">
            <w:pPr>
              <w:shd w:val="clear" w:color="auto" w:fill="FFFFFF"/>
              <w:spacing w:before="100" w:beforeAutospacing="1" w:after="100" w:afterAutospacing="1"/>
              <w:jc w:val="right"/>
              <w:rPr>
                <w:b/>
              </w:rPr>
            </w:pPr>
            <w:r>
              <w:rPr>
                <w:b/>
              </w:rPr>
              <w:t>35,717</w:t>
            </w:r>
          </w:p>
        </w:tc>
        <w:tc>
          <w:tcPr>
            <w:tcW w:w="896" w:type="pct"/>
            <w:shd w:val="clear" w:color="auto" w:fill="auto"/>
          </w:tcPr>
          <w:p w:rsidR="008A29CA" w:rsidRPr="00442EEE" w:rsidRDefault="008A29CA" w:rsidP="008A29CA">
            <w:pPr>
              <w:shd w:val="clear" w:color="auto" w:fill="FFFFFF"/>
              <w:spacing w:before="100" w:beforeAutospacing="1" w:after="100" w:afterAutospacing="1"/>
              <w:jc w:val="right"/>
              <w:rPr>
                <w:b/>
              </w:rPr>
            </w:pPr>
            <w:r>
              <w:rPr>
                <w:b/>
              </w:rPr>
              <w:t>30,675</w:t>
            </w:r>
          </w:p>
        </w:tc>
        <w:tc>
          <w:tcPr>
            <w:tcW w:w="971" w:type="pct"/>
            <w:shd w:val="clear" w:color="auto" w:fill="auto"/>
          </w:tcPr>
          <w:p w:rsidR="008A29CA" w:rsidRPr="00442EEE" w:rsidRDefault="008A29CA" w:rsidP="008A29CA">
            <w:pPr>
              <w:shd w:val="clear" w:color="auto" w:fill="FFFFFF"/>
              <w:spacing w:before="100" w:beforeAutospacing="1" w:after="100" w:afterAutospacing="1"/>
              <w:jc w:val="right"/>
              <w:rPr>
                <w:b/>
              </w:rPr>
            </w:pPr>
            <w:r>
              <w:rPr>
                <w:b/>
              </w:rPr>
              <w:t>55,004</w:t>
            </w:r>
          </w:p>
        </w:tc>
        <w:tc>
          <w:tcPr>
            <w:tcW w:w="1043" w:type="pct"/>
            <w:shd w:val="clear" w:color="auto" w:fill="auto"/>
          </w:tcPr>
          <w:p w:rsidR="008A29CA" w:rsidRPr="00442EEE" w:rsidRDefault="008A29CA" w:rsidP="008A29CA">
            <w:pPr>
              <w:shd w:val="clear" w:color="auto" w:fill="FFFFFF"/>
              <w:spacing w:before="100" w:beforeAutospacing="1" w:after="100" w:afterAutospacing="1"/>
              <w:jc w:val="right"/>
              <w:rPr>
                <w:b/>
              </w:rPr>
            </w:pPr>
            <w:r>
              <w:rPr>
                <w:b/>
              </w:rPr>
              <w:t>121,396</w:t>
            </w:r>
          </w:p>
        </w:tc>
      </w:tr>
    </w:tbl>
    <w:p w:rsidR="008A29CA" w:rsidRPr="00442EEE" w:rsidRDefault="008A29CA" w:rsidP="008A29CA">
      <w:pPr>
        <w:autoSpaceDE w:val="0"/>
        <w:autoSpaceDN w:val="0"/>
      </w:pPr>
    </w:p>
    <w:p w:rsidR="008A29CA" w:rsidRPr="00442EEE" w:rsidRDefault="008A29CA" w:rsidP="008A29CA">
      <w:pPr>
        <w:autoSpaceDE w:val="0"/>
        <w:autoSpaceDN w:val="0"/>
        <w:ind w:firstLine="720"/>
      </w:pPr>
      <w:r w:rsidRPr="00442EEE">
        <w:t>To help finance the scheme we received the following income:</w:t>
      </w:r>
    </w:p>
    <w:p w:rsidR="008A29CA" w:rsidRPr="00442EEE" w:rsidRDefault="008A29CA" w:rsidP="008A29CA">
      <w:pPr>
        <w:autoSpaceDE w:val="0"/>
        <w:autoSpaceDN w:val="0"/>
      </w:pPr>
    </w:p>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2126"/>
        <w:gridCol w:w="2268"/>
      </w:tblGrid>
      <w:tr w:rsidR="008A29CA" w:rsidRPr="008A29CA" w:rsidTr="008A29CA">
        <w:tc>
          <w:tcPr>
            <w:tcW w:w="4536" w:type="dxa"/>
          </w:tcPr>
          <w:p w:rsidR="008A29CA" w:rsidRPr="00442EEE" w:rsidRDefault="008A29CA" w:rsidP="008A29CA">
            <w:pPr>
              <w:autoSpaceDE w:val="0"/>
              <w:autoSpaceDN w:val="0"/>
            </w:pPr>
          </w:p>
        </w:tc>
        <w:tc>
          <w:tcPr>
            <w:tcW w:w="2126" w:type="dxa"/>
          </w:tcPr>
          <w:p w:rsidR="008A29CA" w:rsidRPr="008A29CA" w:rsidRDefault="008A29CA" w:rsidP="008A29CA">
            <w:pPr>
              <w:autoSpaceDE w:val="0"/>
              <w:autoSpaceDN w:val="0"/>
              <w:jc w:val="right"/>
              <w:rPr>
                <w:b/>
              </w:rPr>
            </w:pPr>
            <w:r w:rsidRPr="008A29CA">
              <w:rPr>
                <w:b/>
              </w:rPr>
              <w:t>2011/12</w:t>
            </w:r>
          </w:p>
        </w:tc>
        <w:tc>
          <w:tcPr>
            <w:tcW w:w="2268" w:type="dxa"/>
          </w:tcPr>
          <w:p w:rsidR="008A29CA" w:rsidRPr="008A29CA" w:rsidRDefault="008A29CA" w:rsidP="008A29CA">
            <w:pPr>
              <w:autoSpaceDE w:val="0"/>
              <w:autoSpaceDN w:val="0"/>
              <w:jc w:val="right"/>
              <w:rPr>
                <w:b/>
              </w:rPr>
            </w:pPr>
            <w:r w:rsidRPr="008A29CA">
              <w:rPr>
                <w:b/>
              </w:rPr>
              <w:t>2010/11</w:t>
            </w:r>
          </w:p>
        </w:tc>
      </w:tr>
      <w:tr w:rsidR="008A29CA" w:rsidRPr="008A29CA" w:rsidTr="008A29CA">
        <w:trPr>
          <w:trHeight w:val="491"/>
        </w:trPr>
        <w:tc>
          <w:tcPr>
            <w:tcW w:w="4536" w:type="dxa"/>
          </w:tcPr>
          <w:p w:rsidR="008A29CA" w:rsidRPr="00442EEE" w:rsidRDefault="008A29CA" w:rsidP="008A29CA">
            <w:pPr>
              <w:autoSpaceDE w:val="0"/>
              <w:autoSpaceDN w:val="0"/>
            </w:pPr>
          </w:p>
        </w:tc>
        <w:tc>
          <w:tcPr>
            <w:tcW w:w="2126" w:type="dxa"/>
          </w:tcPr>
          <w:p w:rsidR="008A29CA" w:rsidRPr="008A29CA" w:rsidRDefault="008A29CA" w:rsidP="008A29CA">
            <w:pPr>
              <w:autoSpaceDE w:val="0"/>
              <w:autoSpaceDN w:val="0"/>
              <w:jc w:val="right"/>
              <w:rPr>
                <w:b/>
              </w:rPr>
            </w:pPr>
            <w:r w:rsidRPr="008A29CA">
              <w:rPr>
                <w:b/>
              </w:rPr>
              <w:t>£000</w:t>
            </w:r>
          </w:p>
        </w:tc>
        <w:tc>
          <w:tcPr>
            <w:tcW w:w="2268" w:type="dxa"/>
          </w:tcPr>
          <w:p w:rsidR="008A29CA" w:rsidRPr="008A29CA" w:rsidRDefault="008A29CA" w:rsidP="008A29CA">
            <w:pPr>
              <w:tabs>
                <w:tab w:val="left" w:pos="581"/>
                <w:tab w:val="center" w:pos="1026"/>
              </w:tabs>
              <w:autoSpaceDE w:val="0"/>
              <w:autoSpaceDN w:val="0"/>
              <w:jc w:val="right"/>
              <w:rPr>
                <w:b/>
              </w:rPr>
            </w:pPr>
            <w:r w:rsidRPr="008A29CA">
              <w:rPr>
                <w:b/>
              </w:rPr>
              <w:tab/>
            </w:r>
            <w:r w:rsidRPr="008A29CA">
              <w:rPr>
                <w:b/>
              </w:rPr>
              <w:tab/>
              <w:t>£000</w:t>
            </w:r>
          </w:p>
        </w:tc>
      </w:tr>
      <w:tr w:rsidR="008A29CA" w:rsidRPr="008A29CA" w:rsidTr="008A29CA">
        <w:trPr>
          <w:trHeight w:val="491"/>
        </w:trPr>
        <w:tc>
          <w:tcPr>
            <w:tcW w:w="4536" w:type="dxa"/>
          </w:tcPr>
          <w:p w:rsidR="008A29CA" w:rsidRPr="00442EEE" w:rsidRDefault="008A29CA" w:rsidP="008A29CA">
            <w:pPr>
              <w:autoSpaceDE w:val="0"/>
              <w:autoSpaceDN w:val="0"/>
            </w:pPr>
            <w:r w:rsidRPr="00442EEE">
              <w:t xml:space="preserve">PFI grant from the government </w:t>
            </w:r>
          </w:p>
        </w:tc>
        <w:tc>
          <w:tcPr>
            <w:tcW w:w="2126" w:type="dxa"/>
          </w:tcPr>
          <w:p w:rsidR="008A29CA" w:rsidRPr="008A29CA" w:rsidRDefault="008A29CA" w:rsidP="008A29CA">
            <w:pPr>
              <w:autoSpaceDE w:val="0"/>
              <w:autoSpaceDN w:val="0"/>
              <w:jc w:val="right"/>
            </w:pPr>
            <w:r w:rsidRPr="008A29CA">
              <w:t>3,177</w:t>
            </w:r>
          </w:p>
        </w:tc>
        <w:tc>
          <w:tcPr>
            <w:tcW w:w="2268" w:type="dxa"/>
          </w:tcPr>
          <w:p w:rsidR="008A29CA" w:rsidRPr="008A29CA" w:rsidRDefault="008A29CA" w:rsidP="008A29CA">
            <w:pPr>
              <w:autoSpaceDE w:val="0"/>
              <w:autoSpaceDN w:val="0"/>
              <w:jc w:val="right"/>
            </w:pPr>
            <w:r w:rsidRPr="008A29CA">
              <w:t>1,726</w:t>
            </w:r>
          </w:p>
        </w:tc>
      </w:tr>
      <w:tr w:rsidR="008A29CA" w:rsidRPr="008A29CA" w:rsidTr="008A29CA">
        <w:tc>
          <w:tcPr>
            <w:tcW w:w="4536" w:type="dxa"/>
          </w:tcPr>
          <w:p w:rsidR="008A29CA" w:rsidRPr="00442EEE" w:rsidRDefault="008A29CA" w:rsidP="008A29CA">
            <w:pPr>
              <w:autoSpaceDE w:val="0"/>
              <w:autoSpaceDN w:val="0"/>
            </w:pPr>
            <w:r w:rsidRPr="00442EEE">
              <w:t>Contributions from the school  </w:t>
            </w:r>
          </w:p>
        </w:tc>
        <w:tc>
          <w:tcPr>
            <w:tcW w:w="2126" w:type="dxa"/>
          </w:tcPr>
          <w:p w:rsidR="008A29CA" w:rsidRPr="008A29CA" w:rsidRDefault="008A29CA" w:rsidP="008A29CA">
            <w:pPr>
              <w:autoSpaceDE w:val="0"/>
              <w:autoSpaceDN w:val="0"/>
              <w:jc w:val="right"/>
            </w:pPr>
            <w:r w:rsidRPr="008A29CA">
              <w:t>2,086</w:t>
            </w:r>
          </w:p>
        </w:tc>
        <w:tc>
          <w:tcPr>
            <w:tcW w:w="2268" w:type="dxa"/>
          </w:tcPr>
          <w:p w:rsidR="008A29CA" w:rsidRPr="008A29CA" w:rsidRDefault="008A29CA" w:rsidP="008A29CA">
            <w:pPr>
              <w:autoSpaceDE w:val="0"/>
              <w:autoSpaceDN w:val="0"/>
              <w:jc w:val="right"/>
            </w:pPr>
            <w:r w:rsidRPr="008A29CA">
              <w:t>1,131</w:t>
            </w:r>
          </w:p>
        </w:tc>
      </w:tr>
      <w:tr w:rsidR="008A29CA" w:rsidRPr="008A29CA" w:rsidTr="008A29CA">
        <w:trPr>
          <w:trHeight w:val="566"/>
        </w:trPr>
        <w:tc>
          <w:tcPr>
            <w:tcW w:w="4536" w:type="dxa"/>
          </w:tcPr>
          <w:p w:rsidR="008A29CA" w:rsidRPr="00442EEE" w:rsidRDefault="008A29CA" w:rsidP="008A29CA">
            <w:pPr>
              <w:autoSpaceDE w:val="0"/>
              <w:autoSpaceDN w:val="0"/>
            </w:pPr>
            <w:r w:rsidRPr="00442EEE">
              <w:t>Contributions from the local authority</w:t>
            </w:r>
          </w:p>
        </w:tc>
        <w:tc>
          <w:tcPr>
            <w:tcW w:w="2126" w:type="dxa"/>
          </w:tcPr>
          <w:p w:rsidR="008A29CA" w:rsidRPr="008A29CA" w:rsidRDefault="008A29CA" w:rsidP="008A29CA">
            <w:pPr>
              <w:autoSpaceDE w:val="0"/>
              <w:autoSpaceDN w:val="0"/>
              <w:jc w:val="right"/>
            </w:pPr>
            <w:r w:rsidRPr="008A29CA">
              <w:t>-</w:t>
            </w:r>
          </w:p>
        </w:tc>
        <w:tc>
          <w:tcPr>
            <w:tcW w:w="2268" w:type="dxa"/>
          </w:tcPr>
          <w:p w:rsidR="008A29CA" w:rsidRPr="008A29CA" w:rsidRDefault="008A29CA" w:rsidP="008A29CA">
            <w:pPr>
              <w:autoSpaceDE w:val="0"/>
              <w:autoSpaceDN w:val="0"/>
              <w:jc w:val="right"/>
            </w:pPr>
            <w:r w:rsidRPr="008A29CA">
              <w:t>-</w:t>
            </w:r>
          </w:p>
        </w:tc>
      </w:tr>
      <w:tr w:rsidR="008A29CA" w:rsidRPr="00E66706" w:rsidTr="008A29CA">
        <w:tc>
          <w:tcPr>
            <w:tcW w:w="4536" w:type="dxa"/>
          </w:tcPr>
          <w:p w:rsidR="008A29CA" w:rsidRPr="00442EEE" w:rsidRDefault="008A29CA" w:rsidP="008A29CA">
            <w:pPr>
              <w:autoSpaceDE w:val="0"/>
              <w:autoSpaceDN w:val="0"/>
              <w:rPr>
                <w:b/>
              </w:rPr>
            </w:pPr>
            <w:r w:rsidRPr="00442EEE">
              <w:rPr>
                <w:b/>
              </w:rPr>
              <w:t>Total</w:t>
            </w:r>
          </w:p>
        </w:tc>
        <w:tc>
          <w:tcPr>
            <w:tcW w:w="2126" w:type="dxa"/>
          </w:tcPr>
          <w:p w:rsidR="008A29CA" w:rsidRPr="008A29CA" w:rsidRDefault="008A29CA" w:rsidP="008A29CA">
            <w:pPr>
              <w:autoSpaceDE w:val="0"/>
              <w:autoSpaceDN w:val="0"/>
              <w:jc w:val="right"/>
              <w:rPr>
                <w:b/>
              </w:rPr>
            </w:pPr>
            <w:r w:rsidRPr="008A29CA">
              <w:rPr>
                <w:b/>
              </w:rPr>
              <w:t>5,263</w:t>
            </w:r>
          </w:p>
        </w:tc>
        <w:tc>
          <w:tcPr>
            <w:tcW w:w="2268" w:type="dxa"/>
          </w:tcPr>
          <w:p w:rsidR="008A29CA" w:rsidRPr="00E66706" w:rsidRDefault="008A29CA" w:rsidP="008A29CA">
            <w:pPr>
              <w:autoSpaceDE w:val="0"/>
              <w:autoSpaceDN w:val="0"/>
              <w:jc w:val="right"/>
              <w:rPr>
                <w:b/>
              </w:rPr>
            </w:pPr>
            <w:r w:rsidRPr="00E66706">
              <w:rPr>
                <w:b/>
              </w:rPr>
              <w:t>2,857</w:t>
            </w:r>
          </w:p>
        </w:tc>
      </w:tr>
    </w:tbl>
    <w:p w:rsidR="008A29CA" w:rsidRPr="00442EEE" w:rsidRDefault="008A29CA" w:rsidP="008A29CA">
      <w:pPr>
        <w:ind w:left="720"/>
      </w:pPr>
    </w:p>
    <w:p w:rsidR="008A29CA" w:rsidRPr="00442EEE" w:rsidRDefault="008A29CA" w:rsidP="008A29CA">
      <w:pPr>
        <w:ind w:left="720"/>
        <w:jc w:val="both"/>
      </w:pPr>
      <w:r w:rsidRPr="00442EEE">
        <w:t>Although the payments made to the contractor are described as unitary payments, they have been calculated to compensate the contractor for the fair value of the services they provide, the capital expenditure incurred and interest payable whilst the capital expenditure remains to be reimbursed.</w:t>
      </w:r>
    </w:p>
    <w:p w:rsidR="008A29CA" w:rsidRPr="00442EEE" w:rsidRDefault="008A29CA" w:rsidP="008A29CA">
      <w:pPr>
        <w:jc w:val="both"/>
      </w:pPr>
    </w:p>
    <w:p w:rsidR="008A29CA" w:rsidRPr="00442EEE" w:rsidRDefault="008A29CA" w:rsidP="008A29CA">
      <w:pPr>
        <w:ind w:left="720"/>
        <w:jc w:val="both"/>
      </w:pPr>
      <w:r w:rsidRPr="00B8553B">
        <w:t>The liability outstanding to pay the liability to the contractor for capital expenditure incurred is as follows:</w:t>
      </w:r>
    </w:p>
    <w:p w:rsidR="008A29CA" w:rsidRPr="00442EEE" w:rsidRDefault="008A29CA" w:rsidP="008A29CA"/>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7"/>
        <w:gridCol w:w="2021"/>
        <w:gridCol w:w="1893"/>
      </w:tblGrid>
      <w:tr w:rsidR="008A29CA" w:rsidRPr="00442EEE" w:rsidTr="008A29CA">
        <w:tc>
          <w:tcPr>
            <w:tcW w:w="4227" w:type="dxa"/>
          </w:tcPr>
          <w:p w:rsidR="008A29CA" w:rsidRPr="00442EEE" w:rsidRDefault="008A29CA" w:rsidP="008A29CA"/>
        </w:tc>
        <w:tc>
          <w:tcPr>
            <w:tcW w:w="2021" w:type="dxa"/>
          </w:tcPr>
          <w:p w:rsidR="008A29CA" w:rsidRPr="00237C63" w:rsidRDefault="008A29CA" w:rsidP="008A29CA">
            <w:pPr>
              <w:jc w:val="right"/>
              <w:rPr>
                <w:b/>
              </w:rPr>
            </w:pPr>
            <w:r w:rsidRPr="00237C63">
              <w:rPr>
                <w:b/>
              </w:rPr>
              <w:t>201</w:t>
            </w:r>
            <w:r>
              <w:rPr>
                <w:b/>
              </w:rPr>
              <w:t>1</w:t>
            </w:r>
            <w:r w:rsidRPr="00237C63">
              <w:rPr>
                <w:b/>
              </w:rPr>
              <w:t>/1</w:t>
            </w:r>
            <w:r>
              <w:rPr>
                <w:b/>
              </w:rPr>
              <w:t>2</w:t>
            </w:r>
          </w:p>
        </w:tc>
        <w:tc>
          <w:tcPr>
            <w:tcW w:w="1893" w:type="dxa"/>
          </w:tcPr>
          <w:p w:rsidR="008A29CA" w:rsidRPr="00237C63" w:rsidRDefault="008A29CA" w:rsidP="008A29CA">
            <w:pPr>
              <w:jc w:val="right"/>
              <w:rPr>
                <w:b/>
              </w:rPr>
            </w:pPr>
            <w:r w:rsidRPr="00237C63">
              <w:rPr>
                <w:b/>
              </w:rPr>
              <w:t>20</w:t>
            </w:r>
            <w:r>
              <w:rPr>
                <w:b/>
              </w:rPr>
              <w:t>10</w:t>
            </w:r>
            <w:r w:rsidRPr="00237C63">
              <w:rPr>
                <w:b/>
              </w:rPr>
              <w:t>/1</w:t>
            </w:r>
            <w:r>
              <w:rPr>
                <w:b/>
              </w:rPr>
              <w:t>1</w:t>
            </w:r>
          </w:p>
        </w:tc>
      </w:tr>
      <w:tr w:rsidR="008A29CA" w:rsidRPr="00442EEE" w:rsidTr="008A29CA">
        <w:tc>
          <w:tcPr>
            <w:tcW w:w="4227" w:type="dxa"/>
          </w:tcPr>
          <w:p w:rsidR="008A29CA" w:rsidRPr="00442EEE" w:rsidRDefault="008A29CA" w:rsidP="008A29CA"/>
        </w:tc>
        <w:tc>
          <w:tcPr>
            <w:tcW w:w="2021" w:type="dxa"/>
          </w:tcPr>
          <w:p w:rsidR="008A29CA" w:rsidRPr="00237C63" w:rsidRDefault="008A29CA" w:rsidP="008A29CA">
            <w:pPr>
              <w:jc w:val="right"/>
              <w:rPr>
                <w:b/>
              </w:rPr>
            </w:pPr>
            <w:r w:rsidRPr="00237C63">
              <w:rPr>
                <w:b/>
              </w:rPr>
              <w:t>£000</w:t>
            </w:r>
          </w:p>
        </w:tc>
        <w:tc>
          <w:tcPr>
            <w:tcW w:w="1893" w:type="dxa"/>
          </w:tcPr>
          <w:p w:rsidR="008A29CA" w:rsidRPr="00237C63" w:rsidRDefault="008A29CA" w:rsidP="008A29CA">
            <w:pPr>
              <w:jc w:val="right"/>
              <w:rPr>
                <w:b/>
              </w:rPr>
            </w:pPr>
            <w:r w:rsidRPr="00237C63">
              <w:rPr>
                <w:b/>
              </w:rPr>
              <w:t>£000</w:t>
            </w:r>
          </w:p>
        </w:tc>
      </w:tr>
      <w:tr w:rsidR="008A29CA" w:rsidRPr="00442EEE" w:rsidTr="008A29CA">
        <w:tc>
          <w:tcPr>
            <w:tcW w:w="4227" w:type="dxa"/>
          </w:tcPr>
          <w:p w:rsidR="008A29CA" w:rsidRPr="00442EEE" w:rsidRDefault="008A29CA" w:rsidP="008A29CA">
            <w:r w:rsidRPr="00442EEE">
              <w:t>Balance outstanding at start of year</w:t>
            </w:r>
          </w:p>
        </w:tc>
        <w:tc>
          <w:tcPr>
            <w:tcW w:w="2021" w:type="dxa"/>
          </w:tcPr>
          <w:p w:rsidR="008A29CA" w:rsidRPr="00442EEE" w:rsidRDefault="008A29CA" w:rsidP="008A29CA">
            <w:pPr>
              <w:jc w:val="right"/>
            </w:pPr>
            <w:r>
              <w:t>190,590</w:t>
            </w:r>
          </w:p>
        </w:tc>
        <w:tc>
          <w:tcPr>
            <w:tcW w:w="1893" w:type="dxa"/>
          </w:tcPr>
          <w:p w:rsidR="008A29CA" w:rsidRPr="00442EEE" w:rsidRDefault="008A29CA" w:rsidP="008A29CA">
            <w:pPr>
              <w:jc w:val="right"/>
            </w:pPr>
            <w:r w:rsidRPr="00442EEE">
              <w:t>110,296</w:t>
            </w:r>
          </w:p>
        </w:tc>
      </w:tr>
      <w:tr w:rsidR="008A29CA" w:rsidRPr="00442EEE" w:rsidTr="008A29CA">
        <w:tc>
          <w:tcPr>
            <w:tcW w:w="4227" w:type="dxa"/>
          </w:tcPr>
          <w:p w:rsidR="008A29CA" w:rsidRPr="00442EEE" w:rsidRDefault="008A29CA" w:rsidP="008A29CA">
            <w:r w:rsidRPr="00442EEE">
              <w:t>Additions during the year</w:t>
            </w:r>
          </w:p>
        </w:tc>
        <w:tc>
          <w:tcPr>
            <w:tcW w:w="2021" w:type="dxa"/>
          </w:tcPr>
          <w:p w:rsidR="008A29CA" w:rsidRPr="00ED7D02" w:rsidRDefault="008A29CA" w:rsidP="008A29CA">
            <w:pPr>
              <w:jc w:val="right"/>
            </w:pPr>
            <w:r w:rsidRPr="00ED7D02">
              <w:t>-</w:t>
            </w:r>
          </w:p>
        </w:tc>
        <w:tc>
          <w:tcPr>
            <w:tcW w:w="1893" w:type="dxa"/>
          </w:tcPr>
          <w:p w:rsidR="008A29CA" w:rsidRPr="00ED7D02" w:rsidRDefault="008A29CA" w:rsidP="008A29CA">
            <w:pPr>
              <w:jc w:val="right"/>
            </w:pPr>
            <w:r w:rsidRPr="00ED7D02">
              <w:t>84,623</w:t>
            </w:r>
          </w:p>
        </w:tc>
      </w:tr>
      <w:tr w:rsidR="008A29CA" w:rsidRPr="00442EEE" w:rsidTr="008A29CA">
        <w:tc>
          <w:tcPr>
            <w:tcW w:w="4227" w:type="dxa"/>
          </w:tcPr>
          <w:p w:rsidR="008A29CA" w:rsidRPr="00442EEE" w:rsidRDefault="008A29CA" w:rsidP="008A29CA">
            <w:r w:rsidRPr="00442EEE">
              <w:t>Payments during the year</w:t>
            </w:r>
          </w:p>
        </w:tc>
        <w:tc>
          <w:tcPr>
            <w:tcW w:w="2021" w:type="dxa"/>
          </w:tcPr>
          <w:p w:rsidR="008A29CA" w:rsidRPr="00B8553B" w:rsidRDefault="008A29CA" w:rsidP="008A29CA">
            <w:pPr>
              <w:jc w:val="right"/>
            </w:pPr>
            <w:r w:rsidRPr="00B8553B">
              <w:t>(4,313)</w:t>
            </w:r>
          </w:p>
        </w:tc>
        <w:tc>
          <w:tcPr>
            <w:tcW w:w="1893" w:type="dxa"/>
          </w:tcPr>
          <w:p w:rsidR="008A29CA" w:rsidRPr="00442EEE" w:rsidRDefault="008A29CA" w:rsidP="008A29CA">
            <w:pPr>
              <w:jc w:val="right"/>
            </w:pPr>
            <w:r w:rsidRPr="00442EEE">
              <w:t>(4,329)</w:t>
            </w:r>
          </w:p>
        </w:tc>
      </w:tr>
      <w:tr w:rsidR="008A29CA" w:rsidRPr="00442EEE" w:rsidTr="008A29CA">
        <w:tc>
          <w:tcPr>
            <w:tcW w:w="4227" w:type="dxa"/>
          </w:tcPr>
          <w:p w:rsidR="008A29CA" w:rsidRPr="00442EEE" w:rsidRDefault="008A29CA" w:rsidP="008A29CA">
            <w:r w:rsidRPr="00442EEE">
              <w:t>Balance outstanding at year end</w:t>
            </w:r>
          </w:p>
        </w:tc>
        <w:tc>
          <w:tcPr>
            <w:tcW w:w="2021" w:type="dxa"/>
          </w:tcPr>
          <w:p w:rsidR="008A29CA" w:rsidRPr="00B8553B" w:rsidRDefault="008A29CA" w:rsidP="008A29CA">
            <w:pPr>
              <w:jc w:val="right"/>
            </w:pPr>
            <w:r w:rsidRPr="00B8553B">
              <w:t>186,277</w:t>
            </w:r>
          </w:p>
        </w:tc>
        <w:tc>
          <w:tcPr>
            <w:tcW w:w="1893" w:type="dxa"/>
          </w:tcPr>
          <w:p w:rsidR="008A29CA" w:rsidRPr="00442EEE" w:rsidRDefault="008A29CA" w:rsidP="008A29CA">
            <w:pPr>
              <w:jc w:val="right"/>
            </w:pPr>
            <w:r w:rsidRPr="00442EEE">
              <w:t>190,590</w:t>
            </w:r>
          </w:p>
        </w:tc>
      </w:tr>
    </w:tbl>
    <w:p w:rsidR="008A29CA" w:rsidRDefault="008A29CA" w:rsidP="008A29CA"/>
    <w:p w:rsidR="008A29CA" w:rsidRPr="00442EEE" w:rsidRDefault="008A29CA" w:rsidP="008A29CA"/>
    <w:p w:rsidR="008A29CA" w:rsidRPr="00442EEE" w:rsidRDefault="008A29CA" w:rsidP="008A29CA">
      <w:pPr>
        <w:pStyle w:val="Heading2"/>
        <w:ind w:left="720"/>
        <w:jc w:val="both"/>
        <w:rPr>
          <w:b w:val="0"/>
          <w:i w:val="0"/>
          <w:sz w:val="24"/>
          <w:szCs w:val="24"/>
        </w:rPr>
      </w:pPr>
      <w:r w:rsidRPr="00442EEE">
        <w:rPr>
          <w:b w:val="0"/>
          <w:i w:val="0"/>
          <w:sz w:val="24"/>
          <w:szCs w:val="24"/>
        </w:rPr>
        <w:t>Under all these contracts (Fleetwood Sports College and BSF Phases 1, 2, 2a and 3), the authority has the rights to utilise the buildings. Each school is made available for use in the following priority order: (i) provision of education services, (ii) community use, (iii) third party use. The contractor may enter into arrangements for third party use, subject to satisfying criteria laid out in the contract, and may be entitled to charge for such use. An income sharing arrangement is in place regarding any income received for third party use.</w:t>
      </w:r>
    </w:p>
    <w:p w:rsidR="006C142B" w:rsidRPr="00B85310" w:rsidRDefault="008A29CA" w:rsidP="00B85310">
      <w:pPr>
        <w:pStyle w:val="Heading2"/>
        <w:ind w:left="720"/>
        <w:jc w:val="both"/>
        <w:rPr>
          <w:b w:val="0"/>
          <w:i w:val="0"/>
          <w:sz w:val="24"/>
          <w:szCs w:val="24"/>
        </w:rPr>
      </w:pPr>
      <w:r w:rsidRPr="00442EEE">
        <w:rPr>
          <w:b w:val="0"/>
          <w:i w:val="0"/>
          <w:sz w:val="24"/>
          <w:szCs w:val="24"/>
        </w:rPr>
        <w:t>The contractor took on the obligations to construct the schools and to maintain them in a minimum acceptable condition. At the end of the contract period, the buildings will revert to the authority for nil consideration. The significant risks that the authority is exposed to under these PFI's are changes in inflation and changes in demand for the services. There is provision within the agreements for the termination of the contracts, under certain conditions, by either the authority or by the contractor. This may be in the form of voluntary termination by the authority, termination by the contractor on authority default, or termination by the authority on contractor default. Compensation payments are payable upon termination and the calculation of these is determined in the contracts.</w:t>
      </w:r>
    </w:p>
    <w:p w:rsidR="00B85310" w:rsidRDefault="00B85310" w:rsidP="00B85310">
      <w:pPr>
        <w:pStyle w:val="Heading2"/>
        <w:ind w:firstLine="720"/>
        <w:jc w:val="both"/>
        <w:rPr>
          <w:i w:val="0"/>
          <w:sz w:val="24"/>
          <w:szCs w:val="24"/>
        </w:rPr>
      </w:pPr>
      <w:r w:rsidRPr="00442EEE">
        <w:rPr>
          <w:i w:val="0"/>
          <w:sz w:val="24"/>
          <w:szCs w:val="24"/>
        </w:rPr>
        <w:t xml:space="preserve">Lancashire Waste Scheme </w:t>
      </w:r>
    </w:p>
    <w:p w:rsidR="00B85310" w:rsidRPr="00B85310" w:rsidRDefault="00B85310" w:rsidP="00B85310"/>
    <w:p w:rsidR="00CC3B63" w:rsidRPr="00442EEE" w:rsidRDefault="00CC3B63" w:rsidP="00CC3B63">
      <w:pPr>
        <w:ind w:left="720"/>
        <w:jc w:val="both"/>
      </w:pPr>
      <w:r>
        <w:t xml:space="preserve">The </w:t>
      </w:r>
      <w:r w:rsidR="001F1A1A">
        <w:t>County Council</w:t>
      </w:r>
      <w:r w:rsidRPr="00442EEE">
        <w:t xml:space="preserve"> signed a PFI contract with Global Renewables Lancashire (GRL) Limited on 2 March 2007. The Works and Services to be provided under the Contract are procured by Lancashire </w:t>
      </w:r>
      <w:r w:rsidR="001F1A1A">
        <w:t>County Council</w:t>
      </w:r>
      <w:r w:rsidRPr="00442EEE">
        <w:t>.  Blackpool Council is our partner for the project and will contribute towards the costs. The basis of the partnership is set out in a joint working agreement. The contract covers delivery of Contract Waste, treatment and diversion from landfill at the Farington Site and Thornton Site as well as the subsequent disposal of waste from those sites.  The waste handled/processed is Household Waste, Commercial Waste and Green Waste but not Industrial Waste.  In addition an Education Centre and offices are in operation on the Farington site which the contractor also provides and manages along with other "soft services" such as tree planting, waste minimisation initiatives and developing local markets to use the end products from processed waste.</w:t>
      </w:r>
    </w:p>
    <w:p w:rsidR="00CC3B63" w:rsidRPr="00442EEE" w:rsidRDefault="00CC3B63" w:rsidP="00CC3B63">
      <w:pPr>
        <w:jc w:val="both"/>
      </w:pPr>
    </w:p>
    <w:p w:rsidR="00CC3B63" w:rsidRPr="00442EEE" w:rsidRDefault="00CC3B63" w:rsidP="00CC3B63">
      <w:pPr>
        <w:ind w:left="720"/>
        <w:jc w:val="both"/>
      </w:pPr>
      <w:r w:rsidRPr="00442EEE">
        <w:t xml:space="preserve">The waste treatment facilities </w:t>
      </w:r>
      <w:r>
        <w:t>have been built and are in operation</w:t>
      </w:r>
      <w:r w:rsidRPr="00442EEE">
        <w:t xml:space="preserve">. The contract will run for 25 years from the date the final waste treatment facility </w:t>
      </w:r>
      <w:r>
        <w:t>became fully operational</w:t>
      </w:r>
      <w:r w:rsidRPr="00442EEE">
        <w:t xml:space="preserve"> and the </w:t>
      </w:r>
      <w:r w:rsidRPr="00442EEE">
        <w:lastRenderedPageBreak/>
        <w:t xml:space="preserve">total payments to GRL will be around £2.1 billion over the contract period. The Authority pays a unitary payment which consists of a fixed and a variable element, both of which are subject to inflation. This payment can be reduced if the Contractor fails to meet agreed targets. The capital costs of the PFI contract are £263 million. </w:t>
      </w:r>
    </w:p>
    <w:p w:rsidR="00CC3B63" w:rsidRPr="00442EEE" w:rsidRDefault="00CC3B63" w:rsidP="00CC3B63">
      <w:pPr>
        <w:jc w:val="both"/>
      </w:pPr>
    </w:p>
    <w:p w:rsidR="00CC3B63" w:rsidRDefault="00CC3B63" w:rsidP="00CC3B63">
      <w:pPr>
        <w:ind w:left="720"/>
        <w:jc w:val="both"/>
      </w:pPr>
      <w:r>
        <w:t>The facilities were subject to a commissioning and then testing phase (</w:t>
      </w:r>
      <w:r w:rsidR="00E353CF">
        <w:t>Acceptance</w:t>
      </w:r>
      <w:r>
        <w:t xml:space="preserve"> Test) during 2010 and 2011. However, this testing period was inconclusive as it was not possible to measure diversion.  The Authority is currently working with GRL on an alternate method of 'signing' the plants off. </w:t>
      </w:r>
    </w:p>
    <w:p w:rsidR="00CC3B63" w:rsidRDefault="00CC3B63" w:rsidP="00CC3B63">
      <w:pPr>
        <w:ind w:left="720"/>
        <w:jc w:val="both"/>
      </w:pPr>
    </w:p>
    <w:p w:rsidR="00CC3B63" w:rsidRPr="00442EEE" w:rsidRDefault="00CC3B63" w:rsidP="00CC3B63">
      <w:pPr>
        <w:ind w:left="720"/>
        <w:jc w:val="both"/>
      </w:pPr>
      <w:r>
        <w:t xml:space="preserve">Both sites are now in deemed service commencement and as a result, full service payments commenced in the year. From an accounting point of view this also means that the assets are no longer treated as off Balance Sheet but now form part of the </w:t>
      </w:r>
      <w:r w:rsidR="001F1A1A">
        <w:t>County Council</w:t>
      </w:r>
      <w:r>
        <w:t>'s assets.</w:t>
      </w:r>
    </w:p>
    <w:p w:rsidR="00B85310" w:rsidRPr="00442EEE" w:rsidRDefault="00B85310" w:rsidP="00B85310">
      <w:pPr>
        <w:ind w:left="720"/>
        <w:jc w:val="both"/>
      </w:pPr>
    </w:p>
    <w:p w:rsidR="00B85310" w:rsidRDefault="00B85310" w:rsidP="00B85310">
      <w:pPr>
        <w:ind w:left="720"/>
        <w:jc w:val="both"/>
      </w:pPr>
      <w:r w:rsidRPr="00442EEE">
        <w:t>Payments remaining to be made under the PFI contract at 31 March 201</w:t>
      </w:r>
      <w:r>
        <w:t>2</w:t>
      </w:r>
      <w:r w:rsidRPr="00442EEE">
        <w:t>(excluding any estimation of inflation and availability/performance deductions) are as follows</w:t>
      </w:r>
    </w:p>
    <w:p w:rsidR="00B85310" w:rsidRDefault="00B85310" w:rsidP="00B85310">
      <w:pPr>
        <w:ind w:left="720"/>
        <w:jc w:val="both"/>
      </w:pPr>
    </w:p>
    <w:tbl>
      <w:tblPr>
        <w:tblW w:w="98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6"/>
        <w:gridCol w:w="1284"/>
        <w:gridCol w:w="1843"/>
        <w:gridCol w:w="1417"/>
        <w:gridCol w:w="1418"/>
      </w:tblGrid>
      <w:tr w:rsidR="00B85310" w:rsidRPr="00ED18F6" w:rsidTr="000820BE">
        <w:tc>
          <w:tcPr>
            <w:tcW w:w="3916" w:type="dxa"/>
          </w:tcPr>
          <w:p w:rsidR="00B85310" w:rsidRPr="00015B59" w:rsidRDefault="00B85310" w:rsidP="00B85310">
            <w:pPr>
              <w:jc w:val="both"/>
            </w:pPr>
          </w:p>
        </w:tc>
        <w:tc>
          <w:tcPr>
            <w:tcW w:w="1284" w:type="dxa"/>
            <w:vAlign w:val="center"/>
          </w:tcPr>
          <w:p w:rsidR="00B85310" w:rsidRPr="00015B59" w:rsidRDefault="00B85310" w:rsidP="000820BE">
            <w:pPr>
              <w:jc w:val="center"/>
            </w:pPr>
            <w:r w:rsidRPr="00015B59">
              <w:rPr>
                <w:color w:val="000000"/>
              </w:rPr>
              <w:t>Payments for Services</w:t>
            </w:r>
          </w:p>
        </w:tc>
        <w:tc>
          <w:tcPr>
            <w:tcW w:w="1843" w:type="dxa"/>
            <w:vAlign w:val="center"/>
          </w:tcPr>
          <w:p w:rsidR="00B85310" w:rsidRPr="00015B59" w:rsidRDefault="00B85310" w:rsidP="000820BE">
            <w:pPr>
              <w:jc w:val="center"/>
            </w:pPr>
            <w:r w:rsidRPr="00015B59">
              <w:rPr>
                <w:color w:val="000000"/>
              </w:rPr>
              <w:t>Repayment of liability</w:t>
            </w:r>
          </w:p>
        </w:tc>
        <w:tc>
          <w:tcPr>
            <w:tcW w:w="1417" w:type="dxa"/>
            <w:vAlign w:val="center"/>
          </w:tcPr>
          <w:p w:rsidR="00B85310" w:rsidRPr="00015B59" w:rsidRDefault="00B85310" w:rsidP="000820BE">
            <w:pPr>
              <w:jc w:val="center"/>
            </w:pPr>
            <w:r w:rsidRPr="00015B59">
              <w:rPr>
                <w:color w:val="000000"/>
              </w:rPr>
              <w:t>Interest Charges</w:t>
            </w:r>
          </w:p>
        </w:tc>
        <w:tc>
          <w:tcPr>
            <w:tcW w:w="1418" w:type="dxa"/>
            <w:vAlign w:val="center"/>
          </w:tcPr>
          <w:p w:rsidR="00B85310" w:rsidRPr="00015B59" w:rsidRDefault="00B85310" w:rsidP="000820BE">
            <w:pPr>
              <w:jc w:val="center"/>
            </w:pPr>
            <w:r w:rsidRPr="00015B59">
              <w:rPr>
                <w:color w:val="000000"/>
              </w:rPr>
              <w:t>Total Payments due</w:t>
            </w:r>
          </w:p>
        </w:tc>
      </w:tr>
      <w:tr w:rsidR="00B85310" w:rsidRPr="00ED18F6" w:rsidTr="000820BE">
        <w:tc>
          <w:tcPr>
            <w:tcW w:w="3916" w:type="dxa"/>
            <w:vAlign w:val="center"/>
          </w:tcPr>
          <w:p w:rsidR="00B85310" w:rsidRPr="00015B59" w:rsidRDefault="00B85310" w:rsidP="00B85310">
            <w:pPr>
              <w:jc w:val="both"/>
            </w:pPr>
          </w:p>
        </w:tc>
        <w:tc>
          <w:tcPr>
            <w:tcW w:w="1284" w:type="dxa"/>
            <w:vAlign w:val="center"/>
          </w:tcPr>
          <w:p w:rsidR="00B85310" w:rsidRPr="00015B59" w:rsidRDefault="00B85310" w:rsidP="000820BE">
            <w:pPr>
              <w:jc w:val="center"/>
            </w:pPr>
            <w:r w:rsidRPr="00015B59">
              <w:rPr>
                <w:color w:val="000000"/>
              </w:rPr>
              <w:t>£000's</w:t>
            </w:r>
          </w:p>
        </w:tc>
        <w:tc>
          <w:tcPr>
            <w:tcW w:w="1843" w:type="dxa"/>
            <w:vAlign w:val="center"/>
          </w:tcPr>
          <w:p w:rsidR="00B85310" w:rsidRPr="00015B59" w:rsidRDefault="00B85310" w:rsidP="000820BE">
            <w:pPr>
              <w:jc w:val="center"/>
            </w:pPr>
            <w:r w:rsidRPr="00015B59">
              <w:rPr>
                <w:color w:val="000000"/>
              </w:rPr>
              <w:t>£000's</w:t>
            </w:r>
          </w:p>
        </w:tc>
        <w:tc>
          <w:tcPr>
            <w:tcW w:w="1417" w:type="dxa"/>
            <w:vAlign w:val="center"/>
          </w:tcPr>
          <w:p w:rsidR="00B85310" w:rsidRPr="00015B59" w:rsidRDefault="00B85310" w:rsidP="000820BE">
            <w:pPr>
              <w:jc w:val="center"/>
            </w:pPr>
            <w:r w:rsidRPr="00015B59">
              <w:rPr>
                <w:color w:val="000000"/>
              </w:rPr>
              <w:t>£000's</w:t>
            </w:r>
          </w:p>
        </w:tc>
        <w:tc>
          <w:tcPr>
            <w:tcW w:w="1418" w:type="dxa"/>
            <w:vAlign w:val="center"/>
          </w:tcPr>
          <w:p w:rsidR="00B85310" w:rsidRPr="00015B59" w:rsidRDefault="00B85310" w:rsidP="000820BE">
            <w:pPr>
              <w:jc w:val="center"/>
            </w:pPr>
            <w:r w:rsidRPr="00015B59">
              <w:rPr>
                <w:color w:val="000000"/>
              </w:rPr>
              <w:t>£000's</w:t>
            </w:r>
          </w:p>
        </w:tc>
      </w:tr>
      <w:tr w:rsidR="00B85310" w:rsidRPr="00ED18F6" w:rsidTr="000820BE">
        <w:tc>
          <w:tcPr>
            <w:tcW w:w="3916" w:type="dxa"/>
            <w:vAlign w:val="center"/>
          </w:tcPr>
          <w:p w:rsidR="00B85310" w:rsidRPr="00015B59" w:rsidRDefault="00B85310" w:rsidP="00B85310">
            <w:pPr>
              <w:jc w:val="both"/>
            </w:pPr>
          </w:p>
        </w:tc>
        <w:tc>
          <w:tcPr>
            <w:tcW w:w="1284" w:type="dxa"/>
          </w:tcPr>
          <w:p w:rsidR="00B85310" w:rsidRPr="00015B59" w:rsidRDefault="00B85310" w:rsidP="00B85310">
            <w:pPr>
              <w:jc w:val="both"/>
            </w:pPr>
            <w:r w:rsidRPr="00015B59">
              <w:rPr>
                <w:color w:val="000000"/>
              </w:rPr>
              <w:t> </w:t>
            </w:r>
          </w:p>
        </w:tc>
        <w:tc>
          <w:tcPr>
            <w:tcW w:w="1843" w:type="dxa"/>
          </w:tcPr>
          <w:p w:rsidR="00B85310" w:rsidRPr="00015B59" w:rsidRDefault="00B85310" w:rsidP="00B85310">
            <w:pPr>
              <w:jc w:val="both"/>
            </w:pPr>
            <w:r w:rsidRPr="00015B59">
              <w:rPr>
                <w:color w:val="000000"/>
              </w:rPr>
              <w:t> </w:t>
            </w:r>
          </w:p>
        </w:tc>
        <w:tc>
          <w:tcPr>
            <w:tcW w:w="1417" w:type="dxa"/>
          </w:tcPr>
          <w:p w:rsidR="00B85310" w:rsidRPr="00015B59" w:rsidRDefault="00B85310" w:rsidP="00B85310">
            <w:pPr>
              <w:jc w:val="both"/>
            </w:pPr>
            <w:r w:rsidRPr="00015B59">
              <w:rPr>
                <w:color w:val="000000"/>
              </w:rPr>
              <w:t> </w:t>
            </w:r>
          </w:p>
        </w:tc>
        <w:tc>
          <w:tcPr>
            <w:tcW w:w="1418" w:type="dxa"/>
          </w:tcPr>
          <w:p w:rsidR="00B85310" w:rsidRPr="00015B59" w:rsidRDefault="00B85310" w:rsidP="00B85310">
            <w:pPr>
              <w:jc w:val="both"/>
            </w:pPr>
            <w:r w:rsidRPr="00015B59">
              <w:rPr>
                <w:color w:val="000000"/>
              </w:rPr>
              <w:t> </w:t>
            </w:r>
          </w:p>
        </w:tc>
      </w:tr>
      <w:tr w:rsidR="00B85310" w:rsidRPr="00ED18F6" w:rsidTr="000820BE">
        <w:tc>
          <w:tcPr>
            <w:tcW w:w="3916" w:type="dxa"/>
          </w:tcPr>
          <w:p w:rsidR="00B85310" w:rsidRPr="00015B59" w:rsidRDefault="00B85310" w:rsidP="00B85310">
            <w:pPr>
              <w:jc w:val="both"/>
            </w:pPr>
            <w:r w:rsidRPr="00015B59">
              <w:rPr>
                <w:color w:val="000000"/>
              </w:rPr>
              <w:t>Payable in 2012/13</w:t>
            </w:r>
          </w:p>
        </w:tc>
        <w:tc>
          <w:tcPr>
            <w:tcW w:w="1284" w:type="dxa"/>
          </w:tcPr>
          <w:p w:rsidR="00B85310" w:rsidRPr="00015B59" w:rsidRDefault="00B85310" w:rsidP="000820BE">
            <w:pPr>
              <w:jc w:val="right"/>
            </w:pPr>
            <w:r w:rsidRPr="00015B59">
              <w:rPr>
                <w:color w:val="000000"/>
              </w:rPr>
              <w:t>21,477</w:t>
            </w:r>
          </w:p>
        </w:tc>
        <w:tc>
          <w:tcPr>
            <w:tcW w:w="1843" w:type="dxa"/>
          </w:tcPr>
          <w:p w:rsidR="00B85310" w:rsidRPr="00015B59" w:rsidRDefault="00B85310" w:rsidP="000820BE">
            <w:pPr>
              <w:jc w:val="right"/>
            </w:pPr>
            <w:r w:rsidRPr="00015B59">
              <w:rPr>
                <w:color w:val="000000"/>
              </w:rPr>
              <w:t>3,357</w:t>
            </w:r>
          </w:p>
        </w:tc>
        <w:tc>
          <w:tcPr>
            <w:tcW w:w="1417" w:type="dxa"/>
          </w:tcPr>
          <w:p w:rsidR="00B85310" w:rsidRPr="00015B59" w:rsidRDefault="00B85310" w:rsidP="000820BE">
            <w:pPr>
              <w:jc w:val="right"/>
            </w:pPr>
            <w:r w:rsidRPr="00015B59">
              <w:rPr>
                <w:color w:val="000000"/>
              </w:rPr>
              <w:t>25,778</w:t>
            </w:r>
          </w:p>
        </w:tc>
        <w:tc>
          <w:tcPr>
            <w:tcW w:w="1418" w:type="dxa"/>
          </w:tcPr>
          <w:p w:rsidR="00B85310" w:rsidRPr="00015B59" w:rsidRDefault="00B85310" w:rsidP="000820BE">
            <w:pPr>
              <w:jc w:val="right"/>
            </w:pPr>
            <w:r w:rsidRPr="00015B59">
              <w:rPr>
                <w:color w:val="000000"/>
              </w:rPr>
              <w:t>50,612</w:t>
            </w:r>
          </w:p>
        </w:tc>
      </w:tr>
      <w:tr w:rsidR="00B85310" w:rsidRPr="00ED18F6" w:rsidTr="000820BE">
        <w:tc>
          <w:tcPr>
            <w:tcW w:w="3916" w:type="dxa"/>
          </w:tcPr>
          <w:p w:rsidR="00B85310" w:rsidRPr="00015B59" w:rsidRDefault="00B85310" w:rsidP="00B85310">
            <w:pPr>
              <w:jc w:val="both"/>
            </w:pPr>
            <w:r w:rsidRPr="00015B59">
              <w:rPr>
                <w:color w:val="000000"/>
              </w:rPr>
              <w:t>Payable within two to five years</w:t>
            </w:r>
          </w:p>
        </w:tc>
        <w:tc>
          <w:tcPr>
            <w:tcW w:w="1284" w:type="dxa"/>
          </w:tcPr>
          <w:p w:rsidR="00B85310" w:rsidRPr="00015B59" w:rsidRDefault="00B85310" w:rsidP="000820BE">
            <w:pPr>
              <w:jc w:val="right"/>
            </w:pPr>
            <w:r w:rsidRPr="00015B59">
              <w:rPr>
                <w:color w:val="000000"/>
              </w:rPr>
              <w:t>99,599</w:t>
            </w:r>
          </w:p>
        </w:tc>
        <w:tc>
          <w:tcPr>
            <w:tcW w:w="1843" w:type="dxa"/>
          </w:tcPr>
          <w:p w:rsidR="00B85310" w:rsidRPr="00015B59" w:rsidRDefault="00B85310" w:rsidP="000820BE">
            <w:pPr>
              <w:jc w:val="right"/>
            </w:pPr>
            <w:r w:rsidRPr="00015B59">
              <w:rPr>
                <w:color w:val="000000"/>
              </w:rPr>
              <w:t>12,208</w:t>
            </w:r>
          </w:p>
        </w:tc>
        <w:tc>
          <w:tcPr>
            <w:tcW w:w="1417" w:type="dxa"/>
          </w:tcPr>
          <w:p w:rsidR="00B85310" w:rsidRPr="00015B59" w:rsidRDefault="00B85310" w:rsidP="000820BE">
            <w:pPr>
              <w:jc w:val="right"/>
            </w:pPr>
            <w:r w:rsidRPr="00015B59">
              <w:rPr>
                <w:color w:val="000000"/>
              </w:rPr>
              <w:t> 99,601</w:t>
            </w:r>
          </w:p>
        </w:tc>
        <w:tc>
          <w:tcPr>
            <w:tcW w:w="1418" w:type="dxa"/>
          </w:tcPr>
          <w:p w:rsidR="00B85310" w:rsidRPr="00015B59" w:rsidRDefault="00B85310" w:rsidP="000820BE">
            <w:pPr>
              <w:jc w:val="right"/>
            </w:pPr>
            <w:r w:rsidRPr="00015B59">
              <w:rPr>
                <w:color w:val="000000"/>
              </w:rPr>
              <w:t>211,408</w:t>
            </w:r>
          </w:p>
        </w:tc>
      </w:tr>
      <w:tr w:rsidR="00B85310" w:rsidRPr="00ED18F6" w:rsidTr="000820BE">
        <w:tc>
          <w:tcPr>
            <w:tcW w:w="3916" w:type="dxa"/>
          </w:tcPr>
          <w:p w:rsidR="00B85310" w:rsidRPr="00015B59" w:rsidRDefault="00B85310" w:rsidP="00B85310">
            <w:pPr>
              <w:jc w:val="both"/>
            </w:pPr>
            <w:r w:rsidRPr="00015B59">
              <w:rPr>
                <w:color w:val="000000"/>
              </w:rPr>
              <w:t>Payable within six to ten years</w:t>
            </w:r>
          </w:p>
        </w:tc>
        <w:tc>
          <w:tcPr>
            <w:tcW w:w="1284" w:type="dxa"/>
          </w:tcPr>
          <w:p w:rsidR="00B85310" w:rsidRPr="00015B59" w:rsidRDefault="00B85310" w:rsidP="000820BE">
            <w:pPr>
              <w:jc w:val="right"/>
            </w:pPr>
            <w:r w:rsidRPr="00015B59">
              <w:rPr>
                <w:color w:val="000000"/>
              </w:rPr>
              <w:t>145,474</w:t>
            </w:r>
          </w:p>
        </w:tc>
        <w:tc>
          <w:tcPr>
            <w:tcW w:w="1843" w:type="dxa"/>
          </w:tcPr>
          <w:p w:rsidR="00B85310" w:rsidRPr="00015B59" w:rsidRDefault="00B85310" w:rsidP="000820BE">
            <w:pPr>
              <w:jc w:val="right"/>
            </w:pPr>
            <w:r w:rsidRPr="00015B59">
              <w:rPr>
                <w:color w:val="000000"/>
              </w:rPr>
              <w:t>25,834</w:t>
            </w:r>
          </w:p>
        </w:tc>
        <w:tc>
          <w:tcPr>
            <w:tcW w:w="1417" w:type="dxa"/>
          </w:tcPr>
          <w:p w:rsidR="00B85310" w:rsidRPr="00015B59" w:rsidRDefault="00B85310" w:rsidP="000820BE">
            <w:pPr>
              <w:jc w:val="right"/>
            </w:pPr>
            <w:r w:rsidRPr="00015B59">
              <w:rPr>
                <w:color w:val="000000"/>
              </w:rPr>
              <w:t>115,080</w:t>
            </w:r>
          </w:p>
        </w:tc>
        <w:tc>
          <w:tcPr>
            <w:tcW w:w="1418" w:type="dxa"/>
          </w:tcPr>
          <w:p w:rsidR="00B85310" w:rsidRPr="00015B59" w:rsidRDefault="00B85310" w:rsidP="000820BE">
            <w:pPr>
              <w:jc w:val="right"/>
            </w:pPr>
            <w:r w:rsidRPr="00015B59">
              <w:rPr>
                <w:color w:val="000000"/>
              </w:rPr>
              <w:t>286,388</w:t>
            </w:r>
          </w:p>
        </w:tc>
      </w:tr>
      <w:tr w:rsidR="00B85310" w:rsidRPr="00ED18F6" w:rsidTr="000820BE">
        <w:tc>
          <w:tcPr>
            <w:tcW w:w="3916" w:type="dxa"/>
          </w:tcPr>
          <w:p w:rsidR="00B85310" w:rsidRPr="00015B59" w:rsidRDefault="00B85310" w:rsidP="00B85310">
            <w:pPr>
              <w:jc w:val="both"/>
            </w:pPr>
            <w:r w:rsidRPr="00015B59">
              <w:rPr>
                <w:color w:val="000000"/>
              </w:rPr>
              <w:t>Payable within eleven to fifteen years</w:t>
            </w:r>
          </w:p>
        </w:tc>
        <w:tc>
          <w:tcPr>
            <w:tcW w:w="1284" w:type="dxa"/>
          </w:tcPr>
          <w:p w:rsidR="00B85310" w:rsidRPr="00015B59" w:rsidRDefault="00B85310" w:rsidP="000820BE">
            <w:pPr>
              <w:jc w:val="right"/>
            </w:pPr>
            <w:r w:rsidRPr="00015B59">
              <w:rPr>
                <w:color w:val="000000"/>
              </w:rPr>
              <w:t>178,913</w:t>
            </w:r>
          </w:p>
        </w:tc>
        <w:tc>
          <w:tcPr>
            <w:tcW w:w="1843" w:type="dxa"/>
          </w:tcPr>
          <w:p w:rsidR="00B85310" w:rsidRPr="00015B59" w:rsidRDefault="00B85310" w:rsidP="000820BE">
            <w:pPr>
              <w:jc w:val="right"/>
            </w:pPr>
            <w:r w:rsidRPr="00015B59">
              <w:rPr>
                <w:color w:val="000000"/>
              </w:rPr>
              <w:t>36,729</w:t>
            </w:r>
          </w:p>
        </w:tc>
        <w:tc>
          <w:tcPr>
            <w:tcW w:w="1417" w:type="dxa"/>
          </w:tcPr>
          <w:p w:rsidR="00B85310" w:rsidRPr="00015B59" w:rsidRDefault="00B85310" w:rsidP="000820BE">
            <w:pPr>
              <w:jc w:val="right"/>
            </w:pPr>
            <w:r w:rsidRPr="00015B59">
              <w:rPr>
                <w:color w:val="000000"/>
              </w:rPr>
              <w:t>98,979</w:t>
            </w:r>
          </w:p>
        </w:tc>
        <w:tc>
          <w:tcPr>
            <w:tcW w:w="1418" w:type="dxa"/>
          </w:tcPr>
          <w:p w:rsidR="00B85310" w:rsidRPr="00015B59" w:rsidRDefault="00B85310" w:rsidP="000820BE">
            <w:pPr>
              <w:jc w:val="right"/>
            </w:pPr>
            <w:r w:rsidRPr="00015B59">
              <w:rPr>
                <w:color w:val="000000"/>
              </w:rPr>
              <w:t>314,621</w:t>
            </w:r>
          </w:p>
        </w:tc>
      </w:tr>
      <w:tr w:rsidR="00B85310" w:rsidRPr="00ED18F6" w:rsidTr="000820BE">
        <w:tc>
          <w:tcPr>
            <w:tcW w:w="3916" w:type="dxa"/>
          </w:tcPr>
          <w:p w:rsidR="00B85310" w:rsidRPr="00015B59" w:rsidRDefault="00B85310" w:rsidP="00B85310">
            <w:pPr>
              <w:jc w:val="both"/>
              <w:rPr>
                <w:color w:val="000000"/>
              </w:rPr>
            </w:pPr>
            <w:r w:rsidRPr="00015B59">
              <w:rPr>
                <w:color w:val="000000"/>
              </w:rPr>
              <w:t>Payable within sixteen to twenty years</w:t>
            </w:r>
          </w:p>
        </w:tc>
        <w:tc>
          <w:tcPr>
            <w:tcW w:w="1284" w:type="dxa"/>
          </w:tcPr>
          <w:p w:rsidR="00B85310" w:rsidRPr="00015B59" w:rsidRDefault="00B85310" w:rsidP="000820BE">
            <w:pPr>
              <w:jc w:val="right"/>
              <w:rPr>
                <w:color w:val="000000"/>
              </w:rPr>
            </w:pPr>
            <w:r w:rsidRPr="00015B59">
              <w:rPr>
                <w:color w:val="000000"/>
              </w:rPr>
              <w:t>207,520</w:t>
            </w:r>
          </w:p>
        </w:tc>
        <w:tc>
          <w:tcPr>
            <w:tcW w:w="1843" w:type="dxa"/>
          </w:tcPr>
          <w:p w:rsidR="00B85310" w:rsidRPr="00015B59" w:rsidRDefault="00B85310" w:rsidP="000820BE">
            <w:pPr>
              <w:jc w:val="right"/>
              <w:rPr>
                <w:color w:val="000000"/>
              </w:rPr>
            </w:pPr>
            <w:r w:rsidRPr="00015B59">
              <w:rPr>
                <w:color w:val="000000"/>
              </w:rPr>
              <w:t>67,637</w:t>
            </w:r>
          </w:p>
        </w:tc>
        <w:tc>
          <w:tcPr>
            <w:tcW w:w="1417" w:type="dxa"/>
          </w:tcPr>
          <w:p w:rsidR="00B85310" w:rsidRPr="00015B59" w:rsidRDefault="00B85310" w:rsidP="000820BE">
            <w:pPr>
              <w:jc w:val="right"/>
              <w:rPr>
                <w:color w:val="000000"/>
              </w:rPr>
            </w:pPr>
            <w:r w:rsidRPr="00015B59">
              <w:rPr>
                <w:color w:val="000000"/>
              </w:rPr>
              <w:t>72,171</w:t>
            </w:r>
          </w:p>
        </w:tc>
        <w:tc>
          <w:tcPr>
            <w:tcW w:w="1418" w:type="dxa"/>
          </w:tcPr>
          <w:p w:rsidR="00B85310" w:rsidRPr="00015B59" w:rsidRDefault="00B85310" w:rsidP="000820BE">
            <w:pPr>
              <w:jc w:val="right"/>
              <w:rPr>
                <w:color w:val="000000"/>
              </w:rPr>
            </w:pPr>
            <w:r w:rsidRPr="00015B59">
              <w:rPr>
                <w:color w:val="000000"/>
              </w:rPr>
              <w:t>347,328</w:t>
            </w:r>
          </w:p>
        </w:tc>
      </w:tr>
      <w:tr w:rsidR="00B85310" w:rsidRPr="00ED18F6" w:rsidTr="000820BE">
        <w:tc>
          <w:tcPr>
            <w:tcW w:w="3916" w:type="dxa"/>
          </w:tcPr>
          <w:p w:rsidR="00B85310" w:rsidRPr="00015B59" w:rsidRDefault="00B85310" w:rsidP="00B85310">
            <w:pPr>
              <w:jc w:val="both"/>
              <w:rPr>
                <w:color w:val="000000"/>
              </w:rPr>
            </w:pPr>
            <w:r w:rsidRPr="00015B59">
              <w:rPr>
                <w:color w:val="000000"/>
              </w:rPr>
              <w:t>Payable within twenty-one to twenty-five years</w:t>
            </w:r>
          </w:p>
        </w:tc>
        <w:tc>
          <w:tcPr>
            <w:tcW w:w="1284" w:type="dxa"/>
          </w:tcPr>
          <w:p w:rsidR="00B85310" w:rsidRPr="00015B59" w:rsidRDefault="00B85310" w:rsidP="000820BE">
            <w:pPr>
              <w:jc w:val="right"/>
              <w:rPr>
                <w:color w:val="000000"/>
              </w:rPr>
            </w:pPr>
            <w:r w:rsidRPr="00015B59">
              <w:rPr>
                <w:color w:val="000000"/>
              </w:rPr>
              <w:t>193,912</w:t>
            </w:r>
          </w:p>
        </w:tc>
        <w:tc>
          <w:tcPr>
            <w:tcW w:w="1843" w:type="dxa"/>
          </w:tcPr>
          <w:p w:rsidR="00B85310" w:rsidRPr="00015B59" w:rsidRDefault="00B85310" w:rsidP="000820BE">
            <w:pPr>
              <w:jc w:val="right"/>
              <w:rPr>
                <w:color w:val="000000"/>
              </w:rPr>
            </w:pPr>
            <w:r w:rsidRPr="00015B59">
              <w:rPr>
                <w:color w:val="000000"/>
              </w:rPr>
              <w:t>86,488</w:t>
            </w:r>
          </w:p>
        </w:tc>
        <w:tc>
          <w:tcPr>
            <w:tcW w:w="1417" w:type="dxa"/>
          </w:tcPr>
          <w:p w:rsidR="00B85310" w:rsidRPr="00015B59" w:rsidRDefault="00B85310" w:rsidP="000820BE">
            <w:pPr>
              <w:jc w:val="right"/>
              <w:rPr>
                <w:color w:val="000000"/>
              </w:rPr>
            </w:pPr>
            <w:r w:rsidRPr="00015B59">
              <w:rPr>
                <w:color w:val="000000"/>
              </w:rPr>
              <w:t>24,790</w:t>
            </w:r>
          </w:p>
        </w:tc>
        <w:tc>
          <w:tcPr>
            <w:tcW w:w="1418" w:type="dxa"/>
          </w:tcPr>
          <w:p w:rsidR="00B85310" w:rsidRPr="00015B59" w:rsidRDefault="00B85310" w:rsidP="000820BE">
            <w:pPr>
              <w:jc w:val="right"/>
              <w:rPr>
                <w:color w:val="000000"/>
              </w:rPr>
            </w:pPr>
            <w:r w:rsidRPr="00015B59">
              <w:rPr>
                <w:color w:val="000000"/>
              </w:rPr>
              <w:t>305,190</w:t>
            </w:r>
          </w:p>
        </w:tc>
      </w:tr>
      <w:tr w:rsidR="00B85310" w:rsidTr="000820BE">
        <w:tc>
          <w:tcPr>
            <w:tcW w:w="3916" w:type="dxa"/>
          </w:tcPr>
          <w:p w:rsidR="00B85310" w:rsidRPr="00015B59" w:rsidRDefault="00B85310" w:rsidP="00B85310">
            <w:pPr>
              <w:jc w:val="both"/>
              <w:rPr>
                <w:color w:val="000000"/>
              </w:rPr>
            </w:pPr>
            <w:r w:rsidRPr="00015B59">
              <w:rPr>
                <w:b/>
                <w:bCs/>
                <w:color w:val="000000"/>
              </w:rPr>
              <w:t>Total</w:t>
            </w:r>
          </w:p>
        </w:tc>
        <w:tc>
          <w:tcPr>
            <w:tcW w:w="1284" w:type="dxa"/>
            <w:vAlign w:val="center"/>
          </w:tcPr>
          <w:p w:rsidR="00B85310" w:rsidRPr="00015B59" w:rsidRDefault="00B85310" w:rsidP="000820BE">
            <w:pPr>
              <w:jc w:val="right"/>
              <w:rPr>
                <w:color w:val="000000"/>
              </w:rPr>
            </w:pPr>
            <w:r w:rsidRPr="00015B59">
              <w:rPr>
                <w:color w:val="000000"/>
              </w:rPr>
              <w:t>846,895</w:t>
            </w:r>
          </w:p>
        </w:tc>
        <w:tc>
          <w:tcPr>
            <w:tcW w:w="1843" w:type="dxa"/>
            <w:vAlign w:val="center"/>
          </w:tcPr>
          <w:p w:rsidR="00B85310" w:rsidRPr="00015B59" w:rsidRDefault="00B85310" w:rsidP="000820BE">
            <w:pPr>
              <w:jc w:val="right"/>
              <w:rPr>
                <w:color w:val="000000"/>
              </w:rPr>
            </w:pPr>
            <w:r w:rsidRPr="00015B59">
              <w:rPr>
                <w:color w:val="000000"/>
              </w:rPr>
              <w:t>232,252</w:t>
            </w:r>
          </w:p>
        </w:tc>
        <w:tc>
          <w:tcPr>
            <w:tcW w:w="1417" w:type="dxa"/>
            <w:vAlign w:val="center"/>
          </w:tcPr>
          <w:p w:rsidR="00B85310" w:rsidRPr="00015B59" w:rsidRDefault="00B85310" w:rsidP="000820BE">
            <w:pPr>
              <w:jc w:val="right"/>
              <w:rPr>
                <w:color w:val="000000"/>
              </w:rPr>
            </w:pPr>
            <w:r w:rsidRPr="00015B59">
              <w:rPr>
                <w:color w:val="000000"/>
              </w:rPr>
              <w:t>436,398</w:t>
            </w:r>
          </w:p>
        </w:tc>
        <w:tc>
          <w:tcPr>
            <w:tcW w:w="1418" w:type="dxa"/>
            <w:vAlign w:val="center"/>
          </w:tcPr>
          <w:p w:rsidR="00B85310" w:rsidRPr="00015B59" w:rsidRDefault="00B85310" w:rsidP="000820BE">
            <w:pPr>
              <w:jc w:val="right"/>
              <w:rPr>
                <w:color w:val="000000"/>
              </w:rPr>
            </w:pPr>
            <w:r w:rsidRPr="00015B59">
              <w:rPr>
                <w:color w:val="000000"/>
              </w:rPr>
              <w:t>1,515,546</w:t>
            </w:r>
          </w:p>
        </w:tc>
      </w:tr>
    </w:tbl>
    <w:p w:rsidR="00B85310" w:rsidRDefault="00B85310" w:rsidP="00015B59">
      <w:pPr>
        <w:jc w:val="both"/>
      </w:pPr>
    </w:p>
    <w:p w:rsidR="00B85310" w:rsidRDefault="00B85310" w:rsidP="00B85310">
      <w:pPr>
        <w:ind w:left="720"/>
        <w:jc w:val="both"/>
      </w:pPr>
    </w:p>
    <w:p w:rsidR="00CC3B63" w:rsidRDefault="00CC3B63" w:rsidP="00CC3B63">
      <w:pPr>
        <w:ind w:left="720"/>
        <w:jc w:val="both"/>
      </w:pPr>
      <w:r w:rsidRPr="00442EEE">
        <w:t xml:space="preserve">The significant risks that the Authority is exposed to during this PFI contract are in relation to diversion rates and inflation. Diversion rates for diversion from landfill were bid by GRL in their original contract tender and these can be agreed annually as necessary before performance on diversion is measured.  The payments/deductions are based on the tonnage variances, landfill costs and contract transport rates and are affected by the nominated Operating Throughput Capacity. </w:t>
      </w:r>
    </w:p>
    <w:p w:rsidR="00CC3B63" w:rsidRDefault="00CC3B63" w:rsidP="00CC3B63">
      <w:pPr>
        <w:ind w:left="720"/>
        <w:jc w:val="both"/>
      </w:pPr>
    </w:p>
    <w:p w:rsidR="00CC3B63" w:rsidRPr="00442EEE" w:rsidRDefault="00CC3B63" w:rsidP="00CC3B63">
      <w:pPr>
        <w:ind w:left="720"/>
        <w:jc w:val="both"/>
      </w:pPr>
      <w:r>
        <w:t xml:space="preserve">The Authority is working with GRL for the next 2 years on an 'optimisation strategy'.  During these 2 years the diversion targets has been locked, thus reducing risk for both the Authority and GRL when budget forecasting. </w:t>
      </w:r>
    </w:p>
    <w:p w:rsidR="00CC3B63" w:rsidRPr="00442EEE" w:rsidRDefault="00CC3B63" w:rsidP="00CC3B63">
      <w:pPr>
        <w:jc w:val="both"/>
      </w:pPr>
    </w:p>
    <w:p w:rsidR="00CC3B63" w:rsidRPr="00442EEE" w:rsidRDefault="00CC3B63" w:rsidP="00CC3B63">
      <w:pPr>
        <w:ind w:left="720"/>
        <w:jc w:val="both"/>
      </w:pPr>
      <w:r w:rsidRPr="00442EEE">
        <w:t xml:space="preserve">At the end of the concession period the Authority may retender for the provision of the Services or request the Contractor to transfer all of its right, title and interest in and to the assets to the Authority. </w:t>
      </w:r>
    </w:p>
    <w:p w:rsidR="00CC3B63" w:rsidRPr="00442EEE" w:rsidRDefault="00CC3B63" w:rsidP="00CC3B63">
      <w:pPr>
        <w:jc w:val="both"/>
      </w:pPr>
    </w:p>
    <w:p w:rsidR="00CC3B63" w:rsidRPr="00442EEE" w:rsidRDefault="00CC3B63" w:rsidP="00CC3B63">
      <w:pPr>
        <w:ind w:left="720"/>
        <w:jc w:val="both"/>
      </w:pPr>
      <w:r w:rsidRPr="00442EEE">
        <w:lastRenderedPageBreak/>
        <w:t xml:space="preserve">There is provision within the project agreement for the termination of the contract under certain conditions by either the Authority or the Contractor. This may be in the form of voluntary termination by the Authority, termination by the Contractor on Authority default or termination by the Authority on Contractor default. Compensation payments are payable upon termination and the calculation of these is determined in the contract. </w:t>
      </w:r>
    </w:p>
    <w:p w:rsidR="00B623F3" w:rsidRDefault="00B623F3" w:rsidP="00BC6A99">
      <w:pPr>
        <w:ind w:left="1440"/>
        <w:jc w:val="both"/>
      </w:pPr>
    </w:p>
    <w:p w:rsidR="00B623F3" w:rsidRPr="008A29CA" w:rsidRDefault="00B623F3" w:rsidP="00BC6A99">
      <w:pPr>
        <w:ind w:left="1440"/>
        <w:jc w:val="both"/>
      </w:pPr>
    </w:p>
    <w:p w:rsidR="006C142B" w:rsidRPr="008A29CA" w:rsidRDefault="006C142B" w:rsidP="00BD07E4">
      <w:pPr>
        <w:numPr>
          <w:ilvl w:val="0"/>
          <w:numId w:val="21"/>
        </w:numPr>
        <w:spacing w:after="240"/>
        <w:jc w:val="both"/>
        <w:rPr>
          <w:b/>
        </w:rPr>
      </w:pPr>
      <w:r w:rsidRPr="008A29CA">
        <w:rPr>
          <w:b/>
        </w:rPr>
        <w:t>Section 137 expenditure</w:t>
      </w:r>
    </w:p>
    <w:p w:rsidR="00184A47" w:rsidRPr="00442EEE" w:rsidRDefault="00184A47" w:rsidP="00184A47">
      <w:pPr>
        <w:spacing w:after="240"/>
        <w:ind w:left="720"/>
        <w:jc w:val="both"/>
      </w:pPr>
      <w:r w:rsidRPr="00442EEE">
        <w:t>Section 137 of the Local Government Act 1972 (as amended) enables a local authority to make contributions to the funds of charities operating in the UK and to not for profit bodies providing public services in the UK. This expenditure is limited to £1.90 per head of the relevant population as defined by statute. The impact of this ex</w:t>
      </w:r>
      <w:r>
        <w:t>penditure would amount to £2.237</w:t>
      </w:r>
      <w:r w:rsidRPr="00442EEE">
        <w:t>million.</w:t>
      </w:r>
    </w:p>
    <w:p w:rsidR="00184A47" w:rsidRPr="00442EEE" w:rsidRDefault="00184A47" w:rsidP="00184A47">
      <w:pPr>
        <w:spacing w:after="240"/>
        <w:ind w:left="720"/>
        <w:jc w:val="both"/>
      </w:pPr>
      <w:r w:rsidRPr="00442EEE">
        <w:t xml:space="preserve">The authority has not incurred any expenditure under this statute. </w:t>
      </w:r>
    </w:p>
    <w:p w:rsidR="00184A47" w:rsidRPr="00442EEE" w:rsidRDefault="00184A47" w:rsidP="00184A47">
      <w:pPr>
        <w:ind w:left="720"/>
        <w:jc w:val="both"/>
        <w:rPr>
          <w:b/>
        </w:rPr>
      </w:pPr>
      <w:r w:rsidRPr="00442EEE">
        <w:t>The authority does incur expenditure under the wellbeing powers of the Local Government Act 2000. This allows authorities to spend money on promoting or improving the economic, social or environmental wellbeing of their area</w:t>
      </w:r>
      <w:r w:rsidRPr="00442EEE">
        <w:rPr>
          <w:b/>
        </w:rPr>
        <w:t>.</w:t>
      </w:r>
      <w:r w:rsidRPr="00442EEE">
        <w:rPr>
          <w:b/>
        </w:rPr>
        <w:tab/>
      </w:r>
    </w:p>
    <w:p w:rsidR="006C142B" w:rsidRPr="00286C0E" w:rsidRDefault="006C142B" w:rsidP="008A29CA">
      <w:pPr>
        <w:jc w:val="both"/>
        <w:rPr>
          <w:b/>
          <w:highlight w:val="yellow"/>
        </w:rPr>
      </w:pPr>
    </w:p>
    <w:p w:rsidR="006C142B" w:rsidRPr="00286C0E" w:rsidRDefault="006C142B" w:rsidP="00BC6A99">
      <w:pPr>
        <w:ind w:left="720"/>
        <w:jc w:val="both"/>
        <w:rPr>
          <w:highlight w:val="yellow"/>
          <w:u w:val="single"/>
        </w:rPr>
      </w:pPr>
    </w:p>
    <w:p w:rsidR="00600F96" w:rsidRPr="00D537D9" w:rsidRDefault="006C142B" w:rsidP="00BD07E4">
      <w:pPr>
        <w:numPr>
          <w:ilvl w:val="0"/>
          <w:numId w:val="21"/>
        </w:numPr>
        <w:spacing w:after="240"/>
        <w:jc w:val="both"/>
        <w:rPr>
          <w:b/>
        </w:rPr>
      </w:pPr>
      <w:r w:rsidRPr="00D537D9">
        <w:rPr>
          <w:b/>
        </w:rPr>
        <w:t xml:space="preserve">Capital </w:t>
      </w:r>
      <w:r w:rsidR="00FC5F0F" w:rsidRPr="00D537D9">
        <w:rPr>
          <w:b/>
        </w:rPr>
        <w:t xml:space="preserve">Expenditure and Capital Financing </w:t>
      </w:r>
    </w:p>
    <w:p w:rsidR="00850C29" w:rsidRDefault="00600F96" w:rsidP="00850C29">
      <w:pPr>
        <w:spacing w:after="240"/>
        <w:ind w:left="720"/>
        <w:jc w:val="both"/>
      </w:pPr>
      <w:r w:rsidRPr="00D537D9">
        <w:t>The total amount of capital expenditure incurred in the year is shown in the table below (including the value of assets acquired under finance leases and Private Finance Initiative contracts), together with the resources that have been used to finance it. Where capital expenditure is to be financed in future years by charges to revenue as assets are used by the Authority, the expenditure results in an increase in the Capital Financing Requirement (CFR), a measure of the capital expenditure incurred histori</w:t>
      </w:r>
      <w:r w:rsidR="00850C29">
        <w:t xml:space="preserve">cally by the authority that has </w:t>
      </w:r>
      <w:r w:rsidRPr="00D537D9">
        <w:t>yet to be financed. The CFR is analysed in the second part of this note.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4"/>
        <w:gridCol w:w="1417"/>
        <w:gridCol w:w="1559"/>
      </w:tblGrid>
      <w:tr w:rsidR="00850C29" w:rsidRPr="00D537D9" w:rsidTr="00850C29">
        <w:trPr>
          <w:trHeight w:hRule="exact" w:val="397"/>
        </w:trPr>
        <w:tc>
          <w:tcPr>
            <w:tcW w:w="5484" w:type="dxa"/>
          </w:tcPr>
          <w:p w:rsidR="00850C29" w:rsidRPr="00D537D9" w:rsidRDefault="00850C29" w:rsidP="00850C29">
            <w:pPr>
              <w:spacing w:after="240"/>
            </w:pPr>
          </w:p>
        </w:tc>
        <w:tc>
          <w:tcPr>
            <w:tcW w:w="1417" w:type="dxa"/>
          </w:tcPr>
          <w:p w:rsidR="00850C29" w:rsidRPr="00D537D9" w:rsidRDefault="00850C29" w:rsidP="00850C29">
            <w:pPr>
              <w:spacing w:after="240"/>
              <w:jc w:val="right"/>
              <w:rPr>
                <w:b/>
              </w:rPr>
            </w:pPr>
            <w:r w:rsidRPr="00D537D9">
              <w:rPr>
                <w:b/>
              </w:rPr>
              <w:t>2011/12</w:t>
            </w:r>
          </w:p>
        </w:tc>
        <w:tc>
          <w:tcPr>
            <w:tcW w:w="1559" w:type="dxa"/>
          </w:tcPr>
          <w:p w:rsidR="00850C29" w:rsidRPr="00D537D9" w:rsidRDefault="00850C29" w:rsidP="00850C29">
            <w:pPr>
              <w:spacing w:after="240"/>
              <w:jc w:val="right"/>
              <w:rPr>
                <w:b/>
              </w:rPr>
            </w:pPr>
            <w:r w:rsidRPr="00D537D9">
              <w:rPr>
                <w:b/>
              </w:rPr>
              <w:t>2010/11</w:t>
            </w:r>
          </w:p>
        </w:tc>
      </w:tr>
      <w:tr w:rsidR="00850C29" w:rsidRPr="00D537D9" w:rsidTr="00850C29">
        <w:trPr>
          <w:trHeight w:hRule="exact" w:val="397"/>
        </w:trPr>
        <w:tc>
          <w:tcPr>
            <w:tcW w:w="5484" w:type="dxa"/>
          </w:tcPr>
          <w:p w:rsidR="00850C29" w:rsidRPr="00D537D9" w:rsidRDefault="00850C29" w:rsidP="00850C29">
            <w:pPr>
              <w:spacing w:after="240"/>
            </w:pPr>
          </w:p>
        </w:tc>
        <w:tc>
          <w:tcPr>
            <w:tcW w:w="1417" w:type="dxa"/>
          </w:tcPr>
          <w:p w:rsidR="00850C29" w:rsidRPr="00D537D9" w:rsidRDefault="00850C29" w:rsidP="00850C29">
            <w:pPr>
              <w:spacing w:after="240"/>
              <w:jc w:val="right"/>
              <w:rPr>
                <w:b/>
              </w:rPr>
            </w:pPr>
            <w:r w:rsidRPr="00D537D9">
              <w:rPr>
                <w:b/>
              </w:rPr>
              <w:t>£000</w:t>
            </w:r>
          </w:p>
        </w:tc>
        <w:tc>
          <w:tcPr>
            <w:tcW w:w="1559" w:type="dxa"/>
          </w:tcPr>
          <w:p w:rsidR="00850C29" w:rsidRPr="00D537D9" w:rsidRDefault="00850C29" w:rsidP="00850C29">
            <w:pPr>
              <w:spacing w:after="240"/>
              <w:jc w:val="right"/>
              <w:rPr>
                <w:b/>
              </w:rPr>
            </w:pPr>
            <w:r w:rsidRPr="00D537D9">
              <w:rPr>
                <w:b/>
              </w:rPr>
              <w:t>£000</w:t>
            </w:r>
          </w:p>
        </w:tc>
      </w:tr>
      <w:tr w:rsidR="00850C29" w:rsidRPr="00D537D9" w:rsidTr="00850C29">
        <w:trPr>
          <w:trHeight w:hRule="exact" w:val="397"/>
        </w:trPr>
        <w:tc>
          <w:tcPr>
            <w:tcW w:w="5484" w:type="dxa"/>
          </w:tcPr>
          <w:p w:rsidR="00850C29" w:rsidRPr="00D537D9" w:rsidRDefault="00850C29" w:rsidP="00850C29">
            <w:pPr>
              <w:spacing w:after="240"/>
              <w:rPr>
                <w:b/>
              </w:rPr>
            </w:pPr>
            <w:r w:rsidRPr="00D537D9">
              <w:rPr>
                <w:b/>
              </w:rPr>
              <w:t>Opening Capital Financing Requirement</w:t>
            </w:r>
          </w:p>
        </w:tc>
        <w:tc>
          <w:tcPr>
            <w:tcW w:w="1417" w:type="dxa"/>
          </w:tcPr>
          <w:p w:rsidR="00850C29" w:rsidRPr="00D537D9" w:rsidRDefault="00850C29" w:rsidP="00850C29">
            <w:pPr>
              <w:spacing w:after="240"/>
              <w:jc w:val="right"/>
            </w:pPr>
            <w:r w:rsidRPr="00D537D9">
              <w:t>837,332</w:t>
            </w:r>
          </w:p>
        </w:tc>
        <w:tc>
          <w:tcPr>
            <w:tcW w:w="1559" w:type="dxa"/>
          </w:tcPr>
          <w:p w:rsidR="00850C29" w:rsidRPr="00D537D9" w:rsidRDefault="00850C29" w:rsidP="00850C29">
            <w:pPr>
              <w:spacing w:after="240"/>
              <w:jc w:val="right"/>
            </w:pPr>
            <w:r w:rsidRPr="00D537D9">
              <w:t>710,712</w:t>
            </w:r>
          </w:p>
        </w:tc>
      </w:tr>
      <w:tr w:rsidR="00850C29" w:rsidRPr="00D537D9" w:rsidTr="00850C29">
        <w:trPr>
          <w:trHeight w:hRule="exact" w:val="397"/>
        </w:trPr>
        <w:tc>
          <w:tcPr>
            <w:tcW w:w="5484" w:type="dxa"/>
          </w:tcPr>
          <w:p w:rsidR="00850C29" w:rsidRPr="00D537D9" w:rsidRDefault="00850C29" w:rsidP="00850C29">
            <w:pPr>
              <w:spacing w:after="240"/>
              <w:rPr>
                <w:b/>
                <w:i/>
              </w:rPr>
            </w:pPr>
            <w:r w:rsidRPr="00D537D9">
              <w:rPr>
                <w:b/>
                <w:i/>
              </w:rPr>
              <w:t>Capital investment</w:t>
            </w:r>
          </w:p>
        </w:tc>
        <w:tc>
          <w:tcPr>
            <w:tcW w:w="1417" w:type="dxa"/>
          </w:tcPr>
          <w:p w:rsidR="00850C29" w:rsidRPr="00D537D9" w:rsidRDefault="00850C29" w:rsidP="00850C29">
            <w:pPr>
              <w:spacing w:after="240"/>
              <w:jc w:val="right"/>
            </w:pPr>
          </w:p>
        </w:tc>
        <w:tc>
          <w:tcPr>
            <w:tcW w:w="1559" w:type="dxa"/>
          </w:tcPr>
          <w:p w:rsidR="00850C29" w:rsidRPr="00D537D9" w:rsidRDefault="00850C29" w:rsidP="00850C29">
            <w:pPr>
              <w:spacing w:after="240"/>
              <w:jc w:val="right"/>
            </w:pPr>
          </w:p>
        </w:tc>
      </w:tr>
      <w:tr w:rsidR="00850C29" w:rsidRPr="00D537D9" w:rsidTr="00850C29">
        <w:trPr>
          <w:trHeight w:hRule="exact" w:val="397"/>
        </w:trPr>
        <w:tc>
          <w:tcPr>
            <w:tcW w:w="5484" w:type="dxa"/>
          </w:tcPr>
          <w:p w:rsidR="00850C29" w:rsidRPr="00D537D9" w:rsidRDefault="00850C29" w:rsidP="00850C29">
            <w:pPr>
              <w:spacing w:after="240"/>
            </w:pPr>
            <w:r w:rsidRPr="00D537D9">
              <w:t>Property, Plant and Equipment</w:t>
            </w:r>
          </w:p>
        </w:tc>
        <w:tc>
          <w:tcPr>
            <w:tcW w:w="1417" w:type="dxa"/>
          </w:tcPr>
          <w:p w:rsidR="00850C29" w:rsidRPr="00D537D9" w:rsidRDefault="00850C29" w:rsidP="00850C29">
            <w:pPr>
              <w:spacing w:after="240"/>
              <w:jc w:val="right"/>
            </w:pPr>
            <w:r w:rsidRPr="00D537D9">
              <w:t>376,289</w:t>
            </w:r>
          </w:p>
        </w:tc>
        <w:tc>
          <w:tcPr>
            <w:tcW w:w="1559" w:type="dxa"/>
          </w:tcPr>
          <w:p w:rsidR="00850C29" w:rsidRPr="00D537D9" w:rsidRDefault="00850C29" w:rsidP="00850C29">
            <w:pPr>
              <w:spacing w:after="240"/>
              <w:jc w:val="right"/>
            </w:pPr>
            <w:r w:rsidRPr="00D537D9">
              <w:t>241,319</w:t>
            </w:r>
          </w:p>
        </w:tc>
      </w:tr>
      <w:tr w:rsidR="00850C29" w:rsidRPr="00D537D9" w:rsidTr="00850C29">
        <w:trPr>
          <w:trHeight w:hRule="exact" w:val="397"/>
        </w:trPr>
        <w:tc>
          <w:tcPr>
            <w:tcW w:w="5484" w:type="dxa"/>
          </w:tcPr>
          <w:p w:rsidR="00850C29" w:rsidRPr="00D537D9" w:rsidRDefault="00850C29" w:rsidP="00850C29">
            <w:pPr>
              <w:spacing w:after="240"/>
            </w:pPr>
            <w:r w:rsidRPr="00D537D9">
              <w:t>Investment Properties</w:t>
            </w:r>
          </w:p>
        </w:tc>
        <w:tc>
          <w:tcPr>
            <w:tcW w:w="1417" w:type="dxa"/>
          </w:tcPr>
          <w:p w:rsidR="00850C29" w:rsidRPr="00D537D9" w:rsidRDefault="00850C29" w:rsidP="00850C29">
            <w:pPr>
              <w:spacing w:after="240"/>
              <w:jc w:val="right"/>
            </w:pPr>
            <w:r w:rsidRPr="00D537D9">
              <w:t>-</w:t>
            </w:r>
          </w:p>
        </w:tc>
        <w:tc>
          <w:tcPr>
            <w:tcW w:w="1559" w:type="dxa"/>
          </w:tcPr>
          <w:p w:rsidR="00850C29" w:rsidRPr="00D537D9" w:rsidRDefault="00850C29" w:rsidP="00850C29">
            <w:pPr>
              <w:spacing w:after="240"/>
              <w:jc w:val="right"/>
            </w:pPr>
            <w:r w:rsidRPr="00D537D9">
              <w:t>-</w:t>
            </w:r>
          </w:p>
        </w:tc>
      </w:tr>
      <w:tr w:rsidR="00850C29" w:rsidRPr="00D537D9" w:rsidTr="00850C29">
        <w:trPr>
          <w:trHeight w:hRule="exact" w:val="397"/>
        </w:trPr>
        <w:tc>
          <w:tcPr>
            <w:tcW w:w="5484" w:type="dxa"/>
          </w:tcPr>
          <w:p w:rsidR="00850C29" w:rsidRPr="00D537D9" w:rsidRDefault="00850C29" w:rsidP="00850C29">
            <w:pPr>
              <w:spacing w:after="240"/>
            </w:pPr>
            <w:r w:rsidRPr="00D537D9">
              <w:t>Intangible Assets</w:t>
            </w:r>
          </w:p>
        </w:tc>
        <w:tc>
          <w:tcPr>
            <w:tcW w:w="1417" w:type="dxa"/>
          </w:tcPr>
          <w:p w:rsidR="00850C29" w:rsidRPr="00D537D9" w:rsidRDefault="00850C29" w:rsidP="00850C29">
            <w:pPr>
              <w:spacing w:after="240"/>
              <w:jc w:val="right"/>
            </w:pPr>
            <w:r w:rsidRPr="00D537D9">
              <w:t>10,549</w:t>
            </w:r>
          </w:p>
        </w:tc>
        <w:tc>
          <w:tcPr>
            <w:tcW w:w="1559" w:type="dxa"/>
          </w:tcPr>
          <w:p w:rsidR="00850C29" w:rsidRPr="00D537D9" w:rsidRDefault="00850C29" w:rsidP="00850C29">
            <w:pPr>
              <w:spacing w:after="240"/>
              <w:jc w:val="right"/>
            </w:pPr>
            <w:r w:rsidRPr="00D537D9">
              <w:t>719</w:t>
            </w:r>
          </w:p>
        </w:tc>
      </w:tr>
      <w:tr w:rsidR="00850C29" w:rsidRPr="00D537D9" w:rsidTr="00850C29">
        <w:trPr>
          <w:trHeight w:hRule="exact" w:val="564"/>
        </w:trPr>
        <w:tc>
          <w:tcPr>
            <w:tcW w:w="5484" w:type="dxa"/>
          </w:tcPr>
          <w:p w:rsidR="00850C29" w:rsidRPr="00D537D9" w:rsidRDefault="00850C29" w:rsidP="00850C29">
            <w:pPr>
              <w:spacing w:after="240"/>
            </w:pPr>
            <w:r w:rsidRPr="00D537D9">
              <w:t>Bonds</w:t>
            </w:r>
          </w:p>
        </w:tc>
        <w:tc>
          <w:tcPr>
            <w:tcW w:w="1417" w:type="dxa"/>
          </w:tcPr>
          <w:p w:rsidR="00850C29" w:rsidRPr="00D537D9" w:rsidRDefault="00850C29" w:rsidP="00850C29">
            <w:pPr>
              <w:spacing w:after="240"/>
              <w:jc w:val="right"/>
            </w:pPr>
            <w:r w:rsidRPr="00D537D9">
              <w:t>-</w:t>
            </w:r>
          </w:p>
        </w:tc>
        <w:tc>
          <w:tcPr>
            <w:tcW w:w="1559" w:type="dxa"/>
          </w:tcPr>
          <w:p w:rsidR="00850C29" w:rsidRPr="00D537D9" w:rsidRDefault="00850C29" w:rsidP="00850C29">
            <w:pPr>
              <w:spacing w:after="240"/>
              <w:jc w:val="right"/>
            </w:pPr>
            <w:r w:rsidRPr="00D537D9">
              <w:t>7,635</w:t>
            </w:r>
          </w:p>
        </w:tc>
      </w:tr>
      <w:tr w:rsidR="00850C29" w:rsidRPr="00D537D9" w:rsidTr="00850C29">
        <w:trPr>
          <w:trHeight w:hRule="exact" w:val="564"/>
        </w:trPr>
        <w:tc>
          <w:tcPr>
            <w:tcW w:w="5484" w:type="dxa"/>
          </w:tcPr>
          <w:p w:rsidR="00850C29" w:rsidRPr="00D537D9" w:rsidRDefault="00850C29" w:rsidP="00850C29">
            <w:pPr>
              <w:spacing w:after="240"/>
            </w:pPr>
            <w:r w:rsidRPr="00D537D9">
              <w:t>Revenue Expenditure Funded from Capital Under Statute</w:t>
            </w:r>
          </w:p>
        </w:tc>
        <w:tc>
          <w:tcPr>
            <w:tcW w:w="1417" w:type="dxa"/>
          </w:tcPr>
          <w:p w:rsidR="00850C29" w:rsidRPr="00D537D9" w:rsidRDefault="00850C29" w:rsidP="00850C29">
            <w:pPr>
              <w:spacing w:after="240"/>
              <w:jc w:val="right"/>
            </w:pPr>
            <w:r w:rsidRPr="00D537D9">
              <w:t>11,293</w:t>
            </w:r>
          </w:p>
        </w:tc>
        <w:tc>
          <w:tcPr>
            <w:tcW w:w="1559" w:type="dxa"/>
          </w:tcPr>
          <w:p w:rsidR="00850C29" w:rsidRPr="00D537D9" w:rsidRDefault="00850C29" w:rsidP="00850C29">
            <w:pPr>
              <w:spacing w:after="240"/>
              <w:jc w:val="right"/>
            </w:pPr>
            <w:r w:rsidRPr="00D537D9">
              <w:t>18,290</w:t>
            </w:r>
          </w:p>
        </w:tc>
      </w:tr>
      <w:tr w:rsidR="00850C29" w:rsidRPr="00D537D9" w:rsidTr="00850C29">
        <w:trPr>
          <w:trHeight w:hRule="exact" w:val="397"/>
        </w:trPr>
        <w:tc>
          <w:tcPr>
            <w:tcW w:w="5484" w:type="dxa"/>
          </w:tcPr>
          <w:p w:rsidR="00850C29" w:rsidRPr="00D537D9" w:rsidRDefault="00850C29" w:rsidP="00850C29">
            <w:pPr>
              <w:spacing w:after="240"/>
              <w:rPr>
                <w:b/>
                <w:i/>
              </w:rPr>
            </w:pPr>
            <w:r w:rsidRPr="00D537D9">
              <w:rPr>
                <w:b/>
                <w:i/>
              </w:rPr>
              <w:t>Sources of Finance</w:t>
            </w:r>
          </w:p>
        </w:tc>
        <w:tc>
          <w:tcPr>
            <w:tcW w:w="1417" w:type="dxa"/>
          </w:tcPr>
          <w:p w:rsidR="00850C29" w:rsidRPr="00D537D9" w:rsidRDefault="00850C29" w:rsidP="00850C29">
            <w:pPr>
              <w:spacing w:after="240"/>
              <w:jc w:val="right"/>
            </w:pPr>
          </w:p>
        </w:tc>
        <w:tc>
          <w:tcPr>
            <w:tcW w:w="1559" w:type="dxa"/>
          </w:tcPr>
          <w:p w:rsidR="00850C29" w:rsidRPr="00D537D9" w:rsidRDefault="00850C29" w:rsidP="00850C29">
            <w:pPr>
              <w:spacing w:after="240"/>
              <w:jc w:val="right"/>
            </w:pPr>
          </w:p>
        </w:tc>
      </w:tr>
      <w:tr w:rsidR="00850C29" w:rsidRPr="00D537D9" w:rsidTr="00850C29">
        <w:trPr>
          <w:trHeight w:hRule="exact" w:val="397"/>
        </w:trPr>
        <w:tc>
          <w:tcPr>
            <w:tcW w:w="5484" w:type="dxa"/>
          </w:tcPr>
          <w:p w:rsidR="00850C29" w:rsidRPr="00D537D9" w:rsidRDefault="00850C29" w:rsidP="00850C29">
            <w:pPr>
              <w:spacing w:after="240"/>
            </w:pPr>
            <w:r w:rsidRPr="00D537D9">
              <w:t>Capital receipts</w:t>
            </w:r>
          </w:p>
        </w:tc>
        <w:tc>
          <w:tcPr>
            <w:tcW w:w="1417" w:type="dxa"/>
          </w:tcPr>
          <w:p w:rsidR="00850C29" w:rsidRPr="00D537D9" w:rsidRDefault="00850C29" w:rsidP="00850C29">
            <w:pPr>
              <w:spacing w:after="240"/>
              <w:jc w:val="right"/>
            </w:pPr>
            <w:r w:rsidRPr="00D537D9">
              <w:t>2,105</w:t>
            </w:r>
          </w:p>
        </w:tc>
        <w:tc>
          <w:tcPr>
            <w:tcW w:w="1559" w:type="dxa"/>
          </w:tcPr>
          <w:p w:rsidR="00850C29" w:rsidRPr="00D537D9" w:rsidRDefault="00850C29" w:rsidP="00850C29">
            <w:pPr>
              <w:spacing w:after="240"/>
              <w:jc w:val="right"/>
            </w:pPr>
            <w:r w:rsidRPr="00D537D9">
              <w:t>10,379</w:t>
            </w:r>
          </w:p>
        </w:tc>
      </w:tr>
      <w:tr w:rsidR="00850C29" w:rsidRPr="00D537D9" w:rsidTr="00850C29">
        <w:trPr>
          <w:trHeight w:hRule="exact" w:val="397"/>
        </w:trPr>
        <w:tc>
          <w:tcPr>
            <w:tcW w:w="5484" w:type="dxa"/>
          </w:tcPr>
          <w:p w:rsidR="00850C29" w:rsidRPr="00D537D9" w:rsidRDefault="00850C29" w:rsidP="00850C29">
            <w:pPr>
              <w:spacing w:after="240"/>
            </w:pPr>
            <w:r w:rsidRPr="00D537D9">
              <w:t>Government grants and other contributions</w:t>
            </w:r>
          </w:p>
        </w:tc>
        <w:tc>
          <w:tcPr>
            <w:tcW w:w="1417" w:type="dxa"/>
          </w:tcPr>
          <w:p w:rsidR="00850C29" w:rsidRPr="00D537D9" w:rsidRDefault="00850C29" w:rsidP="00850C29">
            <w:pPr>
              <w:spacing w:after="240"/>
              <w:jc w:val="right"/>
            </w:pPr>
            <w:r w:rsidRPr="00D537D9">
              <w:t>61,846</w:t>
            </w:r>
          </w:p>
        </w:tc>
        <w:tc>
          <w:tcPr>
            <w:tcW w:w="1559" w:type="dxa"/>
          </w:tcPr>
          <w:p w:rsidR="00850C29" w:rsidRPr="00D537D9" w:rsidRDefault="00850C29" w:rsidP="00850C29">
            <w:pPr>
              <w:spacing w:after="240"/>
              <w:jc w:val="right"/>
            </w:pPr>
            <w:r w:rsidRPr="00D537D9">
              <w:t>97,982</w:t>
            </w:r>
          </w:p>
        </w:tc>
      </w:tr>
      <w:tr w:rsidR="00850C29" w:rsidRPr="00D537D9" w:rsidTr="00850C29">
        <w:trPr>
          <w:trHeight w:hRule="exact" w:val="397"/>
        </w:trPr>
        <w:tc>
          <w:tcPr>
            <w:tcW w:w="5484" w:type="dxa"/>
          </w:tcPr>
          <w:p w:rsidR="00850C29" w:rsidRPr="00CB661A" w:rsidRDefault="00850C29" w:rsidP="00850C29">
            <w:pPr>
              <w:spacing w:after="240"/>
              <w:rPr>
                <w:b/>
              </w:rPr>
            </w:pPr>
            <w:r w:rsidRPr="00687D2A">
              <w:rPr>
                <w:b/>
              </w:rPr>
              <w:lastRenderedPageBreak/>
              <w:t>Sums set aside from revenue:</w:t>
            </w:r>
          </w:p>
        </w:tc>
        <w:tc>
          <w:tcPr>
            <w:tcW w:w="1417" w:type="dxa"/>
          </w:tcPr>
          <w:p w:rsidR="00850C29" w:rsidRPr="00D537D9" w:rsidRDefault="00850C29" w:rsidP="00850C29">
            <w:pPr>
              <w:spacing w:after="240"/>
              <w:jc w:val="right"/>
            </w:pPr>
          </w:p>
        </w:tc>
        <w:tc>
          <w:tcPr>
            <w:tcW w:w="1559" w:type="dxa"/>
          </w:tcPr>
          <w:p w:rsidR="00850C29" w:rsidRPr="00D537D9" w:rsidRDefault="00850C29" w:rsidP="00850C29">
            <w:pPr>
              <w:spacing w:after="240"/>
              <w:jc w:val="right"/>
            </w:pPr>
          </w:p>
        </w:tc>
      </w:tr>
      <w:tr w:rsidR="00850C29" w:rsidRPr="00D537D9" w:rsidTr="00850C29">
        <w:trPr>
          <w:trHeight w:hRule="exact" w:val="397"/>
        </w:trPr>
        <w:tc>
          <w:tcPr>
            <w:tcW w:w="5484" w:type="dxa"/>
          </w:tcPr>
          <w:p w:rsidR="00850C29" w:rsidRPr="00D537D9" w:rsidRDefault="00850C29" w:rsidP="00850C29">
            <w:pPr>
              <w:spacing w:after="240"/>
            </w:pPr>
            <w:r w:rsidRPr="00D537D9">
              <w:t>Direct revenue contributions</w:t>
            </w:r>
          </w:p>
        </w:tc>
        <w:tc>
          <w:tcPr>
            <w:tcW w:w="1417" w:type="dxa"/>
          </w:tcPr>
          <w:p w:rsidR="00850C29" w:rsidRPr="00D537D9" w:rsidRDefault="00850C29" w:rsidP="00850C29">
            <w:pPr>
              <w:spacing w:after="240"/>
              <w:jc w:val="right"/>
            </w:pPr>
            <w:r w:rsidRPr="00D537D9">
              <w:t>15,748</w:t>
            </w:r>
          </w:p>
        </w:tc>
        <w:tc>
          <w:tcPr>
            <w:tcW w:w="1559" w:type="dxa"/>
          </w:tcPr>
          <w:p w:rsidR="00850C29" w:rsidRPr="00D537D9" w:rsidRDefault="00850C29" w:rsidP="00850C29">
            <w:pPr>
              <w:spacing w:after="240"/>
              <w:jc w:val="right"/>
            </w:pPr>
            <w:r w:rsidRPr="00D537D9">
              <w:t>2,893</w:t>
            </w:r>
          </w:p>
        </w:tc>
      </w:tr>
      <w:tr w:rsidR="00850C29" w:rsidRPr="00D537D9" w:rsidTr="00850C29">
        <w:trPr>
          <w:trHeight w:hRule="exact" w:val="397"/>
        </w:trPr>
        <w:tc>
          <w:tcPr>
            <w:tcW w:w="5484" w:type="dxa"/>
          </w:tcPr>
          <w:p w:rsidR="00850C29" w:rsidRPr="00D537D9" w:rsidRDefault="00850C29" w:rsidP="00850C29">
            <w:pPr>
              <w:spacing w:after="240"/>
            </w:pPr>
            <w:r w:rsidRPr="00D537D9">
              <w:t>Write down of PFI liability</w:t>
            </w:r>
          </w:p>
        </w:tc>
        <w:tc>
          <w:tcPr>
            <w:tcW w:w="1417" w:type="dxa"/>
            <w:tcBorders>
              <w:bottom w:val="single" w:sz="4" w:space="0" w:color="auto"/>
            </w:tcBorders>
          </w:tcPr>
          <w:p w:rsidR="00850C29" w:rsidRPr="00D537D9" w:rsidRDefault="00850C29" w:rsidP="00850C29">
            <w:pPr>
              <w:spacing w:after="240"/>
              <w:jc w:val="right"/>
            </w:pPr>
            <w:r w:rsidRPr="00D537D9">
              <w:t>17,945</w:t>
            </w:r>
          </w:p>
        </w:tc>
        <w:tc>
          <w:tcPr>
            <w:tcW w:w="1559" w:type="dxa"/>
            <w:tcBorders>
              <w:bottom w:val="single" w:sz="4" w:space="0" w:color="auto"/>
            </w:tcBorders>
          </w:tcPr>
          <w:p w:rsidR="00850C29" w:rsidRPr="00D537D9" w:rsidRDefault="00850C29" w:rsidP="00850C29">
            <w:pPr>
              <w:spacing w:after="240"/>
              <w:jc w:val="right"/>
            </w:pPr>
            <w:r w:rsidRPr="00D537D9">
              <w:t>1,609</w:t>
            </w:r>
          </w:p>
        </w:tc>
      </w:tr>
      <w:tr w:rsidR="00850C29" w:rsidRPr="00D537D9" w:rsidTr="00850C29">
        <w:trPr>
          <w:trHeight w:hRule="exact" w:val="592"/>
        </w:trPr>
        <w:tc>
          <w:tcPr>
            <w:tcW w:w="5484" w:type="dxa"/>
          </w:tcPr>
          <w:p w:rsidR="00850C29" w:rsidRPr="00D537D9" w:rsidRDefault="00850C29" w:rsidP="00850C29">
            <w:pPr>
              <w:spacing w:after="240"/>
            </w:pPr>
            <w:r w:rsidRPr="00D537D9">
              <w:t>Minimum Revenue Provision (MRP)/ loans fund principal</w:t>
            </w:r>
          </w:p>
        </w:tc>
        <w:tc>
          <w:tcPr>
            <w:tcW w:w="1417" w:type="dxa"/>
            <w:tcBorders>
              <w:bottom w:val="single" w:sz="12" w:space="0" w:color="auto"/>
            </w:tcBorders>
          </w:tcPr>
          <w:p w:rsidR="00850C29" w:rsidRPr="00D537D9" w:rsidRDefault="00850C29" w:rsidP="00850C29">
            <w:pPr>
              <w:spacing w:after="240"/>
              <w:jc w:val="right"/>
            </w:pPr>
            <w:r w:rsidRPr="00D537D9">
              <w:t>26,193</w:t>
            </w:r>
          </w:p>
        </w:tc>
        <w:tc>
          <w:tcPr>
            <w:tcW w:w="1559" w:type="dxa"/>
            <w:tcBorders>
              <w:bottom w:val="single" w:sz="12" w:space="0" w:color="auto"/>
            </w:tcBorders>
          </w:tcPr>
          <w:p w:rsidR="00850C29" w:rsidRPr="00D537D9" w:rsidRDefault="00850C29" w:rsidP="00850C29">
            <w:pPr>
              <w:spacing w:after="240"/>
              <w:jc w:val="right"/>
            </w:pPr>
            <w:r w:rsidRPr="00D537D9">
              <w:t>28,480</w:t>
            </w:r>
          </w:p>
        </w:tc>
      </w:tr>
      <w:tr w:rsidR="00850C29" w:rsidRPr="00D537D9" w:rsidTr="00850C29">
        <w:trPr>
          <w:trHeight w:hRule="exact" w:val="397"/>
        </w:trPr>
        <w:tc>
          <w:tcPr>
            <w:tcW w:w="5484" w:type="dxa"/>
          </w:tcPr>
          <w:p w:rsidR="00850C29" w:rsidRPr="00D537D9" w:rsidRDefault="00850C29" w:rsidP="00850C29">
            <w:pPr>
              <w:spacing w:after="240"/>
              <w:rPr>
                <w:b/>
              </w:rPr>
            </w:pPr>
            <w:r w:rsidRPr="00D537D9">
              <w:rPr>
                <w:b/>
              </w:rPr>
              <w:t>Closing Capital Financing Requirement</w:t>
            </w:r>
          </w:p>
        </w:tc>
        <w:tc>
          <w:tcPr>
            <w:tcW w:w="1417" w:type="dxa"/>
            <w:tcBorders>
              <w:top w:val="single" w:sz="12" w:space="0" w:color="auto"/>
              <w:bottom w:val="single" w:sz="12" w:space="0" w:color="auto"/>
            </w:tcBorders>
          </w:tcPr>
          <w:p w:rsidR="00850C29" w:rsidRPr="00D537D9" w:rsidRDefault="00850C29" w:rsidP="00850C29">
            <w:pPr>
              <w:spacing w:after="240"/>
              <w:jc w:val="right"/>
            </w:pPr>
            <w:r w:rsidRPr="00D537D9">
              <w:t>1,111,626</w:t>
            </w:r>
          </w:p>
        </w:tc>
        <w:tc>
          <w:tcPr>
            <w:tcW w:w="1559" w:type="dxa"/>
            <w:tcBorders>
              <w:top w:val="single" w:sz="12" w:space="0" w:color="auto"/>
              <w:bottom w:val="single" w:sz="12" w:space="0" w:color="auto"/>
            </w:tcBorders>
          </w:tcPr>
          <w:p w:rsidR="00850C29" w:rsidRPr="00D537D9" w:rsidRDefault="00850C29" w:rsidP="00850C29">
            <w:pPr>
              <w:spacing w:after="240"/>
              <w:jc w:val="right"/>
            </w:pPr>
            <w:r w:rsidRPr="00D537D9">
              <w:t>837,332</w:t>
            </w:r>
          </w:p>
        </w:tc>
      </w:tr>
      <w:tr w:rsidR="00850C29" w:rsidRPr="00D537D9" w:rsidTr="00850C29">
        <w:trPr>
          <w:trHeight w:hRule="exact" w:val="397"/>
        </w:trPr>
        <w:tc>
          <w:tcPr>
            <w:tcW w:w="5484" w:type="dxa"/>
          </w:tcPr>
          <w:p w:rsidR="00850C29" w:rsidRPr="00D537D9" w:rsidRDefault="00850C29" w:rsidP="00850C29">
            <w:pPr>
              <w:spacing w:after="240"/>
            </w:pPr>
          </w:p>
        </w:tc>
        <w:tc>
          <w:tcPr>
            <w:tcW w:w="1417" w:type="dxa"/>
            <w:tcBorders>
              <w:top w:val="single" w:sz="12" w:space="0" w:color="auto"/>
            </w:tcBorders>
          </w:tcPr>
          <w:p w:rsidR="00850C29" w:rsidRPr="00D537D9" w:rsidRDefault="00850C29" w:rsidP="00850C29">
            <w:pPr>
              <w:spacing w:after="240"/>
              <w:jc w:val="right"/>
            </w:pPr>
          </w:p>
        </w:tc>
        <w:tc>
          <w:tcPr>
            <w:tcW w:w="1559" w:type="dxa"/>
            <w:tcBorders>
              <w:top w:val="single" w:sz="12" w:space="0" w:color="auto"/>
            </w:tcBorders>
          </w:tcPr>
          <w:p w:rsidR="00850C29" w:rsidRPr="00D537D9" w:rsidRDefault="00850C29" w:rsidP="00850C29">
            <w:pPr>
              <w:spacing w:after="240"/>
              <w:jc w:val="right"/>
            </w:pPr>
          </w:p>
        </w:tc>
      </w:tr>
      <w:tr w:rsidR="00850C29" w:rsidRPr="00D537D9" w:rsidTr="00850C29">
        <w:trPr>
          <w:trHeight w:hRule="exact" w:val="397"/>
        </w:trPr>
        <w:tc>
          <w:tcPr>
            <w:tcW w:w="5484" w:type="dxa"/>
          </w:tcPr>
          <w:p w:rsidR="00850C29" w:rsidRPr="00D537D9" w:rsidRDefault="00850C29" w:rsidP="00850C29">
            <w:pPr>
              <w:spacing w:after="240"/>
            </w:pPr>
            <w:r w:rsidRPr="00D537D9">
              <w:t>Explanation of movements in year:</w:t>
            </w:r>
          </w:p>
        </w:tc>
        <w:tc>
          <w:tcPr>
            <w:tcW w:w="1417" w:type="dxa"/>
          </w:tcPr>
          <w:p w:rsidR="00850C29" w:rsidRPr="00D537D9" w:rsidRDefault="00850C29" w:rsidP="00850C29">
            <w:pPr>
              <w:spacing w:after="240"/>
              <w:jc w:val="right"/>
            </w:pPr>
          </w:p>
        </w:tc>
        <w:tc>
          <w:tcPr>
            <w:tcW w:w="1559" w:type="dxa"/>
          </w:tcPr>
          <w:p w:rsidR="00850C29" w:rsidRPr="00D537D9" w:rsidRDefault="00850C29" w:rsidP="00850C29">
            <w:pPr>
              <w:spacing w:after="240"/>
              <w:jc w:val="right"/>
            </w:pPr>
          </w:p>
        </w:tc>
      </w:tr>
      <w:tr w:rsidR="00850C29" w:rsidRPr="00D537D9" w:rsidTr="00850C29">
        <w:trPr>
          <w:trHeight w:hRule="exact" w:val="646"/>
        </w:trPr>
        <w:tc>
          <w:tcPr>
            <w:tcW w:w="5484" w:type="dxa"/>
          </w:tcPr>
          <w:p w:rsidR="00850C29" w:rsidRPr="00D537D9" w:rsidRDefault="00850C29" w:rsidP="00850C29">
            <w:pPr>
              <w:spacing w:after="240"/>
            </w:pPr>
            <w:r w:rsidRPr="00D537D9">
              <w:t>Increase in underlying need to borrowing (supported by government financial assistance)</w:t>
            </w:r>
          </w:p>
        </w:tc>
        <w:tc>
          <w:tcPr>
            <w:tcW w:w="1417" w:type="dxa"/>
          </w:tcPr>
          <w:p w:rsidR="00850C29" w:rsidRPr="00D537D9" w:rsidRDefault="00850C29" w:rsidP="00850C29">
            <w:pPr>
              <w:spacing w:after="240"/>
              <w:jc w:val="right"/>
            </w:pPr>
            <w:r w:rsidRPr="00D537D9">
              <w:t>(18,232)</w:t>
            </w:r>
          </w:p>
        </w:tc>
        <w:tc>
          <w:tcPr>
            <w:tcW w:w="1559" w:type="dxa"/>
          </w:tcPr>
          <w:p w:rsidR="00850C29" w:rsidRPr="00D537D9" w:rsidRDefault="00850C29" w:rsidP="00850C29">
            <w:pPr>
              <w:spacing w:after="240"/>
              <w:jc w:val="right"/>
            </w:pPr>
            <w:r w:rsidRPr="00D537D9">
              <w:t>18,430</w:t>
            </w:r>
          </w:p>
        </w:tc>
      </w:tr>
      <w:tr w:rsidR="00850C29" w:rsidRPr="00D537D9" w:rsidTr="00850C29">
        <w:trPr>
          <w:trHeight w:hRule="exact" w:val="995"/>
        </w:trPr>
        <w:tc>
          <w:tcPr>
            <w:tcW w:w="5484" w:type="dxa"/>
          </w:tcPr>
          <w:p w:rsidR="00850C29" w:rsidRPr="00D537D9" w:rsidRDefault="00850C29" w:rsidP="00850C29">
            <w:pPr>
              <w:spacing w:after="240"/>
            </w:pPr>
            <w:r w:rsidRPr="00D537D9">
              <w:t>Increase in underlying need to borrowing (unsupported by government financial assistance)</w:t>
            </w:r>
          </w:p>
        </w:tc>
        <w:tc>
          <w:tcPr>
            <w:tcW w:w="1417" w:type="dxa"/>
          </w:tcPr>
          <w:p w:rsidR="00850C29" w:rsidRPr="00D537D9" w:rsidRDefault="00850C29" w:rsidP="00850C29">
            <w:pPr>
              <w:spacing w:after="240"/>
              <w:jc w:val="right"/>
            </w:pPr>
            <w:r w:rsidRPr="00D537D9">
              <w:t>64,587</w:t>
            </w:r>
          </w:p>
        </w:tc>
        <w:tc>
          <w:tcPr>
            <w:tcW w:w="1559" w:type="dxa"/>
          </w:tcPr>
          <w:p w:rsidR="00850C29" w:rsidRPr="00D537D9" w:rsidRDefault="00850C29" w:rsidP="00850C29">
            <w:pPr>
              <w:spacing w:after="240"/>
              <w:jc w:val="right"/>
            </w:pPr>
            <w:r w:rsidRPr="00D537D9">
              <w:t>27,896</w:t>
            </w:r>
          </w:p>
        </w:tc>
      </w:tr>
      <w:tr w:rsidR="00850C29" w:rsidRPr="00D537D9" w:rsidTr="00850C29">
        <w:trPr>
          <w:trHeight w:hRule="exact" w:val="397"/>
        </w:trPr>
        <w:tc>
          <w:tcPr>
            <w:tcW w:w="5484" w:type="dxa"/>
          </w:tcPr>
          <w:p w:rsidR="00850C29" w:rsidRPr="00D537D9" w:rsidRDefault="00850C29" w:rsidP="00850C29">
            <w:pPr>
              <w:spacing w:after="240"/>
            </w:pPr>
            <w:r>
              <w:t>Write down PFI Liability</w:t>
            </w:r>
          </w:p>
        </w:tc>
        <w:tc>
          <w:tcPr>
            <w:tcW w:w="1417" w:type="dxa"/>
          </w:tcPr>
          <w:p w:rsidR="00850C29" w:rsidRPr="00D537D9" w:rsidRDefault="00850C29" w:rsidP="00850C29">
            <w:pPr>
              <w:spacing w:after="240"/>
              <w:jc w:val="right"/>
            </w:pPr>
            <w:r w:rsidRPr="00D537D9">
              <w:t>(17,945)</w:t>
            </w:r>
          </w:p>
        </w:tc>
        <w:tc>
          <w:tcPr>
            <w:tcW w:w="1559" w:type="dxa"/>
          </w:tcPr>
          <w:p w:rsidR="00850C29" w:rsidRPr="00D537D9" w:rsidRDefault="00850C29" w:rsidP="00850C29">
            <w:pPr>
              <w:spacing w:after="240"/>
              <w:jc w:val="right"/>
            </w:pPr>
            <w:r w:rsidRPr="00D537D9">
              <w:t>-</w:t>
            </w:r>
          </w:p>
        </w:tc>
      </w:tr>
      <w:tr w:rsidR="00850C29" w:rsidRPr="00D537D9" w:rsidTr="00850C29">
        <w:trPr>
          <w:trHeight w:hRule="exact" w:val="745"/>
        </w:trPr>
        <w:tc>
          <w:tcPr>
            <w:tcW w:w="5484" w:type="dxa"/>
          </w:tcPr>
          <w:p w:rsidR="00850C29" w:rsidRPr="00D537D9" w:rsidRDefault="00850C29" w:rsidP="00850C29">
            <w:pPr>
              <w:spacing w:after="240"/>
            </w:pPr>
            <w:r w:rsidRPr="00D537D9">
              <w:t>Assets acquired under Private Finance Initiative contracts</w:t>
            </w:r>
          </w:p>
        </w:tc>
        <w:tc>
          <w:tcPr>
            <w:tcW w:w="1417" w:type="dxa"/>
            <w:tcBorders>
              <w:bottom w:val="single" w:sz="12" w:space="0" w:color="auto"/>
            </w:tcBorders>
          </w:tcPr>
          <w:p w:rsidR="00850C29" w:rsidRPr="00D537D9" w:rsidRDefault="00850C29" w:rsidP="00850C29">
            <w:pPr>
              <w:spacing w:after="240"/>
              <w:jc w:val="right"/>
            </w:pPr>
            <w:r w:rsidRPr="00D537D9">
              <w:t>245,884</w:t>
            </w:r>
          </w:p>
        </w:tc>
        <w:tc>
          <w:tcPr>
            <w:tcW w:w="1559" w:type="dxa"/>
            <w:tcBorders>
              <w:bottom w:val="single" w:sz="12" w:space="0" w:color="auto"/>
            </w:tcBorders>
          </w:tcPr>
          <w:p w:rsidR="00850C29" w:rsidRPr="00D537D9" w:rsidRDefault="00850C29" w:rsidP="00850C29">
            <w:pPr>
              <w:spacing w:after="240"/>
              <w:jc w:val="right"/>
            </w:pPr>
            <w:r w:rsidRPr="00D537D9">
              <w:t>80,294</w:t>
            </w:r>
          </w:p>
        </w:tc>
      </w:tr>
      <w:tr w:rsidR="00850C29" w:rsidRPr="00D537D9" w:rsidTr="00850C29">
        <w:trPr>
          <w:trHeight w:hRule="exact" w:val="720"/>
        </w:trPr>
        <w:tc>
          <w:tcPr>
            <w:tcW w:w="5484" w:type="dxa"/>
            <w:tcBorders>
              <w:right w:val="single" w:sz="12" w:space="0" w:color="auto"/>
            </w:tcBorders>
          </w:tcPr>
          <w:p w:rsidR="00850C29" w:rsidRPr="00D537D9" w:rsidRDefault="00850C29" w:rsidP="00850C29">
            <w:pPr>
              <w:spacing w:after="240"/>
              <w:rPr>
                <w:b/>
              </w:rPr>
            </w:pPr>
            <w:r w:rsidRPr="00D537D9">
              <w:rPr>
                <w:b/>
              </w:rPr>
              <w:t>Increase (decrease) in Capital Financing Requirement</w:t>
            </w:r>
          </w:p>
        </w:tc>
        <w:tc>
          <w:tcPr>
            <w:tcW w:w="1417" w:type="dxa"/>
            <w:tcBorders>
              <w:top w:val="single" w:sz="12" w:space="0" w:color="auto"/>
              <w:left w:val="single" w:sz="12" w:space="0" w:color="auto"/>
              <w:bottom w:val="single" w:sz="12" w:space="0" w:color="auto"/>
              <w:right w:val="single" w:sz="12" w:space="0" w:color="auto"/>
            </w:tcBorders>
          </w:tcPr>
          <w:p w:rsidR="00850C29" w:rsidRPr="00D537D9" w:rsidRDefault="00850C29" w:rsidP="00850C29">
            <w:pPr>
              <w:spacing w:after="240"/>
              <w:jc w:val="right"/>
              <w:rPr>
                <w:b/>
              </w:rPr>
            </w:pPr>
            <w:r w:rsidRPr="00D537D9">
              <w:rPr>
                <w:b/>
              </w:rPr>
              <w:t>274,294</w:t>
            </w:r>
          </w:p>
        </w:tc>
        <w:tc>
          <w:tcPr>
            <w:tcW w:w="1559" w:type="dxa"/>
            <w:tcBorders>
              <w:top w:val="single" w:sz="12" w:space="0" w:color="auto"/>
              <w:left w:val="single" w:sz="12" w:space="0" w:color="auto"/>
              <w:bottom w:val="single" w:sz="12" w:space="0" w:color="auto"/>
              <w:right w:val="single" w:sz="12" w:space="0" w:color="auto"/>
            </w:tcBorders>
          </w:tcPr>
          <w:p w:rsidR="00850C29" w:rsidRPr="00D537D9" w:rsidRDefault="00850C29" w:rsidP="00850C29">
            <w:pPr>
              <w:spacing w:after="240"/>
              <w:jc w:val="right"/>
              <w:rPr>
                <w:b/>
              </w:rPr>
            </w:pPr>
            <w:r w:rsidRPr="00D537D9">
              <w:rPr>
                <w:b/>
              </w:rPr>
              <w:t>126,620</w:t>
            </w:r>
          </w:p>
        </w:tc>
      </w:tr>
    </w:tbl>
    <w:p w:rsidR="00850C29" w:rsidRDefault="00850C29" w:rsidP="00850C29">
      <w:pPr>
        <w:spacing w:after="240"/>
        <w:jc w:val="both"/>
      </w:pPr>
    </w:p>
    <w:p w:rsidR="006C142B" w:rsidRPr="00DA488C" w:rsidRDefault="006C142B" w:rsidP="00850C29">
      <w:pPr>
        <w:spacing w:after="240"/>
        <w:ind w:firstLine="720"/>
        <w:jc w:val="both"/>
      </w:pPr>
      <w:r w:rsidRPr="00DA488C">
        <w:rPr>
          <w:b/>
        </w:rPr>
        <w:t xml:space="preserve">Future capital spending commitments </w:t>
      </w:r>
    </w:p>
    <w:p w:rsidR="00DA488C" w:rsidRDefault="00DA488C" w:rsidP="00E353CF">
      <w:pPr>
        <w:ind w:left="720"/>
        <w:jc w:val="both"/>
      </w:pPr>
      <w:r w:rsidRPr="009D01FA">
        <w:t>Due to the long term nature of many  capital projects we are committed to certain levels of capital spending in the future</w:t>
      </w:r>
      <w:r>
        <w:t xml:space="preserve"> </w:t>
      </w:r>
      <w:r w:rsidRPr="009D01FA">
        <w:t>with many projects  agreed in previous years not due to be completed until later years .</w:t>
      </w:r>
    </w:p>
    <w:p w:rsidR="00040CED" w:rsidRPr="009D01FA" w:rsidRDefault="00040CED" w:rsidP="00DA488C">
      <w:pPr>
        <w:ind w:left="720"/>
      </w:pPr>
    </w:p>
    <w:p w:rsidR="00DA488C" w:rsidRDefault="00DA488C" w:rsidP="00E353CF">
      <w:pPr>
        <w:ind w:left="720"/>
        <w:jc w:val="both"/>
      </w:pPr>
      <w:r w:rsidRPr="009D01FA">
        <w:t>Our capital spending commitment in 2012-13 and later years for projects that commenced prior to 2011-12 is £170 million, of which £88 million will be spent in 2012-13 and £82 million 2013-14 onwards. These include projects which have started in respect of design and planning but no construction contract has been let and therefore there is no legal obligation to complete the project.  Our legally committed capital expenditure as at 31</w:t>
      </w:r>
      <w:r w:rsidR="00040CED">
        <w:rPr>
          <w:vertAlign w:val="superscript"/>
        </w:rPr>
        <w:t xml:space="preserve"> </w:t>
      </w:r>
      <w:r w:rsidR="002F2734">
        <w:t>March 201</w:t>
      </w:r>
      <w:r w:rsidR="00676243">
        <w:t>2</w:t>
      </w:r>
      <w:r w:rsidR="002F2734">
        <w:t xml:space="preserve"> is £34</w:t>
      </w:r>
      <w:r w:rsidRPr="009D01FA">
        <w:t xml:space="preserve"> million</w:t>
      </w:r>
      <w:r w:rsidR="002F2734">
        <w:t xml:space="preserve"> as detailed below:</w:t>
      </w:r>
    </w:p>
    <w:p w:rsidR="002F2734" w:rsidRDefault="002F2734" w:rsidP="00DA488C">
      <w:pPr>
        <w:ind w:left="72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5"/>
        <w:gridCol w:w="4957"/>
      </w:tblGrid>
      <w:tr w:rsidR="002F2734" w:rsidTr="002F2734">
        <w:tc>
          <w:tcPr>
            <w:tcW w:w="5341" w:type="dxa"/>
          </w:tcPr>
          <w:p w:rsidR="002F2734" w:rsidRDefault="008A6B2E" w:rsidP="00DA488C">
            <w:r>
              <w:t>Adult and Community Services</w:t>
            </w:r>
          </w:p>
        </w:tc>
        <w:tc>
          <w:tcPr>
            <w:tcW w:w="5341" w:type="dxa"/>
          </w:tcPr>
          <w:p w:rsidR="002F2734" w:rsidRDefault="002F2734" w:rsidP="00DA488C">
            <w:r>
              <w:t>£1.6m</w:t>
            </w:r>
          </w:p>
        </w:tc>
      </w:tr>
      <w:tr w:rsidR="002F2734" w:rsidTr="002F2734">
        <w:tc>
          <w:tcPr>
            <w:tcW w:w="5341" w:type="dxa"/>
          </w:tcPr>
          <w:p w:rsidR="002F2734" w:rsidRDefault="008A6B2E" w:rsidP="00DA488C">
            <w:r>
              <w:t>Children and Young People</w:t>
            </w:r>
          </w:p>
        </w:tc>
        <w:tc>
          <w:tcPr>
            <w:tcW w:w="5341" w:type="dxa"/>
          </w:tcPr>
          <w:p w:rsidR="002F2734" w:rsidRDefault="002F2734" w:rsidP="00DA488C">
            <w:r>
              <w:t>£27.9m</w:t>
            </w:r>
          </w:p>
        </w:tc>
      </w:tr>
      <w:tr w:rsidR="002F2734" w:rsidTr="002F2734">
        <w:tc>
          <w:tcPr>
            <w:tcW w:w="5341" w:type="dxa"/>
          </w:tcPr>
          <w:p w:rsidR="002F2734" w:rsidRDefault="002F2734" w:rsidP="00DA488C">
            <w:r>
              <w:t>Environment</w:t>
            </w:r>
          </w:p>
        </w:tc>
        <w:tc>
          <w:tcPr>
            <w:tcW w:w="5341" w:type="dxa"/>
          </w:tcPr>
          <w:p w:rsidR="002F2734" w:rsidRDefault="002F2734" w:rsidP="00DA488C">
            <w:r>
              <w:t>£2.9m</w:t>
            </w:r>
          </w:p>
        </w:tc>
      </w:tr>
      <w:tr w:rsidR="002F2734" w:rsidTr="002F2734">
        <w:tc>
          <w:tcPr>
            <w:tcW w:w="5341" w:type="dxa"/>
          </w:tcPr>
          <w:p w:rsidR="002F2734" w:rsidRDefault="002F2734" w:rsidP="00DA488C">
            <w:r>
              <w:t>Other Directorates</w:t>
            </w:r>
          </w:p>
        </w:tc>
        <w:tc>
          <w:tcPr>
            <w:tcW w:w="5341" w:type="dxa"/>
          </w:tcPr>
          <w:p w:rsidR="002F2734" w:rsidRDefault="002F2734" w:rsidP="00DA488C">
            <w:r>
              <w:t>£1.6m</w:t>
            </w:r>
          </w:p>
        </w:tc>
      </w:tr>
    </w:tbl>
    <w:p w:rsidR="002F2734" w:rsidRPr="009D01FA" w:rsidRDefault="002F2734" w:rsidP="00DA488C">
      <w:pPr>
        <w:ind w:left="720"/>
      </w:pPr>
    </w:p>
    <w:p w:rsidR="00480B67" w:rsidRPr="00B52CE5" w:rsidRDefault="00480B67" w:rsidP="00A16800">
      <w:pPr>
        <w:spacing w:after="240"/>
      </w:pPr>
    </w:p>
    <w:p w:rsidR="00FF4CFF" w:rsidRPr="00B52CE5" w:rsidRDefault="00FF4CFF" w:rsidP="00BD07E4">
      <w:pPr>
        <w:numPr>
          <w:ilvl w:val="0"/>
          <w:numId w:val="21"/>
        </w:numPr>
        <w:spacing w:after="240"/>
        <w:rPr>
          <w:b/>
        </w:rPr>
      </w:pPr>
      <w:r w:rsidRPr="00B52CE5">
        <w:rPr>
          <w:b/>
        </w:rPr>
        <w:t>Operating Leases</w:t>
      </w:r>
    </w:p>
    <w:p w:rsidR="00B52CE5" w:rsidRPr="000957C9" w:rsidRDefault="00B52CE5" w:rsidP="00B52CE5">
      <w:pPr>
        <w:spacing w:after="240"/>
        <w:ind w:firstLine="720"/>
        <w:rPr>
          <w:b/>
        </w:rPr>
      </w:pPr>
      <w:r w:rsidRPr="000957C9">
        <w:rPr>
          <w:b/>
        </w:rPr>
        <w:t>Authority as Lessee:</w:t>
      </w:r>
    </w:p>
    <w:p w:rsidR="00B52CE5" w:rsidRPr="000957C9" w:rsidRDefault="00B52CE5" w:rsidP="00B52CE5">
      <w:pPr>
        <w:spacing w:after="240"/>
        <w:ind w:left="709" w:firstLine="11"/>
      </w:pPr>
      <w:r w:rsidRPr="000957C9">
        <w:t xml:space="preserve">The minimum lease payments </w:t>
      </w:r>
      <w:r>
        <w:t xml:space="preserve">over the whole term of the lease assuming all leases run for the full duration </w:t>
      </w:r>
      <w:r w:rsidRPr="000957C9">
        <w:t>will be payable over the following periods:</w:t>
      </w:r>
    </w:p>
    <w:tbl>
      <w:tblPr>
        <w:tblW w:w="8541" w:type="dxa"/>
        <w:tblInd w:w="1065" w:type="dxa"/>
        <w:tblLook w:val="04A0"/>
      </w:tblPr>
      <w:tblGrid>
        <w:gridCol w:w="5980"/>
        <w:gridCol w:w="1285"/>
        <w:gridCol w:w="1276"/>
      </w:tblGrid>
      <w:tr w:rsidR="00B52CE5" w:rsidRPr="000957C9" w:rsidTr="00B52CE5">
        <w:trPr>
          <w:trHeight w:val="315"/>
        </w:trPr>
        <w:tc>
          <w:tcPr>
            <w:tcW w:w="5980" w:type="dxa"/>
            <w:tcBorders>
              <w:top w:val="nil"/>
              <w:left w:val="nil"/>
              <w:bottom w:val="nil"/>
              <w:right w:val="nil"/>
            </w:tcBorders>
            <w:shd w:val="clear" w:color="auto" w:fill="auto"/>
            <w:noWrap/>
            <w:vAlign w:val="bottom"/>
            <w:hideMark/>
          </w:tcPr>
          <w:p w:rsidR="00B52CE5" w:rsidRPr="000957C9" w:rsidRDefault="00B52CE5" w:rsidP="00B52CE5"/>
        </w:tc>
        <w:tc>
          <w:tcPr>
            <w:tcW w:w="1285" w:type="dxa"/>
            <w:tcBorders>
              <w:top w:val="single" w:sz="4" w:space="0" w:color="auto"/>
              <w:left w:val="single" w:sz="4" w:space="0" w:color="auto"/>
              <w:bottom w:val="nil"/>
              <w:right w:val="single" w:sz="4" w:space="0" w:color="auto"/>
            </w:tcBorders>
            <w:shd w:val="clear" w:color="auto" w:fill="auto"/>
            <w:noWrap/>
            <w:vAlign w:val="bottom"/>
            <w:hideMark/>
          </w:tcPr>
          <w:p w:rsidR="00B52CE5" w:rsidRPr="000957C9" w:rsidRDefault="00B52CE5" w:rsidP="00B52CE5">
            <w:pPr>
              <w:jc w:val="right"/>
              <w:rPr>
                <w:b/>
                <w:bCs/>
              </w:rPr>
            </w:pPr>
            <w:r>
              <w:rPr>
                <w:b/>
                <w:bCs/>
              </w:rPr>
              <w:t>2011/12</w:t>
            </w:r>
          </w:p>
        </w:tc>
        <w:tc>
          <w:tcPr>
            <w:tcW w:w="1276" w:type="dxa"/>
            <w:tcBorders>
              <w:top w:val="single" w:sz="4" w:space="0" w:color="auto"/>
              <w:left w:val="nil"/>
              <w:bottom w:val="nil"/>
              <w:right w:val="single" w:sz="4" w:space="0" w:color="auto"/>
            </w:tcBorders>
            <w:shd w:val="clear" w:color="auto" w:fill="auto"/>
            <w:noWrap/>
            <w:vAlign w:val="bottom"/>
            <w:hideMark/>
          </w:tcPr>
          <w:p w:rsidR="00B52CE5" w:rsidRPr="000957C9" w:rsidRDefault="00B52CE5" w:rsidP="00B52CE5">
            <w:pPr>
              <w:jc w:val="right"/>
              <w:rPr>
                <w:b/>
                <w:bCs/>
              </w:rPr>
            </w:pPr>
            <w:r>
              <w:rPr>
                <w:b/>
                <w:bCs/>
              </w:rPr>
              <w:t>2010/11</w:t>
            </w:r>
          </w:p>
        </w:tc>
      </w:tr>
      <w:tr w:rsidR="00B52CE5" w:rsidRPr="000957C9" w:rsidTr="00B52CE5">
        <w:trPr>
          <w:trHeight w:val="315"/>
        </w:trPr>
        <w:tc>
          <w:tcPr>
            <w:tcW w:w="5980" w:type="dxa"/>
            <w:tcBorders>
              <w:top w:val="nil"/>
              <w:left w:val="nil"/>
              <w:bottom w:val="nil"/>
              <w:right w:val="nil"/>
            </w:tcBorders>
            <w:shd w:val="clear" w:color="auto" w:fill="auto"/>
            <w:noWrap/>
            <w:vAlign w:val="bottom"/>
            <w:hideMark/>
          </w:tcPr>
          <w:p w:rsidR="00B52CE5" w:rsidRPr="000957C9" w:rsidRDefault="00B52CE5" w:rsidP="00B52CE5"/>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B52CE5" w:rsidRPr="000957C9" w:rsidRDefault="00342F70" w:rsidP="00B52CE5">
            <w:pPr>
              <w:jc w:val="right"/>
              <w:rPr>
                <w:b/>
                <w:bCs/>
              </w:rPr>
            </w:pPr>
            <w:r>
              <w:rPr>
                <w:b/>
                <w:bCs/>
              </w:rPr>
              <w:t>£</w:t>
            </w:r>
            <w:r w:rsidR="00B52CE5" w:rsidRPr="000957C9">
              <w:rP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52CE5" w:rsidRPr="000957C9" w:rsidRDefault="00B52CE5" w:rsidP="00342F70">
            <w:pPr>
              <w:jc w:val="right"/>
              <w:rPr>
                <w:b/>
                <w:bCs/>
              </w:rPr>
            </w:pPr>
            <w:r w:rsidRPr="000957C9">
              <w:rPr>
                <w:b/>
                <w:bCs/>
              </w:rPr>
              <w:t>£000</w:t>
            </w:r>
          </w:p>
        </w:tc>
      </w:tr>
      <w:tr w:rsidR="00B52CE5" w:rsidRPr="000957C9" w:rsidTr="00B52CE5">
        <w:trPr>
          <w:trHeight w:val="315"/>
        </w:trPr>
        <w:tc>
          <w:tcPr>
            <w:tcW w:w="5980" w:type="dxa"/>
            <w:tcBorders>
              <w:top w:val="nil"/>
              <w:left w:val="nil"/>
              <w:bottom w:val="nil"/>
              <w:right w:val="nil"/>
            </w:tcBorders>
            <w:shd w:val="clear" w:color="auto" w:fill="auto"/>
            <w:noWrap/>
            <w:vAlign w:val="bottom"/>
            <w:hideMark/>
          </w:tcPr>
          <w:p w:rsidR="00B52CE5" w:rsidRPr="000957C9" w:rsidRDefault="00B52CE5" w:rsidP="00B52CE5"/>
        </w:tc>
        <w:tc>
          <w:tcPr>
            <w:tcW w:w="1285" w:type="dxa"/>
            <w:tcBorders>
              <w:top w:val="nil"/>
              <w:left w:val="single" w:sz="4" w:space="0" w:color="auto"/>
              <w:bottom w:val="nil"/>
              <w:right w:val="single" w:sz="4" w:space="0" w:color="auto"/>
            </w:tcBorders>
            <w:shd w:val="clear" w:color="auto" w:fill="auto"/>
            <w:noWrap/>
            <w:vAlign w:val="bottom"/>
            <w:hideMark/>
          </w:tcPr>
          <w:p w:rsidR="00B52CE5" w:rsidRPr="000957C9" w:rsidRDefault="00B52CE5" w:rsidP="00B52CE5">
            <w:pPr>
              <w:jc w:val="center"/>
              <w:rPr>
                <w:b/>
                <w:bCs/>
              </w:rPr>
            </w:pPr>
            <w:r w:rsidRPr="000957C9">
              <w:rPr>
                <w:b/>
                <w:bCs/>
              </w:rPr>
              <w:t> </w:t>
            </w:r>
          </w:p>
        </w:tc>
        <w:tc>
          <w:tcPr>
            <w:tcW w:w="1276" w:type="dxa"/>
            <w:tcBorders>
              <w:top w:val="nil"/>
              <w:left w:val="nil"/>
              <w:bottom w:val="nil"/>
              <w:right w:val="single" w:sz="4" w:space="0" w:color="auto"/>
            </w:tcBorders>
            <w:shd w:val="clear" w:color="auto" w:fill="auto"/>
            <w:noWrap/>
            <w:vAlign w:val="bottom"/>
            <w:hideMark/>
          </w:tcPr>
          <w:p w:rsidR="00B52CE5" w:rsidRPr="000957C9" w:rsidRDefault="00B52CE5" w:rsidP="00B52CE5">
            <w:pPr>
              <w:jc w:val="center"/>
              <w:rPr>
                <w:b/>
                <w:bCs/>
              </w:rPr>
            </w:pPr>
            <w:r w:rsidRPr="000957C9">
              <w:rPr>
                <w:b/>
                <w:bCs/>
              </w:rPr>
              <w:t> </w:t>
            </w:r>
          </w:p>
        </w:tc>
      </w:tr>
      <w:tr w:rsidR="00B52CE5" w:rsidRPr="000957C9" w:rsidTr="00B52CE5">
        <w:trPr>
          <w:trHeight w:val="300"/>
        </w:trPr>
        <w:tc>
          <w:tcPr>
            <w:tcW w:w="5980" w:type="dxa"/>
            <w:tcBorders>
              <w:top w:val="nil"/>
              <w:left w:val="nil"/>
              <w:bottom w:val="nil"/>
              <w:right w:val="nil"/>
            </w:tcBorders>
            <w:shd w:val="clear" w:color="auto" w:fill="auto"/>
            <w:noWrap/>
            <w:vAlign w:val="bottom"/>
            <w:hideMark/>
          </w:tcPr>
          <w:p w:rsidR="00B52CE5" w:rsidRPr="000957C9" w:rsidRDefault="00B52CE5" w:rsidP="00B52CE5">
            <w:r w:rsidRPr="000957C9">
              <w:t>Leases expiring not later than one year</w:t>
            </w:r>
          </w:p>
        </w:tc>
        <w:tc>
          <w:tcPr>
            <w:tcW w:w="1285" w:type="dxa"/>
            <w:tcBorders>
              <w:top w:val="nil"/>
              <w:left w:val="single" w:sz="4" w:space="0" w:color="auto"/>
              <w:bottom w:val="nil"/>
              <w:right w:val="single" w:sz="4" w:space="0" w:color="auto"/>
            </w:tcBorders>
            <w:shd w:val="clear" w:color="auto" w:fill="auto"/>
            <w:noWrap/>
            <w:vAlign w:val="bottom"/>
            <w:hideMark/>
          </w:tcPr>
          <w:p w:rsidR="00B52CE5" w:rsidRPr="000957C9" w:rsidRDefault="00B52CE5" w:rsidP="00B52CE5">
            <w:pPr>
              <w:jc w:val="right"/>
            </w:pPr>
            <w:r>
              <w:t>817</w:t>
            </w:r>
          </w:p>
        </w:tc>
        <w:tc>
          <w:tcPr>
            <w:tcW w:w="1276" w:type="dxa"/>
            <w:tcBorders>
              <w:top w:val="nil"/>
              <w:left w:val="nil"/>
              <w:bottom w:val="nil"/>
              <w:right w:val="single" w:sz="4" w:space="0" w:color="auto"/>
            </w:tcBorders>
            <w:shd w:val="clear" w:color="auto" w:fill="auto"/>
            <w:noWrap/>
            <w:vAlign w:val="bottom"/>
            <w:hideMark/>
          </w:tcPr>
          <w:p w:rsidR="00B52CE5" w:rsidRPr="000957C9" w:rsidRDefault="00B52CE5" w:rsidP="00B52CE5">
            <w:pPr>
              <w:jc w:val="right"/>
            </w:pPr>
            <w:r>
              <w:t>827</w:t>
            </w:r>
          </w:p>
        </w:tc>
      </w:tr>
      <w:tr w:rsidR="00B52CE5" w:rsidRPr="000957C9" w:rsidTr="00B52CE5">
        <w:trPr>
          <w:trHeight w:val="300"/>
        </w:trPr>
        <w:tc>
          <w:tcPr>
            <w:tcW w:w="5980" w:type="dxa"/>
            <w:tcBorders>
              <w:top w:val="nil"/>
              <w:left w:val="nil"/>
              <w:bottom w:val="nil"/>
              <w:right w:val="nil"/>
            </w:tcBorders>
            <w:shd w:val="clear" w:color="auto" w:fill="auto"/>
            <w:noWrap/>
            <w:vAlign w:val="bottom"/>
            <w:hideMark/>
          </w:tcPr>
          <w:p w:rsidR="00B52CE5" w:rsidRPr="000957C9" w:rsidRDefault="00B52CE5" w:rsidP="00B52CE5">
            <w:r w:rsidRPr="000957C9">
              <w:t>Leases expiring in two-five years</w:t>
            </w:r>
          </w:p>
        </w:tc>
        <w:tc>
          <w:tcPr>
            <w:tcW w:w="1285" w:type="dxa"/>
            <w:tcBorders>
              <w:top w:val="nil"/>
              <w:left w:val="single" w:sz="4" w:space="0" w:color="auto"/>
              <w:bottom w:val="nil"/>
              <w:right w:val="single" w:sz="4" w:space="0" w:color="auto"/>
            </w:tcBorders>
            <w:shd w:val="clear" w:color="auto" w:fill="auto"/>
            <w:noWrap/>
            <w:vAlign w:val="bottom"/>
            <w:hideMark/>
          </w:tcPr>
          <w:p w:rsidR="00B52CE5" w:rsidRPr="000957C9" w:rsidRDefault="00B52CE5" w:rsidP="00B52CE5">
            <w:pPr>
              <w:jc w:val="right"/>
            </w:pPr>
            <w:r>
              <w:t>1,526</w:t>
            </w:r>
          </w:p>
        </w:tc>
        <w:tc>
          <w:tcPr>
            <w:tcW w:w="1276" w:type="dxa"/>
            <w:tcBorders>
              <w:top w:val="nil"/>
              <w:left w:val="nil"/>
              <w:bottom w:val="nil"/>
              <w:right w:val="single" w:sz="4" w:space="0" w:color="auto"/>
            </w:tcBorders>
            <w:shd w:val="clear" w:color="auto" w:fill="auto"/>
            <w:noWrap/>
            <w:vAlign w:val="bottom"/>
            <w:hideMark/>
          </w:tcPr>
          <w:p w:rsidR="00B52CE5" w:rsidRPr="000957C9" w:rsidRDefault="00B52CE5" w:rsidP="00B52CE5">
            <w:pPr>
              <w:jc w:val="right"/>
            </w:pPr>
            <w:r>
              <w:t>2,315</w:t>
            </w:r>
          </w:p>
        </w:tc>
      </w:tr>
      <w:tr w:rsidR="00B52CE5" w:rsidRPr="000957C9" w:rsidTr="00B52CE5">
        <w:trPr>
          <w:trHeight w:val="300"/>
        </w:trPr>
        <w:tc>
          <w:tcPr>
            <w:tcW w:w="5980" w:type="dxa"/>
            <w:tcBorders>
              <w:top w:val="nil"/>
              <w:left w:val="nil"/>
              <w:bottom w:val="nil"/>
              <w:right w:val="nil"/>
            </w:tcBorders>
            <w:shd w:val="clear" w:color="auto" w:fill="auto"/>
            <w:noWrap/>
            <w:vAlign w:val="bottom"/>
            <w:hideMark/>
          </w:tcPr>
          <w:p w:rsidR="00B52CE5" w:rsidRPr="000957C9" w:rsidRDefault="00B52CE5" w:rsidP="00B52CE5">
            <w:r w:rsidRPr="000957C9">
              <w:t>Leases expiring after five years</w:t>
            </w:r>
          </w:p>
        </w:tc>
        <w:tc>
          <w:tcPr>
            <w:tcW w:w="1285" w:type="dxa"/>
            <w:tcBorders>
              <w:top w:val="nil"/>
              <w:left w:val="single" w:sz="4" w:space="0" w:color="auto"/>
              <w:bottom w:val="nil"/>
              <w:right w:val="single" w:sz="4" w:space="0" w:color="auto"/>
            </w:tcBorders>
            <w:shd w:val="clear" w:color="auto" w:fill="auto"/>
            <w:noWrap/>
            <w:vAlign w:val="bottom"/>
            <w:hideMark/>
          </w:tcPr>
          <w:p w:rsidR="00B52CE5" w:rsidRPr="000957C9" w:rsidRDefault="00B52CE5" w:rsidP="00B52CE5">
            <w:pPr>
              <w:jc w:val="right"/>
            </w:pPr>
            <w:r>
              <w:t>10,548</w:t>
            </w:r>
          </w:p>
        </w:tc>
        <w:tc>
          <w:tcPr>
            <w:tcW w:w="1276" w:type="dxa"/>
            <w:tcBorders>
              <w:top w:val="nil"/>
              <w:left w:val="nil"/>
              <w:bottom w:val="nil"/>
              <w:right w:val="single" w:sz="4" w:space="0" w:color="auto"/>
            </w:tcBorders>
            <w:shd w:val="clear" w:color="auto" w:fill="auto"/>
            <w:noWrap/>
            <w:vAlign w:val="bottom"/>
            <w:hideMark/>
          </w:tcPr>
          <w:p w:rsidR="00B52CE5" w:rsidRPr="000957C9" w:rsidRDefault="00B52CE5" w:rsidP="00B52CE5">
            <w:pPr>
              <w:jc w:val="right"/>
            </w:pPr>
            <w:r>
              <w:t>11,297</w:t>
            </w:r>
          </w:p>
        </w:tc>
      </w:tr>
      <w:tr w:rsidR="00B52CE5" w:rsidRPr="000957C9" w:rsidTr="00B52CE5">
        <w:trPr>
          <w:trHeight w:val="300"/>
        </w:trPr>
        <w:tc>
          <w:tcPr>
            <w:tcW w:w="5980" w:type="dxa"/>
            <w:tcBorders>
              <w:top w:val="nil"/>
              <w:left w:val="nil"/>
              <w:bottom w:val="nil"/>
              <w:right w:val="nil"/>
            </w:tcBorders>
            <w:shd w:val="clear" w:color="auto" w:fill="auto"/>
            <w:noWrap/>
            <w:vAlign w:val="bottom"/>
            <w:hideMark/>
          </w:tcPr>
          <w:p w:rsidR="00B52CE5" w:rsidRPr="000957C9" w:rsidRDefault="00B52CE5" w:rsidP="00B52CE5"/>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B52CE5" w:rsidRPr="000957C9" w:rsidRDefault="00B52CE5" w:rsidP="00B52CE5"/>
        </w:tc>
        <w:tc>
          <w:tcPr>
            <w:tcW w:w="1276" w:type="dxa"/>
            <w:tcBorders>
              <w:top w:val="nil"/>
              <w:left w:val="nil"/>
              <w:bottom w:val="single" w:sz="4" w:space="0" w:color="auto"/>
              <w:right w:val="single" w:sz="4" w:space="0" w:color="auto"/>
            </w:tcBorders>
            <w:shd w:val="clear" w:color="auto" w:fill="auto"/>
            <w:noWrap/>
            <w:vAlign w:val="bottom"/>
            <w:hideMark/>
          </w:tcPr>
          <w:p w:rsidR="00B52CE5" w:rsidRPr="000957C9" w:rsidRDefault="00B52CE5" w:rsidP="00B52CE5">
            <w:r w:rsidRPr="000957C9">
              <w:t> </w:t>
            </w:r>
          </w:p>
        </w:tc>
      </w:tr>
      <w:tr w:rsidR="00B52CE5" w:rsidRPr="000957C9" w:rsidTr="00B52CE5">
        <w:trPr>
          <w:trHeight w:val="315"/>
        </w:trPr>
        <w:tc>
          <w:tcPr>
            <w:tcW w:w="5980" w:type="dxa"/>
            <w:tcBorders>
              <w:top w:val="nil"/>
              <w:left w:val="nil"/>
              <w:bottom w:val="nil"/>
              <w:right w:val="nil"/>
            </w:tcBorders>
            <w:shd w:val="clear" w:color="auto" w:fill="auto"/>
            <w:noWrap/>
            <w:vAlign w:val="bottom"/>
            <w:hideMark/>
          </w:tcPr>
          <w:p w:rsidR="00B52CE5" w:rsidRPr="000957C9" w:rsidRDefault="00B52CE5" w:rsidP="00B52CE5"/>
        </w:tc>
        <w:tc>
          <w:tcPr>
            <w:tcW w:w="1285"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B52CE5" w:rsidRPr="000957C9" w:rsidRDefault="00B52CE5" w:rsidP="00B52CE5">
            <w:pPr>
              <w:jc w:val="right"/>
              <w:rPr>
                <w:b/>
              </w:rPr>
            </w:pPr>
            <w:r>
              <w:rPr>
                <w:b/>
              </w:rPr>
              <w:t>12,891</w:t>
            </w:r>
          </w:p>
        </w:tc>
        <w:tc>
          <w:tcPr>
            <w:tcW w:w="1276" w:type="dxa"/>
            <w:tcBorders>
              <w:top w:val="single" w:sz="4" w:space="0" w:color="auto"/>
              <w:left w:val="nil"/>
              <w:bottom w:val="double" w:sz="6" w:space="0" w:color="auto"/>
              <w:right w:val="single" w:sz="4" w:space="0" w:color="auto"/>
            </w:tcBorders>
            <w:shd w:val="clear" w:color="auto" w:fill="auto"/>
            <w:noWrap/>
            <w:vAlign w:val="bottom"/>
            <w:hideMark/>
          </w:tcPr>
          <w:p w:rsidR="00B52CE5" w:rsidRPr="000957C9" w:rsidRDefault="00B52CE5" w:rsidP="00B52CE5">
            <w:pPr>
              <w:jc w:val="right"/>
              <w:rPr>
                <w:b/>
              </w:rPr>
            </w:pPr>
            <w:r>
              <w:rPr>
                <w:b/>
              </w:rPr>
              <w:t>14,439</w:t>
            </w:r>
          </w:p>
        </w:tc>
      </w:tr>
    </w:tbl>
    <w:p w:rsidR="00B52CE5" w:rsidRPr="000957C9" w:rsidRDefault="00B52CE5" w:rsidP="00B52CE5">
      <w:pPr>
        <w:spacing w:after="240"/>
        <w:ind w:firstLine="720"/>
      </w:pPr>
    </w:p>
    <w:p w:rsidR="00B52CE5" w:rsidRPr="000957C9" w:rsidRDefault="00B52CE5" w:rsidP="00B52CE5">
      <w:pPr>
        <w:spacing w:after="240"/>
        <w:ind w:firstLine="720"/>
        <w:rPr>
          <w:b/>
        </w:rPr>
      </w:pPr>
      <w:r w:rsidRPr="000957C9">
        <w:rPr>
          <w:b/>
        </w:rPr>
        <w:t>Authority as Lessor:</w:t>
      </w:r>
    </w:p>
    <w:p w:rsidR="00B52CE5" w:rsidRPr="000957C9" w:rsidRDefault="00B52CE5" w:rsidP="00E353CF">
      <w:pPr>
        <w:spacing w:after="240"/>
        <w:ind w:left="720"/>
        <w:jc w:val="both"/>
      </w:pPr>
      <w:r w:rsidRPr="000957C9">
        <w:t xml:space="preserve">The </w:t>
      </w:r>
      <w:r w:rsidR="001F1A1A">
        <w:t>County Council</w:t>
      </w:r>
      <w:r w:rsidRPr="000957C9">
        <w:t xml:space="preserve"> has granted various property operating leases.  The rentals received in 2011/12 amounted to £</w:t>
      </w:r>
      <w:r>
        <w:t>0.969</w:t>
      </w:r>
      <w:r w:rsidRPr="000957C9">
        <w:t xml:space="preserve">million and the assets were subject to £ </w:t>
      </w:r>
      <w:r>
        <w:t>0.072</w:t>
      </w:r>
      <w:r w:rsidRPr="000957C9">
        <w:t xml:space="preserve">million depreciation </w:t>
      </w:r>
      <w:r>
        <w:t xml:space="preserve">in the year </w:t>
      </w:r>
      <w:r w:rsidRPr="000957C9">
        <w:t>to 31 March 2012.</w:t>
      </w:r>
    </w:p>
    <w:p w:rsidR="00630877" w:rsidRDefault="00B52CE5" w:rsidP="00850C29">
      <w:pPr>
        <w:spacing w:after="240"/>
        <w:ind w:left="709" w:firstLine="11"/>
      </w:pPr>
      <w:r w:rsidRPr="000957C9">
        <w:t xml:space="preserve">The minimum lease payments </w:t>
      </w:r>
      <w:r>
        <w:t xml:space="preserve">over the duration of the lease </w:t>
      </w:r>
      <w:r w:rsidRPr="000957C9">
        <w:t>will be receivable over the following periods</w:t>
      </w:r>
      <w:r w:rsidR="00850C29">
        <w:t>:</w:t>
      </w:r>
    </w:p>
    <w:p w:rsidR="00630877" w:rsidRPr="000957C9" w:rsidRDefault="00630877" w:rsidP="00B52CE5"/>
    <w:tbl>
      <w:tblPr>
        <w:tblW w:w="8541" w:type="dxa"/>
        <w:tblInd w:w="1065" w:type="dxa"/>
        <w:tblLook w:val="04A0"/>
      </w:tblPr>
      <w:tblGrid>
        <w:gridCol w:w="5980"/>
        <w:gridCol w:w="1285"/>
        <w:gridCol w:w="1276"/>
      </w:tblGrid>
      <w:tr w:rsidR="00B52CE5" w:rsidRPr="000957C9" w:rsidTr="00B52CE5">
        <w:trPr>
          <w:trHeight w:val="315"/>
        </w:trPr>
        <w:tc>
          <w:tcPr>
            <w:tcW w:w="5980" w:type="dxa"/>
            <w:tcBorders>
              <w:top w:val="nil"/>
              <w:left w:val="nil"/>
              <w:bottom w:val="nil"/>
              <w:right w:val="nil"/>
            </w:tcBorders>
            <w:shd w:val="clear" w:color="auto" w:fill="auto"/>
            <w:noWrap/>
            <w:vAlign w:val="bottom"/>
            <w:hideMark/>
          </w:tcPr>
          <w:p w:rsidR="00B52CE5" w:rsidRPr="000957C9" w:rsidRDefault="00B52CE5" w:rsidP="00B52CE5">
            <w:r w:rsidRPr="000957C9">
              <w:br w:type="page"/>
            </w:r>
          </w:p>
        </w:tc>
        <w:tc>
          <w:tcPr>
            <w:tcW w:w="1285" w:type="dxa"/>
            <w:tcBorders>
              <w:top w:val="single" w:sz="4" w:space="0" w:color="auto"/>
              <w:left w:val="single" w:sz="4" w:space="0" w:color="auto"/>
              <w:bottom w:val="nil"/>
              <w:right w:val="single" w:sz="4" w:space="0" w:color="auto"/>
            </w:tcBorders>
            <w:shd w:val="clear" w:color="auto" w:fill="auto"/>
            <w:noWrap/>
            <w:vAlign w:val="bottom"/>
            <w:hideMark/>
          </w:tcPr>
          <w:p w:rsidR="00B52CE5" w:rsidRPr="000957C9" w:rsidRDefault="00B52CE5" w:rsidP="00B52CE5">
            <w:pPr>
              <w:jc w:val="right"/>
              <w:rPr>
                <w:b/>
                <w:bCs/>
              </w:rPr>
            </w:pPr>
            <w:r w:rsidRPr="000957C9">
              <w:rPr>
                <w:b/>
                <w:bCs/>
              </w:rPr>
              <w:t>2011/12</w:t>
            </w:r>
          </w:p>
        </w:tc>
        <w:tc>
          <w:tcPr>
            <w:tcW w:w="1276" w:type="dxa"/>
            <w:tcBorders>
              <w:top w:val="single" w:sz="4" w:space="0" w:color="auto"/>
              <w:left w:val="nil"/>
              <w:bottom w:val="nil"/>
              <w:right w:val="single" w:sz="4" w:space="0" w:color="auto"/>
            </w:tcBorders>
            <w:shd w:val="clear" w:color="auto" w:fill="auto"/>
            <w:noWrap/>
            <w:vAlign w:val="bottom"/>
            <w:hideMark/>
          </w:tcPr>
          <w:p w:rsidR="00B52CE5" w:rsidRPr="000957C9" w:rsidRDefault="00B52CE5" w:rsidP="00B52CE5">
            <w:pPr>
              <w:jc w:val="right"/>
              <w:rPr>
                <w:b/>
                <w:bCs/>
              </w:rPr>
            </w:pPr>
            <w:r w:rsidRPr="000957C9">
              <w:rPr>
                <w:b/>
                <w:bCs/>
              </w:rPr>
              <w:t>2010/11</w:t>
            </w:r>
          </w:p>
        </w:tc>
      </w:tr>
      <w:tr w:rsidR="00B52CE5" w:rsidRPr="000957C9" w:rsidTr="00B52CE5">
        <w:trPr>
          <w:trHeight w:val="315"/>
        </w:trPr>
        <w:tc>
          <w:tcPr>
            <w:tcW w:w="5980" w:type="dxa"/>
            <w:tcBorders>
              <w:top w:val="nil"/>
              <w:left w:val="nil"/>
              <w:bottom w:val="nil"/>
              <w:right w:val="nil"/>
            </w:tcBorders>
            <w:shd w:val="clear" w:color="auto" w:fill="auto"/>
            <w:noWrap/>
            <w:vAlign w:val="bottom"/>
            <w:hideMark/>
          </w:tcPr>
          <w:p w:rsidR="00B52CE5" w:rsidRPr="000957C9" w:rsidRDefault="00B52CE5" w:rsidP="00B52CE5"/>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B52CE5" w:rsidRPr="000957C9" w:rsidRDefault="00342F70" w:rsidP="00B52CE5">
            <w:pPr>
              <w:jc w:val="right"/>
              <w:rPr>
                <w:b/>
                <w:bCs/>
              </w:rPr>
            </w:pPr>
            <w:r>
              <w:rPr>
                <w:b/>
                <w:bCs/>
              </w:rPr>
              <w:t>£</w:t>
            </w:r>
            <w:r w:rsidR="00B52CE5" w:rsidRPr="000957C9">
              <w:rP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52CE5" w:rsidRPr="000957C9" w:rsidRDefault="00342F70" w:rsidP="00B52CE5">
            <w:pPr>
              <w:jc w:val="right"/>
              <w:rPr>
                <w:b/>
                <w:bCs/>
              </w:rPr>
            </w:pPr>
            <w:r>
              <w:rPr>
                <w:b/>
                <w:bCs/>
              </w:rPr>
              <w:t>£</w:t>
            </w:r>
            <w:r w:rsidR="00B52CE5" w:rsidRPr="000957C9">
              <w:rPr>
                <w:b/>
                <w:bCs/>
              </w:rPr>
              <w:t>000</w:t>
            </w:r>
          </w:p>
        </w:tc>
      </w:tr>
      <w:tr w:rsidR="00B52CE5" w:rsidRPr="000957C9" w:rsidTr="00B52CE5">
        <w:trPr>
          <w:trHeight w:val="315"/>
        </w:trPr>
        <w:tc>
          <w:tcPr>
            <w:tcW w:w="5980" w:type="dxa"/>
            <w:tcBorders>
              <w:top w:val="nil"/>
              <w:left w:val="nil"/>
              <w:bottom w:val="nil"/>
              <w:right w:val="nil"/>
            </w:tcBorders>
            <w:shd w:val="clear" w:color="auto" w:fill="auto"/>
            <w:noWrap/>
            <w:vAlign w:val="bottom"/>
            <w:hideMark/>
          </w:tcPr>
          <w:p w:rsidR="00B52CE5" w:rsidRPr="000957C9" w:rsidRDefault="00B52CE5" w:rsidP="00B52CE5"/>
        </w:tc>
        <w:tc>
          <w:tcPr>
            <w:tcW w:w="1285" w:type="dxa"/>
            <w:tcBorders>
              <w:top w:val="nil"/>
              <w:left w:val="single" w:sz="4" w:space="0" w:color="auto"/>
              <w:bottom w:val="nil"/>
              <w:right w:val="single" w:sz="4" w:space="0" w:color="auto"/>
            </w:tcBorders>
            <w:shd w:val="clear" w:color="auto" w:fill="auto"/>
            <w:noWrap/>
            <w:vAlign w:val="bottom"/>
            <w:hideMark/>
          </w:tcPr>
          <w:p w:rsidR="00B52CE5" w:rsidRPr="000957C9" w:rsidRDefault="00B52CE5" w:rsidP="00B52CE5">
            <w:pPr>
              <w:jc w:val="center"/>
              <w:rPr>
                <w:b/>
                <w:bCs/>
              </w:rPr>
            </w:pPr>
            <w:r w:rsidRPr="000957C9">
              <w:rPr>
                <w:b/>
                <w:bCs/>
              </w:rPr>
              <w:t> </w:t>
            </w:r>
          </w:p>
        </w:tc>
        <w:tc>
          <w:tcPr>
            <w:tcW w:w="1276" w:type="dxa"/>
            <w:tcBorders>
              <w:top w:val="nil"/>
              <w:left w:val="nil"/>
              <w:bottom w:val="nil"/>
              <w:right w:val="single" w:sz="4" w:space="0" w:color="auto"/>
            </w:tcBorders>
            <w:shd w:val="clear" w:color="auto" w:fill="auto"/>
            <w:noWrap/>
            <w:vAlign w:val="bottom"/>
            <w:hideMark/>
          </w:tcPr>
          <w:p w:rsidR="00B52CE5" w:rsidRPr="000957C9" w:rsidRDefault="00B52CE5" w:rsidP="00B52CE5">
            <w:pPr>
              <w:jc w:val="center"/>
              <w:rPr>
                <w:b/>
                <w:bCs/>
              </w:rPr>
            </w:pPr>
            <w:r w:rsidRPr="000957C9">
              <w:rPr>
                <w:b/>
                <w:bCs/>
              </w:rPr>
              <w:t> </w:t>
            </w:r>
          </w:p>
        </w:tc>
      </w:tr>
      <w:tr w:rsidR="00B52CE5" w:rsidRPr="000957C9" w:rsidTr="00B52CE5">
        <w:trPr>
          <w:trHeight w:val="300"/>
        </w:trPr>
        <w:tc>
          <w:tcPr>
            <w:tcW w:w="5980" w:type="dxa"/>
            <w:tcBorders>
              <w:top w:val="nil"/>
              <w:left w:val="nil"/>
              <w:bottom w:val="nil"/>
              <w:right w:val="nil"/>
            </w:tcBorders>
            <w:shd w:val="clear" w:color="auto" w:fill="auto"/>
            <w:noWrap/>
            <w:vAlign w:val="bottom"/>
            <w:hideMark/>
          </w:tcPr>
          <w:p w:rsidR="00B52CE5" w:rsidRPr="000957C9" w:rsidRDefault="00B52CE5" w:rsidP="00B52CE5">
            <w:r w:rsidRPr="000957C9">
              <w:t>Leases expiring not later than one year</w:t>
            </w:r>
          </w:p>
        </w:tc>
        <w:tc>
          <w:tcPr>
            <w:tcW w:w="1285" w:type="dxa"/>
            <w:tcBorders>
              <w:top w:val="nil"/>
              <w:left w:val="single" w:sz="4" w:space="0" w:color="auto"/>
              <w:bottom w:val="nil"/>
              <w:right w:val="single" w:sz="4" w:space="0" w:color="auto"/>
            </w:tcBorders>
            <w:shd w:val="clear" w:color="auto" w:fill="auto"/>
            <w:noWrap/>
            <w:vAlign w:val="bottom"/>
            <w:hideMark/>
          </w:tcPr>
          <w:p w:rsidR="00B52CE5" w:rsidRPr="000957C9" w:rsidRDefault="00B52CE5" w:rsidP="00B52CE5">
            <w:pPr>
              <w:jc w:val="right"/>
            </w:pPr>
            <w:r>
              <w:t>697</w:t>
            </w:r>
          </w:p>
        </w:tc>
        <w:tc>
          <w:tcPr>
            <w:tcW w:w="1276" w:type="dxa"/>
            <w:tcBorders>
              <w:top w:val="nil"/>
              <w:left w:val="nil"/>
              <w:bottom w:val="nil"/>
              <w:right w:val="single" w:sz="4" w:space="0" w:color="auto"/>
            </w:tcBorders>
            <w:shd w:val="clear" w:color="auto" w:fill="auto"/>
            <w:noWrap/>
            <w:vAlign w:val="bottom"/>
            <w:hideMark/>
          </w:tcPr>
          <w:p w:rsidR="00B52CE5" w:rsidRPr="000957C9" w:rsidRDefault="00B52CE5" w:rsidP="00B52CE5">
            <w:pPr>
              <w:jc w:val="right"/>
            </w:pPr>
            <w:r>
              <w:t>652</w:t>
            </w:r>
          </w:p>
        </w:tc>
      </w:tr>
      <w:tr w:rsidR="00B52CE5" w:rsidRPr="000957C9" w:rsidTr="00B52CE5">
        <w:trPr>
          <w:trHeight w:val="300"/>
        </w:trPr>
        <w:tc>
          <w:tcPr>
            <w:tcW w:w="5980" w:type="dxa"/>
            <w:tcBorders>
              <w:top w:val="nil"/>
              <w:left w:val="nil"/>
              <w:bottom w:val="nil"/>
              <w:right w:val="nil"/>
            </w:tcBorders>
            <w:shd w:val="clear" w:color="auto" w:fill="auto"/>
            <w:noWrap/>
            <w:vAlign w:val="bottom"/>
            <w:hideMark/>
          </w:tcPr>
          <w:p w:rsidR="00B52CE5" w:rsidRPr="000957C9" w:rsidRDefault="00B52CE5" w:rsidP="00B52CE5">
            <w:r w:rsidRPr="000957C9">
              <w:t>Leases expiring in two-five years</w:t>
            </w:r>
          </w:p>
        </w:tc>
        <w:tc>
          <w:tcPr>
            <w:tcW w:w="1285" w:type="dxa"/>
            <w:tcBorders>
              <w:top w:val="nil"/>
              <w:left w:val="single" w:sz="4" w:space="0" w:color="auto"/>
              <w:bottom w:val="nil"/>
              <w:right w:val="single" w:sz="4" w:space="0" w:color="auto"/>
            </w:tcBorders>
            <w:shd w:val="clear" w:color="auto" w:fill="auto"/>
            <w:noWrap/>
            <w:vAlign w:val="bottom"/>
            <w:hideMark/>
          </w:tcPr>
          <w:p w:rsidR="00B52CE5" w:rsidRPr="000957C9" w:rsidRDefault="00B52CE5" w:rsidP="00B52CE5">
            <w:pPr>
              <w:jc w:val="right"/>
            </w:pPr>
            <w:r>
              <w:t>406</w:t>
            </w:r>
          </w:p>
        </w:tc>
        <w:tc>
          <w:tcPr>
            <w:tcW w:w="1276" w:type="dxa"/>
            <w:tcBorders>
              <w:top w:val="nil"/>
              <w:left w:val="nil"/>
              <w:bottom w:val="nil"/>
              <w:right w:val="single" w:sz="4" w:space="0" w:color="auto"/>
            </w:tcBorders>
            <w:shd w:val="clear" w:color="auto" w:fill="auto"/>
            <w:noWrap/>
            <w:vAlign w:val="bottom"/>
            <w:hideMark/>
          </w:tcPr>
          <w:p w:rsidR="00B52CE5" w:rsidRPr="000957C9" w:rsidRDefault="00B52CE5" w:rsidP="00B52CE5">
            <w:pPr>
              <w:jc w:val="right"/>
            </w:pPr>
            <w:r>
              <w:t>626</w:t>
            </w:r>
          </w:p>
        </w:tc>
      </w:tr>
      <w:tr w:rsidR="00B52CE5" w:rsidRPr="000957C9" w:rsidTr="00B52CE5">
        <w:trPr>
          <w:trHeight w:val="300"/>
        </w:trPr>
        <w:tc>
          <w:tcPr>
            <w:tcW w:w="5980" w:type="dxa"/>
            <w:tcBorders>
              <w:top w:val="nil"/>
              <w:left w:val="nil"/>
              <w:bottom w:val="nil"/>
              <w:right w:val="nil"/>
            </w:tcBorders>
            <w:shd w:val="clear" w:color="auto" w:fill="auto"/>
            <w:noWrap/>
            <w:vAlign w:val="bottom"/>
            <w:hideMark/>
          </w:tcPr>
          <w:p w:rsidR="00B52CE5" w:rsidRPr="000957C9" w:rsidRDefault="00B52CE5" w:rsidP="00B52CE5">
            <w:r w:rsidRPr="000957C9">
              <w:t>Leases expiring after five years</w:t>
            </w:r>
          </w:p>
        </w:tc>
        <w:tc>
          <w:tcPr>
            <w:tcW w:w="1285" w:type="dxa"/>
            <w:tcBorders>
              <w:top w:val="nil"/>
              <w:left w:val="single" w:sz="4" w:space="0" w:color="auto"/>
              <w:bottom w:val="nil"/>
              <w:right w:val="single" w:sz="4" w:space="0" w:color="auto"/>
            </w:tcBorders>
            <w:shd w:val="clear" w:color="auto" w:fill="auto"/>
            <w:noWrap/>
            <w:vAlign w:val="bottom"/>
            <w:hideMark/>
          </w:tcPr>
          <w:p w:rsidR="00B52CE5" w:rsidRPr="000957C9" w:rsidRDefault="00B52CE5" w:rsidP="00B52CE5">
            <w:pPr>
              <w:jc w:val="right"/>
            </w:pPr>
            <w:r>
              <w:t>4,200</w:t>
            </w:r>
          </w:p>
        </w:tc>
        <w:tc>
          <w:tcPr>
            <w:tcW w:w="1276" w:type="dxa"/>
            <w:tcBorders>
              <w:top w:val="nil"/>
              <w:left w:val="nil"/>
              <w:bottom w:val="nil"/>
              <w:right w:val="single" w:sz="4" w:space="0" w:color="auto"/>
            </w:tcBorders>
            <w:shd w:val="clear" w:color="auto" w:fill="auto"/>
            <w:noWrap/>
            <w:vAlign w:val="bottom"/>
            <w:hideMark/>
          </w:tcPr>
          <w:p w:rsidR="00B52CE5" w:rsidRPr="000957C9" w:rsidRDefault="00B52CE5" w:rsidP="00B52CE5">
            <w:pPr>
              <w:jc w:val="right"/>
            </w:pPr>
            <w:r>
              <w:t>4,312</w:t>
            </w:r>
          </w:p>
        </w:tc>
      </w:tr>
      <w:tr w:rsidR="00B52CE5" w:rsidRPr="000957C9" w:rsidTr="00B52CE5">
        <w:trPr>
          <w:trHeight w:val="300"/>
        </w:trPr>
        <w:tc>
          <w:tcPr>
            <w:tcW w:w="5980" w:type="dxa"/>
            <w:tcBorders>
              <w:top w:val="nil"/>
              <w:left w:val="nil"/>
              <w:bottom w:val="nil"/>
              <w:right w:val="nil"/>
            </w:tcBorders>
            <w:shd w:val="clear" w:color="auto" w:fill="auto"/>
            <w:noWrap/>
            <w:vAlign w:val="bottom"/>
            <w:hideMark/>
          </w:tcPr>
          <w:p w:rsidR="00B52CE5" w:rsidRPr="000957C9" w:rsidRDefault="00B52CE5" w:rsidP="00B52CE5"/>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B52CE5" w:rsidRPr="000957C9" w:rsidRDefault="00B52CE5" w:rsidP="00B52CE5"/>
        </w:tc>
        <w:tc>
          <w:tcPr>
            <w:tcW w:w="1276" w:type="dxa"/>
            <w:tcBorders>
              <w:top w:val="nil"/>
              <w:left w:val="nil"/>
              <w:bottom w:val="single" w:sz="4" w:space="0" w:color="auto"/>
              <w:right w:val="single" w:sz="4" w:space="0" w:color="auto"/>
            </w:tcBorders>
            <w:shd w:val="clear" w:color="auto" w:fill="auto"/>
            <w:noWrap/>
            <w:vAlign w:val="bottom"/>
            <w:hideMark/>
          </w:tcPr>
          <w:p w:rsidR="00B52CE5" w:rsidRPr="000957C9" w:rsidRDefault="00B52CE5" w:rsidP="00B52CE5">
            <w:r w:rsidRPr="000957C9">
              <w:t> </w:t>
            </w:r>
          </w:p>
        </w:tc>
      </w:tr>
      <w:tr w:rsidR="00B52CE5" w:rsidRPr="000957C9" w:rsidTr="00B52CE5">
        <w:trPr>
          <w:trHeight w:val="315"/>
        </w:trPr>
        <w:tc>
          <w:tcPr>
            <w:tcW w:w="5980" w:type="dxa"/>
            <w:tcBorders>
              <w:top w:val="nil"/>
              <w:left w:val="nil"/>
              <w:bottom w:val="nil"/>
              <w:right w:val="nil"/>
            </w:tcBorders>
            <w:shd w:val="clear" w:color="auto" w:fill="auto"/>
            <w:noWrap/>
            <w:vAlign w:val="bottom"/>
            <w:hideMark/>
          </w:tcPr>
          <w:p w:rsidR="00B52CE5" w:rsidRPr="000957C9" w:rsidRDefault="00B52CE5" w:rsidP="00B52CE5"/>
        </w:tc>
        <w:tc>
          <w:tcPr>
            <w:tcW w:w="1285"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B52CE5" w:rsidRPr="000957C9" w:rsidRDefault="00B52CE5" w:rsidP="00B52CE5">
            <w:pPr>
              <w:jc w:val="right"/>
              <w:rPr>
                <w:b/>
              </w:rPr>
            </w:pPr>
            <w:r>
              <w:rPr>
                <w:b/>
              </w:rPr>
              <w:t>5,303</w:t>
            </w:r>
          </w:p>
        </w:tc>
        <w:tc>
          <w:tcPr>
            <w:tcW w:w="1276" w:type="dxa"/>
            <w:tcBorders>
              <w:top w:val="single" w:sz="4" w:space="0" w:color="auto"/>
              <w:left w:val="nil"/>
              <w:bottom w:val="double" w:sz="6" w:space="0" w:color="auto"/>
              <w:right w:val="single" w:sz="4" w:space="0" w:color="auto"/>
            </w:tcBorders>
            <w:shd w:val="clear" w:color="auto" w:fill="auto"/>
            <w:noWrap/>
            <w:vAlign w:val="bottom"/>
            <w:hideMark/>
          </w:tcPr>
          <w:p w:rsidR="00B52CE5" w:rsidRPr="000957C9" w:rsidRDefault="00B52CE5" w:rsidP="00B52CE5">
            <w:pPr>
              <w:jc w:val="right"/>
              <w:rPr>
                <w:b/>
              </w:rPr>
            </w:pPr>
            <w:r>
              <w:rPr>
                <w:b/>
              </w:rPr>
              <w:t>5,590</w:t>
            </w:r>
          </w:p>
        </w:tc>
      </w:tr>
    </w:tbl>
    <w:p w:rsidR="003444A1" w:rsidRPr="00286C0E" w:rsidRDefault="003444A1" w:rsidP="00FF4CFF">
      <w:pPr>
        <w:spacing w:after="240"/>
        <w:rPr>
          <w:b/>
          <w:i/>
          <w:highlight w:val="yellow"/>
        </w:rPr>
      </w:pPr>
    </w:p>
    <w:p w:rsidR="00FF4CFF" w:rsidRPr="00EB0EE5" w:rsidRDefault="00FF4CFF" w:rsidP="00BD07E4">
      <w:pPr>
        <w:numPr>
          <w:ilvl w:val="0"/>
          <w:numId w:val="21"/>
        </w:numPr>
        <w:spacing w:after="240"/>
        <w:rPr>
          <w:b/>
        </w:rPr>
      </w:pPr>
      <w:r w:rsidRPr="00EB0EE5">
        <w:rPr>
          <w:b/>
        </w:rPr>
        <w:t>Finance Leases</w:t>
      </w:r>
    </w:p>
    <w:p w:rsidR="003444A1" w:rsidRPr="00850C29" w:rsidRDefault="00FF4CFF" w:rsidP="00850C29">
      <w:pPr>
        <w:spacing w:after="240"/>
        <w:ind w:left="1004"/>
        <w:rPr>
          <w:highlight w:val="yellow"/>
        </w:rPr>
      </w:pPr>
      <w:r w:rsidRPr="009D2B21">
        <w:t xml:space="preserve">The authority does not have any material finance </w:t>
      </w:r>
      <w:r w:rsidRPr="002F716C">
        <w:t>leases.</w:t>
      </w:r>
    </w:p>
    <w:p w:rsidR="00FF4CFF" w:rsidRPr="007F5E62" w:rsidRDefault="00FF4CFF" w:rsidP="00FF4CFF">
      <w:pPr>
        <w:spacing w:after="240"/>
        <w:rPr>
          <w:b/>
        </w:rPr>
      </w:pPr>
      <w:r w:rsidRPr="007F5E62">
        <w:rPr>
          <w:b/>
          <w:i/>
        </w:rPr>
        <w:t>Trading Operations Notes</w:t>
      </w:r>
      <w:r w:rsidRPr="007F5E62">
        <w:rPr>
          <w:b/>
        </w:rPr>
        <w:t xml:space="preserve"> </w:t>
      </w:r>
    </w:p>
    <w:p w:rsidR="00A1169B" w:rsidRPr="007F5E62" w:rsidRDefault="00A1169B" w:rsidP="00BD07E4">
      <w:pPr>
        <w:numPr>
          <w:ilvl w:val="0"/>
          <w:numId w:val="21"/>
        </w:numPr>
        <w:spacing w:after="240"/>
        <w:rPr>
          <w:b/>
        </w:rPr>
      </w:pPr>
      <w:r w:rsidRPr="007F5E62">
        <w:rPr>
          <w:b/>
        </w:rPr>
        <w:t>Trading operations</w:t>
      </w:r>
      <w:r w:rsidR="00E5371E" w:rsidRPr="007F5E62">
        <w:rPr>
          <w:b/>
        </w:rPr>
        <w:t xml:space="preserve"> – Lancashire County Commercial Group</w:t>
      </w:r>
    </w:p>
    <w:p w:rsidR="00A1169B" w:rsidRPr="007F5E62" w:rsidRDefault="00A1169B" w:rsidP="00A1169B">
      <w:pPr>
        <w:spacing w:after="240"/>
        <w:ind w:left="720"/>
      </w:pPr>
      <w:r w:rsidRPr="007F5E62">
        <w:t>Our three major trading operations are:</w:t>
      </w:r>
    </w:p>
    <w:p w:rsidR="00A1169B" w:rsidRPr="007F5E62" w:rsidRDefault="00EB0EE5" w:rsidP="00AC71DE">
      <w:pPr>
        <w:numPr>
          <w:ilvl w:val="0"/>
          <w:numId w:val="3"/>
        </w:numPr>
        <w:tabs>
          <w:tab w:val="clear" w:pos="360"/>
          <w:tab w:val="num" w:pos="1080"/>
        </w:tabs>
        <w:ind w:left="1440"/>
      </w:pPr>
      <w:r>
        <w:t>Care</w:t>
      </w:r>
      <w:r w:rsidR="00B22760" w:rsidRPr="007F5E62">
        <w:t xml:space="preserve"> </w:t>
      </w:r>
      <w:r w:rsidR="00A1169B" w:rsidRPr="007F5E62">
        <w:t>Services;</w:t>
      </w:r>
    </w:p>
    <w:p w:rsidR="00A1169B" w:rsidRPr="007F5E62" w:rsidRDefault="00B22760" w:rsidP="00AC71DE">
      <w:pPr>
        <w:numPr>
          <w:ilvl w:val="0"/>
          <w:numId w:val="3"/>
        </w:numPr>
        <w:tabs>
          <w:tab w:val="clear" w:pos="360"/>
          <w:tab w:val="num" w:pos="1080"/>
        </w:tabs>
        <w:ind w:left="1440"/>
      </w:pPr>
      <w:r w:rsidRPr="007F5E62">
        <w:t>Catering</w:t>
      </w:r>
      <w:r w:rsidR="00A1169B" w:rsidRPr="007F5E62">
        <w:t xml:space="preserve"> Services; and</w:t>
      </w:r>
    </w:p>
    <w:p w:rsidR="00850C29" w:rsidRDefault="00EB0EE5" w:rsidP="00850C29">
      <w:pPr>
        <w:numPr>
          <w:ilvl w:val="0"/>
          <w:numId w:val="3"/>
        </w:numPr>
        <w:tabs>
          <w:tab w:val="clear" w:pos="360"/>
          <w:tab w:val="left" w:pos="1080"/>
          <w:tab w:val="num" w:pos="1440"/>
        </w:tabs>
        <w:spacing w:after="240"/>
        <w:ind w:left="1440"/>
      </w:pPr>
      <w:r>
        <w:t>Operational</w:t>
      </w:r>
      <w:r w:rsidR="00A1169B" w:rsidRPr="007F5E62">
        <w:t xml:space="preserve"> Services.</w:t>
      </w:r>
    </w:p>
    <w:p w:rsidR="00E161FC" w:rsidRPr="007F5E62" w:rsidRDefault="00A1169B" w:rsidP="00A1169B">
      <w:pPr>
        <w:spacing w:after="240"/>
        <w:ind w:left="720"/>
      </w:pPr>
      <w:r w:rsidRPr="007F5E62">
        <w:t xml:space="preserve">In </w:t>
      </w:r>
      <w:r w:rsidR="00022DB7" w:rsidRPr="007F5E62">
        <w:t>2011</w:t>
      </w:r>
      <w:r w:rsidR="005B601E" w:rsidRPr="007F5E62">
        <w:t>/1</w:t>
      </w:r>
      <w:r w:rsidR="00022DB7" w:rsidRPr="007F5E62">
        <w:t>2</w:t>
      </w:r>
      <w:r w:rsidRPr="007F5E62">
        <w:t xml:space="preserve"> these trading operations made a total operating </w:t>
      </w:r>
      <w:r w:rsidR="00A66A70" w:rsidRPr="007F5E62">
        <w:t>surplus</w:t>
      </w:r>
      <w:r w:rsidRPr="007F5E62">
        <w:t xml:space="preserve"> of £</w:t>
      </w:r>
      <w:r w:rsidR="001C7BA8" w:rsidRPr="007F5E62">
        <w:t>3,459</w:t>
      </w:r>
      <w:r w:rsidR="00022DB7" w:rsidRPr="007F5E62">
        <w:t xml:space="preserve"> </w:t>
      </w:r>
      <w:r w:rsidRPr="007F5E62">
        <w:t xml:space="preserve">million. </w:t>
      </w:r>
    </w:p>
    <w:tbl>
      <w:tblPr>
        <w:tblW w:w="0" w:type="auto"/>
        <w:tblInd w:w="738" w:type="dxa"/>
        <w:tblLayout w:type="fixed"/>
        <w:tblLook w:val="0000"/>
      </w:tblPr>
      <w:tblGrid>
        <w:gridCol w:w="3963"/>
        <w:gridCol w:w="1512"/>
        <w:gridCol w:w="1512"/>
        <w:gridCol w:w="1512"/>
        <w:gridCol w:w="1512"/>
      </w:tblGrid>
      <w:tr w:rsidR="001C7BA8" w:rsidRPr="007F5E62" w:rsidTr="001C7BA8">
        <w:tc>
          <w:tcPr>
            <w:tcW w:w="3963" w:type="dxa"/>
          </w:tcPr>
          <w:p w:rsidR="001C7BA8" w:rsidRPr="007F5E62" w:rsidRDefault="001C7BA8" w:rsidP="00A1169B">
            <w:pPr>
              <w:rPr>
                <w:b/>
              </w:rPr>
            </w:pPr>
          </w:p>
        </w:tc>
        <w:tc>
          <w:tcPr>
            <w:tcW w:w="1512" w:type="dxa"/>
            <w:shd w:val="clear" w:color="00FFFF" w:fill="auto"/>
            <w:vAlign w:val="center"/>
          </w:tcPr>
          <w:p w:rsidR="001C7BA8" w:rsidRPr="007F5E62" w:rsidRDefault="001C7BA8" w:rsidP="000F31B4">
            <w:pPr>
              <w:jc w:val="right"/>
              <w:rPr>
                <w:b/>
              </w:rPr>
            </w:pPr>
            <w:r w:rsidRPr="007F5E62">
              <w:rPr>
                <w:b/>
              </w:rPr>
              <w:t>Turnover</w:t>
            </w:r>
          </w:p>
        </w:tc>
        <w:tc>
          <w:tcPr>
            <w:tcW w:w="1512" w:type="dxa"/>
            <w:shd w:val="clear" w:color="00FFFF" w:fill="auto"/>
            <w:vAlign w:val="center"/>
          </w:tcPr>
          <w:p w:rsidR="001C7BA8" w:rsidRPr="007F5E62" w:rsidRDefault="001C7BA8" w:rsidP="000F31B4">
            <w:pPr>
              <w:jc w:val="right"/>
              <w:rPr>
                <w:b/>
              </w:rPr>
            </w:pPr>
            <w:r w:rsidRPr="007F5E62">
              <w:rPr>
                <w:b/>
              </w:rPr>
              <w:t>Spending</w:t>
            </w:r>
          </w:p>
        </w:tc>
        <w:tc>
          <w:tcPr>
            <w:tcW w:w="1512" w:type="dxa"/>
            <w:shd w:val="clear" w:color="00FFFF" w:fill="auto"/>
          </w:tcPr>
          <w:p w:rsidR="001C7BA8" w:rsidRPr="007F5E62" w:rsidRDefault="001C7BA8" w:rsidP="001C7BA8">
            <w:pPr>
              <w:jc w:val="right"/>
              <w:rPr>
                <w:b/>
              </w:rPr>
            </w:pPr>
            <w:r w:rsidRPr="007F5E62">
              <w:rPr>
                <w:b/>
              </w:rPr>
              <w:t>2011/12 Surplus/</w:t>
            </w:r>
            <w:r w:rsidRPr="007F5E62">
              <w:rPr>
                <w:b/>
              </w:rPr>
              <w:br/>
              <w:t>(deficit)</w:t>
            </w:r>
          </w:p>
        </w:tc>
        <w:tc>
          <w:tcPr>
            <w:tcW w:w="1512" w:type="dxa"/>
            <w:shd w:val="clear" w:color="00FFFF" w:fill="auto"/>
          </w:tcPr>
          <w:p w:rsidR="001C7BA8" w:rsidRPr="007F5E62" w:rsidRDefault="001C7BA8" w:rsidP="000F31B4">
            <w:pPr>
              <w:jc w:val="right"/>
              <w:rPr>
                <w:b/>
              </w:rPr>
            </w:pPr>
            <w:r w:rsidRPr="007F5E62">
              <w:rPr>
                <w:b/>
              </w:rPr>
              <w:t>2010/11 Surplus/ (deficit)</w:t>
            </w:r>
          </w:p>
        </w:tc>
      </w:tr>
      <w:tr w:rsidR="001C7BA8" w:rsidRPr="007F5E62" w:rsidTr="001C7BA8">
        <w:tc>
          <w:tcPr>
            <w:tcW w:w="3963" w:type="dxa"/>
          </w:tcPr>
          <w:p w:rsidR="001C7BA8" w:rsidRPr="007F5E62" w:rsidRDefault="001C7BA8" w:rsidP="00A1169B">
            <w:pPr>
              <w:rPr>
                <w:b/>
              </w:rPr>
            </w:pPr>
          </w:p>
        </w:tc>
        <w:tc>
          <w:tcPr>
            <w:tcW w:w="1512" w:type="dxa"/>
            <w:tcBorders>
              <w:bottom w:val="single" w:sz="4" w:space="0" w:color="auto"/>
            </w:tcBorders>
            <w:shd w:val="clear" w:color="00FFFF" w:fill="auto"/>
          </w:tcPr>
          <w:p w:rsidR="001C7BA8" w:rsidRPr="007F5E62" w:rsidRDefault="001C7BA8" w:rsidP="000F31B4">
            <w:pPr>
              <w:pStyle w:val="Footer"/>
              <w:tabs>
                <w:tab w:val="clear" w:pos="4153"/>
                <w:tab w:val="clear" w:pos="8306"/>
                <w:tab w:val="decimal" w:pos="942"/>
              </w:tabs>
              <w:jc w:val="right"/>
              <w:rPr>
                <w:b/>
              </w:rPr>
            </w:pPr>
            <w:r w:rsidRPr="007F5E62">
              <w:rPr>
                <w:b/>
              </w:rPr>
              <w:t>£000</w:t>
            </w:r>
          </w:p>
        </w:tc>
        <w:tc>
          <w:tcPr>
            <w:tcW w:w="1512" w:type="dxa"/>
            <w:tcBorders>
              <w:bottom w:val="single" w:sz="4" w:space="0" w:color="auto"/>
            </w:tcBorders>
            <w:shd w:val="clear" w:color="00FFFF" w:fill="auto"/>
          </w:tcPr>
          <w:p w:rsidR="001C7BA8" w:rsidRPr="007F5E62" w:rsidRDefault="001C7BA8" w:rsidP="000F31B4">
            <w:pPr>
              <w:pStyle w:val="Footer"/>
              <w:tabs>
                <w:tab w:val="clear" w:pos="4153"/>
                <w:tab w:val="clear" w:pos="8306"/>
                <w:tab w:val="decimal" w:pos="918"/>
              </w:tabs>
              <w:jc w:val="right"/>
              <w:rPr>
                <w:b/>
              </w:rPr>
            </w:pPr>
            <w:r w:rsidRPr="007F5E62">
              <w:rPr>
                <w:b/>
              </w:rPr>
              <w:t>£000</w:t>
            </w:r>
          </w:p>
        </w:tc>
        <w:tc>
          <w:tcPr>
            <w:tcW w:w="1512" w:type="dxa"/>
            <w:tcBorders>
              <w:bottom w:val="single" w:sz="4" w:space="0" w:color="auto"/>
            </w:tcBorders>
            <w:shd w:val="clear" w:color="00FFFF" w:fill="auto"/>
          </w:tcPr>
          <w:p w:rsidR="001C7BA8" w:rsidRPr="007F5E62" w:rsidRDefault="001C7BA8" w:rsidP="000F31B4">
            <w:pPr>
              <w:pStyle w:val="Footer"/>
              <w:tabs>
                <w:tab w:val="clear" w:pos="4153"/>
                <w:tab w:val="clear" w:pos="8306"/>
                <w:tab w:val="decimal" w:pos="803"/>
              </w:tabs>
              <w:jc w:val="right"/>
              <w:rPr>
                <w:b/>
              </w:rPr>
            </w:pPr>
            <w:r w:rsidRPr="007F5E62">
              <w:rPr>
                <w:b/>
              </w:rPr>
              <w:t>£000</w:t>
            </w:r>
          </w:p>
        </w:tc>
        <w:tc>
          <w:tcPr>
            <w:tcW w:w="1512" w:type="dxa"/>
            <w:tcBorders>
              <w:bottom w:val="single" w:sz="4" w:space="0" w:color="auto"/>
            </w:tcBorders>
            <w:shd w:val="clear" w:color="00FFFF" w:fill="auto"/>
          </w:tcPr>
          <w:p w:rsidR="001C7BA8" w:rsidRPr="007F5E62" w:rsidRDefault="001C7BA8" w:rsidP="000F31B4">
            <w:pPr>
              <w:pStyle w:val="Footer"/>
              <w:tabs>
                <w:tab w:val="clear" w:pos="4153"/>
                <w:tab w:val="clear" w:pos="8306"/>
                <w:tab w:val="decimal" w:pos="803"/>
              </w:tabs>
              <w:jc w:val="right"/>
              <w:rPr>
                <w:b/>
              </w:rPr>
            </w:pPr>
            <w:r w:rsidRPr="007F5E62">
              <w:rPr>
                <w:b/>
              </w:rPr>
              <w:t>£000</w:t>
            </w:r>
          </w:p>
        </w:tc>
      </w:tr>
      <w:tr w:rsidR="001C7BA8" w:rsidRPr="007F5E62" w:rsidTr="001C7BA8">
        <w:tc>
          <w:tcPr>
            <w:tcW w:w="3963" w:type="dxa"/>
          </w:tcPr>
          <w:p w:rsidR="001C7BA8" w:rsidRPr="007F5E62" w:rsidRDefault="001C7BA8" w:rsidP="00A1169B">
            <w:r w:rsidRPr="007F5E62">
              <w:lastRenderedPageBreak/>
              <w:t>Care Services</w:t>
            </w:r>
          </w:p>
        </w:tc>
        <w:tc>
          <w:tcPr>
            <w:tcW w:w="1512" w:type="dxa"/>
            <w:tcBorders>
              <w:top w:val="single" w:sz="4" w:space="0" w:color="auto"/>
            </w:tcBorders>
            <w:shd w:val="clear" w:color="00FFFF" w:fill="auto"/>
            <w:vAlign w:val="center"/>
          </w:tcPr>
          <w:p w:rsidR="001C7BA8" w:rsidRPr="007F5E62" w:rsidRDefault="001C7BA8" w:rsidP="004C00E4">
            <w:pPr>
              <w:pStyle w:val="Footer"/>
              <w:tabs>
                <w:tab w:val="clear" w:pos="4153"/>
                <w:tab w:val="clear" w:pos="8306"/>
                <w:tab w:val="decimal" w:pos="942"/>
              </w:tabs>
              <w:jc w:val="right"/>
            </w:pPr>
            <w:r w:rsidRPr="007F5E62">
              <w:t>22,921</w:t>
            </w:r>
          </w:p>
        </w:tc>
        <w:tc>
          <w:tcPr>
            <w:tcW w:w="1512" w:type="dxa"/>
            <w:tcBorders>
              <w:top w:val="single" w:sz="4" w:space="0" w:color="auto"/>
            </w:tcBorders>
            <w:shd w:val="clear" w:color="00FFFF" w:fill="auto"/>
            <w:vAlign w:val="center"/>
          </w:tcPr>
          <w:p w:rsidR="001C7BA8" w:rsidRPr="007F5E62" w:rsidRDefault="001C7BA8" w:rsidP="004C00E4">
            <w:pPr>
              <w:pStyle w:val="Footer"/>
              <w:tabs>
                <w:tab w:val="clear" w:pos="4153"/>
                <w:tab w:val="clear" w:pos="8306"/>
                <w:tab w:val="decimal" w:pos="918"/>
              </w:tabs>
              <w:jc w:val="right"/>
            </w:pPr>
            <w:r w:rsidRPr="007F5E62">
              <w:t>23,876</w:t>
            </w:r>
          </w:p>
        </w:tc>
        <w:tc>
          <w:tcPr>
            <w:tcW w:w="1512" w:type="dxa"/>
            <w:tcBorders>
              <w:top w:val="single" w:sz="4" w:space="0" w:color="auto"/>
            </w:tcBorders>
            <w:shd w:val="clear" w:color="00FFFF" w:fill="auto"/>
            <w:vAlign w:val="center"/>
          </w:tcPr>
          <w:p w:rsidR="001C7BA8" w:rsidRPr="007F5E62" w:rsidRDefault="001C7BA8" w:rsidP="00304DBA">
            <w:pPr>
              <w:pStyle w:val="Footer"/>
              <w:tabs>
                <w:tab w:val="clear" w:pos="4153"/>
                <w:tab w:val="clear" w:pos="8306"/>
                <w:tab w:val="decimal" w:pos="803"/>
              </w:tabs>
              <w:jc w:val="right"/>
            </w:pPr>
            <w:r w:rsidRPr="007F5E62">
              <w:t>(955)</w:t>
            </w:r>
          </w:p>
        </w:tc>
        <w:tc>
          <w:tcPr>
            <w:tcW w:w="1512" w:type="dxa"/>
            <w:tcBorders>
              <w:top w:val="single" w:sz="4" w:space="0" w:color="auto"/>
            </w:tcBorders>
            <w:shd w:val="clear" w:color="00FFFF" w:fill="auto"/>
          </w:tcPr>
          <w:p w:rsidR="001C7BA8" w:rsidRPr="007F5E62" w:rsidRDefault="001C7BA8" w:rsidP="00304DBA">
            <w:pPr>
              <w:pStyle w:val="Footer"/>
              <w:tabs>
                <w:tab w:val="clear" w:pos="4153"/>
                <w:tab w:val="clear" w:pos="8306"/>
                <w:tab w:val="decimal" w:pos="803"/>
              </w:tabs>
              <w:jc w:val="right"/>
            </w:pPr>
            <w:r w:rsidRPr="007F5E62">
              <w:t>(697)</w:t>
            </w:r>
          </w:p>
        </w:tc>
      </w:tr>
      <w:tr w:rsidR="001C7BA8" w:rsidRPr="007F5E62" w:rsidTr="001C7BA8">
        <w:tc>
          <w:tcPr>
            <w:tcW w:w="3963" w:type="dxa"/>
          </w:tcPr>
          <w:p w:rsidR="001C7BA8" w:rsidRPr="007F5E62" w:rsidRDefault="001C7BA8" w:rsidP="00A1169B">
            <w:r w:rsidRPr="007F5E62">
              <w:t>Catering Services</w:t>
            </w:r>
          </w:p>
        </w:tc>
        <w:tc>
          <w:tcPr>
            <w:tcW w:w="1512" w:type="dxa"/>
            <w:shd w:val="clear" w:color="00FFFF" w:fill="auto"/>
            <w:vAlign w:val="center"/>
          </w:tcPr>
          <w:p w:rsidR="001C7BA8" w:rsidRPr="007F5E62" w:rsidRDefault="001C7BA8" w:rsidP="004C00E4">
            <w:pPr>
              <w:pStyle w:val="Footer"/>
              <w:tabs>
                <w:tab w:val="clear" w:pos="4153"/>
                <w:tab w:val="clear" w:pos="8306"/>
                <w:tab w:val="decimal" w:pos="942"/>
              </w:tabs>
              <w:jc w:val="right"/>
            </w:pPr>
            <w:r w:rsidRPr="007F5E62">
              <w:t>23,358</w:t>
            </w:r>
          </w:p>
        </w:tc>
        <w:tc>
          <w:tcPr>
            <w:tcW w:w="1512" w:type="dxa"/>
            <w:shd w:val="clear" w:color="00FFFF" w:fill="auto"/>
            <w:vAlign w:val="center"/>
          </w:tcPr>
          <w:p w:rsidR="001C7BA8" w:rsidRPr="007F5E62" w:rsidRDefault="001C7BA8" w:rsidP="004C00E4">
            <w:pPr>
              <w:tabs>
                <w:tab w:val="decimal" w:pos="918"/>
              </w:tabs>
              <w:jc w:val="right"/>
            </w:pPr>
            <w:r w:rsidRPr="007F5E62">
              <w:t>22,120</w:t>
            </w:r>
          </w:p>
        </w:tc>
        <w:tc>
          <w:tcPr>
            <w:tcW w:w="1512" w:type="dxa"/>
            <w:shd w:val="clear" w:color="00FFFF" w:fill="auto"/>
            <w:vAlign w:val="center"/>
          </w:tcPr>
          <w:p w:rsidR="001C7BA8" w:rsidRPr="007F5E62" w:rsidRDefault="001C7BA8" w:rsidP="004C00E4">
            <w:pPr>
              <w:tabs>
                <w:tab w:val="decimal" w:pos="803"/>
              </w:tabs>
              <w:jc w:val="right"/>
            </w:pPr>
            <w:r w:rsidRPr="007F5E62">
              <w:t>1,238</w:t>
            </w:r>
          </w:p>
        </w:tc>
        <w:tc>
          <w:tcPr>
            <w:tcW w:w="1512" w:type="dxa"/>
            <w:shd w:val="clear" w:color="00FFFF" w:fill="auto"/>
          </w:tcPr>
          <w:p w:rsidR="001C7BA8" w:rsidRPr="007F5E62" w:rsidRDefault="001C7BA8" w:rsidP="004C00E4">
            <w:pPr>
              <w:tabs>
                <w:tab w:val="decimal" w:pos="803"/>
              </w:tabs>
              <w:jc w:val="right"/>
            </w:pPr>
            <w:r w:rsidRPr="007F5E62">
              <w:t>655</w:t>
            </w:r>
          </w:p>
        </w:tc>
      </w:tr>
      <w:tr w:rsidR="001C7BA8" w:rsidRPr="007F5E62" w:rsidTr="001C7BA8">
        <w:tc>
          <w:tcPr>
            <w:tcW w:w="3963" w:type="dxa"/>
          </w:tcPr>
          <w:p w:rsidR="001C7BA8" w:rsidRPr="007F5E62" w:rsidRDefault="001C7BA8" w:rsidP="00A1169B">
            <w:r w:rsidRPr="007F5E62">
              <w:t>Operational Services</w:t>
            </w:r>
          </w:p>
        </w:tc>
        <w:tc>
          <w:tcPr>
            <w:tcW w:w="1512" w:type="dxa"/>
            <w:tcBorders>
              <w:bottom w:val="single" w:sz="4" w:space="0" w:color="auto"/>
            </w:tcBorders>
            <w:shd w:val="clear" w:color="00FFFF" w:fill="auto"/>
          </w:tcPr>
          <w:p w:rsidR="001C7BA8" w:rsidRPr="007F5E62" w:rsidRDefault="001C7BA8" w:rsidP="004C00E4">
            <w:pPr>
              <w:tabs>
                <w:tab w:val="decimal" w:pos="942"/>
              </w:tabs>
              <w:jc w:val="right"/>
            </w:pPr>
            <w:r w:rsidRPr="007F5E62">
              <w:t>122,400</w:t>
            </w:r>
          </w:p>
        </w:tc>
        <w:tc>
          <w:tcPr>
            <w:tcW w:w="1512" w:type="dxa"/>
            <w:tcBorders>
              <w:bottom w:val="single" w:sz="4" w:space="0" w:color="auto"/>
            </w:tcBorders>
            <w:shd w:val="clear" w:color="00FFFF" w:fill="auto"/>
          </w:tcPr>
          <w:p w:rsidR="001C7BA8" w:rsidRPr="007F5E62" w:rsidRDefault="001C7BA8" w:rsidP="004C00E4">
            <w:pPr>
              <w:tabs>
                <w:tab w:val="decimal" w:pos="918"/>
              </w:tabs>
              <w:jc w:val="right"/>
            </w:pPr>
            <w:r w:rsidRPr="007F5E62">
              <w:t>119,224</w:t>
            </w:r>
          </w:p>
        </w:tc>
        <w:tc>
          <w:tcPr>
            <w:tcW w:w="1512" w:type="dxa"/>
            <w:tcBorders>
              <w:bottom w:val="single" w:sz="4" w:space="0" w:color="auto"/>
            </w:tcBorders>
            <w:shd w:val="clear" w:color="00FFFF" w:fill="auto"/>
            <w:vAlign w:val="center"/>
          </w:tcPr>
          <w:p w:rsidR="001C7BA8" w:rsidRPr="007F5E62" w:rsidRDefault="001C7BA8" w:rsidP="004C00E4">
            <w:pPr>
              <w:tabs>
                <w:tab w:val="decimal" w:pos="803"/>
              </w:tabs>
              <w:jc w:val="right"/>
            </w:pPr>
            <w:r w:rsidRPr="007F5E62">
              <w:t>3,176</w:t>
            </w:r>
          </w:p>
        </w:tc>
        <w:tc>
          <w:tcPr>
            <w:tcW w:w="1512" w:type="dxa"/>
            <w:tcBorders>
              <w:bottom w:val="single" w:sz="4" w:space="0" w:color="auto"/>
            </w:tcBorders>
            <w:shd w:val="clear" w:color="00FFFF" w:fill="auto"/>
          </w:tcPr>
          <w:p w:rsidR="001C7BA8" w:rsidRPr="007F5E62" w:rsidRDefault="001C7BA8" w:rsidP="004C00E4">
            <w:pPr>
              <w:tabs>
                <w:tab w:val="decimal" w:pos="803"/>
              </w:tabs>
              <w:jc w:val="right"/>
            </w:pPr>
            <w:r w:rsidRPr="007F5E62">
              <w:t>6,903</w:t>
            </w:r>
          </w:p>
        </w:tc>
      </w:tr>
      <w:tr w:rsidR="001C7BA8" w:rsidRPr="007F5E62" w:rsidTr="001C7BA8">
        <w:tc>
          <w:tcPr>
            <w:tcW w:w="3963" w:type="dxa"/>
            <w:vAlign w:val="center"/>
          </w:tcPr>
          <w:p w:rsidR="001C7BA8" w:rsidRPr="007F5E62" w:rsidRDefault="001C7BA8" w:rsidP="00A1169B">
            <w:pPr>
              <w:rPr>
                <w:b/>
              </w:rPr>
            </w:pPr>
            <w:r w:rsidRPr="007F5E62">
              <w:rPr>
                <w:b/>
              </w:rPr>
              <w:t>Total</w:t>
            </w:r>
          </w:p>
        </w:tc>
        <w:tc>
          <w:tcPr>
            <w:tcW w:w="1512" w:type="dxa"/>
            <w:tcBorders>
              <w:top w:val="single" w:sz="4" w:space="0" w:color="auto"/>
              <w:bottom w:val="double" w:sz="6" w:space="0" w:color="auto"/>
            </w:tcBorders>
            <w:shd w:val="clear" w:color="00FFFF" w:fill="auto"/>
            <w:vAlign w:val="center"/>
          </w:tcPr>
          <w:p w:rsidR="001C7BA8" w:rsidRPr="007F5E62" w:rsidRDefault="001C7BA8" w:rsidP="004C00E4">
            <w:pPr>
              <w:tabs>
                <w:tab w:val="decimal" w:pos="942"/>
              </w:tabs>
              <w:jc w:val="right"/>
              <w:rPr>
                <w:b/>
              </w:rPr>
            </w:pPr>
            <w:r w:rsidRPr="007F5E62">
              <w:rPr>
                <w:b/>
              </w:rPr>
              <w:t>168,679</w:t>
            </w:r>
          </w:p>
        </w:tc>
        <w:tc>
          <w:tcPr>
            <w:tcW w:w="1512" w:type="dxa"/>
            <w:tcBorders>
              <w:top w:val="single" w:sz="4" w:space="0" w:color="auto"/>
              <w:bottom w:val="double" w:sz="6" w:space="0" w:color="auto"/>
            </w:tcBorders>
            <w:shd w:val="clear" w:color="00FFFF" w:fill="auto"/>
            <w:vAlign w:val="center"/>
          </w:tcPr>
          <w:p w:rsidR="001C7BA8" w:rsidRPr="007F5E62" w:rsidRDefault="001C7BA8" w:rsidP="004C00E4">
            <w:pPr>
              <w:tabs>
                <w:tab w:val="decimal" w:pos="918"/>
              </w:tabs>
              <w:jc w:val="right"/>
              <w:rPr>
                <w:b/>
              </w:rPr>
            </w:pPr>
            <w:r w:rsidRPr="007F5E62">
              <w:rPr>
                <w:b/>
              </w:rPr>
              <w:t>165,220</w:t>
            </w:r>
          </w:p>
        </w:tc>
        <w:tc>
          <w:tcPr>
            <w:tcW w:w="1512" w:type="dxa"/>
            <w:tcBorders>
              <w:top w:val="single" w:sz="4" w:space="0" w:color="auto"/>
              <w:bottom w:val="double" w:sz="6" w:space="0" w:color="auto"/>
            </w:tcBorders>
            <w:shd w:val="clear" w:color="00FFFF" w:fill="auto"/>
            <w:vAlign w:val="center"/>
          </w:tcPr>
          <w:p w:rsidR="001C7BA8" w:rsidRPr="007F5E62" w:rsidRDefault="001C7BA8" w:rsidP="004C00E4">
            <w:pPr>
              <w:tabs>
                <w:tab w:val="decimal" w:pos="803"/>
              </w:tabs>
              <w:jc w:val="right"/>
              <w:rPr>
                <w:b/>
              </w:rPr>
            </w:pPr>
            <w:r w:rsidRPr="007F5E62">
              <w:rPr>
                <w:b/>
              </w:rPr>
              <w:t>3,459</w:t>
            </w:r>
          </w:p>
        </w:tc>
        <w:tc>
          <w:tcPr>
            <w:tcW w:w="1512" w:type="dxa"/>
            <w:tcBorders>
              <w:top w:val="single" w:sz="4" w:space="0" w:color="auto"/>
              <w:bottom w:val="double" w:sz="6" w:space="0" w:color="auto"/>
            </w:tcBorders>
            <w:shd w:val="clear" w:color="00FFFF" w:fill="auto"/>
          </w:tcPr>
          <w:p w:rsidR="001C7BA8" w:rsidRPr="007F5E62" w:rsidRDefault="001C7BA8" w:rsidP="004C00E4">
            <w:pPr>
              <w:tabs>
                <w:tab w:val="decimal" w:pos="803"/>
              </w:tabs>
              <w:jc w:val="right"/>
              <w:rPr>
                <w:b/>
              </w:rPr>
            </w:pPr>
            <w:r w:rsidRPr="007F5E62">
              <w:rPr>
                <w:b/>
              </w:rPr>
              <w:t>6,861</w:t>
            </w:r>
          </w:p>
        </w:tc>
      </w:tr>
    </w:tbl>
    <w:p w:rsidR="00A1169B" w:rsidRPr="007F5E62" w:rsidRDefault="00A1169B" w:rsidP="00A1169B">
      <w:pPr>
        <w:ind w:left="720"/>
      </w:pPr>
    </w:p>
    <w:p w:rsidR="00E161FC" w:rsidRPr="007F5E62" w:rsidRDefault="00E161FC" w:rsidP="00A1169B">
      <w:pPr>
        <w:ind w:left="720"/>
      </w:pPr>
    </w:p>
    <w:p w:rsidR="00E161FC" w:rsidRPr="007F5E62" w:rsidRDefault="00A1169B" w:rsidP="00E161FC">
      <w:pPr>
        <w:spacing w:after="240"/>
        <w:ind w:left="720"/>
        <w:jc w:val="both"/>
      </w:pPr>
      <w:r w:rsidRPr="007F5E62">
        <w:t xml:space="preserve">More information on our major trading operations’ services for </w:t>
      </w:r>
      <w:r w:rsidR="001C7BA8" w:rsidRPr="007F5E62">
        <w:t>2011/12</w:t>
      </w:r>
      <w:r w:rsidRPr="007F5E62">
        <w:t xml:space="preserve"> is given below. </w:t>
      </w:r>
    </w:p>
    <w:p w:rsidR="00EB0EE5" w:rsidRPr="007F5E62" w:rsidRDefault="00EB0EE5" w:rsidP="00EB0EE5">
      <w:pPr>
        <w:spacing w:after="240"/>
        <w:ind w:firstLine="720"/>
        <w:rPr>
          <w:b/>
        </w:rPr>
      </w:pPr>
      <w:r w:rsidRPr="007F5E62">
        <w:rPr>
          <w:b/>
        </w:rPr>
        <w:t>Lancashire County Care Services</w:t>
      </w:r>
    </w:p>
    <w:p w:rsidR="00EB0EE5" w:rsidRPr="007F5E62" w:rsidRDefault="00EB0EE5" w:rsidP="00EB0EE5">
      <w:pPr>
        <w:spacing w:after="240"/>
        <w:ind w:left="720"/>
        <w:jc w:val="both"/>
      </w:pPr>
      <w:r w:rsidRPr="007F5E62">
        <w:t>At the 1 April 2012 Lancashire County Care Services was providing:</w:t>
      </w:r>
    </w:p>
    <w:p w:rsidR="00EB0EE5" w:rsidRPr="007F5E62" w:rsidRDefault="00EB0EE5" w:rsidP="00BD07E4">
      <w:pPr>
        <w:numPr>
          <w:ilvl w:val="0"/>
          <w:numId w:val="11"/>
        </w:numPr>
        <w:spacing w:after="240"/>
        <w:jc w:val="both"/>
      </w:pPr>
      <w:r w:rsidRPr="007F5E62">
        <w:t xml:space="preserve">residential services from 17 homes for older people; </w:t>
      </w:r>
    </w:p>
    <w:p w:rsidR="00EB0EE5" w:rsidRPr="007F5E62" w:rsidRDefault="00EB0EE5" w:rsidP="00BD07E4">
      <w:pPr>
        <w:numPr>
          <w:ilvl w:val="0"/>
          <w:numId w:val="11"/>
        </w:numPr>
        <w:spacing w:after="240"/>
        <w:jc w:val="both"/>
      </w:pPr>
      <w:r w:rsidRPr="007F5E62">
        <w:t xml:space="preserve">rehabilitation services from 9 of these homes; </w:t>
      </w:r>
    </w:p>
    <w:p w:rsidR="00EB0EE5" w:rsidRPr="007F5E62" w:rsidRDefault="00EB0EE5" w:rsidP="00BD07E4">
      <w:pPr>
        <w:numPr>
          <w:ilvl w:val="0"/>
          <w:numId w:val="11"/>
        </w:numPr>
        <w:spacing w:after="240"/>
        <w:jc w:val="both"/>
      </w:pPr>
      <w:r w:rsidRPr="007F5E62">
        <w:t xml:space="preserve">day care from 14 day centres; and </w:t>
      </w:r>
    </w:p>
    <w:p w:rsidR="00EB0EE5" w:rsidRPr="00EB0EE5" w:rsidRDefault="00EB0EE5" w:rsidP="00BD07E4">
      <w:pPr>
        <w:numPr>
          <w:ilvl w:val="0"/>
          <w:numId w:val="11"/>
        </w:numPr>
        <w:spacing w:after="240"/>
        <w:jc w:val="both"/>
      </w:pPr>
      <w:r w:rsidRPr="007F5E62">
        <w:t>an assessment and reablement service providing assessment, practical and personal care to help people who have been ill or injured live independently at home for as long as possible.</w:t>
      </w:r>
    </w:p>
    <w:p w:rsidR="00B22760" w:rsidRPr="007F5E62" w:rsidRDefault="00B22760" w:rsidP="003444A1">
      <w:pPr>
        <w:spacing w:after="240"/>
        <w:ind w:firstLine="720"/>
        <w:rPr>
          <w:b/>
        </w:rPr>
      </w:pPr>
      <w:r w:rsidRPr="007F5E62">
        <w:rPr>
          <w:b/>
        </w:rPr>
        <w:t>Catering Services provides:</w:t>
      </w:r>
    </w:p>
    <w:p w:rsidR="00B22760" w:rsidRPr="007F5E62" w:rsidRDefault="00B22760" w:rsidP="00BD07E4">
      <w:pPr>
        <w:numPr>
          <w:ilvl w:val="0"/>
          <w:numId w:val="30"/>
        </w:numPr>
        <w:spacing w:after="240"/>
      </w:pPr>
      <w:r w:rsidRPr="007F5E62">
        <w:t>school catering services</w:t>
      </w:r>
      <w:r w:rsidR="00625A2C" w:rsidRPr="007F5E62">
        <w:t xml:space="preserve"> for approximately 560 schools</w:t>
      </w:r>
      <w:r w:rsidRPr="007F5E62">
        <w:t>; and</w:t>
      </w:r>
    </w:p>
    <w:p w:rsidR="00B22760" w:rsidRPr="007F5E62" w:rsidRDefault="00B22760" w:rsidP="00BD07E4">
      <w:pPr>
        <w:numPr>
          <w:ilvl w:val="0"/>
          <w:numId w:val="30"/>
        </w:numPr>
        <w:spacing w:after="240"/>
      </w:pPr>
      <w:r w:rsidRPr="007F5E62">
        <w:t>staff and civic catering</w:t>
      </w:r>
      <w:r w:rsidR="00625A2C" w:rsidRPr="007F5E62">
        <w:t xml:space="preserve"> from four outlets</w:t>
      </w:r>
    </w:p>
    <w:p w:rsidR="00EB0EE5" w:rsidRPr="007F5E62" w:rsidRDefault="00EB0EE5" w:rsidP="00EB0EE5">
      <w:pPr>
        <w:spacing w:after="240"/>
        <w:ind w:left="720"/>
        <w:rPr>
          <w:b/>
        </w:rPr>
      </w:pPr>
      <w:r w:rsidRPr="007F5E62">
        <w:rPr>
          <w:b/>
        </w:rPr>
        <w:t>Operational Services provides:</w:t>
      </w:r>
    </w:p>
    <w:p w:rsidR="00EB0EE5" w:rsidRPr="007F5E62" w:rsidRDefault="00EB0EE5" w:rsidP="00EB0EE5">
      <w:pPr>
        <w:numPr>
          <w:ilvl w:val="0"/>
          <w:numId w:val="4"/>
        </w:numPr>
        <w:tabs>
          <w:tab w:val="clear" w:pos="360"/>
          <w:tab w:val="num" w:pos="1080"/>
        </w:tabs>
        <w:spacing w:after="240"/>
        <w:ind w:left="1080"/>
        <w:jc w:val="both"/>
      </w:pPr>
      <w:r w:rsidRPr="007F5E62">
        <w:t>Highways and Environmental services – repairing and maintaining roads and bridges, road surfacing and street lighting for contracts won in competition and through the Highways Works Contract, routine maintenance for grounds and playing fields, and creating new landscaping schemes and sports facilities;</w:t>
      </w:r>
    </w:p>
    <w:p w:rsidR="00EB0EE5" w:rsidRPr="007F5E62" w:rsidRDefault="00EB0EE5" w:rsidP="00EB0EE5">
      <w:pPr>
        <w:numPr>
          <w:ilvl w:val="0"/>
          <w:numId w:val="4"/>
        </w:numPr>
        <w:tabs>
          <w:tab w:val="clear" w:pos="360"/>
          <w:tab w:val="num" w:pos="1080"/>
        </w:tabs>
        <w:spacing w:after="240"/>
        <w:ind w:left="1080"/>
        <w:jc w:val="both"/>
      </w:pPr>
      <w:r w:rsidRPr="007F5E62">
        <w:t xml:space="preserve">Fleet Services – purchase, disposal, management, maintenance and repair of </w:t>
      </w:r>
      <w:r w:rsidR="001F1A1A">
        <w:t>County Council</w:t>
      </w:r>
      <w:r w:rsidRPr="007F5E62">
        <w:t xml:space="preserve"> vehicles  and the repair and maintenance of Lancashire Fire and Rescue vehicles;</w:t>
      </w:r>
    </w:p>
    <w:p w:rsidR="00EB0EE5" w:rsidRPr="007F5E62" w:rsidRDefault="00EB0EE5" w:rsidP="00EB0EE5">
      <w:pPr>
        <w:numPr>
          <w:ilvl w:val="0"/>
          <w:numId w:val="4"/>
        </w:numPr>
        <w:tabs>
          <w:tab w:val="clear" w:pos="360"/>
          <w:tab w:val="num" w:pos="1080"/>
        </w:tabs>
        <w:spacing w:after="240"/>
        <w:ind w:left="1080"/>
        <w:jc w:val="both"/>
      </w:pPr>
      <w:r w:rsidRPr="007F5E62">
        <w:t>Travel Care – caring and accessible bus services</w:t>
      </w:r>
    </w:p>
    <w:p w:rsidR="00EB0EE5" w:rsidRPr="007F5E62" w:rsidRDefault="00EB0EE5" w:rsidP="00EB0EE5">
      <w:pPr>
        <w:numPr>
          <w:ilvl w:val="0"/>
          <w:numId w:val="4"/>
        </w:numPr>
        <w:tabs>
          <w:tab w:val="clear" w:pos="360"/>
          <w:tab w:val="num" w:pos="1080"/>
        </w:tabs>
        <w:spacing w:after="240"/>
        <w:ind w:left="1080"/>
        <w:jc w:val="both"/>
      </w:pPr>
      <w:r w:rsidRPr="007F5E62">
        <w:t>Building Cleaning services;</w:t>
      </w:r>
    </w:p>
    <w:p w:rsidR="00EB0EE5" w:rsidRPr="007F5E62" w:rsidRDefault="00EB0EE5" w:rsidP="00EB0EE5">
      <w:pPr>
        <w:numPr>
          <w:ilvl w:val="0"/>
          <w:numId w:val="4"/>
        </w:numPr>
        <w:tabs>
          <w:tab w:val="clear" w:pos="360"/>
          <w:tab w:val="num" w:pos="1080"/>
        </w:tabs>
        <w:spacing w:after="240"/>
        <w:ind w:left="1080"/>
        <w:jc w:val="both"/>
      </w:pPr>
      <w:r w:rsidRPr="007F5E62">
        <w:t>School Crossing Patrol services; and</w:t>
      </w:r>
    </w:p>
    <w:p w:rsidR="00EB0EE5" w:rsidRDefault="00EB0EE5" w:rsidP="00EB0EE5">
      <w:pPr>
        <w:numPr>
          <w:ilvl w:val="0"/>
          <w:numId w:val="4"/>
        </w:numPr>
        <w:tabs>
          <w:tab w:val="clear" w:pos="360"/>
          <w:tab w:val="num" w:pos="1080"/>
        </w:tabs>
        <w:spacing w:after="240"/>
        <w:ind w:left="1080"/>
        <w:jc w:val="both"/>
      </w:pPr>
      <w:r w:rsidRPr="007F5E62">
        <w:t>Passenger Assistant services</w:t>
      </w:r>
    </w:p>
    <w:p w:rsidR="00EB0EE5" w:rsidRPr="007F5E62" w:rsidRDefault="00EB0EE5" w:rsidP="00EB0EE5">
      <w:pPr>
        <w:spacing w:after="240"/>
        <w:ind w:left="1080"/>
        <w:jc w:val="both"/>
      </w:pPr>
    </w:p>
    <w:p w:rsidR="00B22760" w:rsidRPr="007F5E62" w:rsidRDefault="006B74A0" w:rsidP="0062005F">
      <w:pPr>
        <w:spacing w:after="240"/>
        <w:ind w:left="720"/>
        <w:jc w:val="both"/>
      </w:pPr>
      <w:r w:rsidRPr="007F5E62">
        <w:t>The final accounts for 2011/12</w:t>
      </w:r>
      <w:r w:rsidR="00B22760" w:rsidRPr="007F5E62">
        <w:t xml:space="preserve"> show a turnover of £</w:t>
      </w:r>
      <w:r w:rsidR="00342F70">
        <w:t>168.</w:t>
      </w:r>
      <w:r w:rsidR="007F5E62" w:rsidRPr="007F5E62">
        <w:t>679</w:t>
      </w:r>
      <w:r w:rsidRPr="007F5E62">
        <w:t xml:space="preserve"> </w:t>
      </w:r>
      <w:r w:rsidR="00B22760" w:rsidRPr="007F5E62">
        <w:t xml:space="preserve">million. </w:t>
      </w:r>
    </w:p>
    <w:p w:rsidR="00B46887" w:rsidRPr="00286C0E" w:rsidRDefault="00B46887" w:rsidP="00B22760">
      <w:pPr>
        <w:rPr>
          <w:highlight w:val="yellow"/>
        </w:rPr>
      </w:pPr>
    </w:p>
    <w:p w:rsidR="00B46887" w:rsidRPr="00286C0E" w:rsidRDefault="00B46887" w:rsidP="00B22760">
      <w:pPr>
        <w:rPr>
          <w:highlight w:val="yellow"/>
        </w:rPr>
      </w:pPr>
    </w:p>
    <w:p w:rsidR="00294AB0" w:rsidRPr="00286C0E" w:rsidRDefault="00294AB0" w:rsidP="00F076D1">
      <w:pPr>
        <w:rPr>
          <w:b/>
          <w:i/>
          <w:highlight w:val="yellow"/>
        </w:rPr>
        <w:sectPr w:rsidR="00294AB0" w:rsidRPr="00286C0E" w:rsidSect="003018D5">
          <w:pgSz w:w="11906" w:h="16838" w:code="9"/>
          <w:pgMar w:top="720" w:right="720" w:bottom="720" w:left="720" w:header="709" w:footer="709" w:gutter="0"/>
          <w:cols w:space="708"/>
          <w:docGrid w:linePitch="360"/>
        </w:sectPr>
      </w:pPr>
    </w:p>
    <w:p w:rsidR="00F076D1" w:rsidRDefault="00F076D1" w:rsidP="00F076D1">
      <w:pPr>
        <w:rPr>
          <w:b/>
          <w:i/>
        </w:rPr>
      </w:pPr>
      <w:r w:rsidRPr="00537C3C">
        <w:rPr>
          <w:b/>
          <w:i/>
        </w:rPr>
        <w:lastRenderedPageBreak/>
        <w:t>Balance Sheet Notes</w:t>
      </w:r>
    </w:p>
    <w:p w:rsidR="00D61833" w:rsidRDefault="00D61833" w:rsidP="00F076D1">
      <w:pPr>
        <w:rPr>
          <w:b/>
          <w:i/>
        </w:rPr>
      </w:pPr>
    </w:p>
    <w:p w:rsidR="00D61833" w:rsidRDefault="00D61833" w:rsidP="00BD07E4">
      <w:pPr>
        <w:pStyle w:val="ListParagraph"/>
        <w:numPr>
          <w:ilvl w:val="0"/>
          <w:numId w:val="21"/>
        </w:numPr>
        <w:rPr>
          <w:b/>
        </w:rPr>
      </w:pPr>
      <w:r>
        <w:rPr>
          <w:b/>
        </w:rPr>
        <w:t>Heritage Assets</w:t>
      </w:r>
    </w:p>
    <w:p w:rsidR="00D61833" w:rsidRDefault="00D61833" w:rsidP="00D61833">
      <w:pPr>
        <w:rPr>
          <w:b/>
        </w:rPr>
      </w:pPr>
    </w:p>
    <w:p w:rsidR="00687D2A" w:rsidRDefault="00D61833" w:rsidP="00687D2A">
      <w:pPr>
        <w:ind w:left="720"/>
        <w:jc w:val="both"/>
      </w:pPr>
      <w:r w:rsidRPr="00D61833">
        <w:t>The Authority's Heritage Assets are ma</w:t>
      </w:r>
      <w:r w:rsidR="00CA6579">
        <w:t>i</w:t>
      </w:r>
      <w:r w:rsidRPr="00D61833">
        <w:t>nly contained within the Museum Service and the Libraries Special Collection. The museum service contains some 140,000 items which cover a variety of artefacts which are relevant to Lancashire's heritage including pictures, furniture, toys, medals and archaeological objects.  This collection has been valued by in-house professionals and a valuation of £13</w:t>
      </w:r>
      <w:r w:rsidR="00D87413">
        <w:t>.3</w:t>
      </w:r>
      <w:r w:rsidRPr="00D61833">
        <w:t>m has been placed on the collection.</w:t>
      </w:r>
    </w:p>
    <w:p w:rsidR="00687D2A" w:rsidRDefault="00687D2A" w:rsidP="00687D2A">
      <w:pPr>
        <w:ind w:left="720"/>
        <w:jc w:val="both"/>
      </w:pPr>
    </w:p>
    <w:p w:rsidR="00687D2A" w:rsidRDefault="00D61833" w:rsidP="00687D2A">
      <w:pPr>
        <w:ind w:left="720"/>
        <w:jc w:val="both"/>
      </w:pPr>
      <w:r w:rsidRPr="00D61833">
        <w:t>Lancashire also holds a special Libraries Collection which consists of publications held for their historical and cultural importance. Where these do not form part of the normal operations of the library service they are to be treated as a Heritage asset and a valuation made. Again, these valuations have been made by internal professional staff and it is estimated that the collection is valued at £14.6m.</w:t>
      </w:r>
    </w:p>
    <w:p w:rsidR="00687D2A" w:rsidRDefault="00687D2A" w:rsidP="00687D2A">
      <w:pPr>
        <w:ind w:left="720"/>
        <w:jc w:val="both"/>
      </w:pPr>
    </w:p>
    <w:p w:rsidR="00687D2A" w:rsidRDefault="00D87413" w:rsidP="00687D2A">
      <w:pPr>
        <w:ind w:left="720"/>
        <w:jc w:val="both"/>
      </w:pPr>
      <w:r>
        <w:t>Other</w:t>
      </w:r>
      <w:r w:rsidR="00D61833" w:rsidRPr="00D61833">
        <w:t xml:space="preserve"> heritage assets </w:t>
      </w:r>
      <w:r>
        <w:t xml:space="preserve">with a value of £0.5m are held </w:t>
      </w:r>
      <w:r w:rsidR="00D61833" w:rsidRPr="00D61833">
        <w:t xml:space="preserve"> in the Record Office however most of the archives are either operational documents relating to the work of the </w:t>
      </w:r>
      <w:r w:rsidR="001F1A1A">
        <w:t>County Council</w:t>
      </w:r>
      <w:r w:rsidR="00D61833" w:rsidRPr="00D61833">
        <w:t xml:space="preserve"> or held on behalf of other organisations or individuals and therefore do not form part of </w:t>
      </w:r>
      <w:r w:rsidR="00EB0EE5">
        <w:t xml:space="preserve">the </w:t>
      </w:r>
      <w:r w:rsidR="001F1A1A">
        <w:t>County Council</w:t>
      </w:r>
      <w:r w:rsidR="00EB0EE5">
        <w:t>'</w:t>
      </w:r>
      <w:r w:rsidR="00D61833" w:rsidRPr="00D61833">
        <w:t>s Heritage assets.</w:t>
      </w:r>
    </w:p>
    <w:p w:rsidR="00687D2A" w:rsidRDefault="00687D2A" w:rsidP="00687D2A">
      <w:pPr>
        <w:ind w:left="720"/>
        <w:jc w:val="both"/>
      </w:pPr>
    </w:p>
    <w:p w:rsidR="00687D2A" w:rsidRDefault="00D61833" w:rsidP="00687D2A">
      <w:pPr>
        <w:ind w:left="720"/>
        <w:jc w:val="both"/>
      </w:pPr>
      <w:r w:rsidRPr="00D61833">
        <w:t>In addition</w:t>
      </w:r>
      <w:r w:rsidR="00EB0EE5">
        <w:t>,</w:t>
      </w:r>
      <w:r w:rsidRPr="00D61833">
        <w:t xml:space="preserve"> L</w:t>
      </w:r>
      <w:r w:rsidR="00EB0EE5">
        <w:t xml:space="preserve">ancashire </w:t>
      </w:r>
      <w:r w:rsidR="001F1A1A">
        <w:t>County Council</w:t>
      </w:r>
      <w:r w:rsidRPr="00D61833">
        <w:t xml:space="preserve"> has an interest in two properties which are considered as Heritage assets but due to their nature it is not considered appropriate to place a value them and therefore they are included at a nominal value of £1. These properties are Gawthorpe Hall a 17</w:t>
      </w:r>
      <w:r w:rsidRPr="00D61833">
        <w:rPr>
          <w:vertAlign w:val="superscript"/>
        </w:rPr>
        <w:t>th</w:t>
      </w:r>
      <w:r w:rsidRPr="00D61833">
        <w:t xml:space="preserve"> century country house held on a long term lease from the National Trust and part of Ribchester Roman Bath House.  </w:t>
      </w:r>
    </w:p>
    <w:p w:rsidR="00687D2A" w:rsidRDefault="00687D2A" w:rsidP="00687D2A">
      <w:pPr>
        <w:ind w:left="720"/>
        <w:jc w:val="both"/>
      </w:pPr>
    </w:p>
    <w:p w:rsidR="00CA6579" w:rsidRDefault="00CA6579" w:rsidP="00E353CF">
      <w:pPr>
        <w:ind w:left="720"/>
        <w:jc w:val="both"/>
      </w:pPr>
      <w:r w:rsidRPr="007E273D">
        <w:t>The valuation of the Authori</w:t>
      </w:r>
      <w:r>
        <w:t>t</w:t>
      </w:r>
      <w:r w:rsidRPr="007E273D">
        <w:t>y's Heritage assets has included a degree of estimation. With respect to the Museum's collection those assets considered to have a value of £50,000 or over have been identified and valued as separate items. The rest of the collection involves a large quantity of small value items. It is not considered to be economic to value each item separately. Therefore, a sample of items was valued by the Museums staff. The resulting value was then used to give an estimated value of the whole collection. It is considered that the result provides a fair reflection of the value of the Authority's holding.</w:t>
      </w:r>
    </w:p>
    <w:p w:rsidR="00793679" w:rsidRDefault="00793679" w:rsidP="00CA6579">
      <w:pPr>
        <w:ind w:left="720"/>
      </w:pPr>
    </w:p>
    <w:p w:rsidR="00687D2A" w:rsidRDefault="00793679" w:rsidP="00687D2A">
      <w:pPr>
        <w:spacing w:after="240"/>
        <w:ind w:left="720"/>
        <w:jc w:val="both"/>
      </w:pPr>
      <w:r w:rsidRPr="00CB3823">
        <w:t>As part of the valuation process</w:t>
      </w:r>
      <w:r>
        <w:t xml:space="preserve"> for Heritage Assets</w:t>
      </w:r>
      <w:r w:rsidRPr="00CB3823">
        <w:t xml:space="preserve"> consideration is given as to whether there has been any physical damage or any factors which are likely to significantly affect the market value. Where there is a change in the value of the Heritage assets the normal accounting policy for th</w:t>
      </w:r>
      <w:r>
        <w:t>e change as outlined in the accounting policy for</w:t>
      </w:r>
      <w:r w:rsidRPr="00CB3823">
        <w:t xml:space="preserve"> P</w:t>
      </w:r>
      <w:r>
        <w:t xml:space="preserve">roperty, </w:t>
      </w:r>
      <w:r w:rsidRPr="00CB3823">
        <w:t>P</w:t>
      </w:r>
      <w:r>
        <w:t xml:space="preserve">lant and </w:t>
      </w:r>
      <w:r w:rsidRPr="00CB3823">
        <w:t>E</w:t>
      </w:r>
      <w:r>
        <w:t>quipment</w:t>
      </w:r>
      <w:r w:rsidRPr="00CB3823">
        <w:t xml:space="preserve"> (note 8) will be followed.</w:t>
      </w:r>
    </w:p>
    <w:p w:rsidR="00687D2A" w:rsidRPr="00A9195D" w:rsidRDefault="00EB16DC" w:rsidP="00687D2A">
      <w:pPr>
        <w:ind w:left="720"/>
        <w:jc w:val="both"/>
      </w:pPr>
      <w:r w:rsidRPr="00A9195D">
        <w:t xml:space="preserve">Lancashire County Council maintains accession registers for its Heritage assets. Some of these records are published on the internet for as broad access as possible. Work is ongoing to migrate any paper records that accompany existing collections onto the computerised system.  </w:t>
      </w:r>
    </w:p>
    <w:p w:rsidR="00687D2A" w:rsidRPr="00A9195D" w:rsidRDefault="00687D2A" w:rsidP="00687D2A">
      <w:pPr>
        <w:ind w:left="720"/>
        <w:jc w:val="both"/>
      </w:pPr>
    </w:p>
    <w:p w:rsidR="00687D2A" w:rsidRPr="00A9195D" w:rsidRDefault="00EB16DC" w:rsidP="00687D2A">
      <w:pPr>
        <w:ind w:left="720"/>
        <w:jc w:val="both"/>
      </w:pPr>
      <w:r w:rsidRPr="00A9195D">
        <w:t xml:space="preserve">Access to collections (assets) and their records can be affected in a number of ways from virtual access to physical examination – either on display in temporary or </w:t>
      </w:r>
      <w:r w:rsidR="00CA6579" w:rsidRPr="00A9195D">
        <w:t>longer</w:t>
      </w:r>
      <w:r w:rsidRPr="00A9195D">
        <w:t xml:space="preserve"> term displays and exhibitions or on request from those held in store.  For the latter a mutually convenient appointment is needed to view the item(s) concerned.</w:t>
      </w:r>
    </w:p>
    <w:p w:rsidR="00687D2A" w:rsidRDefault="00687D2A" w:rsidP="00687D2A">
      <w:pPr>
        <w:ind w:left="720"/>
        <w:jc w:val="both"/>
        <w:rPr>
          <w:color w:val="1F497D"/>
        </w:rPr>
      </w:pPr>
    </w:p>
    <w:p w:rsidR="00687D2A" w:rsidRPr="00A9195D" w:rsidRDefault="00EB16DC" w:rsidP="00687D2A">
      <w:pPr>
        <w:ind w:left="720"/>
        <w:jc w:val="both"/>
      </w:pPr>
      <w:r w:rsidRPr="00A9195D">
        <w:lastRenderedPageBreak/>
        <w:t>No collection is static and LCMS is currently reviewing certain areas of the collections to identify any areas that are not appropriate to the formal Acquisition and Disposals Policy or are not in a fit state for long term preservation.  If any items are thought to be appropriate for rationalisation the Museums Association code of practice for the review of collections is followed.  This is a lengthy process that allows for efforts to find an alternative home/location of an item before any consideration of final disposal is made.</w:t>
      </w:r>
    </w:p>
    <w:p w:rsidR="00EB16DC" w:rsidRPr="00D61833" w:rsidRDefault="00EB16DC" w:rsidP="00D61833">
      <w:pPr>
        <w:ind w:left="720"/>
      </w:pPr>
    </w:p>
    <w:p w:rsidR="00D61833" w:rsidRDefault="00D61833" w:rsidP="00D61833">
      <w:pPr>
        <w:ind w:left="720"/>
        <w:rPr>
          <w:b/>
        </w:rPr>
      </w:pPr>
    </w:p>
    <w:p w:rsidR="00EE236C" w:rsidRDefault="00EE236C" w:rsidP="00D61833">
      <w:pPr>
        <w:ind w:left="720"/>
        <w:rPr>
          <w:b/>
        </w:rPr>
      </w:pPr>
    </w:p>
    <w:p w:rsidR="00FC776B" w:rsidRDefault="00FC776B" w:rsidP="00FC776B">
      <w:pPr>
        <w:rPr>
          <w:b/>
        </w:rPr>
        <w:sectPr w:rsidR="00FC776B" w:rsidSect="003018D5">
          <w:pgSz w:w="11906" w:h="16838" w:code="9"/>
          <w:pgMar w:top="720" w:right="720" w:bottom="720" w:left="720" w:header="709" w:footer="709" w:gutter="0"/>
          <w:cols w:space="708"/>
          <w:docGrid w:linePitch="360"/>
        </w:sectPr>
      </w:pPr>
    </w:p>
    <w:p w:rsidR="00FB6608" w:rsidRDefault="00FB6608" w:rsidP="00FC776B">
      <w:pPr>
        <w:rPr>
          <w:b/>
        </w:rPr>
      </w:pPr>
    </w:p>
    <w:p w:rsidR="00FB6608" w:rsidRDefault="00FB6608" w:rsidP="00D61833">
      <w:pPr>
        <w:ind w:left="720"/>
        <w:rPr>
          <w:b/>
        </w:rPr>
      </w:pPr>
    </w:p>
    <w:p w:rsidR="00FB6608" w:rsidRDefault="00FB6608" w:rsidP="00D61833">
      <w:pPr>
        <w:ind w:left="720"/>
        <w:rPr>
          <w:b/>
        </w:rPr>
      </w:pPr>
    </w:p>
    <w:p w:rsidR="00F076D1" w:rsidRPr="00286808" w:rsidRDefault="00F076D1" w:rsidP="00F076D1">
      <w:pPr>
        <w:rPr>
          <w:b/>
          <w:i/>
        </w:rPr>
      </w:pPr>
    </w:p>
    <w:p w:rsidR="00F076D1" w:rsidRPr="00286808" w:rsidRDefault="00F076D1" w:rsidP="00BD07E4">
      <w:pPr>
        <w:numPr>
          <w:ilvl w:val="0"/>
          <w:numId w:val="21"/>
        </w:numPr>
        <w:rPr>
          <w:b/>
          <w:i/>
        </w:rPr>
      </w:pPr>
      <w:r w:rsidRPr="00286808">
        <w:rPr>
          <w:b/>
        </w:rPr>
        <w:t>Property, Plant and Equipment</w:t>
      </w:r>
    </w:p>
    <w:p w:rsidR="00294AB0" w:rsidRPr="00286808" w:rsidRDefault="00294AB0" w:rsidP="00F076D1">
      <w:pPr>
        <w:rPr>
          <w:b/>
          <w:i/>
        </w:rPr>
      </w:pPr>
    </w:p>
    <w:p w:rsidR="00294AB0" w:rsidRPr="00286808" w:rsidRDefault="00294AB0" w:rsidP="0099248F">
      <w:pPr>
        <w:ind w:left="720"/>
        <w:jc w:val="both"/>
      </w:pPr>
      <w:r w:rsidRPr="00286808">
        <w:t>The fixed assets figure includes properties valued at some £</w:t>
      </w:r>
      <w:r w:rsidR="00D537D9" w:rsidRPr="00286808">
        <w:t>493</w:t>
      </w:r>
      <w:r w:rsidRPr="00286808">
        <w:t xml:space="preserve"> million which are not owned by the </w:t>
      </w:r>
      <w:r w:rsidR="001F1A1A">
        <w:t>County Council</w:t>
      </w:r>
      <w:r w:rsidRPr="00286808">
        <w:t xml:space="preserve">.  These are principally voluntary aided schools which form approximately 50% of schools in Lancashire.  These schools and the use of the buildings are essential for the </w:t>
      </w:r>
      <w:r w:rsidR="001F1A1A">
        <w:t>County Council</w:t>
      </w:r>
      <w:r w:rsidRPr="00286808">
        <w:t xml:space="preserve"> to fulfil its statutory duties for the provision of education.  It is therefore considered appropriate to include these assets within the </w:t>
      </w:r>
      <w:r w:rsidR="001F1A1A">
        <w:t>County Council</w:t>
      </w:r>
      <w:r w:rsidRPr="00286808">
        <w:t>’s Balance Sheet to fairly reflect the value of the assets used in providing the service.</w:t>
      </w:r>
    </w:p>
    <w:p w:rsidR="00294AB0" w:rsidRPr="00286808" w:rsidRDefault="00294AB0" w:rsidP="00294AB0">
      <w:pPr>
        <w:ind w:left="720"/>
        <w:jc w:val="both"/>
      </w:pPr>
    </w:p>
    <w:p w:rsidR="00294AB0" w:rsidRPr="00286808" w:rsidRDefault="00294AB0" w:rsidP="0099248F">
      <w:pPr>
        <w:spacing w:after="240"/>
        <w:ind w:left="720"/>
        <w:jc w:val="both"/>
      </w:pPr>
      <w:r w:rsidRPr="00286808">
        <w:t>With the recent economic downturn consideration was made with respect to the value of the fixed assets. After taking into account various factors it was decided that the fixed assets figure in the balance sheet represents the value of the assets held.</w:t>
      </w:r>
    </w:p>
    <w:p w:rsidR="00294AB0" w:rsidRPr="00AC1CDE" w:rsidRDefault="00936076" w:rsidP="00294AB0">
      <w:pPr>
        <w:spacing w:after="240"/>
        <w:ind w:left="720"/>
        <w:jc w:val="both"/>
        <w:rPr>
          <w:b/>
          <w:u w:val="single"/>
        </w:rPr>
      </w:pPr>
      <w:r w:rsidRPr="00AC1CDE">
        <w:rPr>
          <w:b/>
          <w:u w:val="single"/>
        </w:rPr>
        <w:t>2011</w:t>
      </w:r>
      <w:r w:rsidR="00294AB0" w:rsidRPr="00AC1CDE">
        <w:rPr>
          <w:b/>
          <w:u w:val="single"/>
        </w:rPr>
        <w:t>/1</w:t>
      </w:r>
      <w:r w:rsidRPr="00AC1CDE">
        <w:rPr>
          <w:b/>
          <w:u w:val="single"/>
        </w:rPr>
        <w:t>2</w:t>
      </w:r>
    </w:p>
    <w:tbl>
      <w:tblPr>
        <w:tblpPr w:leftFromText="180" w:rightFromText="180" w:vertAnchor="text" w:horzAnchor="page" w:tblpX="1453" w:tblpY="278"/>
        <w:tblW w:w="4699" w:type="pct"/>
        <w:tblLook w:val="04A0"/>
      </w:tblPr>
      <w:tblGrid>
        <w:gridCol w:w="393"/>
        <w:gridCol w:w="4229"/>
        <w:gridCol w:w="1661"/>
        <w:gridCol w:w="2181"/>
        <w:gridCol w:w="1661"/>
        <w:gridCol w:w="1494"/>
        <w:gridCol w:w="1532"/>
        <w:gridCol w:w="1523"/>
      </w:tblGrid>
      <w:tr w:rsidR="00105819" w:rsidRPr="00AC1CDE" w:rsidTr="000A40EC">
        <w:trPr>
          <w:trHeight w:val="1218"/>
        </w:trPr>
        <w:tc>
          <w:tcPr>
            <w:tcW w:w="1575" w:type="pct"/>
            <w:gridSpan w:val="2"/>
            <w:tcBorders>
              <w:top w:val="nil"/>
              <w:left w:val="nil"/>
              <w:bottom w:val="nil"/>
              <w:right w:val="nil"/>
            </w:tcBorders>
            <w:shd w:val="clear" w:color="auto" w:fill="auto"/>
            <w:noWrap/>
            <w:vAlign w:val="bottom"/>
            <w:hideMark/>
          </w:tcPr>
          <w:p w:rsidR="00105819" w:rsidRPr="00AC1CDE" w:rsidRDefault="00105819" w:rsidP="000A40EC">
            <w:pPr>
              <w:rPr>
                <w:sz w:val="20"/>
                <w:szCs w:val="18"/>
              </w:rPr>
            </w:pPr>
          </w:p>
        </w:tc>
        <w:tc>
          <w:tcPr>
            <w:tcW w:w="566" w:type="pct"/>
            <w:tcBorders>
              <w:top w:val="nil"/>
              <w:left w:val="nil"/>
              <w:bottom w:val="nil"/>
              <w:right w:val="nil"/>
            </w:tcBorders>
            <w:shd w:val="clear" w:color="auto" w:fill="auto"/>
            <w:vAlign w:val="center"/>
            <w:hideMark/>
          </w:tcPr>
          <w:p w:rsidR="00105819" w:rsidRPr="00AC1CDE" w:rsidRDefault="00105819" w:rsidP="000A40EC">
            <w:pPr>
              <w:jc w:val="right"/>
              <w:rPr>
                <w:sz w:val="20"/>
                <w:szCs w:val="18"/>
              </w:rPr>
            </w:pPr>
            <w:r w:rsidRPr="00AC1CDE">
              <w:rPr>
                <w:sz w:val="20"/>
                <w:szCs w:val="18"/>
              </w:rPr>
              <w:t>Other Land and Buildings</w:t>
            </w:r>
          </w:p>
        </w:tc>
        <w:tc>
          <w:tcPr>
            <w:tcW w:w="743" w:type="pct"/>
            <w:tcBorders>
              <w:top w:val="nil"/>
              <w:left w:val="nil"/>
              <w:bottom w:val="nil"/>
              <w:right w:val="nil"/>
            </w:tcBorders>
            <w:shd w:val="clear" w:color="auto" w:fill="auto"/>
            <w:vAlign w:val="center"/>
            <w:hideMark/>
          </w:tcPr>
          <w:p w:rsidR="00105819" w:rsidRPr="00AC1CDE" w:rsidRDefault="00105819" w:rsidP="000A40EC">
            <w:pPr>
              <w:jc w:val="right"/>
              <w:rPr>
                <w:sz w:val="20"/>
                <w:szCs w:val="18"/>
              </w:rPr>
            </w:pPr>
            <w:r w:rsidRPr="00AC1CDE">
              <w:rPr>
                <w:sz w:val="20"/>
                <w:szCs w:val="18"/>
              </w:rPr>
              <w:t>Vehicles, Plant, Furniture &amp; Equipment</w:t>
            </w:r>
          </w:p>
        </w:tc>
        <w:tc>
          <w:tcPr>
            <w:tcW w:w="566" w:type="pct"/>
            <w:tcBorders>
              <w:top w:val="nil"/>
              <w:left w:val="nil"/>
              <w:bottom w:val="nil"/>
              <w:right w:val="nil"/>
            </w:tcBorders>
            <w:shd w:val="clear" w:color="auto" w:fill="auto"/>
            <w:vAlign w:val="center"/>
            <w:hideMark/>
          </w:tcPr>
          <w:p w:rsidR="00105819" w:rsidRPr="00AC1CDE" w:rsidRDefault="00105819" w:rsidP="000A40EC">
            <w:pPr>
              <w:jc w:val="right"/>
              <w:rPr>
                <w:sz w:val="20"/>
                <w:szCs w:val="18"/>
              </w:rPr>
            </w:pPr>
            <w:r w:rsidRPr="00AC1CDE">
              <w:rPr>
                <w:sz w:val="20"/>
                <w:szCs w:val="18"/>
              </w:rPr>
              <w:t>Infrastructure Assets</w:t>
            </w:r>
          </w:p>
        </w:tc>
        <w:tc>
          <w:tcPr>
            <w:tcW w:w="509" w:type="pct"/>
            <w:tcBorders>
              <w:top w:val="nil"/>
              <w:left w:val="nil"/>
              <w:bottom w:val="nil"/>
              <w:right w:val="nil"/>
            </w:tcBorders>
            <w:shd w:val="clear" w:color="auto" w:fill="auto"/>
            <w:vAlign w:val="center"/>
            <w:hideMark/>
          </w:tcPr>
          <w:p w:rsidR="00105819" w:rsidRPr="00AC1CDE" w:rsidRDefault="00105819" w:rsidP="000A40EC">
            <w:pPr>
              <w:jc w:val="right"/>
              <w:rPr>
                <w:sz w:val="20"/>
                <w:szCs w:val="18"/>
              </w:rPr>
            </w:pPr>
            <w:r w:rsidRPr="00AC1CDE">
              <w:rPr>
                <w:sz w:val="20"/>
                <w:szCs w:val="18"/>
              </w:rPr>
              <w:t>Community Assets</w:t>
            </w:r>
          </w:p>
        </w:tc>
        <w:tc>
          <w:tcPr>
            <w:tcW w:w="522" w:type="pct"/>
            <w:tcBorders>
              <w:top w:val="nil"/>
              <w:left w:val="nil"/>
              <w:bottom w:val="nil"/>
              <w:right w:val="nil"/>
            </w:tcBorders>
            <w:shd w:val="clear" w:color="auto" w:fill="auto"/>
            <w:vAlign w:val="center"/>
            <w:hideMark/>
          </w:tcPr>
          <w:p w:rsidR="00105819" w:rsidRPr="00AC1CDE" w:rsidRDefault="00105819" w:rsidP="000A40EC">
            <w:pPr>
              <w:jc w:val="right"/>
              <w:rPr>
                <w:sz w:val="20"/>
                <w:szCs w:val="18"/>
              </w:rPr>
            </w:pPr>
            <w:r w:rsidRPr="00AC1CDE">
              <w:rPr>
                <w:sz w:val="20"/>
                <w:szCs w:val="18"/>
              </w:rPr>
              <w:t>Assets Under Construction</w:t>
            </w:r>
          </w:p>
        </w:tc>
        <w:tc>
          <w:tcPr>
            <w:tcW w:w="519" w:type="pct"/>
            <w:tcBorders>
              <w:top w:val="nil"/>
              <w:left w:val="nil"/>
              <w:bottom w:val="nil"/>
              <w:right w:val="nil"/>
            </w:tcBorders>
            <w:shd w:val="clear" w:color="auto" w:fill="auto"/>
            <w:vAlign w:val="center"/>
            <w:hideMark/>
          </w:tcPr>
          <w:p w:rsidR="00105819" w:rsidRPr="00AC1CDE" w:rsidRDefault="00105819" w:rsidP="000A40EC">
            <w:pPr>
              <w:jc w:val="right"/>
              <w:rPr>
                <w:b/>
                <w:bCs/>
                <w:sz w:val="20"/>
                <w:szCs w:val="18"/>
              </w:rPr>
            </w:pPr>
            <w:r w:rsidRPr="00AC1CDE">
              <w:rPr>
                <w:b/>
                <w:bCs/>
                <w:sz w:val="20"/>
                <w:szCs w:val="18"/>
              </w:rPr>
              <w:t>Total Property, Plant &amp; Equipment</w:t>
            </w:r>
          </w:p>
        </w:tc>
      </w:tr>
      <w:tr w:rsidR="00105819" w:rsidRPr="00AC1CDE" w:rsidTr="000A40EC">
        <w:trPr>
          <w:trHeight w:val="304"/>
        </w:trPr>
        <w:tc>
          <w:tcPr>
            <w:tcW w:w="1575" w:type="pct"/>
            <w:gridSpan w:val="2"/>
            <w:tcBorders>
              <w:top w:val="nil"/>
              <w:left w:val="nil"/>
              <w:bottom w:val="nil"/>
              <w:right w:val="nil"/>
            </w:tcBorders>
            <w:shd w:val="clear" w:color="auto" w:fill="auto"/>
            <w:noWrap/>
            <w:vAlign w:val="bottom"/>
            <w:hideMark/>
          </w:tcPr>
          <w:p w:rsidR="00105819" w:rsidRPr="00AC1CDE" w:rsidRDefault="00105819" w:rsidP="000A40EC">
            <w:pPr>
              <w:rPr>
                <w:sz w:val="20"/>
                <w:szCs w:val="18"/>
              </w:rPr>
            </w:pPr>
          </w:p>
        </w:tc>
        <w:tc>
          <w:tcPr>
            <w:tcW w:w="566" w:type="pct"/>
            <w:tcBorders>
              <w:top w:val="nil"/>
              <w:left w:val="nil"/>
              <w:bottom w:val="nil"/>
              <w:right w:val="nil"/>
            </w:tcBorders>
            <w:shd w:val="clear" w:color="auto" w:fill="auto"/>
            <w:noWrap/>
            <w:vAlign w:val="bottom"/>
            <w:hideMark/>
          </w:tcPr>
          <w:p w:rsidR="00105819" w:rsidRPr="00AC1CDE" w:rsidRDefault="00105819" w:rsidP="000A40EC">
            <w:pPr>
              <w:jc w:val="right"/>
              <w:rPr>
                <w:sz w:val="20"/>
                <w:szCs w:val="18"/>
              </w:rPr>
            </w:pPr>
            <w:r w:rsidRPr="00AC1CDE">
              <w:rPr>
                <w:sz w:val="20"/>
                <w:szCs w:val="18"/>
              </w:rPr>
              <w:t>£000</w:t>
            </w:r>
          </w:p>
        </w:tc>
        <w:tc>
          <w:tcPr>
            <w:tcW w:w="743" w:type="pct"/>
            <w:tcBorders>
              <w:top w:val="nil"/>
              <w:left w:val="nil"/>
              <w:bottom w:val="nil"/>
              <w:right w:val="nil"/>
            </w:tcBorders>
            <w:shd w:val="clear" w:color="auto" w:fill="auto"/>
            <w:noWrap/>
            <w:vAlign w:val="bottom"/>
            <w:hideMark/>
          </w:tcPr>
          <w:p w:rsidR="00105819" w:rsidRPr="00AC1CDE" w:rsidRDefault="00105819" w:rsidP="000A40EC">
            <w:pPr>
              <w:jc w:val="right"/>
              <w:rPr>
                <w:sz w:val="20"/>
                <w:szCs w:val="18"/>
              </w:rPr>
            </w:pPr>
            <w:r w:rsidRPr="00AC1CDE">
              <w:rPr>
                <w:sz w:val="20"/>
                <w:szCs w:val="18"/>
              </w:rPr>
              <w:t>£000</w:t>
            </w:r>
          </w:p>
        </w:tc>
        <w:tc>
          <w:tcPr>
            <w:tcW w:w="566" w:type="pct"/>
            <w:tcBorders>
              <w:top w:val="nil"/>
              <w:left w:val="nil"/>
              <w:bottom w:val="nil"/>
              <w:right w:val="nil"/>
            </w:tcBorders>
            <w:shd w:val="clear" w:color="auto" w:fill="auto"/>
            <w:noWrap/>
            <w:vAlign w:val="bottom"/>
            <w:hideMark/>
          </w:tcPr>
          <w:p w:rsidR="00105819" w:rsidRPr="00AC1CDE" w:rsidRDefault="00105819" w:rsidP="000A40EC">
            <w:pPr>
              <w:jc w:val="right"/>
              <w:rPr>
                <w:sz w:val="20"/>
                <w:szCs w:val="18"/>
              </w:rPr>
            </w:pPr>
            <w:r w:rsidRPr="00AC1CDE">
              <w:rPr>
                <w:sz w:val="20"/>
                <w:szCs w:val="18"/>
              </w:rPr>
              <w:t>£000</w:t>
            </w:r>
          </w:p>
        </w:tc>
        <w:tc>
          <w:tcPr>
            <w:tcW w:w="509" w:type="pct"/>
            <w:tcBorders>
              <w:top w:val="nil"/>
              <w:left w:val="nil"/>
              <w:bottom w:val="nil"/>
              <w:right w:val="nil"/>
            </w:tcBorders>
            <w:shd w:val="clear" w:color="auto" w:fill="auto"/>
            <w:noWrap/>
            <w:vAlign w:val="bottom"/>
            <w:hideMark/>
          </w:tcPr>
          <w:p w:rsidR="00105819" w:rsidRPr="00AC1CDE" w:rsidRDefault="00105819" w:rsidP="000A40EC">
            <w:pPr>
              <w:jc w:val="right"/>
              <w:rPr>
                <w:sz w:val="20"/>
                <w:szCs w:val="18"/>
              </w:rPr>
            </w:pPr>
            <w:r w:rsidRPr="00AC1CDE">
              <w:rPr>
                <w:sz w:val="20"/>
                <w:szCs w:val="18"/>
              </w:rPr>
              <w:t>£000</w:t>
            </w:r>
          </w:p>
        </w:tc>
        <w:tc>
          <w:tcPr>
            <w:tcW w:w="522" w:type="pct"/>
            <w:tcBorders>
              <w:top w:val="nil"/>
              <w:left w:val="nil"/>
              <w:bottom w:val="nil"/>
              <w:right w:val="nil"/>
            </w:tcBorders>
            <w:shd w:val="clear" w:color="auto" w:fill="auto"/>
            <w:noWrap/>
            <w:vAlign w:val="bottom"/>
            <w:hideMark/>
          </w:tcPr>
          <w:p w:rsidR="00105819" w:rsidRPr="00AC1CDE" w:rsidRDefault="00105819" w:rsidP="000A40EC">
            <w:pPr>
              <w:jc w:val="right"/>
              <w:rPr>
                <w:sz w:val="20"/>
                <w:szCs w:val="18"/>
              </w:rPr>
            </w:pPr>
            <w:r w:rsidRPr="00AC1CDE">
              <w:rPr>
                <w:sz w:val="20"/>
                <w:szCs w:val="18"/>
              </w:rPr>
              <w:t>£000</w:t>
            </w:r>
          </w:p>
        </w:tc>
        <w:tc>
          <w:tcPr>
            <w:tcW w:w="519" w:type="pct"/>
            <w:tcBorders>
              <w:top w:val="nil"/>
              <w:left w:val="nil"/>
              <w:bottom w:val="nil"/>
              <w:right w:val="nil"/>
            </w:tcBorders>
            <w:shd w:val="clear" w:color="auto" w:fill="auto"/>
            <w:noWrap/>
            <w:vAlign w:val="bottom"/>
            <w:hideMark/>
          </w:tcPr>
          <w:p w:rsidR="00105819" w:rsidRPr="00AC1CDE" w:rsidRDefault="00105819" w:rsidP="000A40EC">
            <w:pPr>
              <w:jc w:val="right"/>
              <w:rPr>
                <w:b/>
                <w:bCs/>
                <w:sz w:val="20"/>
                <w:szCs w:val="18"/>
              </w:rPr>
            </w:pPr>
            <w:r w:rsidRPr="00AC1CDE">
              <w:rPr>
                <w:b/>
                <w:bCs/>
                <w:sz w:val="20"/>
                <w:szCs w:val="18"/>
              </w:rPr>
              <w:t>£000</w:t>
            </w:r>
          </w:p>
        </w:tc>
      </w:tr>
      <w:tr w:rsidR="00105819" w:rsidRPr="00AC1CDE" w:rsidTr="000A40EC">
        <w:trPr>
          <w:trHeight w:val="323"/>
        </w:trPr>
        <w:tc>
          <w:tcPr>
            <w:tcW w:w="1575" w:type="pct"/>
            <w:gridSpan w:val="2"/>
            <w:tcBorders>
              <w:top w:val="nil"/>
              <w:left w:val="nil"/>
              <w:bottom w:val="nil"/>
              <w:right w:val="nil"/>
            </w:tcBorders>
            <w:shd w:val="clear" w:color="auto" w:fill="auto"/>
            <w:noWrap/>
            <w:vAlign w:val="bottom"/>
            <w:hideMark/>
          </w:tcPr>
          <w:p w:rsidR="00105819" w:rsidRPr="00AC1CDE" w:rsidRDefault="00105819" w:rsidP="000A40EC">
            <w:pPr>
              <w:rPr>
                <w:b/>
                <w:bCs/>
                <w:sz w:val="22"/>
                <w:szCs w:val="20"/>
              </w:rPr>
            </w:pPr>
            <w:r w:rsidRPr="00AC1CDE">
              <w:rPr>
                <w:b/>
                <w:bCs/>
                <w:sz w:val="22"/>
                <w:szCs w:val="20"/>
              </w:rPr>
              <w:t xml:space="preserve">Cost or valuation </w:t>
            </w:r>
          </w:p>
        </w:tc>
        <w:tc>
          <w:tcPr>
            <w:tcW w:w="566" w:type="pct"/>
            <w:tcBorders>
              <w:top w:val="single" w:sz="4" w:space="0" w:color="auto"/>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 </w:t>
            </w:r>
          </w:p>
        </w:tc>
        <w:tc>
          <w:tcPr>
            <w:tcW w:w="743" w:type="pct"/>
            <w:tcBorders>
              <w:top w:val="single" w:sz="4" w:space="0" w:color="auto"/>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 </w:t>
            </w:r>
          </w:p>
        </w:tc>
        <w:tc>
          <w:tcPr>
            <w:tcW w:w="566" w:type="pct"/>
            <w:tcBorders>
              <w:top w:val="single" w:sz="4" w:space="0" w:color="auto"/>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 </w:t>
            </w:r>
          </w:p>
        </w:tc>
        <w:tc>
          <w:tcPr>
            <w:tcW w:w="509" w:type="pct"/>
            <w:tcBorders>
              <w:top w:val="single" w:sz="4" w:space="0" w:color="auto"/>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 </w:t>
            </w:r>
          </w:p>
        </w:tc>
        <w:tc>
          <w:tcPr>
            <w:tcW w:w="522" w:type="pct"/>
            <w:tcBorders>
              <w:top w:val="single" w:sz="4" w:space="0" w:color="auto"/>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 </w:t>
            </w:r>
          </w:p>
        </w:tc>
        <w:tc>
          <w:tcPr>
            <w:tcW w:w="519" w:type="pct"/>
            <w:tcBorders>
              <w:top w:val="single" w:sz="4" w:space="0" w:color="auto"/>
              <w:left w:val="nil"/>
              <w:bottom w:val="nil"/>
              <w:right w:val="nil"/>
            </w:tcBorders>
            <w:shd w:val="clear" w:color="auto" w:fill="auto"/>
            <w:noWrap/>
            <w:vAlign w:val="center"/>
            <w:hideMark/>
          </w:tcPr>
          <w:p w:rsidR="00105819" w:rsidRPr="00AC1CDE" w:rsidRDefault="00105819" w:rsidP="000A40EC">
            <w:pPr>
              <w:jc w:val="right"/>
              <w:rPr>
                <w:b/>
                <w:bCs/>
                <w:color w:val="0000FF"/>
                <w:sz w:val="20"/>
                <w:szCs w:val="18"/>
              </w:rPr>
            </w:pPr>
            <w:r w:rsidRPr="00AC1CDE">
              <w:rPr>
                <w:b/>
                <w:bCs/>
                <w:color w:val="0000FF"/>
                <w:sz w:val="20"/>
                <w:szCs w:val="18"/>
              </w:rPr>
              <w:t> </w:t>
            </w:r>
          </w:p>
        </w:tc>
      </w:tr>
      <w:tr w:rsidR="00105819" w:rsidRPr="00AC1CDE" w:rsidTr="000A40EC">
        <w:trPr>
          <w:trHeight w:val="304"/>
        </w:trPr>
        <w:tc>
          <w:tcPr>
            <w:tcW w:w="1575" w:type="pct"/>
            <w:gridSpan w:val="2"/>
            <w:tcBorders>
              <w:top w:val="nil"/>
              <w:left w:val="nil"/>
              <w:bottom w:val="nil"/>
              <w:right w:val="nil"/>
            </w:tcBorders>
            <w:shd w:val="clear" w:color="auto" w:fill="auto"/>
            <w:noWrap/>
            <w:vAlign w:val="bottom"/>
            <w:hideMark/>
          </w:tcPr>
          <w:p w:rsidR="00105819" w:rsidRPr="00AC1CDE" w:rsidRDefault="00105819" w:rsidP="000A40EC">
            <w:pPr>
              <w:rPr>
                <w:b/>
                <w:bCs/>
                <w:sz w:val="20"/>
                <w:szCs w:val="18"/>
              </w:rPr>
            </w:pPr>
            <w:r w:rsidRPr="00AC1CDE">
              <w:rPr>
                <w:b/>
                <w:bCs/>
                <w:sz w:val="20"/>
                <w:szCs w:val="18"/>
              </w:rPr>
              <w:t>At 1 April 2011</w:t>
            </w:r>
          </w:p>
        </w:tc>
        <w:tc>
          <w:tcPr>
            <w:tcW w:w="566"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1,953,690</w:t>
            </w:r>
          </w:p>
        </w:tc>
        <w:tc>
          <w:tcPr>
            <w:tcW w:w="743"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60,272</w:t>
            </w:r>
          </w:p>
        </w:tc>
        <w:tc>
          <w:tcPr>
            <w:tcW w:w="566"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519,052</w:t>
            </w:r>
          </w:p>
        </w:tc>
        <w:tc>
          <w:tcPr>
            <w:tcW w:w="509" w:type="pct"/>
            <w:tcBorders>
              <w:top w:val="nil"/>
              <w:left w:val="nil"/>
              <w:bottom w:val="nil"/>
              <w:right w:val="nil"/>
            </w:tcBorders>
            <w:shd w:val="clear" w:color="auto" w:fill="auto"/>
            <w:noWrap/>
            <w:vAlign w:val="center"/>
            <w:hideMark/>
          </w:tcPr>
          <w:p w:rsidR="00105819" w:rsidRPr="00AC1CDE" w:rsidRDefault="00630877" w:rsidP="000A40EC">
            <w:pPr>
              <w:jc w:val="right"/>
              <w:rPr>
                <w:sz w:val="20"/>
                <w:szCs w:val="18"/>
              </w:rPr>
            </w:pPr>
            <w:r>
              <w:rPr>
                <w:sz w:val="20"/>
                <w:szCs w:val="18"/>
              </w:rPr>
              <w:t>-</w:t>
            </w:r>
          </w:p>
        </w:tc>
        <w:tc>
          <w:tcPr>
            <w:tcW w:w="522"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14,519</w:t>
            </w:r>
          </w:p>
        </w:tc>
        <w:tc>
          <w:tcPr>
            <w:tcW w:w="519" w:type="pct"/>
            <w:tcBorders>
              <w:top w:val="nil"/>
              <w:left w:val="nil"/>
              <w:bottom w:val="nil"/>
              <w:right w:val="nil"/>
            </w:tcBorders>
            <w:shd w:val="clear" w:color="auto" w:fill="auto"/>
            <w:noWrap/>
            <w:vAlign w:val="center"/>
            <w:hideMark/>
          </w:tcPr>
          <w:p w:rsidR="00105819" w:rsidRPr="00AC1CDE" w:rsidRDefault="00105819" w:rsidP="000A40EC">
            <w:pPr>
              <w:jc w:val="right"/>
              <w:rPr>
                <w:b/>
                <w:bCs/>
                <w:sz w:val="20"/>
                <w:szCs w:val="18"/>
              </w:rPr>
            </w:pPr>
            <w:r w:rsidRPr="00AC1CDE">
              <w:rPr>
                <w:b/>
                <w:bCs/>
                <w:sz w:val="20"/>
                <w:szCs w:val="18"/>
              </w:rPr>
              <w:t>2,547,533</w:t>
            </w:r>
          </w:p>
        </w:tc>
      </w:tr>
      <w:tr w:rsidR="00105819" w:rsidRPr="00AC1CDE" w:rsidTr="000A40EC">
        <w:trPr>
          <w:gridBefore w:val="1"/>
          <w:wBefore w:w="134" w:type="pct"/>
          <w:trHeight w:val="304"/>
        </w:trPr>
        <w:tc>
          <w:tcPr>
            <w:tcW w:w="1441" w:type="pct"/>
            <w:tcBorders>
              <w:top w:val="nil"/>
              <w:left w:val="nil"/>
              <w:bottom w:val="nil"/>
              <w:right w:val="nil"/>
            </w:tcBorders>
            <w:shd w:val="clear" w:color="auto" w:fill="auto"/>
            <w:noWrap/>
            <w:vAlign w:val="bottom"/>
            <w:hideMark/>
          </w:tcPr>
          <w:p w:rsidR="00105819" w:rsidRPr="00AC1CDE" w:rsidRDefault="00105819" w:rsidP="000A40EC">
            <w:pPr>
              <w:rPr>
                <w:sz w:val="20"/>
                <w:szCs w:val="18"/>
              </w:rPr>
            </w:pPr>
            <w:r w:rsidRPr="00AC1CDE">
              <w:rPr>
                <w:sz w:val="20"/>
                <w:szCs w:val="18"/>
              </w:rPr>
              <w:t>Additions</w:t>
            </w:r>
          </w:p>
        </w:tc>
        <w:tc>
          <w:tcPr>
            <w:tcW w:w="566"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318,985</w:t>
            </w:r>
          </w:p>
        </w:tc>
        <w:tc>
          <w:tcPr>
            <w:tcW w:w="743"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5,612</w:t>
            </w:r>
          </w:p>
        </w:tc>
        <w:tc>
          <w:tcPr>
            <w:tcW w:w="566"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53,326</w:t>
            </w:r>
          </w:p>
        </w:tc>
        <w:tc>
          <w:tcPr>
            <w:tcW w:w="509"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w:t>
            </w:r>
          </w:p>
        </w:tc>
        <w:tc>
          <w:tcPr>
            <w:tcW w:w="522"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12,765</w:t>
            </w:r>
          </w:p>
        </w:tc>
        <w:tc>
          <w:tcPr>
            <w:tcW w:w="519" w:type="pct"/>
            <w:tcBorders>
              <w:top w:val="nil"/>
              <w:left w:val="nil"/>
              <w:bottom w:val="nil"/>
              <w:right w:val="nil"/>
            </w:tcBorders>
            <w:shd w:val="clear" w:color="auto" w:fill="auto"/>
            <w:noWrap/>
            <w:vAlign w:val="center"/>
            <w:hideMark/>
          </w:tcPr>
          <w:p w:rsidR="00105819" w:rsidRPr="00AC1CDE" w:rsidRDefault="00105819" w:rsidP="000A40EC">
            <w:pPr>
              <w:jc w:val="right"/>
              <w:rPr>
                <w:b/>
                <w:bCs/>
                <w:sz w:val="20"/>
                <w:szCs w:val="18"/>
              </w:rPr>
            </w:pPr>
            <w:r w:rsidRPr="00AC1CDE">
              <w:rPr>
                <w:b/>
                <w:bCs/>
                <w:sz w:val="20"/>
                <w:szCs w:val="18"/>
              </w:rPr>
              <w:t>390,688</w:t>
            </w:r>
          </w:p>
        </w:tc>
      </w:tr>
      <w:tr w:rsidR="00105819" w:rsidRPr="00AC1CDE" w:rsidTr="000A40EC">
        <w:trPr>
          <w:gridBefore w:val="1"/>
          <w:wBefore w:w="134" w:type="pct"/>
          <w:trHeight w:val="304"/>
        </w:trPr>
        <w:tc>
          <w:tcPr>
            <w:tcW w:w="1441" w:type="pct"/>
            <w:tcBorders>
              <w:top w:val="nil"/>
              <w:left w:val="nil"/>
              <w:bottom w:val="nil"/>
              <w:right w:val="nil"/>
            </w:tcBorders>
            <w:shd w:val="clear" w:color="auto" w:fill="auto"/>
            <w:noWrap/>
            <w:vAlign w:val="bottom"/>
            <w:hideMark/>
          </w:tcPr>
          <w:p w:rsidR="00105819" w:rsidRPr="00AC1CDE" w:rsidRDefault="00105819" w:rsidP="000A40EC">
            <w:pPr>
              <w:rPr>
                <w:sz w:val="20"/>
                <w:szCs w:val="18"/>
              </w:rPr>
            </w:pPr>
            <w:r w:rsidRPr="00AC1CDE">
              <w:rPr>
                <w:sz w:val="20"/>
                <w:szCs w:val="18"/>
              </w:rPr>
              <w:t>Donations</w:t>
            </w:r>
          </w:p>
        </w:tc>
        <w:tc>
          <w:tcPr>
            <w:tcW w:w="566"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w:t>
            </w:r>
          </w:p>
        </w:tc>
        <w:tc>
          <w:tcPr>
            <w:tcW w:w="743"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w:t>
            </w:r>
          </w:p>
        </w:tc>
        <w:tc>
          <w:tcPr>
            <w:tcW w:w="566"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w:t>
            </w:r>
          </w:p>
        </w:tc>
        <w:tc>
          <w:tcPr>
            <w:tcW w:w="509"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w:t>
            </w:r>
          </w:p>
        </w:tc>
        <w:tc>
          <w:tcPr>
            <w:tcW w:w="522"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w:t>
            </w:r>
          </w:p>
        </w:tc>
        <w:tc>
          <w:tcPr>
            <w:tcW w:w="519" w:type="pct"/>
            <w:tcBorders>
              <w:top w:val="nil"/>
              <w:left w:val="nil"/>
              <w:bottom w:val="nil"/>
              <w:right w:val="nil"/>
            </w:tcBorders>
            <w:shd w:val="clear" w:color="auto" w:fill="auto"/>
            <w:noWrap/>
            <w:vAlign w:val="center"/>
            <w:hideMark/>
          </w:tcPr>
          <w:p w:rsidR="00105819" w:rsidRPr="00AC1CDE" w:rsidRDefault="00105819" w:rsidP="000A40EC">
            <w:pPr>
              <w:jc w:val="right"/>
              <w:rPr>
                <w:b/>
                <w:bCs/>
                <w:sz w:val="20"/>
                <w:szCs w:val="18"/>
              </w:rPr>
            </w:pPr>
            <w:r w:rsidRPr="00AC1CDE">
              <w:rPr>
                <w:b/>
                <w:bCs/>
                <w:sz w:val="20"/>
                <w:szCs w:val="18"/>
              </w:rPr>
              <w:t>-</w:t>
            </w:r>
          </w:p>
        </w:tc>
      </w:tr>
      <w:tr w:rsidR="00105819" w:rsidRPr="00AC1CDE" w:rsidTr="000A40EC">
        <w:trPr>
          <w:gridBefore w:val="1"/>
          <w:wBefore w:w="134" w:type="pct"/>
          <w:trHeight w:val="361"/>
        </w:trPr>
        <w:tc>
          <w:tcPr>
            <w:tcW w:w="1441" w:type="pct"/>
            <w:tcBorders>
              <w:top w:val="nil"/>
              <w:left w:val="nil"/>
              <w:bottom w:val="nil"/>
              <w:right w:val="nil"/>
            </w:tcBorders>
            <w:shd w:val="clear" w:color="auto" w:fill="auto"/>
            <w:vAlign w:val="bottom"/>
            <w:hideMark/>
          </w:tcPr>
          <w:p w:rsidR="00105819" w:rsidRPr="00AC1CDE" w:rsidRDefault="00105819" w:rsidP="000A40EC">
            <w:pPr>
              <w:rPr>
                <w:sz w:val="20"/>
                <w:szCs w:val="18"/>
              </w:rPr>
            </w:pPr>
            <w:r w:rsidRPr="00AC1CDE">
              <w:rPr>
                <w:sz w:val="20"/>
                <w:szCs w:val="18"/>
              </w:rPr>
              <w:t>De-recognition - Disposals</w:t>
            </w:r>
          </w:p>
        </w:tc>
        <w:tc>
          <w:tcPr>
            <w:tcW w:w="566" w:type="pct"/>
            <w:tcBorders>
              <w:top w:val="nil"/>
              <w:left w:val="nil"/>
              <w:bottom w:val="nil"/>
              <w:right w:val="nil"/>
            </w:tcBorders>
            <w:shd w:val="clear" w:color="auto" w:fill="auto"/>
            <w:noWrap/>
            <w:vAlign w:val="bottom"/>
            <w:hideMark/>
          </w:tcPr>
          <w:p w:rsidR="00105819" w:rsidRDefault="00105819" w:rsidP="000A40EC">
            <w:pPr>
              <w:jc w:val="right"/>
              <w:rPr>
                <w:sz w:val="18"/>
                <w:szCs w:val="18"/>
              </w:rPr>
            </w:pPr>
            <w:r>
              <w:rPr>
                <w:sz w:val="18"/>
                <w:szCs w:val="18"/>
              </w:rPr>
              <w:t>(110,886)</w:t>
            </w:r>
          </w:p>
        </w:tc>
        <w:tc>
          <w:tcPr>
            <w:tcW w:w="743"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w:t>
            </w:r>
          </w:p>
        </w:tc>
        <w:tc>
          <w:tcPr>
            <w:tcW w:w="566"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(8)</w:t>
            </w:r>
          </w:p>
        </w:tc>
        <w:tc>
          <w:tcPr>
            <w:tcW w:w="509"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w:t>
            </w:r>
          </w:p>
        </w:tc>
        <w:tc>
          <w:tcPr>
            <w:tcW w:w="522"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w:t>
            </w:r>
          </w:p>
        </w:tc>
        <w:tc>
          <w:tcPr>
            <w:tcW w:w="519" w:type="pct"/>
            <w:tcBorders>
              <w:top w:val="nil"/>
              <w:left w:val="nil"/>
              <w:bottom w:val="nil"/>
              <w:right w:val="nil"/>
            </w:tcBorders>
            <w:shd w:val="clear" w:color="auto" w:fill="auto"/>
            <w:noWrap/>
            <w:vAlign w:val="bottom"/>
            <w:hideMark/>
          </w:tcPr>
          <w:p w:rsidR="00105819" w:rsidRPr="00FB6608" w:rsidRDefault="00105819" w:rsidP="000A40EC">
            <w:pPr>
              <w:jc w:val="right"/>
              <w:rPr>
                <w:b/>
                <w:bCs/>
                <w:sz w:val="18"/>
                <w:szCs w:val="18"/>
              </w:rPr>
            </w:pPr>
            <w:r>
              <w:rPr>
                <w:b/>
                <w:bCs/>
                <w:sz w:val="18"/>
                <w:szCs w:val="18"/>
              </w:rPr>
              <w:t>(</w:t>
            </w:r>
            <w:r w:rsidRPr="00FB6608">
              <w:rPr>
                <w:b/>
                <w:bCs/>
                <w:sz w:val="18"/>
                <w:szCs w:val="18"/>
              </w:rPr>
              <w:t>110,894</w:t>
            </w:r>
            <w:r>
              <w:rPr>
                <w:b/>
                <w:bCs/>
                <w:sz w:val="18"/>
                <w:szCs w:val="18"/>
              </w:rPr>
              <w:t>)</w:t>
            </w:r>
          </w:p>
        </w:tc>
      </w:tr>
      <w:tr w:rsidR="00105819" w:rsidRPr="00AC1CDE" w:rsidTr="000A40EC">
        <w:trPr>
          <w:gridBefore w:val="1"/>
          <w:wBefore w:w="134" w:type="pct"/>
          <w:trHeight w:val="409"/>
        </w:trPr>
        <w:tc>
          <w:tcPr>
            <w:tcW w:w="1441" w:type="pct"/>
            <w:tcBorders>
              <w:top w:val="nil"/>
              <w:left w:val="nil"/>
              <w:bottom w:val="nil"/>
              <w:right w:val="nil"/>
            </w:tcBorders>
            <w:shd w:val="clear" w:color="auto" w:fill="auto"/>
            <w:vAlign w:val="bottom"/>
            <w:hideMark/>
          </w:tcPr>
          <w:p w:rsidR="00105819" w:rsidRPr="00AC1CDE" w:rsidRDefault="00105819" w:rsidP="000A40EC">
            <w:pPr>
              <w:rPr>
                <w:sz w:val="20"/>
                <w:szCs w:val="18"/>
              </w:rPr>
            </w:pPr>
            <w:r w:rsidRPr="00AC1CDE">
              <w:rPr>
                <w:sz w:val="20"/>
                <w:szCs w:val="18"/>
              </w:rPr>
              <w:t>De-recognition - Others</w:t>
            </w:r>
          </w:p>
        </w:tc>
        <w:tc>
          <w:tcPr>
            <w:tcW w:w="566" w:type="pct"/>
            <w:tcBorders>
              <w:top w:val="nil"/>
              <w:left w:val="nil"/>
              <w:bottom w:val="nil"/>
              <w:right w:val="nil"/>
            </w:tcBorders>
            <w:shd w:val="clear" w:color="auto" w:fill="auto"/>
            <w:noWrap/>
            <w:vAlign w:val="bottom"/>
            <w:hideMark/>
          </w:tcPr>
          <w:p w:rsidR="00105819" w:rsidRDefault="00105819" w:rsidP="000A40EC">
            <w:pPr>
              <w:jc w:val="right"/>
              <w:rPr>
                <w:sz w:val="18"/>
                <w:szCs w:val="18"/>
              </w:rPr>
            </w:pPr>
            <w:r>
              <w:rPr>
                <w:sz w:val="18"/>
                <w:szCs w:val="18"/>
              </w:rPr>
              <w:t>(3,679)</w:t>
            </w:r>
          </w:p>
        </w:tc>
        <w:tc>
          <w:tcPr>
            <w:tcW w:w="743"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w:t>
            </w:r>
          </w:p>
        </w:tc>
        <w:tc>
          <w:tcPr>
            <w:tcW w:w="566"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w:t>
            </w:r>
          </w:p>
        </w:tc>
        <w:tc>
          <w:tcPr>
            <w:tcW w:w="509"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w:t>
            </w:r>
          </w:p>
        </w:tc>
        <w:tc>
          <w:tcPr>
            <w:tcW w:w="522"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(14,519)</w:t>
            </w:r>
          </w:p>
        </w:tc>
        <w:tc>
          <w:tcPr>
            <w:tcW w:w="519" w:type="pct"/>
            <w:tcBorders>
              <w:top w:val="nil"/>
              <w:left w:val="nil"/>
              <w:bottom w:val="nil"/>
              <w:right w:val="nil"/>
            </w:tcBorders>
            <w:shd w:val="clear" w:color="auto" w:fill="auto"/>
            <w:noWrap/>
            <w:vAlign w:val="bottom"/>
            <w:hideMark/>
          </w:tcPr>
          <w:p w:rsidR="00105819" w:rsidRPr="00FB6608" w:rsidRDefault="00105819" w:rsidP="000A40EC">
            <w:pPr>
              <w:jc w:val="right"/>
              <w:rPr>
                <w:b/>
                <w:bCs/>
                <w:sz w:val="18"/>
                <w:szCs w:val="18"/>
              </w:rPr>
            </w:pPr>
            <w:r>
              <w:rPr>
                <w:b/>
                <w:bCs/>
                <w:sz w:val="18"/>
                <w:szCs w:val="18"/>
              </w:rPr>
              <w:t>(</w:t>
            </w:r>
            <w:r w:rsidRPr="00FB6608">
              <w:rPr>
                <w:b/>
                <w:bCs/>
                <w:sz w:val="18"/>
                <w:szCs w:val="18"/>
              </w:rPr>
              <w:t>18,198</w:t>
            </w:r>
            <w:r>
              <w:rPr>
                <w:b/>
                <w:bCs/>
                <w:sz w:val="18"/>
                <w:szCs w:val="18"/>
              </w:rPr>
              <w:t>)</w:t>
            </w:r>
          </w:p>
        </w:tc>
      </w:tr>
      <w:tr w:rsidR="00105819" w:rsidRPr="00AC1CDE" w:rsidTr="000A40EC">
        <w:trPr>
          <w:gridBefore w:val="1"/>
          <w:wBefore w:w="134" w:type="pct"/>
          <w:trHeight w:val="609"/>
        </w:trPr>
        <w:tc>
          <w:tcPr>
            <w:tcW w:w="1441" w:type="pct"/>
            <w:tcBorders>
              <w:top w:val="nil"/>
              <w:left w:val="nil"/>
              <w:bottom w:val="nil"/>
              <w:right w:val="nil"/>
            </w:tcBorders>
            <w:shd w:val="clear" w:color="auto" w:fill="auto"/>
            <w:vAlign w:val="bottom"/>
            <w:hideMark/>
          </w:tcPr>
          <w:p w:rsidR="00105819" w:rsidRPr="00AC1CDE" w:rsidRDefault="00105819" w:rsidP="000A40EC">
            <w:pPr>
              <w:rPr>
                <w:sz w:val="20"/>
                <w:szCs w:val="18"/>
              </w:rPr>
            </w:pPr>
            <w:r w:rsidRPr="00AC1CDE">
              <w:rPr>
                <w:sz w:val="20"/>
                <w:szCs w:val="18"/>
              </w:rPr>
              <w:t>Revaluations increases/(decreases) recognised in Revaluation Reserve</w:t>
            </w:r>
          </w:p>
        </w:tc>
        <w:tc>
          <w:tcPr>
            <w:tcW w:w="566"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10,689</w:t>
            </w:r>
          </w:p>
        </w:tc>
        <w:tc>
          <w:tcPr>
            <w:tcW w:w="743"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w:t>
            </w:r>
          </w:p>
        </w:tc>
        <w:tc>
          <w:tcPr>
            <w:tcW w:w="566"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w:t>
            </w:r>
          </w:p>
        </w:tc>
        <w:tc>
          <w:tcPr>
            <w:tcW w:w="509"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w:t>
            </w:r>
          </w:p>
        </w:tc>
        <w:tc>
          <w:tcPr>
            <w:tcW w:w="522"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w:t>
            </w:r>
          </w:p>
        </w:tc>
        <w:tc>
          <w:tcPr>
            <w:tcW w:w="519" w:type="pct"/>
            <w:tcBorders>
              <w:top w:val="nil"/>
              <w:left w:val="nil"/>
              <w:bottom w:val="nil"/>
              <w:right w:val="nil"/>
            </w:tcBorders>
            <w:shd w:val="clear" w:color="auto" w:fill="auto"/>
            <w:noWrap/>
            <w:vAlign w:val="center"/>
            <w:hideMark/>
          </w:tcPr>
          <w:p w:rsidR="00105819" w:rsidRPr="00AC1CDE" w:rsidRDefault="00105819" w:rsidP="000A40EC">
            <w:pPr>
              <w:jc w:val="right"/>
              <w:rPr>
                <w:b/>
                <w:bCs/>
                <w:sz w:val="20"/>
                <w:szCs w:val="18"/>
              </w:rPr>
            </w:pPr>
            <w:r w:rsidRPr="00AC1CDE">
              <w:rPr>
                <w:b/>
                <w:bCs/>
                <w:sz w:val="20"/>
                <w:szCs w:val="18"/>
              </w:rPr>
              <w:t>10,689</w:t>
            </w:r>
          </w:p>
        </w:tc>
      </w:tr>
      <w:tr w:rsidR="00105819" w:rsidRPr="00AC1CDE" w:rsidTr="000A40EC">
        <w:trPr>
          <w:gridBefore w:val="1"/>
          <w:wBefore w:w="134" w:type="pct"/>
          <w:trHeight w:val="572"/>
        </w:trPr>
        <w:tc>
          <w:tcPr>
            <w:tcW w:w="1441" w:type="pct"/>
            <w:tcBorders>
              <w:top w:val="nil"/>
              <w:left w:val="nil"/>
              <w:bottom w:val="nil"/>
              <w:right w:val="nil"/>
            </w:tcBorders>
            <w:shd w:val="clear" w:color="auto" w:fill="auto"/>
            <w:vAlign w:val="bottom"/>
            <w:hideMark/>
          </w:tcPr>
          <w:p w:rsidR="00105819" w:rsidRPr="00AC1CDE" w:rsidRDefault="00105819" w:rsidP="000A40EC">
            <w:pPr>
              <w:rPr>
                <w:sz w:val="20"/>
                <w:szCs w:val="18"/>
              </w:rPr>
            </w:pPr>
            <w:r w:rsidRPr="00AC1CDE">
              <w:rPr>
                <w:sz w:val="20"/>
                <w:szCs w:val="18"/>
              </w:rPr>
              <w:lastRenderedPageBreak/>
              <w:t>Revaluations increases/(decreases) recognised in Surplus/Deficit on Provision of Services</w:t>
            </w:r>
          </w:p>
        </w:tc>
        <w:tc>
          <w:tcPr>
            <w:tcW w:w="566"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(16,284)</w:t>
            </w:r>
          </w:p>
        </w:tc>
        <w:tc>
          <w:tcPr>
            <w:tcW w:w="743"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w:t>
            </w:r>
          </w:p>
        </w:tc>
        <w:tc>
          <w:tcPr>
            <w:tcW w:w="566"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w:t>
            </w:r>
          </w:p>
        </w:tc>
        <w:tc>
          <w:tcPr>
            <w:tcW w:w="509"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w:t>
            </w:r>
          </w:p>
        </w:tc>
        <w:tc>
          <w:tcPr>
            <w:tcW w:w="522"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w:t>
            </w:r>
          </w:p>
        </w:tc>
        <w:tc>
          <w:tcPr>
            <w:tcW w:w="519" w:type="pct"/>
            <w:tcBorders>
              <w:top w:val="nil"/>
              <w:left w:val="nil"/>
              <w:bottom w:val="nil"/>
              <w:right w:val="nil"/>
            </w:tcBorders>
            <w:shd w:val="clear" w:color="auto" w:fill="auto"/>
            <w:noWrap/>
            <w:vAlign w:val="center"/>
            <w:hideMark/>
          </w:tcPr>
          <w:p w:rsidR="00105819" w:rsidRPr="00AC1CDE" w:rsidRDefault="00105819" w:rsidP="000A40EC">
            <w:pPr>
              <w:jc w:val="right"/>
              <w:rPr>
                <w:b/>
                <w:bCs/>
                <w:color w:val="0000FF"/>
                <w:sz w:val="20"/>
                <w:szCs w:val="18"/>
              </w:rPr>
            </w:pPr>
            <w:r w:rsidRPr="00AC1CDE">
              <w:rPr>
                <w:b/>
                <w:bCs/>
                <w:color w:val="0000FF"/>
                <w:sz w:val="20"/>
                <w:szCs w:val="18"/>
              </w:rPr>
              <w:t>(16,284)</w:t>
            </w:r>
          </w:p>
        </w:tc>
      </w:tr>
      <w:tr w:rsidR="00105819" w:rsidRPr="00AC1CDE" w:rsidTr="000A40EC">
        <w:trPr>
          <w:gridBefore w:val="1"/>
          <w:wBefore w:w="134" w:type="pct"/>
          <w:trHeight w:val="283"/>
        </w:trPr>
        <w:tc>
          <w:tcPr>
            <w:tcW w:w="1441" w:type="pct"/>
            <w:tcBorders>
              <w:top w:val="nil"/>
              <w:left w:val="nil"/>
              <w:bottom w:val="nil"/>
              <w:right w:val="nil"/>
            </w:tcBorders>
            <w:shd w:val="clear" w:color="auto" w:fill="auto"/>
            <w:vAlign w:val="bottom"/>
            <w:hideMark/>
          </w:tcPr>
          <w:p w:rsidR="00105819" w:rsidRPr="00AC1CDE" w:rsidRDefault="00105819" w:rsidP="000A40EC">
            <w:pPr>
              <w:rPr>
                <w:sz w:val="20"/>
                <w:szCs w:val="18"/>
              </w:rPr>
            </w:pPr>
            <w:r w:rsidRPr="00AC1CDE">
              <w:rPr>
                <w:sz w:val="20"/>
                <w:szCs w:val="18"/>
              </w:rPr>
              <w:t>Assets reclassified (to)/from Held for Sale</w:t>
            </w:r>
          </w:p>
        </w:tc>
        <w:tc>
          <w:tcPr>
            <w:tcW w:w="566"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w:t>
            </w:r>
          </w:p>
        </w:tc>
        <w:tc>
          <w:tcPr>
            <w:tcW w:w="743"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w:t>
            </w:r>
          </w:p>
        </w:tc>
        <w:tc>
          <w:tcPr>
            <w:tcW w:w="566"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w:t>
            </w:r>
          </w:p>
        </w:tc>
        <w:tc>
          <w:tcPr>
            <w:tcW w:w="509"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w:t>
            </w:r>
          </w:p>
        </w:tc>
        <w:tc>
          <w:tcPr>
            <w:tcW w:w="522"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r w:rsidRPr="00AC1CDE">
              <w:rPr>
                <w:sz w:val="20"/>
                <w:szCs w:val="18"/>
              </w:rPr>
              <w:t>-</w:t>
            </w:r>
          </w:p>
        </w:tc>
        <w:tc>
          <w:tcPr>
            <w:tcW w:w="519" w:type="pct"/>
            <w:tcBorders>
              <w:top w:val="nil"/>
              <w:left w:val="nil"/>
              <w:bottom w:val="nil"/>
              <w:right w:val="nil"/>
            </w:tcBorders>
            <w:shd w:val="clear" w:color="auto" w:fill="auto"/>
            <w:noWrap/>
            <w:vAlign w:val="center"/>
            <w:hideMark/>
          </w:tcPr>
          <w:p w:rsidR="00105819" w:rsidRPr="00AC1CDE" w:rsidRDefault="00105819" w:rsidP="000A40EC">
            <w:pPr>
              <w:jc w:val="right"/>
              <w:rPr>
                <w:b/>
                <w:bCs/>
                <w:sz w:val="20"/>
                <w:szCs w:val="18"/>
              </w:rPr>
            </w:pPr>
            <w:r w:rsidRPr="00AC1CDE">
              <w:rPr>
                <w:b/>
                <w:bCs/>
                <w:sz w:val="20"/>
                <w:szCs w:val="18"/>
              </w:rPr>
              <w:t>-</w:t>
            </w:r>
          </w:p>
        </w:tc>
      </w:tr>
      <w:tr w:rsidR="00105819" w:rsidRPr="00745042" w:rsidTr="000A40EC">
        <w:trPr>
          <w:trHeight w:val="304"/>
        </w:trPr>
        <w:tc>
          <w:tcPr>
            <w:tcW w:w="1575" w:type="pct"/>
            <w:gridSpan w:val="2"/>
            <w:tcBorders>
              <w:top w:val="nil"/>
              <w:left w:val="nil"/>
              <w:bottom w:val="nil"/>
              <w:right w:val="nil"/>
            </w:tcBorders>
            <w:shd w:val="clear" w:color="auto" w:fill="auto"/>
            <w:noWrap/>
            <w:vAlign w:val="bottom"/>
            <w:hideMark/>
          </w:tcPr>
          <w:p w:rsidR="00105819" w:rsidRPr="00AC1CDE" w:rsidRDefault="00105819" w:rsidP="000A40EC">
            <w:pPr>
              <w:rPr>
                <w:b/>
                <w:bCs/>
                <w:sz w:val="20"/>
                <w:szCs w:val="18"/>
              </w:rPr>
            </w:pPr>
            <w:r w:rsidRPr="00AC1CDE">
              <w:rPr>
                <w:b/>
                <w:bCs/>
                <w:sz w:val="20"/>
                <w:szCs w:val="18"/>
              </w:rPr>
              <w:t>At 31 March 2012</w:t>
            </w:r>
          </w:p>
        </w:tc>
        <w:tc>
          <w:tcPr>
            <w:tcW w:w="566" w:type="pct"/>
            <w:tcBorders>
              <w:top w:val="single" w:sz="4" w:space="0" w:color="auto"/>
              <w:left w:val="nil"/>
              <w:bottom w:val="single" w:sz="4" w:space="0" w:color="auto"/>
              <w:right w:val="nil"/>
            </w:tcBorders>
            <w:shd w:val="clear" w:color="auto" w:fill="auto"/>
            <w:noWrap/>
            <w:vAlign w:val="bottom"/>
            <w:hideMark/>
          </w:tcPr>
          <w:p w:rsidR="00105819" w:rsidRDefault="00105819" w:rsidP="000A40EC">
            <w:pPr>
              <w:jc w:val="right"/>
              <w:rPr>
                <w:b/>
                <w:bCs/>
                <w:sz w:val="18"/>
                <w:szCs w:val="18"/>
              </w:rPr>
            </w:pPr>
            <w:r w:rsidRPr="00745042">
              <w:rPr>
                <w:b/>
                <w:bCs/>
                <w:sz w:val="20"/>
                <w:szCs w:val="18"/>
              </w:rPr>
              <w:t>2,152,515</w:t>
            </w:r>
          </w:p>
        </w:tc>
        <w:tc>
          <w:tcPr>
            <w:tcW w:w="743" w:type="pct"/>
            <w:tcBorders>
              <w:top w:val="single" w:sz="4" w:space="0" w:color="auto"/>
              <w:left w:val="nil"/>
              <w:bottom w:val="single" w:sz="4" w:space="0" w:color="auto"/>
              <w:right w:val="nil"/>
            </w:tcBorders>
            <w:shd w:val="clear" w:color="auto" w:fill="auto"/>
            <w:noWrap/>
            <w:vAlign w:val="center"/>
            <w:hideMark/>
          </w:tcPr>
          <w:p w:rsidR="00105819" w:rsidRPr="00AC1CDE" w:rsidRDefault="00105819" w:rsidP="000A40EC">
            <w:pPr>
              <w:jc w:val="right"/>
              <w:rPr>
                <w:b/>
                <w:bCs/>
                <w:sz w:val="20"/>
                <w:szCs w:val="18"/>
              </w:rPr>
            </w:pPr>
            <w:r w:rsidRPr="00AC1CDE">
              <w:rPr>
                <w:b/>
                <w:bCs/>
                <w:sz w:val="20"/>
                <w:szCs w:val="18"/>
              </w:rPr>
              <w:t>65,884</w:t>
            </w:r>
          </w:p>
        </w:tc>
        <w:tc>
          <w:tcPr>
            <w:tcW w:w="566" w:type="pct"/>
            <w:tcBorders>
              <w:top w:val="single" w:sz="4" w:space="0" w:color="auto"/>
              <w:left w:val="nil"/>
              <w:bottom w:val="single" w:sz="4" w:space="0" w:color="auto"/>
              <w:right w:val="nil"/>
            </w:tcBorders>
            <w:shd w:val="clear" w:color="auto" w:fill="auto"/>
            <w:noWrap/>
            <w:vAlign w:val="center"/>
            <w:hideMark/>
          </w:tcPr>
          <w:p w:rsidR="00105819" w:rsidRPr="00AC1CDE" w:rsidRDefault="00105819" w:rsidP="000A40EC">
            <w:pPr>
              <w:jc w:val="right"/>
              <w:rPr>
                <w:b/>
                <w:bCs/>
                <w:sz w:val="20"/>
                <w:szCs w:val="18"/>
              </w:rPr>
            </w:pPr>
            <w:r w:rsidRPr="00AC1CDE">
              <w:rPr>
                <w:b/>
                <w:bCs/>
                <w:sz w:val="20"/>
                <w:szCs w:val="18"/>
              </w:rPr>
              <w:t>572,370</w:t>
            </w:r>
          </w:p>
        </w:tc>
        <w:tc>
          <w:tcPr>
            <w:tcW w:w="509" w:type="pct"/>
            <w:tcBorders>
              <w:top w:val="single" w:sz="4" w:space="0" w:color="auto"/>
              <w:left w:val="nil"/>
              <w:bottom w:val="single" w:sz="4" w:space="0" w:color="auto"/>
              <w:right w:val="nil"/>
            </w:tcBorders>
            <w:shd w:val="clear" w:color="auto" w:fill="auto"/>
            <w:noWrap/>
            <w:vAlign w:val="center"/>
            <w:hideMark/>
          </w:tcPr>
          <w:p w:rsidR="00105819" w:rsidRPr="00AC1CDE" w:rsidRDefault="00105819" w:rsidP="000A40EC">
            <w:pPr>
              <w:jc w:val="right"/>
              <w:rPr>
                <w:b/>
                <w:bCs/>
                <w:sz w:val="20"/>
                <w:szCs w:val="18"/>
              </w:rPr>
            </w:pPr>
            <w:r w:rsidRPr="00AC1CDE">
              <w:rPr>
                <w:b/>
                <w:bCs/>
                <w:sz w:val="20"/>
                <w:szCs w:val="18"/>
              </w:rPr>
              <w:t>-</w:t>
            </w:r>
          </w:p>
        </w:tc>
        <w:tc>
          <w:tcPr>
            <w:tcW w:w="522" w:type="pct"/>
            <w:tcBorders>
              <w:top w:val="single" w:sz="4" w:space="0" w:color="auto"/>
              <w:left w:val="nil"/>
              <w:bottom w:val="single" w:sz="4" w:space="0" w:color="auto"/>
              <w:right w:val="nil"/>
            </w:tcBorders>
            <w:shd w:val="clear" w:color="auto" w:fill="auto"/>
            <w:noWrap/>
            <w:vAlign w:val="center"/>
            <w:hideMark/>
          </w:tcPr>
          <w:p w:rsidR="00105819" w:rsidRPr="00AC1CDE" w:rsidRDefault="00105819" w:rsidP="000A40EC">
            <w:pPr>
              <w:jc w:val="right"/>
              <w:rPr>
                <w:b/>
                <w:bCs/>
                <w:sz w:val="20"/>
                <w:szCs w:val="18"/>
              </w:rPr>
            </w:pPr>
            <w:r w:rsidRPr="00AC1CDE">
              <w:rPr>
                <w:b/>
                <w:bCs/>
                <w:sz w:val="20"/>
                <w:szCs w:val="18"/>
              </w:rPr>
              <w:t>12,765</w:t>
            </w:r>
          </w:p>
        </w:tc>
        <w:tc>
          <w:tcPr>
            <w:tcW w:w="519" w:type="pct"/>
            <w:tcBorders>
              <w:top w:val="single" w:sz="4" w:space="0" w:color="auto"/>
              <w:left w:val="nil"/>
              <w:bottom w:val="single" w:sz="4" w:space="0" w:color="auto"/>
              <w:right w:val="nil"/>
            </w:tcBorders>
            <w:shd w:val="clear" w:color="auto" w:fill="auto"/>
            <w:noWrap/>
            <w:vAlign w:val="bottom"/>
            <w:hideMark/>
          </w:tcPr>
          <w:p w:rsidR="00105819" w:rsidRPr="00745042" w:rsidRDefault="00105819" w:rsidP="000A40EC">
            <w:pPr>
              <w:jc w:val="right"/>
              <w:rPr>
                <w:b/>
                <w:bCs/>
                <w:sz w:val="20"/>
                <w:szCs w:val="18"/>
              </w:rPr>
            </w:pPr>
            <w:r w:rsidRPr="00745042">
              <w:rPr>
                <w:b/>
                <w:bCs/>
                <w:sz w:val="20"/>
                <w:szCs w:val="18"/>
              </w:rPr>
              <w:t>2,803,534</w:t>
            </w:r>
          </w:p>
        </w:tc>
      </w:tr>
      <w:tr w:rsidR="00105819" w:rsidRPr="00AC1CDE" w:rsidTr="000A40EC">
        <w:trPr>
          <w:trHeight w:val="522"/>
        </w:trPr>
        <w:tc>
          <w:tcPr>
            <w:tcW w:w="1575" w:type="pct"/>
            <w:gridSpan w:val="2"/>
            <w:tcBorders>
              <w:top w:val="nil"/>
              <w:left w:val="nil"/>
              <w:bottom w:val="nil"/>
              <w:right w:val="nil"/>
            </w:tcBorders>
            <w:shd w:val="clear" w:color="auto" w:fill="auto"/>
            <w:vAlign w:val="bottom"/>
            <w:hideMark/>
          </w:tcPr>
          <w:p w:rsidR="00105819" w:rsidRPr="00AC1CDE" w:rsidRDefault="00105819" w:rsidP="000A40EC">
            <w:pPr>
              <w:rPr>
                <w:b/>
                <w:bCs/>
                <w:sz w:val="22"/>
                <w:szCs w:val="20"/>
              </w:rPr>
            </w:pPr>
            <w:r w:rsidRPr="00AC1CDE">
              <w:rPr>
                <w:b/>
                <w:bCs/>
                <w:sz w:val="22"/>
                <w:szCs w:val="20"/>
              </w:rPr>
              <w:t>Depreciation and Impairments</w:t>
            </w:r>
          </w:p>
        </w:tc>
        <w:tc>
          <w:tcPr>
            <w:tcW w:w="566"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p>
        </w:tc>
        <w:tc>
          <w:tcPr>
            <w:tcW w:w="743"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p>
        </w:tc>
        <w:tc>
          <w:tcPr>
            <w:tcW w:w="566"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p>
        </w:tc>
        <w:tc>
          <w:tcPr>
            <w:tcW w:w="509"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p>
        </w:tc>
        <w:tc>
          <w:tcPr>
            <w:tcW w:w="522"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p>
        </w:tc>
        <w:tc>
          <w:tcPr>
            <w:tcW w:w="519" w:type="pct"/>
            <w:tcBorders>
              <w:top w:val="nil"/>
              <w:left w:val="nil"/>
              <w:bottom w:val="nil"/>
              <w:right w:val="nil"/>
            </w:tcBorders>
            <w:shd w:val="clear" w:color="auto" w:fill="auto"/>
            <w:noWrap/>
            <w:vAlign w:val="center"/>
            <w:hideMark/>
          </w:tcPr>
          <w:p w:rsidR="00105819" w:rsidRPr="00AC1CDE" w:rsidRDefault="00105819" w:rsidP="000A40EC">
            <w:pPr>
              <w:jc w:val="right"/>
              <w:rPr>
                <w:b/>
                <w:bCs/>
                <w:color w:val="0000FF"/>
                <w:sz w:val="20"/>
                <w:szCs w:val="18"/>
              </w:rPr>
            </w:pPr>
          </w:p>
        </w:tc>
      </w:tr>
      <w:tr w:rsidR="00105819" w:rsidRPr="00AC1CDE" w:rsidTr="000A40EC">
        <w:trPr>
          <w:trHeight w:val="304"/>
        </w:trPr>
        <w:tc>
          <w:tcPr>
            <w:tcW w:w="1575" w:type="pct"/>
            <w:gridSpan w:val="2"/>
            <w:tcBorders>
              <w:top w:val="nil"/>
              <w:left w:val="nil"/>
              <w:bottom w:val="nil"/>
              <w:right w:val="nil"/>
            </w:tcBorders>
            <w:shd w:val="clear" w:color="auto" w:fill="auto"/>
            <w:noWrap/>
            <w:vAlign w:val="bottom"/>
            <w:hideMark/>
          </w:tcPr>
          <w:p w:rsidR="00105819" w:rsidRPr="00AC1CDE" w:rsidRDefault="00105819" w:rsidP="000A40EC">
            <w:pPr>
              <w:rPr>
                <w:b/>
                <w:bCs/>
                <w:sz w:val="20"/>
                <w:szCs w:val="18"/>
              </w:rPr>
            </w:pPr>
            <w:r w:rsidRPr="00AC1CDE">
              <w:rPr>
                <w:b/>
                <w:bCs/>
                <w:sz w:val="20"/>
                <w:szCs w:val="18"/>
              </w:rPr>
              <w:t>At 1 April 2011</w:t>
            </w:r>
          </w:p>
        </w:tc>
        <w:tc>
          <w:tcPr>
            <w:tcW w:w="566"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59,211</w:t>
            </w:r>
          </w:p>
        </w:tc>
        <w:tc>
          <w:tcPr>
            <w:tcW w:w="743"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21,220</w:t>
            </w:r>
          </w:p>
        </w:tc>
        <w:tc>
          <w:tcPr>
            <w:tcW w:w="566"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39,348</w:t>
            </w:r>
          </w:p>
        </w:tc>
        <w:tc>
          <w:tcPr>
            <w:tcW w:w="509"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w:t>
            </w:r>
          </w:p>
        </w:tc>
        <w:tc>
          <w:tcPr>
            <w:tcW w:w="522"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w:t>
            </w:r>
          </w:p>
        </w:tc>
        <w:tc>
          <w:tcPr>
            <w:tcW w:w="519" w:type="pct"/>
            <w:tcBorders>
              <w:top w:val="nil"/>
              <w:left w:val="nil"/>
              <w:bottom w:val="nil"/>
              <w:right w:val="nil"/>
            </w:tcBorders>
            <w:shd w:val="clear" w:color="auto" w:fill="auto"/>
            <w:noWrap/>
            <w:vAlign w:val="center"/>
            <w:hideMark/>
          </w:tcPr>
          <w:p w:rsidR="00105819" w:rsidRPr="00FB6608" w:rsidRDefault="00105819" w:rsidP="000A40EC">
            <w:pPr>
              <w:jc w:val="right"/>
              <w:rPr>
                <w:b/>
                <w:bCs/>
                <w:sz w:val="20"/>
                <w:szCs w:val="18"/>
              </w:rPr>
            </w:pPr>
            <w:r w:rsidRPr="00FB6608">
              <w:rPr>
                <w:b/>
                <w:bCs/>
                <w:sz w:val="20"/>
                <w:szCs w:val="18"/>
              </w:rPr>
              <w:t>119,779</w:t>
            </w:r>
          </w:p>
        </w:tc>
      </w:tr>
      <w:tr w:rsidR="00105819" w:rsidRPr="00AC1CDE" w:rsidTr="000A40EC">
        <w:trPr>
          <w:gridBefore w:val="1"/>
          <w:wBefore w:w="134" w:type="pct"/>
          <w:trHeight w:val="233"/>
        </w:trPr>
        <w:tc>
          <w:tcPr>
            <w:tcW w:w="1441" w:type="pct"/>
            <w:tcBorders>
              <w:top w:val="nil"/>
              <w:left w:val="nil"/>
              <w:bottom w:val="nil"/>
              <w:right w:val="nil"/>
            </w:tcBorders>
            <w:shd w:val="clear" w:color="auto" w:fill="auto"/>
            <w:vAlign w:val="bottom"/>
            <w:hideMark/>
          </w:tcPr>
          <w:p w:rsidR="00105819" w:rsidRPr="00AC1CDE" w:rsidRDefault="00105819" w:rsidP="000A40EC">
            <w:pPr>
              <w:rPr>
                <w:sz w:val="20"/>
                <w:szCs w:val="18"/>
              </w:rPr>
            </w:pPr>
            <w:r w:rsidRPr="00AC1CDE">
              <w:rPr>
                <w:sz w:val="20"/>
                <w:szCs w:val="18"/>
              </w:rPr>
              <w:t>Depreciation charge for 2011/12</w:t>
            </w:r>
          </w:p>
        </w:tc>
        <w:tc>
          <w:tcPr>
            <w:tcW w:w="566"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w:t>
            </w:r>
          </w:p>
        </w:tc>
        <w:tc>
          <w:tcPr>
            <w:tcW w:w="743"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w:t>
            </w:r>
          </w:p>
        </w:tc>
        <w:tc>
          <w:tcPr>
            <w:tcW w:w="566"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w:t>
            </w:r>
          </w:p>
        </w:tc>
        <w:tc>
          <w:tcPr>
            <w:tcW w:w="509"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w:t>
            </w:r>
          </w:p>
        </w:tc>
        <w:tc>
          <w:tcPr>
            <w:tcW w:w="522"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w:t>
            </w:r>
          </w:p>
        </w:tc>
        <w:tc>
          <w:tcPr>
            <w:tcW w:w="519" w:type="pct"/>
            <w:tcBorders>
              <w:top w:val="nil"/>
              <w:left w:val="nil"/>
              <w:bottom w:val="nil"/>
              <w:right w:val="nil"/>
            </w:tcBorders>
            <w:shd w:val="clear" w:color="auto" w:fill="auto"/>
            <w:noWrap/>
            <w:vAlign w:val="center"/>
            <w:hideMark/>
          </w:tcPr>
          <w:p w:rsidR="00105819" w:rsidRPr="00FB6608" w:rsidRDefault="00105819" w:rsidP="000A40EC">
            <w:pPr>
              <w:jc w:val="right"/>
              <w:rPr>
                <w:b/>
                <w:bCs/>
                <w:sz w:val="20"/>
                <w:szCs w:val="18"/>
              </w:rPr>
            </w:pPr>
            <w:r w:rsidRPr="00FB6608">
              <w:rPr>
                <w:b/>
                <w:bCs/>
                <w:sz w:val="20"/>
                <w:szCs w:val="18"/>
              </w:rPr>
              <w:t>-</w:t>
            </w:r>
          </w:p>
        </w:tc>
      </w:tr>
      <w:tr w:rsidR="00105819" w:rsidRPr="00AC1CDE" w:rsidTr="000A40EC">
        <w:trPr>
          <w:gridBefore w:val="1"/>
          <w:wBefore w:w="134" w:type="pct"/>
          <w:trHeight w:val="302"/>
        </w:trPr>
        <w:tc>
          <w:tcPr>
            <w:tcW w:w="1441" w:type="pct"/>
            <w:tcBorders>
              <w:top w:val="nil"/>
              <w:left w:val="nil"/>
              <w:bottom w:val="nil"/>
              <w:right w:val="nil"/>
            </w:tcBorders>
            <w:shd w:val="clear" w:color="auto" w:fill="auto"/>
            <w:vAlign w:val="bottom"/>
            <w:hideMark/>
          </w:tcPr>
          <w:p w:rsidR="00105819" w:rsidRPr="00AC1CDE" w:rsidRDefault="00105819" w:rsidP="000A40EC">
            <w:pPr>
              <w:rPr>
                <w:sz w:val="20"/>
                <w:szCs w:val="18"/>
              </w:rPr>
            </w:pPr>
            <w:r w:rsidRPr="00AC1CDE">
              <w:rPr>
                <w:sz w:val="20"/>
                <w:szCs w:val="18"/>
              </w:rPr>
              <w:t>Depreciation written out to the Revaluation Reserve</w:t>
            </w:r>
          </w:p>
        </w:tc>
        <w:tc>
          <w:tcPr>
            <w:tcW w:w="566"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w:t>
            </w:r>
          </w:p>
        </w:tc>
        <w:tc>
          <w:tcPr>
            <w:tcW w:w="743"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w:t>
            </w:r>
          </w:p>
        </w:tc>
        <w:tc>
          <w:tcPr>
            <w:tcW w:w="566"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w:t>
            </w:r>
          </w:p>
        </w:tc>
        <w:tc>
          <w:tcPr>
            <w:tcW w:w="509"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w:t>
            </w:r>
          </w:p>
        </w:tc>
        <w:tc>
          <w:tcPr>
            <w:tcW w:w="522"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w:t>
            </w:r>
          </w:p>
        </w:tc>
        <w:tc>
          <w:tcPr>
            <w:tcW w:w="519" w:type="pct"/>
            <w:tcBorders>
              <w:top w:val="nil"/>
              <w:left w:val="nil"/>
              <w:bottom w:val="nil"/>
              <w:right w:val="nil"/>
            </w:tcBorders>
            <w:shd w:val="clear" w:color="auto" w:fill="auto"/>
            <w:noWrap/>
            <w:vAlign w:val="center"/>
            <w:hideMark/>
          </w:tcPr>
          <w:p w:rsidR="00105819" w:rsidRPr="00FB6608" w:rsidRDefault="00105819" w:rsidP="000A40EC">
            <w:pPr>
              <w:jc w:val="right"/>
              <w:rPr>
                <w:b/>
                <w:bCs/>
                <w:sz w:val="20"/>
                <w:szCs w:val="18"/>
              </w:rPr>
            </w:pPr>
            <w:r w:rsidRPr="00FB6608">
              <w:rPr>
                <w:b/>
                <w:bCs/>
                <w:sz w:val="20"/>
                <w:szCs w:val="18"/>
              </w:rPr>
              <w:t>-</w:t>
            </w:r>
          </w:p>
        </w:tc>
      </w:tr>
      <w:tr w:rsidR="00105819" w:rsidRPr="00AC1CDE" w:rsidTr="000A40EC">
        <w:trPr>
          <w:gridBefore w:val="1"/>
          <w:wBefore w:w="134" w:type="pct"/>
          <w:trHeight w:val="422"/>
        </w:trPr>
        <w:tc>
          <w:tcPr>
            <w:tcW w:w="1441" w:type="pct"/>
            <w:tcBorders>
              <w:top w:val="nil"/>
              <w:left w:val="nil"/>
              <w:bottom w:val="nil"/>
              <w:right w:val="nil"/>
            </w:tcBorders>
            <w:shd w:val="clear" w:color="auto" w:fill="auto"/>
            <w:vAlign w:val="bottom"/>
            <w:hideMark/>
          </w:tcPr>
          <w:p w:rsidR="00105819" w:rsidRPr="00AC1CDE" w:rsidRDefault="00105819" w:rsidP="000A40EC">
            <w:pPr>
              <w:rPr>
                <w:sz w:val="20"/>
                <w:szCs w:val="18"/>
              </w:rPr>
            </w:pPr>
            <w:r w:rsidRPr="00AC1CDE">
              <w:rPr>
                <w:sz w:val="20"/>
                <w:szCs w:val="18"/>
              </w:rPr>
              <w:t>Depreciation written out to the Surplus/Deficit on Provision of Services</w:t>
            </w:r>
          </w:p>
        </w:tc>
        <w:tc>
          <w:tcPr>
            <w:tcW w:w="566"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23,883</w:t>
            </w:r>
          </w:p>
        </w:tc>
        <w:tc>
          <w:tcPr>
            <w:tcW w:w="743"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6,820</w:t>
            </w:r>
          </w:p>
        </w:tc>
        <w:tc>
          <w:tcPr>
            <w:tcW w:w="566"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12,430</w:t>
            </w:r>
          </w:p>
        </w:tc>
        <w:tc>
          <w:tcPr>
            <w:tcW w:w="509"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w:t>
            </w:r>
          </w:p>
        </w:tc>
        <w:tc>
          <w:tcPr>
            <w:tcW w:w="522"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w:t>
            </w:r>
          </w:p>
        </w:tc>
        <w:tc>
          <w:tcPr>
            <w:tcW w:w="519" w:type="pct"/>
            <w:tcBorders>
              <w:top w:val="nil"/>
              <w:left w:val="nil"/>
              <w:bottom w:val="nil"/>
              <w:right w:val="nil"/>
            </w:tcBorders>
            <w:shd w:val="clear" w:color="auto" w:fill="auto"/>
            <w:noWrap/>
            <w:vAlign w:val="center"/>
            <w:hideMark/>
          </w:tcPr>
          <w:p w:rsidR="00105819" w:rsidRPr="00FB6608" w:rsidRDefault="00105819" w:rsidP="000A40EC">
            <w:pPr>
              <w:jc w:val="right"/>
              <w:rPr>
                <w:b/>
                <w:bCs/>
                <w:sz w:val="20"/>
                <w:szCs w:val="18"/>
              </w:rPr>
            </w:pPr>
            <w:r w:rsidRPr="00FB6608">
              <w:rPr>
                <w:b/>
                <w:bCs/>
                <w:sz w:val="20"/>
                <w:szCs w:val="18"/>
              </w:rPr>
              <w:t>43,133</w:t>
            </w:r>
          </w:p>
        </w:tc>
      </w:tr>
      <w:tr w:rsidR="00105819" w:rsidRPr="00AC1CDE" w:rsidTr="000A40EC">
        <w:trPr>
          <w:gridBefore w:val="1"/>
          <w:wBefore w:w="134" w:type="pct"/>
          <w:trHeight w:val="240"/>
        </w:trPr>
        <w:tc>
          <w:tcPr>
            <w:tcW w:w="1441" w:type="pct"/>
            <w:tcBorders>
              <w:top w:val="nil"/>
              <w:left w:val="nil"/>
              <w:bottom w:val="nil"/>
              <w:right w:val="nil"/>
            </w:tcBorders>
            <w:shd w:val="clear" w:color="auto" w:fill="auto"/>
            <w:vAlign w:val="bottom"/>
            <w:hideMark/>
          </w:tcPr>
          <w:p w:rsidR="00105819" w:rsidRPr="00AC1CDE" w:rsidRDefault="00105819" w:rsidP="000A40EC">
            <w:pPr>
              <w:rPr>
                <w:sz w:val="20"/>
                <w:szCs w:val="18"/>
              </w:rPr>
            </w:pPr>
            <w:r w:rsidRPr="00AC1CDE">
              <w:rPr>
                <w:sz w:val="20"/>
                <w:szCs w:val="18"/>
              </w:rPr>
              <w:t>Impairment losses/(reversals) recognised in the Revaluation Reserve</w:t>
            </w:r>
          </w:p>
        </w:tc>
        <w:tc>
          <w:tcPr>
            <w:tcW w:w="566"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w:t>
            </w:r>
          </w:p>
        </w:tc>
        <w:tc>
          <w:tcPr>
            <w:tcW w:w="743"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w:t>
            </w:r>
          </w:p>
        </w:tc>
        <w:tc>
          <w:tcPr>
            <w:tcW w:w="566"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w:t>
            </w:r>
          </w:p>
        </w:tc>
        <w:tc>
          <w:tcPr>
            <w:tcW w:w="509"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w:t>
            </w:r>
          </w:p>
        </w:tc>
        <w:tc>
          <w:tcPr>
            <w:tcW w:w="522"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w:t>
            </w:r>
          </w:p>
        </w:tc>
        <w:tc>
          <w:tcPr>
            <w:tcW w:w="519" w:type="pct"/>
            <w:tcBorders>
              <w:top w:val="nil"/>
              <w:left w:val="nil"/>
              <w:bottom w:val="nil"/>
              <w:right w:val="nil"/>
            </w:tcBorders>
            <w:shd w:val="clear" w:color="auto" w:fill="auto"/>
            <w:noWrap/>
            <w:vAlign w:val="center"/>
            <w:hideMark/>
          </w:tcPr>
          <w:p w:rsidR="00105819" w:rsidRPr="00FB6608" w:rsidRDefault="00105819" w:rsidP="000A40EC">
            <w:pPr>
              <w:jc w:val="right"/>
              <w:rPr>
                <w:b/>
                <w:bCs/>
                <w:sz w:val="20"/>
                <w:szCs w:val="18"/>
              </w:rPr>
            </w:pPr>
            <w:r w:rsidRPr="00FB6608">
              <w:rPr>
                <w:b/>
                <w:bCs/>
                <w:sz w:val="20"/>
                <w:szCs w:val="18"/>
              </w:rPr>
              <w:t>-</w:t>
            </w:r>
          </w:p>
        </w:tc>
      </w:tr>
      <w:tr w:rsidR="00105819" w:rsidRPr="00AC1CDE" w:rsidTr="000A40EC">
        <w:trPr>
          <w:gridBefore w:val="1"/>
          <w:wBefore w:w="134" w:type="pct"/>
          <w:trHeight w:val="353"/>
        </w:trPr>
        <w:tc>
          <w:tcPr>
            <w:tcW w:w="1441" w:type="pct"/>
            <w:tcBorders>
              <w:top w:val="nil"/>
              <w:left w:val="nil"/>
              <w:bottom w:val="nil"/>
              <w:right w:val="nil"/>
            </w:tcBorders>
            <w:shd w:val="clear" w:color="auto" w:fill="auto"/>
            <w:vAlign w:val="bottom"/>
            <w:hideMark/>
          </w:tcPr>
          <w:p w:rsidR="00105819" w:rsidRPr="00AC1CDE" w:rsidRDefault="00105819" w:rsidP="000A40EC">
            <w:pPr>
              <w:rPr>
                <w:sz w:val="20"/>
                <w:szCs w:val="18"/>
              </w:rPr>
            </w:pPr>
            <w:r w:rsidRPr="00AC1CDE">
              <w:rPr>
                <w:sz w:val="20"/>
                <w:szCs w:val="18"/>
              </w:rPr>
              <w:t>De-recognition - Disposals</w:t>
            </w:r>
          </w:p>
        </w:tc>
        <w:tc>
          <w:tcPr>
            <w:tcW w:w="566" w:type="pct"/>
            <w:tcBorders>
              <w:top w:val="nil"/>
              <w:left w:val="nil"/>
              <w:bottom w:val="nil"/>
              <w:right w:val="nil"/>
            </w:tcBorders>
            <w:shd w:val="clear" w:color="auto" w:fill="auto"/>
            <w:noWrap/>
            <w:vAlign w:val="bottom"/>
            <w:hideMark/>
          </w:tcPr>
          <w:p w:rsidR="00105819" w:rsidRPr="00FB6608" w:rsidRDefault="00105819" w:rsidP="000A40EC">
            <w:pPr>
              <w:jc w:val="right"/>
              <w:rPr>
                <w:sz w:val="18"/>
                <w:szCs w:val="18"/>
              </w:rPr>
            </w:pPr>
            <w:r>
              <w:rPr>
                <w:sz w:val="18"/>
                <w:szCs w:val="18"/>
              </w:rPr>
              <w:t>(</w:t>
            </w:r>
            <w:r w:rsidRPr="00FB6608">
              <w:rPr>
                <w:sz w:val="18"/>
                <w:szCs w:val="18"/>
              </w:rPr>
              <w:t>4,115</w:t>
            </w:r>
            <w:r>
              <w:rPr>
                <w:sz w:val="18"/>
                <w:szCs w:val="18"/>
              </w:rPr>
              <w:t>)</w:t>
            </w:r>
          </w:p>
        </w:tc>
        <w:tc>
          <w:tcPr>
            <w:tcW w:w="743"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w:t>
            </w:r>
          </w:p>
        </w:tc>
        <w:tc>
          <w:tcPr>
            <w:tcW w:w="566"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w:t>
            </w:r>
          </w:p>
        </w:tc>
        <w:tc>
          <w:tcPr>
            <w:tcW w:w="509"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w:t>
            </w:r>
          </w:p>
        </w:tc>
        <w:tc>
          <w:tcPr>
            <w:tcW w:w="522"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w:t>
            </w:r>
          </w:p>
        </w:tc>
        <w:tc>
          <w:tcPr>
            <w:tcW w:w="519" w:type="pct"/>
            <w:tcBorders>
              <w:top w:val="nil"/>
              <w:left w:val="nil"/>
              <w:bottom w:val="nil"/>
              <w:right w:val="nil"/>
            </w:tcBorders>
            <w:shd w:val="clear" w:color="auto" w:fill="auto"/>
            <w:noWrap/>
            <w:vAlign w:val="bottom"/>
            <w:hideMark/>
          </w:tcPr>
          <w:p w:rsidR="00105819" w:rsidRPr="00FB6608" w:rsidRDefault="00105819" w:rsidP="000A40EC">
            <w:pPr>
              <w:jc w:val="right"/>
              <w:rPr>
                <w:b/>
                <w:bCs/>
                <w:sz w:val="18"/>
                <w:szCs w:val="18"/>
              </w:rPr>
            </w:pPr>
            <w:r>
              <w:rPr>
                <w:b/>
                <w:bCs/>
                <w:sz w:val="18"/>
                <w:szCs w:val="18"/>
              </w:rPr>
              <w:t>(</w:t>
            </w:r>
            <w:r w:rsidRPr="00FB6608">
              <w:rPr>
                <w:b/>
                <w:bCs/>
                <w:sz w:val="18"/>
                <w:szCs w:val="18"/>
              </w:rPr>
              <w:t>4,115</w:t>
            </w:r>
            <w:r>
              <w:rPr>
                <w:b/>
                <w:bCs/>
                <w:sz w:val="18"/>
                <w:szCs w:val="18"/>
              </w:rPr>
              <w:t>)</w:t>
            </w:r>
          </w:p>
        </w:tc>
      </w:tr>
      <w:tr w:rsidR="00105819" w:rsidRPr="00AC1CDE" w:rsidTr="000A40EC">
        <w:trPr>
          <w:gridBefore w:val="1"/>
          <w:wBefore w:w="134" w:type="pct"/>
          <w:trHeight w:val="288"/>
        </w:trPr>
        <w:tc>
          <w:tcPr>
            <w:tcW w:w="1441" w:type="pct"/>
            <w:tcBorders>
              <w:top w:val="nil"/>
              <w:left w:val="nil"/>
              <w:bottom w:val="nil"/>
              <w:right w:val="nil"/>
            </w:tcBorders>
            <w:shd w:val="clear" w:color="auto" w:fill="auto"/>
            <w:vAlign w:val="bottom"/>
            <w:hideMark/>
          </w:tcPr>
          <w:p w:rsidR="00105819" w:rsidRPr="00AC1CDE" w:rsidRDefault="00105819" w:rsidP="000A40EC">
            <w:pPr>
              <w:rPr>
                <w:sz w:val="20"/>
                <w:szCs w:val="18"/>
              </w:rPr>
            </w:pPr>
            <w:r w:rsidRPr="00AC1CDE">
              <w:rPr>
                <w:sz w:val="20"/>
                <w:szCs w:val="18"/>
              </w:rPr>
              <w:t>De-recognitions - Others</w:t>
            </w:r>
          </w:p>
        </w:tc>
        <w:tc>
          <w:tcPr>
            <w:tcW w:w="566" w:type="pct"/>
            <w:tcBorders>
              <w:top w:val="nil"/>
              <w:left w:val="nil"/>
              <w:bottom w:val="nil"/>
              <w:right w:val="nil"/>
            </w:tcBorders>
            <w:shd w:val="clear" w:color="auto" w:fill="auto"/>
            <w:noWrap/>
            <w:vAlign w:val="bottom"/>
            <w:hideMark/>
          </w:tcPr>
          <w:p w:rsidR="00105819" w:rsidRPr="00FB6608" w:rsidRDefault="00105819" w:rsidP="000A40EC">
            <w:pPr>
              <w:jc w:val="right"/>
              <w:rPr>
                <w:sz w:val="18"/>
                <w:szCs w:val="18"/>
              </w:rPr>
            </w:pPr>
            <w:r>
              <w:rPr>
                <w:sz w:val="18"/>
                <w:szCs w:val="18"/>
              </w:rPr>
              <w:t>(</w:t>
            </w:r>
            <w:r w:rsidRPr="00FB6608">
              <w:rPr>
                <w:sz w:val="18"/>
                <w:szCs w:val="18"/>
              </w:rPr>
              <w:t>2,962</w:t>
            </w:r>
            <w:r>
              <w:rPr>
                <w:sz w:val="18"/>
                <w:szCs w:val="18"/>
              </w:rPr>
              <w:t>)</w:t>
            </w:r>
          </w:p>
        </w:tc>
        <w:tc>
          <w:tcPr>
            <w:tcW w:w="743"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w:t>
            </w:r>
          </w:p>
        </w:tc>
        <w:tc>
          <w:tcPr>
            <w:tcW w:w="566"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w:t>
            </w:r>
          </w:p>
        </w:tc>
        <w:tc>
          <w:tcPr>
            <w:tcW w:w="509"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w:t>
            </w:r>
          </w:p>
        </w:tc>
        <w:tc>
          <w:tcPr>
            <w:tcW w:w="522"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w:t>
            </w:r>
          </w:p>
        </w:tc>
        <w:tc>
          <w:tcPr>
            <w:tcW w:w="519" w:type="pct"/>
            <w:tcBorders>
              <w:top w:val="nil"/>
              <w:left w:val="nil"/>
              <w:bottom w:val="nil"/>
              <w:right w:val="nil"/>
            </w:tcBorders>
            <w:shd w:val="clear" w:color="auto" w:fill="auto"/>
            <w:noWrap/>
            <w:vAlign w:val="bottom"/>
            <w:hideMark/>
          </w:tcPr>
          <w:p w:rsidR="00105819" w:rsidRPr="00FB6608" w:rsidRDefault="00105819" w:rsidP="000A40EC">
            <w:pPr>
              <w:jc w:val="right"/>
              <w:rPr>
                <w:b/>
                <w:bCs/>
                <w:sz w:val="18"/>
                <w:szCs w:val="18"/>
              </w:rPr>
            </w:pPr>
            <w:r>
              <w:rPr>
                <w:b/>
                <w:bCs/>
                <w:sz w:val="18"/>
                <w:szCs w:val="18"/>
              </w:rPr>
              <w:t>(</w:t>
            </w:r>
            <w:r w:rsidRPr="00FB6608">
              <w:rPr>
                <w:b/>
                <w:bCs/>
                <w:sz w:val="18"/>
                <w:szCs w:val="18"/>
              </w:rPr>
              <w:t>2,962</w:t>
            </w:r>
            <w:r>
              <w:rPr>
                <w:b/>
                <w:bCs/>
                <w:sz w:val="18"/>
                <w:szCs w:val="18"/>
              </w:rPr>
              <w:t>)</w:t>
            </w:r>
          </w:p>
        </w:tc>
      </w:tr>
      <w:tr w:rsidR="00105819" w:rsidRPr="00AC1CDE" w:rsidTr="000A40EC">
        <w:trPr>
          <w:gridBefore w:val="1"/>
          <w:wBefore w:w="134" w:type="pct"/>
          <w:trHeight w:val="628"/>
        </w:trPr>
        <w:tc>
          <w:tcPr>
            <w:tcW w:w="1441" w:type="pct"/>
            <w:tcBorders>
              <w:top w:val="nil"/>
              <w:left w:val="nil"/>
              <w:bottom w:val="nil"/>
              <w:right w:val="nil"/>
            </w:tcBorders>
            <w:shd w:val="clear" w:color="auto" w:fill="auto"/>
            <w:vAlign w:val="bottom"/>
            <w:hideMark/>
          </w:tcPr>
          <w:p w:rsidR="00105819" w:rsidRPr="00AC1CDE" w:rsidRDefault="00105819" w:rsidP="000A40EC">
            <w:pPr>
              <w:rPr>
                <w:sz w:val="20"/>
                <w:szCs w:val="18"/>
              </w:rPr>
            </w:pPr>
            <w:r w:rsidRPr="00AC1CDE">
              <w:rPr>
                <w:sz w:val="20"/>
                <w:szCs w:val="18"/>
              </w:rPr>
              <w:t>Any Other Movements in Depreciation and Impairment</w:t>
            </w:r>
          </w:p>
        </w:tc>
        <w:tc>
          <w:tcPr>
            <w:tcW w:w="566"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w:t>
            </w:r>
          </w:p>
        </w:tc>
        <w:tc>
          <w:tcPr>
            <w:tcW w:w="743"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w:t>
            </w:r>
          </w:p>
        </w:tc>
        <w:tc>
          <w:tcPr>
            <w:tcW w:w="566"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w:t>
            </w:r>
          </w:p>
        </w:tc>
        <w:tc>
          <w:tcPr>
            <w:tcW w:w="509"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w:t>
            </w:r>
          </w:p>
        </w:tc>
        <w:tc>
          <w:tcPr>
            <w:tcW w:w="522" w:type="pct"/>
            <w:tcBorders>
              <w:top w:val="nil"/>
              <w:left w:val="nil"/>
              <w:bottom w:val="nil"/>
              <w:right w:val="nil"/>
            </w:tcBorders>
            <w:shd w:val="clear" w:color="auto" w:fill="auto"/>
            <w:noWrap/>
            <w:vAlign w:val="center"/>
            <w:hideMark/>
          </w:tcPr>
          <w:p w:rsidR="00105819" w:rsidRPr="00FB6608" w:rsidRDefault="00105819" w:rsidP="000A40EC">
            <w:pPr>
              <w:jc w:val="right"/>
              <w:rPr>
                <w:sz w:val="20"/>
                <w:szCs w:val="18"/>
              </w:rPr>
            </w:pPr>
            <w:r w:rsidRPr="00FB6608">
              <w:rPr>
                <w:sz w:val="20"/>
                <w:szCs w:val="18"/>
              </w:rPr>
              <w:t>-</w:t>
            </w:r>
          </w:p>
        </w:tc>
        <w:tc>
          <w:tcPr>
            <w:tcW w:w="519" w:type="pct"/>
            <w:tcBorders>
              <w:top w:val="nil"/>
              <w:left w:val="nil"/>
              <w:bottom w:val="nil"/>
              <w:right w:val="nil"/>
            </w:tcBorders>
            <w:shd w:val="clear" w:color="auto" w:fill="auto"/>
            <w:noWrap/>
            <w:vAlign w:val="center"/>
            <w:hideMark/>
          </w:tcPr>
          <w:p w:rsidR="00105819" w:rsidRPr="00FB6608" w:rsidRDefault="00105819" w:rsidP="000A40EC">
            <w:pPr>
              <w:jc w:val="right"/>
              <w:rPr>
                <w:b/>
                <w:bCs/>
                <w:sz w:val="20"/>
                <w:szCs w:val="18"/>
              </w:rPr>
            </w:pPr>
            <w:r w:rsidRPr="00FB6608">
              <w:rPr>
                <w:b/>
                <w:bCs/>
                <w:sz w:val="20"/>
                <w:szCs w:val="18"/>
              </w:rPr>
              <w:t>-</w:t>
            </w:r>
          </w:p>
        </w:tc>
      </w:tr>
      <w:tr w:rsidR="00105819" w:rsidRPr="00AC1CDE" w:rsidTr="000A40EC">
        <w:trPr>
          <w:trHeight w:val="304"/>
        </w:trPr>
        <w:tc>
          <w:tcPr>
            <w:tcW w:w="1575" w:type="pct"/>
            <w:gridSpan w:val="2"/>
            <w:tcBorders>
              <w:top w:val="nil"/>
              <w:left w:val="nil"/>
              <w:bottom w:val="nil"/>
              <w:right w:val="nil"/>
            </w:tcBorders>
            <w:shd w:val="clear" w:color="auto" w:fill="auto"/>
            <w:noWrap/>
            <w:vAlign w:val="bottom"/>
            <w:hideMark/>
          </w:tcPr>
          <w:p w:rsidR="00105819" w:rsidRPr="00AC1CDE" w:rsidRDefault="00105819" w:rsidP="000A40EC">
            <w:pPr>
              <w:rPr>
                <w:b/>
                <w:bCs/>
                <w:sz w:val="20"/>
                <w:szCs w:val="18"/>
              </w:rPr>
            </w:pPr>
            <w:r w:rsidRPr="00AC1CDE">
              <w:rPr>
                <w:b/>
                <w:bCs/>
                <w:sz w:val="20"/>
                <w:szCs w:val="18"/>
              </w:rPr>
              <w:t>At 31 March 2012</w:t>
            </w:r>
          </w:p>
        </w:tc>
        <w:tc>
          <w:tcPr>
            <w:tcW w:w="566" w:type="pct"/>
            <w:tcBorders>
              <w:top w:val="single" w:sz="4" w:space="0" w:color="auto"/>
              <w:left w:val="nil"/>
              <w:bottom w:val="single" w:sz="4" w:space="0" w:color="auto"/>
              <w:right w:val="nil"/>
            </w:tcBorders>
            <w:shd w:val="clear" w:color="auto" w:fill="auto"/>
            <w:noWrap/>
            <w:vAlign w:val="center"/>
            <w:hideMark/>
          </w:tcPr>
          <w:p w:rsidR="00105819" w:rsidRPr="00FB6608" w:rsidRDefault="00105819" w:rsidP="000A40EC">
            <w:pPr>
              <w:jc w:val="right"/>
              <w:rPr>
                <w:b/>
                <w:sz w:val="20"/>
                <w:szCs w:val="20"/>
              </w:rPr>
            </w:pPr>
            <w:r w:rsidRPr="00FB6608">
              <w:rPr>
                <w:b/>
                <w:sz w:val="20"/>
                <w:szCs w:val="20"/>
              </w:rPr>
              <w:t>76,017</w:t>
            </w:r>
          </w:p>
        </w:tc>
        <w:tc>
          <w:tcPr>
            <w:tcW w:w="743" w:type="pct"/>
            <w:tcBorders>
              <w:top w:val="single" w:sz="4" w:space="0" w:color="auto"/>
              <w:left w:val="nil"/>
              <w:bottom w:val="single" w:sz="4" w:space="0" w:color="auto"/>
              <w:right w:val="nil"/>
            </w:tcBorders>
            <w:shd w:val="clear" w:color="auto" w:fill="auto"/>
            <w:noWrap/>
            <w:vAlign w:val="center"/>
            <w:hideMark/>
          </w:tcPr>
          <w:p w:rsidR="00105819" w:rsidRPr="00FB6608" w:rsidRDefault="00105819" w:rsidP="000A40EC">
            <w:pPr>
              <w:jc w:val="right"/>
              <w:rPr>
                <w:b/>
                <w:sz w:val="20"/>
                <w:szCs w:val="20"/>
              </w:rPr>
            </w:pPr>
            <w:r w:rsidRPr="00FB6608">
              <w:rPr>
                <w:b/>
                <w:sz w:val="20"/>
                <w:szCs w:val="20"/>
              </w:rPr>
              <w:t>28,040</w:t>
            </w:r>
          </w:p>
        </w:tc>
        <w:tc>
          <w:tcPr>
            <w:tcW w:w="566" w:type="pct"/>
            <w:tcBorders>
              <w:top w:val="single" w:sz="4" w:space="0" w:color="auto"/>
              <w:left w:val="nil"/>
              <w:bottom w:val="single" w:sz="4" w:space="0" w:color="auto"/>
              <w:right w:val="nil"/>
            </w:tcBorders>
            <w:shd w:val="clear" w:color="auto" w:fill="auto"/>
            <w:noWrap/>
            <w:vAlign w:val="center"/>
            <w:hideMark/>
          </w:tcPr>
          <w:p w:rsidR="00105819" w:rsidRPr="00FB6608" w:rsidRDefault="00105819" w:rsidP="000A40EC">
            <w:pPr>
              <w:jc w:val="right"/>
              <w:rPr>
                <w:b/>
                <w:sz w:val="20"/>
                <w:szCs w:val="20"/>
              </w:rPr>
            </w:pPr>
            <w:r w:rsidRPr="00FB6608">
              <w:rPr>
                <w:b/>
                <w:sz w:val="20"/>
                <w:szCs w:val="20"/>
              </w:rPr>
              <w:t>51,778</w:t>
            </w:r>
          </w:p>
        </w:tc>
        <w:tc>
          <w:tcPr>
            <w:tcW w:w="509" w:type="pct"/>
            <w:tcBorders>
              <w:top w:val="single" w:sz="4" w:space="0" w:color="auto"/>
              <w:left w:val="nil"/>
              <w:bottom w:val="single" w:sz="4" w:space="0" w:color="auto"/>
              <w:right w:val="nil"/>
            </w:tcBorders>
            <w:shd w:val="clear" w:color="auto" w:fill="auto"/>
            <w:noWrap/>
            <w:vAlign w:val="center"/>
            <w:hideMark/>
          </w:tcPr>
          <w:p w:rsidR="00105819" w:rsidRPr="00FB6608" w:rsidRDefault="00105819" w:rsidP="000A40EC">
            <w:pPr>
              <w:jc w:val="right"/>
              <w:rPr>
                <w:b/>
                <w:sz w:val="20"/>
                <w:szCs w:val="20"/>
              </w:rPr>
            </w:pPr>
            <w:r w:rsidRPr="00FB6608">
              <w:rPr>
                <w:b/>
                <w:sz w:val="20"/>
                <w:szCs w:val="20"/>
              </w:rPr>
              <w:t>-</w:t>
            </w:r>
          </w:p>
        </w:tc>
        <w:tc>
          <w:tcPr>
            <w:tcW w:w="522" w:type="pct"/>
            <w:tcBorders>
              <w:top w:val="single" w:sz="4" w:space="0" w:color="auto"/>
              <w:left w:val="nil"/>
              <w:bottom w:val="single" w:sz="4" w:space="0" w:color="auto"/>
              <w:right w:val="nil"/>
            </w:tcBorders>
            <w:shd w:val="clear" w:color="auto" w:fill="auto"/>
            <w:noWrap/>
            <w:vAlign w:val="center"/>
            <w:hideMark/>
          </w:tcPr>
          <w:p w:rsidR="00105819" w:rsidRPr="00FB6608" w:rsidRDefault="00105819" w:rsidP="000A40EC">
            <w:pPr>
              <w:jc w:val="right"/>
              <w:rPr>
                <w:b/>
                <w:sz w:val="20"/>
                <w:szCs w:val="20"/>
              </w:rPr>
            </w:pPr>
            <w:r w:rsidRPr="00FB6608">
              <w:rPr>
                <w:b/>
                <w:sz w:val="20"/>
                <w:szCs w:val="20"/>
              </w:rPr>
              <w:t>-</w:t>
            </w:r>
          </w:p>
        </w:tc>
        <w:tc>
          <w:tcPr>
            <w:tcW w:w="519" w:type="pct"/>
            <w:tcBorders>
              <w:top w:val="single" w:sz="4" w:space="0" w:color="auto"/>
              <w:left w:val="nil"/>
              <w:bottom w:val="single" w:sz="4" w:space="0" w:color="auto"/>
              <w:right w:val="nil"/>
            </w:tcBorders>
            <w:shd w:val="clear" w:color="auto" w:fill="auto"/>
            <w:noWrap/>
            <w:vAlign w:val="center"/>
            <w:hideMark/>
          </w:tcPr>
          <w:p w:rsidR="00105819" w:rsidRPr="00FB6608" w:rsidRDefault="00105819" w:rsidP="000A40EC">
            <w:pPr>
              <w:jc w:val="right"/>
              <w:rPr>
                <w:b/>
                <w:sz w:val="20"/>
                <w:szCs w:val="20"/>
              </w:rPr>
            </w:pPr>
            <w:r w:rsidRPr="00FB6608">
              <w:rPr>
                <w:b/>
                <w:sz w:val="20"/>
                <w:szCs w:val="20"/>
              </w:rPr>
              <w:t>155,835</w:t>
            </w:r>
          </w:p>
        </w:tc>
      </w:tr>
      <w:tr w:rsidR="00105819" w:rsidRPr="00AC1CDE" w:rsidTr="000A40EC">
        <w:trPr>
          <w:trHeight w:val="304"/>
        </w:trPr>
        <w:tc>
          <w:tcPr>
            <w:tcW w:w="1575" w:type="pct"/>
            <w:gridSpan w:val="2"/>
            <w:tcBorders>
              <w:top w:val="nil"/>
              <w:left w:val="nil"/>
              <w:bottom w:val="nil"/>
              <w:right w:val="nil"/>
            </w:tcBorders>
            <w:shd w:val="clear" w:color="auto" w:fill="auto"/>
            <w:noWrap/>
            <w:vAlign w:val="bottom"/>
            <w:hideMark/>
          </w:tcPr>
          <w:p w:rsidR="00105819" w:rsidRPr="00AC1CDE" w:rsidRDefault="00105819" w:rsidP="000A40EC">
            <w:pPr>
              <w:rPr>
                <w:sz w:val="20"/>
                <w:szCs w:val="18"/>
              </w:rPr>
            </w:pPr>
          </w:p>
        </w:tc>
        <w:tc>
          <w:tcPr>
            <w:tcW w:w="566"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p>
        </w:tc>
        <w:tc>
          <w:tcPr>
            <w:tcW w:w="743"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p>
        </w:tc>
        <w:tc>
          <w:tcPr>
            <w:tcW w:w="566"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p>
        </w:tc>
        <w:tc>
          <w:tcPr>
            <w:tcW w:w="509"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p>
        </w:tc>
        <w:tc>
          <w:tcPr>
            <w:tcW w:w="522" w:type="pct"/>
            <w:tcBorders>
              <w:top w:val="nil"/>
              <w:left w:val="nil"/>
              <w:bottom w:val="nil"/>
              <w:right w:val="nil"/>
            </w:tcBorders>
            <w:shd w:val="clear" w:color="auto" w:fill="auto"/>
            <w:noWrap/>
            <w:vAlign w:val="center"/>
            <w:hideMark/>
          </w:tcPr>
          <w:p w:rsidR="00105819" w:rsidRPr="00AC1CDE" w:rsidRDefault="00105819" w:rsidP="000A40EC">
            <w:pPr>
              <w:jc w:val="right"/>
              <w:rPr>
                <w:sz w:val="20"/>
                <w:szCs w:val="18"/>
              </w:rPr>
            </w:pPr>
          </w:p>
        </w:tc>
        <w:tc>
          <w:tcPr>
            <w:tcW w:w="519" w:type="pct"/>
            <w:tcBorders>
              <w:top w:val="nil"/>
              <w:left w:val="nil"/>
              <w:bottom w:val="nil"/>
              <w:right w:val="nil"/>
            </w:tcBorders>
            <w:shd w:val="clear" w:color="auto" w:fill="auto"/>
            <w:noWrap/>
            <w:vAlign w:val="center"/>
            <w:hideMark/>
          </w:tcPr>
          <w:p w:rsidR="00105819" w:rsidRPr="00AC1CDE" w:rsidRDefault="00105819" w:rsidP="000A40EC">
            <w:pPr>
              <w:jc w:val="right"/>
              <w:rPr>
                <w:b/>
                <w:bCs/>
                <w:color w:val="0000FF"/>
                <w:sz w:val="20"/>
                <w:szCs w:val="18"/>
              </w:rPr>
            </w:pPr>
          </w:p>
        </w:tc>
      </w:tr>
      <w:tr w:rsidR="00105819" w:rsidRPr="00AC1CDE" w:rsidTr="000A40EC">
        <w:trPr>
          <w:trHeight w:val="309"/>
        </w:trPr>
        <w:tc>
          <w:tcPr>
            <w:tcW w:w="1575" w:type="pct"/>
            <w:gridSpan w:val="2"/>
            <w:tcBorders>
              <w:top w:val="nil"/>
              <w:left w:val="nil"/>
              <w:bottom w:val="nil"/>
              <w:right w:val="nil"/>
            </w:tcBorders>
            <w:shd w:val="clear" w:color="auto" w:fill="auto"/>
            <w:vAlign w:val="bottom"/>
            <w:hideMark/>
          </w:tcPr>
          <w:p w:rsidR="00105819" w:rsidRPr="00AC1CDE" w:rsidRDefault="00105819" w:rsidP="000A40EC">
            <w:pPr>
              <w:rPr>
                <w:b/>
                <w:bCs/>
                <w:sz w:val="20"/>
                <w:szCs w:val="18"/>
              </w:rPr>
            </w:pPr>
            <w:r w:rsidRPr="00AC1CDE">
              <w:rPr>
                <w:b/>
                <w:bCs/>
                <w:sz w:val="20"/>
                <w:szCs w:val="18"/>
              </w:rPr>
              <w:t>Net Book Value at 31 March 2012</w:t>
            </w:r>
          </w:p>
        </w:tc>
        <w:tc>
          <w:tcPr>
            <w:tcW w:w="566" w:type="pct"/>
            <w:tcBorders>
              <w:top w:val="nil"/>
              <w:left w:val="nil"/>
              <w:bottom w:val="single" w:sz="4" w:space="0" w:color="auto"/>
              <w:right w:val="nil"/>
            </w:tcBorders>
            <w:shd w:val="clear" w:color="auto" w:fill="auto"/>
            <w:noWrap/>
            <w:vAlign w:val="center"/>
            <w:hideMark/>
          </w:tcPr>
          <w:p w:rsidR="00105819" w:rsidRPr="00AC1CDE" w:rsidRDefault="00105819" w:rsidP="000A40EC">
            <w:pPr>
              <w:jc w:val="right"/>
              <w:rPr>
                <w:b/>
                <w:sz w:val="20"/>
                <w:szCs w:val="18"/>
              </w:rPr>
            </w:pPr>
            <w:r w:rsidRPr="00AC1CDE">
              <w:rPr>
                <w:b/>
                <w:sz w:val="20"/>
                <w:szCs w:val="18"/>
              </w:rPr>
              <w:t>2,076,498</w:t>
            </w:r>
          </w:p>
        </w:tc>
        <w:tc>
          <w:tcPr>
            <w:tcW w:w="743" w:type="pct"/>
            <w:tcBorders>
              <w:top w:val="nil"/>
              <w:left w:val="nil"/>
              <w:bottom w:val="single" w:sz="4" w:space="0" w:color="auto"/>
              <w:right w:val="nil"/>
            </w:tcBorders>
            <w:shd w:val="clear" w:color="auto" w:fill="auto"/>
            <w:noWrap/>
            <w:vAlign w:val="center"/>
            <w:hideMark/>
          </w:tcPr>
          <w:p w:rsidR="00105819" w:rsidRPr="00AC1CDE" w:rsidRDefault="00105819" w:rsidP="000A40EC">
            <w:pPr>
              <w:jc w:val="right"/>
              <w:rPr>
                <w:b/>
                <w:sz w:val="20"/>
                <w:szCs w:val="18"/>
              </w:rPr>
            </w:pPr>
            <w:r w:rsidRPr="00AC1CDE">
              <w:rPr>
                <w:b/>
                <w:sz w:val="20"/>
                <w:szCs w:val="18"/>
              </w:rPr>
              <w:t>37,844</w:t>
            </w:r>
          </w:p>
        </w:tc>
        <w:tc>
          <w:tcPr>
            <w:tcW w:w="566" w:type="pct"/>
            <w:tcBorders>
              <w:top w:val="nil"/>
              <w:left w:val="nil"/>
              <w:bottom w:val="single" w:sz="4" w:space="0" w:color="auto"/>
              <w:right w:val="nil"/>
            </w:tcBorders>
            <w:shd w:val="clear" w:color="auto" w:fill="auto"/>
            <w:noWrap/>
            <w:vAlign w:val="center"/>
            <w:hideMark/>
          </w:tcPr>
          <w:p w:rsidR="00105819" w:rsidRPr="00AC1CDE" w:rsidRDefault="00105819" w:rsidP="000A40EC">
            <w:pPr>
              <w:jc w:val="right"/>
              <w:rPr>
                <w:b/>
                <w:sz w:val="20"/>
                <w:szCs w:val="18"/>
              </w:rPr>
            </w:pPr>
            <w:r w:rsidRPr="00AC1CDE">
              <w:rPr>
                <w:b/>
                <w:sz w:val="20"/>
                <w:szCs w:val="18"/>
              </w:rPr>
              <w:t>520,592</w:t>
            </w:r>
          </w:p>
        </w:tc>
        <w:tc>
          <w:tcPr>
            <w:tcW w:w="509" w:type="pct"/>
            <w:tcBorders>
              <w:top w:val="nil"/>
              <w:left w:val="nil"/>
              <w:bottom w:val="single" w:sz="4" w:space="0" w:color="auto"/>
              <w:right w:val="nil"/>
            </w:tcBorders>
            <w:shd w:val="clear" w:color="auto" w:fill="auto"/>
            <w:noWrap/>
            <w:vAlign w:val="center"/>
            <w:hideMark/>
          </w:tcPr>
          <w:p w:rsidR="00105819" w:rsidRPr="00AC1CDE" w:rsidRDefault="00105819" w:rsidP="000A40EC">
            <w:pPr>
              <w:jc w:val="right"/>
              <w:rPr>
                <w:b/>
                <w:sz w:val="20"/>
                <w:szCs w:val="18"/>
              </w:rPr>
            </w:pPr>
            <w:r w:rsidRPr="00AC1CDE">
              <w:rPr>
                <w:b/>
                <w:sz w:val="20"/>
                <w:szCs w:val="18"/>
              </w:rPr>
              <w:t>-</w:t>
            </w:r>
          </w:p>
        </w:tc>
        <w:tc>
          <w:tcPr>
            <w:tcW w:w="522" w:type="pct"/>
            <w:tcBorders>
              <w:top w:val="nil"/>
              <w:left w:val="nil"/>
              <w:bottom w:val="single" w:sz="4" w:space="0" w:color="auto"/>
              <w:right w:val="nil"/>
            </w:tcBorders>
            <w:shd w:val="clear" w:color="auto" w:fill="auto"/>
            <w:noWrap/>
            <w:vAlign w:val="center"/>
            <w:hideMark/>
          </w:tcPr>
          <w:p w:rsidR="00105819" w:rsidRPr="00AC1CDE" w:rsidRDefault="00105819" w:rsidP="000A40EC">
            <w:pPr>
              <w:jc w:val="right"/>
              <w:rPr>
                <w:b/>
                <w:sz w:val="20"/>
                <w:szCs w:val="18"/>
              </w:rPr>
            </w:pPr>
            <w:r w:rsidRPr="00AC1CDE">
              <w:rPr>
                <w:b/>
                <w:sz w:val="20"/>
                <w:szCs w:val="18"/>
              </w:rPr>
              <w:t>12,765</w:t>
            </w:r>
          </w:p>
        </w:tc>
        <w:tc>
          <w:tcPr>
            <w:tcW w:w="519" w:type="pct"/>
            <w:tcBorders>
              <w:top w:val="nil"/>
              <w:left w:val="nil"/>
              <w:bottom w:val="single" w:sz="4" w:space="0" w:color="auto"/>
              <w:right w:val="nil"/>
            </w:tcBorders>
            <w:shd w:val="clear" w:color="auto" w:fill="auto"/>
            <w:noWrap/>
            <w:vAlign w:val="center"/>
            <w:hideMark/>
          </w:tcPr>
          <w:p w:rsidR="00105819" w:rsidRPr="00AC1CDE" w:rsidRDefault="00105819" w:rsidP="000A40EC">
            <w:pPr>
              <w:jc w:val="right"/>
              <w:rPr>
                <w:b/>
                <w:bCs/>
                <w:sz w:val="20"/>
                <w:szCs w:val="18"/>
              </w:rPr>
            </w:pPr>
            <w:r w:rsidRPr="00AC1CDE">
              <w:rPr>
                <w:b/>
                <w:bCs/>
                <w:sz w:val="20"/>
                <w:szCs w:val="18"/>
              </w:rPr>
              <w:t>2,647,699</w:t>
            </w:r>
          </w:p>
        </w:tc>
      </w:tr>
      <w:tr w:rsidR="00105819" w:rsidRPr="00AC1CDE" w:rsidTr="000A40EC">
        <w:trPr>
          <w:trHeight w:val="403"/>
        </w:trPr>
        <w:tc>
          <w:tcPr>
            <w:tcW w:w="1575" w:type="pct"/>
            <w:gridSpan w:val="2"/>
            <w:tcBorders>
              <w:top w:val="nil"/>
              <w:left w:val="nil"/>
              <w:bottom w:val="nil"/>
              <w:right w:val="nil"/>
            </w:tcBorders>
            <w:shd w:val="clear" w:color="auto" w:fill="auto"/>
            <w:vAlign w:val="bottom"/>
            <w:hideMark/>
          </w:tcPr>
          <w:p w:rsidR="00105819" w:rsidRPr="00AC1CDE" w:rsidRDefault="00105819" w:rsidP="000A40EC">
            <w:pPr>
              <w:rPr>
                <w:b/>
                <w:bCs/>
                <w:sz w:val="20"/>
                <w:szCs w:val="18"/>
              </w:rPr>
            </w:pPr>
            <w:r w:rsidRPr="00AC1CDE">
              <w:rPr>
                <w:b/>
                <w:bCs/>
                <w:sz w:val="20"/>
                <w:szCs w:val="18"/>
              </w:rPr>
              <w:t>Net Book Value at 31 March 2011</w:t>
            </w:r>
          </w:p>
        </w:tc>
        <w:tc>
          <w:tcPr>
            <w:tcW w:w="566" w:type="pct"/>
            <w:tcBorders>
              <w:top w:val="nil"/>
              <w:left w:val="nil"/>
              <w:bottom w:val="single" w:sz="4" w:space="0" w:color="auto"/>
              <w:right w:val="nil"/>
            </w:tcBorders>
            <w:shd w:val="clear" w:color="auto" w:fill="auto"/>
            <w:noWrap/>
            <w:vAlign w:val="center"/>
            <w:hideMark/>
          </w:tcPr>
          <w:p w:rsidR="00105819" w:rsidRPr="00AC1CDE" w:rsidRDefault="00105819" w:rsidP="000A40EC">
            <w:pPr>
              <w:jc w:val="right"/>
              <w:rPr>
                <w:b/>
                <w:sz w:val="20"/>
                <w:szCs w:val="18"/>
              </w:rPr>
            </w:pPr>
            <w:r w:rsidRPr="00AC1CDE">
              <w:rPr>
                <w:b/>
                <w:sz w:val="20"/>
                <w:szCs w:val="18"/>
              </w:rPr>
              <w:t>1,894,479</w:t>
            </w:r>
          </w:p>
        </w:tc>
        <w:tc>
          <w:tcPr>
            <w:tcW w:w="743" w:type="pct"/>
            <w:tcBorders>
              <w:top w:val="nil"/>
              <w:left w:val="nil"/>
              <w:bottom w:val="single" w:sz="4" w:space="0" w:color="auto"/>
              <w:right w:val="nil"/>
            </w:tcBorders>
            <w:shd w:val="clear" w:color="auto" w:fill="auto"/>
            <w:noWrap/>
            <w:vAlign w:val="center"/>
            <w:hideMark/>
          </w:tcPr>
          <w:p w:rsidR="00105819" w:rsidRPr="00AC1CDE" w:rsidRDefault="00105819" w:rsidP="000A40EC">
            <w:pPr>
              <w:jc w:val="right"/>
              <w:rPr>
                <w:b/>
                <w:sz w:val="20"/>
                <w:szCs w:val="18"/>
              </w:rPr>
            </w:pPr>
            <w:r w:rsidRPr="00AC1CDE">
              <w:rPr>
                <w:b/>
                <w:sz w:val="20"/>
                <w:szCs w:val="18"/>
              </w:rPr>
              <w:t>39,052</w:t>
            </w:r>
          </w:p>
        </w:tc>
        <w:tc>
          <w:tcPr>
            <w:tcW w:w="566" w:type="pct"/>
            <w:tcBorders>
              <w:top w:val="nil"/>
              <w:left w:val="nil"/>
              <w:bottom w:val="single" w:sz="4" w:space="0" w:color="auto"/>
              <w:right w:val="nil"/>
            </w:tcBorders>
            <w:shd w:val="clear" w:color="auto" w:fill="auto"/>
            <w:noWrap/>
            <w:vAlign w:val="center"/>
            <w:hideMark/>
          </w:tcPr>
          <w:p w:rsidR="00105819" w:rsidRPr="00AC1CDE" w:rsidRDefault="00105819" w:rsidP="000A40EC">
            <w:pPr>
              <w:jc w:val="right"/>
              <w:rPr>
                <w:b/>
                <w:sz w:val="20"/>
                <w:szCs w:val="18"/>
              </w:rPr>
            </w:pPr>
            <w:r w:rsidRPr="00AC1CDE">
              <w:rPr>
                <w:b/>
                <w:sz w:val="20"/>
                <w:szCs w:val="18"/>
              </w:rPr>
              <w:t>479,704</w:t>
            </w:r>
          </w:p>
        </w:tc>
        <w:tc>
          <w:tcPr>
            <w:tcW w:w="509" w:type="pct"/>
            <w:tcBorders>
              <w:top w:val="nil"/>
              <w:left w:val="nil"/>
              <w:bottom w:val="single" w:sz="4" w:space="0" w:color="auto"/>
              <w:right w:val="nil"/>
            </w:tcBorders>
            <w:shd w:val="clear" w:color="auto" w:fill="auto"/>
            <w:noWrap/>
            <w:vAlign w:val="center"/>
            <w:hideMark/>
          </w:tcPr>
          <w:p w:rsidR="00105819" w:rsidRPr="00AC1CDE" w:rsidRDefault="00105819" w:rsidP="000A40EC">
            <w:pPr>
              <w:jc w:val="right"/>
              <w:rPr>
                <w:b/>
                <w:sz w:val="20"/>
                <w:szCs w:val="18"/>
              </w:rPr>
            </w:pPr>
            <w:r w:rsidRPr="00AC1CDE">
              <w:rPr>
                <w:b/>
                <w:sz w:val="20"/>
                <w:szCs w:val="18"/>
              </w:rPr>
              <w:t>-</w:t>
            </w:r>
          </w:p>
        </w:tc>
        <w:tc>
          <w:tcPr>
            <w:tcW w:w="522" w:type="pct"/>
            <w:tcBorders>
              <w:top w:val="nil"/>
              <w:left w:val="nil"/>
              <w:bottom w:val="single" w:sz="4" w:space="0" w:color="auto"/>
              <w:right w:val="nil"/>
            </w:tcBorders>
            <w:shd w:val="clear" w:color="auto" w:fill="auto"/>
            <w:noWrap/>
            <w:vAlign w:val="center"/>
            <w:hideMark/>
          </w:tcPr>
          <w:p w:rsidR="00105819" w:rsidRPr="00AC1CDE" w:rsidRDefault="00105819" w:rsidP="000A40EC">
            <w:pPr>
              <w:jc w:val="right"/>
              <w:rPr>
                <w:b/>
                <w:sz w:val="20"/>
                <w:szCs w:val="18"/>
              </w:rPr>
            </w:pPr>
            <w:r w:rsidRPr="00AC1CDE">
              <w:rPr>
                <w:b/>
                <w:sz w:val="20"/>
                <w:szCs w:val="18"/>
              </w:rPr>
              <w:t>14,519</w:t>
            </w:r>
          </w:p>
        </w:tc>
        <w:tc>
          <w:tcPr>
            <w:tcW w:w="519" w:type="pct"/>
            <w:tcBorders>
              <w:top w:val="nil"/>
              <w:left w:val="nil"/>
              <w:bottom w:val="single" w:sz="4" w:space="0" w:color="auto"/>
              <w:right w:val="nil"/>
            </w:tcBorders>
            <w:shd w:val="clear" w:color="auto" w:fill="auto"/>
            <w:noWrap/>
            <w:vAlign w:val="center"/>
            <w:hideMark/>
          </w:tcPr>
          <w:p w:rsidR="00105819" w:rsidRPr="00AC1CDE" w:rsidRDefault="00105819" w:rsidP="000A40EC">
            <w:pPr>
              <w:jc w:val="right"/>
              <w:rPr>
                <w:b/>
                <w:bCs/>
                <w:sz w:val="20"/>
                <w:szCs w:val="18"/>
              </w:rPr>
            </w:pPr>
            <w:r w:rsidRPr="00AC1CDE">
              <w:rPr>
                <w:b/>
                <w:bCs/>
                <w:sz w:val="20"/>
                <w:szCs w:val="18"/>
              </w:rPr>
              <w:t>2,427,754</w:t>
            </w:r>
          </w:p>
        </w:tc>
      </w:tr>
      <w:tr w:rsidR="00105819" w:rsidRPr="00AC1CDE" w:rsidTr="000A40EC">
        <w:trPr>
          <w:trHeight w:val="304"/>
        </w:trPr>
        <w:tc>
          <w:tcPr>
            <w:tcW w:w="1575" w:type="pct"/>
            <w:gridSpan w:val="2"/>
            <w:tcBorders>
              <w:top w:val="nil"/>
              <w:left w:val="nil"/>
              <w:bottom w:val="nil"/>
              <w:right w:val="nil"/>
            </w:tcBorders>
            <w:shd w:val="clear" w:color="auto" w:fill="auto"/>
            <w:noWrap/>
            <w:vAlign w:val="bottom"/>
            <w:hideMark/>
          </w:tcPr>
          <w:p w:rsidR="00105819" w:rsidRPr="00AC1CDE" w:rsidRDefault="00105819" w:rsidP="000A40EC">
            <w:pPr>
              <w:rPr>
                <w:rFonts w:ascii="Calibri" w:hAnsi="Calibri"/>
                <w:sz w:val="18"/>
                <w:szCs w:val="18"/>
              </w:rPr>
            </w:pPr>
          </w:p>
        </w:tc>
        <w:tc>
          <w:tcPr>
            <w:tcW w:w="566" w:type="pct"/>
            <w:tcBorders>
              <w:top w:val="nil"/>
              <w:left w:val="nil"/>
              <w:bottom w:val="nil"/>
              <w:right w:val="nil"/>
            </w:tcBorders>
            <w:shd w:val="clear" w:color="auto" w:fill="auto"/>
            <w:noWrap/>
            <w:vAlign w:val="bottom"/>
            <w:hideMark/>
          </w:tcPr>
          <w:p w:rsidR="00105819" w:rsidRPr="00AC1CDE" w:rsidRDefault="00105819" w:rsidP="000A40EC">
            <w:pPr>
              <w:rPr>
                <w:rFonts w:ascii="Calibri" w:hAnsi="Calibri"/>
                <w:sz w:val="18"/>
                <w:szCs w:val="18"/>
              </w:rPr>
            </w:pPr>
          </w:p>
        </w:tc>
        <w:tc>
          <w:tcPr>
            <w:tcW w:w="743" w:type="pct"/>
            <w:tcBorders>
              <w:top w:val="nil"/>
              <w:left w:val="nil"/>
              <w:bottom w:val="nil"/>
              <w:right w:val="nil"/>
            </w:tcBorders>
            <w:shd w:val="clear" w:color="auto" w:fill="auto"/>
            <w:noWrap/>
            <w:vAlign w:val="bottom"/>
            <w:hideMark/>
          </w:tcPr>
          <w:p w:rsidR="00105819" w:rsidRPr="00AC1CDE" w:rsidRDefault="00105819" w:rsidP="000A40EC">
            <w:pPr>
              <w:rPr>
                <w:rFonts w:ascii="Calibri" w:hAnsi="Calibri"/>
                <w:sz w:val="18"/>
                <w:szCs w:val="18"/>
              </w:rPr>
            </w:pPr>
          </w:p>
        </w:tc>
        <w:tc>
          <w:tcPr>
            <w:tcW w:w="566" w:type="pct"/>
            <w:tcBorders>
              <w:top w:val="nil"/>
              <w:left w:val="nil"/>
              <w:bottom w:val="nil"/>
              <w:right w:val="nil"/>
            </w:tcBorders>
            <w:shd w:val="clear" w:color="auto" w:fill="auto"/>
            <w:noWrap/>
            <w:vAlign w:val="bottom"/>
            <w:hideMark/>
          </w:tcPr>
          <w:p w:rsidR="00105819" w:rsidRPr="00AC1CDE" w:rsidRDefault="00105819" w:rsidP="000A40EC">
            <w:pPr>
              <w:rPr>
                <w:rFonts w:ascii="Calibri" w:hAnsi="Calibri"/>
                <w:sz w:val="18"/>
                <w:szCs w:val="18"/>
              </w:rPr>
            </w:pPr>
          </w:p>
        </w:tc>
        <w:tc>
          <w:tcPr>
            <w:tcW w:w="509" w:type="pct"/>
            <w:tcBorders>
              <w:top w:val="nil"/>
              <w:left w:val="nil"/>
              <w:bottom w:val="nil"/>
              <w:right w:val="nil"/>
            </w:tcBorders>
            <w:shd w:val="clear" w:color="auto" w:fill="auto"/>
            <w:noWrap/>
            <w:vAlign w:val="bottom"/>
            <w:hideMark/>
          </w:tcPr>
          <w:p w:rsidR="00105819" w:rsidRPr="00AC1CDE" w:rsidRDefault="00105819" w:rsidP="000A40EC">
            <w:pPr>
              <w:rPr>
                <w:rFonts w:ascii="Calibri" w:hAnsi="Calibri"/>
                <w:sz w:val="18"/>
                <w:szCs w:val="18"/>
              </w:rPr>
            </w:pPr>
          </w:p>
        </w:tc>
        <w:tc>
          <w:tcPr>
            <w:tcW w:w="522" w:type="pct"/>
            <w:tcBorders>
              <w:top w:val="nil"/>
              <w:left w:val="nil"/>
              <w:bottom w:val="nil"/>
              <w:right w:val="nil"/>
            </w:tcBorders>
            <w:shd w:val="clear" w:color="auto" w:fill="auto"/>
            <w:noWrap/>
            <w:vAlign w:val="bottom"/>
            <w:hideMark/>
          </w:tcPr>
          <w:p w:rsidR="00105819" w:rsidRPr="00AC1CDE" w:rsidRDefault="00105819" w:rsidP="000A40EC">
            <w:pPr>
              <w:rPr>
                <w:rFonts w:ascii="Calibri" w:hAnsi="Calibri"/>
                <w:sz w:val="18"/>
                <w:szCs w:val="18"/>
              </w:rPr>
            </w:pPr>
          </w:p>
        </w:tc>
        <w:tc>
          <w:tcPr>
            <w:tcW w:w="519" w:type="pct"/>
            <w:tcBorders>
              <w:top w:val="nil"/>
              <w:left w:val="nil"/>
              <w:bottom w:val="nil"/>
              <w:right w:val="nil"/>
            </w:tcBorders>
            <w:shd w:val="clear" w:color="auto" w:fill="auto"/>
            <w:noWrap/>
            <w:vAlign w:val="bottom"/>
            <w:hideMark/>
          </w:tcPr>
          <w:p w:rsidR="00105819" w:rsidRPr="00AC1CDE" w:rsidRDefault="00105819" w:rsidP="000A40EC">
            <w:pPr>
              <w:rPr>
                <w:rFonts w:ascii="Calibri" w:hAnsi="Calibri"/>
                <w:b/>
                <w:bCs/>
                <w:color w:val="0000FF"/>
                <w:sz w:val="18"/>
                <w:szCs w:val="18"/>
              </w:rPr>
            </w:pPr>
          </w:p>
        </w:tc>
      </w:tr>
    </w:tbl>
    <w:p w:rsidR="00294AB0" w:rsidRPr="00AC1CDE" w:rsidRDefault="00294AB0" w:rsidP="00294AB0">
      <w:pPr>
        <w:spacing w:after="240"/>
        <w:rPr>
          <w:b/>
          <w:color w:val="FF0000"/>
        </w:rPr>
      </w:pPr>
    </w:p>
    <w:p w:rsidR="00294AB0" w:rsidRPr="00AC1CDE" w:rsidRDefault="00294AB0" w:rsidP="00294AB0">
      <w:pPr>
        <w:spacing w:after="240"/>
        <w:rPr>
          <w:b/>
          <w:color w:val="FF0000"/>
        </w:rPr>
      </w:pPr>
    </w:p>
    <w:p w:rsidR="00DD3129" w:rsidRPr="00AC1CDE" w:rsidRDefault="00DD3129" w:rsidP="00DD3129">
      <w:pPr>
        <w:rPr>
          <w:b/>
          <w:u w:val="single"/>
        </w:rPr>
      </w:pPr>
    </w:p>
    <w:p w:rsidR="00FA5ED3" w:rsidRPr="00AC1CDE" w:rsidRDefault="00FA5ED3" w:rsidP="00294AB0">
      <w:pPr>
        <w:ind w:left="720"/>
        <w:rPr>
          <w:b/>
          <w:u w:val="single"/>
        </w:rPr>
      </w:pPr>
    </w:p>
    <w:p w:rsidR="00F55204" w:rsidRPr="00AC1CDE" w:rsidRDefault="00F55204" w:rsidP="00DD3129">
      <w:pPr>
        <w:ind w:left="720"/>
        <w:rPr>
          <w:b/>
          <w:u w:val="single"/>
        </w:rPr>
      </w:pPr>
    </w:p>
    <w:p w:rsidR="00F55204" w:rsidRPr="00AC1CDE" w:rsidRDefault="00F55204" w:rsidP="00DD3129">
      <w:pPr>
        <w:ind w:left="720"/>
        <w:rPr>
          <w:b/>
          <w:u w:val="single"/>
        </w:rPr>
      </w:pPr>
    </w:p>
    <w:p w:rsidR="00F55204" w:rsidRDefault="00F55204" w:rsidP="00DD3129">
      <w:pPr>
        <w:ind w:left="720"/>
        <w:rPr>
          <w:b/>
          <w:u w:val="single"/>
        </w:rPr>
      </w:pPr>
    </w:p>
    <w:p w:rsidR="00876D20" w:rsidRDefault="00876D20" w:rsidP="00DD3129">
      <w:pPr>
        <w:ind w:left="720"/>
        <w:rPr>
          <w:b/>
          <w:u w:val="single"/>
        </w:rPr>
      </w:pPr>
    </w:p>
    <w:p w:rsidR="00876D20" w:rsidRDefault="00876D20" w:rsidP="00DD3129">
      <w:pPr>
        <w:ind w:left="720"/>
        <w:rPr>
          <w:b/>
          <w:u w:val="single"/>
        </w:rPr>
      </w:pPr>
    </w:p>
    <w:p w:rsidR="00876D20" w:rsidRDefault="00876D20" w:rsidP="00DD3129">
      <w:pPr>
        <w:ind w:left="720"/>
        <w:rPr>
          <w:b/>
          <w:u w:val="single"/>
        </w:rPr>
      </w:pPr>
    </w:p>
    <w:p w:rsidR="00876D20" w:rsidRDefault="00876D20" w:rsidP="00DD3129">
      <w:pPr>
        <w:ind w:left="720"/>
        <w:rPr>
          <w:b/>
          <w:u w:val="single"/>
        </w:rPr>
      </w:pPr>
    </w:p>
    <w:p w:rsidR="00876D20" w:rsidRDefault="00876D20" w:rsidP="00DD3129">
      <w:pPr>
        <w:ind w:left="720"/>
        <w:rPr>
          <w:b/>
          <w:u w:val="single"/>
        </w:rPr>
      </w:pPr>
    </w:p>
    <w:p w:rsidR="00876D20" w:rsidRDefault="00876D20" w:rsidP="00DD3129">
      <w:pPr>
        <w:ind w:left="720"/>
        <w:rPr>
          <w:b/>
          <w:u w:val="single"/>
        </w:rPr>
      </w:pPr>
    </w:p>
    <w:p w:rsidR="00876D20" w:rsidRDefault="00876D20" w:rsidP="00DD3129">
      <w:pPr>
        <w:ind w:left="720"/>
        <w:rPr>
          <w:b/>
          <w:u w:val="single"/>
        </w:rPr>
      </w:pPr>
    </w:p>
    <w:p w:rsidR="00876D20" w:rsidRDefault="00876D20" w:rsidP="00DD3129">
      <w:pPr>
        <w:ind w:left="720"/>
        <w:rPr>
          <w:b/>
          <w:u w:val="single"/>
        </w:rPr>
      </w:pPr>
    </w:p>
    <w:p w:rsidR="00876D20" w:rsidRDefault="00876D20" w:rsidP="00DD3129">
      <w:pPr>
        <w:ind w:left="720"/>
        <w:rPr>
          <w:b/>
          <w:u w:val="single"/>
        </w:rPr>
      </w:pPr>
    </w:p>
    <w:p w:rsidR="00876D20" w:rsidRDefault="00876D20" w:rsidP="00DD3129">
      <w:pPr>
        <w:ind w:left="720"/>
        <w:rPr>
          <w:b/>
          <w:u w:val="single"/>
        </w:rPr>
      </w:pPr>
    </w:p>
    <w:p w:rsidR="00876D20" w:rsidRDefault="00876D20" w:rsidP="00DD3129">
      <w:pPr>
        <w:ind w:left="720"/>
        <w:rPr>
          <w:b/>
          <w:u w:val="single"/>
        </w:rPr>
      </w:pPr>
    </w:p>
    <w:p w:rsidR="00876D20" w:rsidRDefault="00876D20" w:rsidP="00DD3129">
      <w:pPr>
        <w:ind w:left="720"/>
        <w:rPr>
          <w:b/>
          <w:u w:val="single"/>
        </w:rPr>
      </w:pPr>
    </w:p>
    <w:p w:rsidR="00876D20" w:rsidRDefault="00876D20" w:rsidP="00DD3129">
      <w:pPr>
        <w:ind w:left="720"/>
        <w:rPr>
          <w:b/>
          <w:u w:val="single"/>
        </w:rPr>
      </w:pPr>
    </w:p>
    <w:p w:rsidR="00876D20" w:rsidRDefault="00876D20" w:rsidP="00DD3129">
      <w:pPr>
        <w:ind w:left="720"/>
        <w:rPr>
          <w:b/>
          <w:u w:val="single"/>
        </w:rPr>
      </w:pPr>
    </w:p>
    <w:p w:rsidR="00876D20" w:rsidRDefault="00876D20" w:rsidP="00DD3129">
      <w:pPr>
        <w:ind w:left="720"/>
        <w:rPr>
          <w:b/>
          <w:u w:val="single"/>
        </w:rPr>
      </w:pPr>
    </w:p>
    <w:p w:rsidR="00876D20" w:rsidRDefault="00876D20" w:rsidP="00DD3129">
      <w:pPr>
        <w:ind w:left="720"/>
        <w:rPr>
          <w:b/>
          <w:u w:val="single"/>
        </w:rPr>
      </w:pPr>
    </w:p>
    <w:p w:rsidR="00876D20" w:rsidRDefault="00876D20" w:rsidP="00DD3129">
      <w:pPr>
        <w:ind w:left="720"/>
        <w:rPr>
          <w:b/>
          <w:u w:val="single"/>
        </w:rPr>
      </w:pPr>
    </w:p>
    <w:p w:rsidR="00876D20" w:rsidRDefault="00876D20" w:rsidP="00DD3129">
      <w:pPr>
        <w:ind w:left="720"/>
        <w:rPr>
          <w:b/>
          <w:u w:val="single"/>
        </w:rPr>
      </w:pPr>
    </w:p>
    <w:p w:rsidR="00876D20" w:rsidRDefault="00876D20" w:rsidP="00DD3129">
      <w:pPr>
        <w:ind w:left="720"/>
        <w:rPr>
          <w:b/>
          <w:u w:val="single"/>
        </w:rPr>
      </w:pPr>
    </w:p>
    <w:p w:rsidR="00876D20" w:rsidRDefault="00876D20" w:rsidP="00DD3129">
      <w:pPr>
        <w:ind w:left="720"/>
        <w:rPr>
          <w:b/>
          <w:u w:val="single"/>
        </w:rPr>
      </w:pPr>
    </w:p>
    <w:p w:rsidR="00876D20" w:rsidRPr="00422E48" w:rsidRDefault="00422E48" w:rsidP="00DD3129">
      <w:pPr>
        <w:ind w:left="720"/>
      </w:pPr>
      <w:r>
        <w:t xml:space="preserve">Within the other land and buildings is included the new waste </w:t>
      </w:r>
      <w:r w:rsidR="006F7513">
        <w:t>treatment facilities. In addition to the land and the fabric of the building, the value includes an element for equipment which is considered to be integral to the overall facility rather than the separate items of loose equipment.</w:t>
      </w:r>
    </w:p>
    <w:p w:rsidR="00876D20" w:rsidRPr="00AC1CDE" w:rsidRDefault="00876D20" w:rsidP="00DD3129">
      <w:pPr>
        <w:ind w:left="720"/>
        <w:rPr>
          <w:b/>
          <w:u w:val="single"/>
        </w:rPr>
      </w:pPr>
    </w:p>
    <w:p w:rsidR="00F55204" w:rsidRPr="00AC1CDE" w:rsidRDefault="00936076" w:rsidP="00DD3129">
      <w:pPr>
        <w:ind w:left="720"/>
        <w:rPr>
          <w:b/>
          <w:u w:val="single"/>
        </w:rPr>
      </w:pPr>
      <w:r w:rsidRPr="00AC1CDE">
        <w:rPr>
          <w:b/>
          <w:u w:val="single"/>
        </w:rPr>
        <w:lastRenderedPageBreak/>
        <w:t>2010</w:t>
      </w:r>
      <w:r w:rsidR="0025736A" w:rsidRPr="00AC1CDE">
        <w:rPr>
          <w:b/>
          <w:u w:val="single"/>
        </w:rPr>
        <w:t>/1</w:t>
      </w:r>
      <w:r w:rsidRPr="00AC1CDE">
        <w:rPr>
          <w:b/>
          <w:u w:val="single"/>
        </w:rPr>
        <w:t>1</w:t>
      </w:r>
      <w:r w:rsidR="0025736A" w:rsidRPr="00AC1CDE">
        <w:rPr>
          <w:b/>
          <w:u w:val="single"/>
        </w:rPr>
        <w:t xml:space="preserve"> </w:t>
      </w:r>
    </w:p>
    <w:p w:rsidR="00294AB0" w:rsidRPr="00AC1CDE" w:rsidRDefault="00294AB0" w:rsidP="00DD3129">
      <w:pPr>
        <w:ind w:left="720"/>
        <w:rPr>
          <w:b/>
          <w:u w:val="single"/>
        </w:rPr>
      </w:pPr>
      <w:r w:rsidRPr="00AC1CDE">
        <w:rPr>
          <w:b/>
          <w:u w:val="single"/>
        </w:rPr>
        <w:t>Comparative Year Re-stated</w:t>
      </w:r>
    </w:p>
    <w:p w:rsidR="00294AB0" w:rsidRDefault="00294AB0" w:rsidP="00F076D1">
      <w:pPr>
        <w:rPr>
          <w:b/>
          <w:highlight w:val="yellow"/>
        </w:rPr>
      </w:pPr>
    </w:p>
    <w:p w:rsidR="002643B5" w:rsidRDefault="002643B5" w:rsidP="00F076D1">
      <w:pPr>
        <w:rPr>
          <w:b/>
          <w:highlight w:val="yellow"/>
        </w:rPr>
      </w:pPr>
    </w:p>
    <w:tbl>
      <w:tblPr>
        <w:tblpPr w:leftFromText="180" w:rightFromText="180" w:vertAnchor="text" w:horzAnchor="page" w:tblpX="1453" w:tblpY="278"/>
        <w:tblW w:w="14709" w:type="dxa"/>
        <w:tblLook w:val="04A0"/>
      </w:tblPr>
      <w:tblGrid>
        <w:gridCol w:w="295"/>
        <w:gridCol w:w="2184"/>
        <w:gridCol w:w="1162"/>
        <w:gridCol w:w="1162"/>
        <w:gridCol w:w="1749"/>
        <w:gridCol w:w="2127"/>
        <w:gridCol w:w="1701"/>
        <w:gridCol w:w="1417"/>
        <w:gridCol w:w="1559"/>
        <w:gridCol w:w="1353"/>
      </w:tblGrid>
      <w:tr w:rsidR="002643B5" w:rsidRPr="00AC1CDE" w:rsidTr="000A40EC">
        <w:trPr>
          <w:trHeight w:val="1218"/>
        </w:trPr>
        <w:tc>
          <w:tcPr>
            <w:tcW w:w="2479" w:type="dxa"/>
            <w:gridSpan w:val="2"/>
            <w:tcBorders>
              <w:top w:val="nil"/>
              <w:left w:val="nil"/>
              <w:bottom w:val="nil"/>
              <w:right w:val="nil"/>
            </w:tcBorders>
            <w:shd w:val="clear" w:color="auto" w:fill="auto"/>
            <w:noWrap/>
            <w:vAlign w:val="bottom"/>
            <w:hideMark/>
          </w:tcPr>
          <w:p w:rsidR="002643B5" w:rsidRPr="00AC1CDE" w:rsidRDefault="002643B5" w:rsidP="000A40EC">
            <w:pPr>
              <w:rPr>
                <w:sz w:val="20"/>
                <w:szCs w:val="18"/>
              </w:rPr>
            </w:pPr>
          </w:p>
        </w:tc>
        <w:tc>
          <w:tcPr>
            <w:tcW w:w="1162" w:type="dxa"/>
            <w:tcBorders>
              <w:top w:val="nil"/>
              <w:left w:val="nil"/>
              <w:bottom w:val="nil"/>
              <w:right w:val="nil"/>
            </w:tcBorders>
            <w:shd w:val="clear" w:color="auto" w:fill="auto"/>
            <w:vAlign w:val="center"/>
            <w:hideMark/>
          </w:tcPr>
          <w:p w:rsidR="002643B5" w:rsidRPr="00AC1CDE" w:rsidRDefault="002643B5" w:rsidP="000A40EC">
            <w:pPr>
              <w:jc w:val="right"/>
              <w:rPr>
                <w:sz w:val="20"/>
                <w:szCs w:val="18"/>
              </w:rPr>
            </w:pPr>
          </w:p>
        </w:tc>
        <w:tc>
          <w:tcPr>
            <w:tcW w:w="1162" w:type="dxa"/>
            <w:tcBorders>
              <w:top w:val="nil"/>
              <w:left w:val="nil"/>
              <w:bottom w:val="nil"/>
              <w:right w:val="nil"/>
            </w:tcBorders>
            <w:shd w:val="clear" w:color="auto" w:fill="auto"/>
            <w:vAlign w:val="center"/>
            <w:hideMark/>
          </w:tcPr>
          <w:p w:rsidR="002643B5" w:rsidRPr="00AC1CDE" w:rsidRDefault="002643B5" w:rsidP="000A40EC">
            <w:pPr>
              <w:jc w:val="right"/>
              <w:rPr>
                <w:sz w:val="20"/>
                <w:szCs w:val="18"/>
              </w:rPr>
            </w:pPr>
            <w:r w:rsidRPr="00AC1CDE">
              <w:rPr>
                <w:sz w:val="20"/>
                <w:szCs w:val="18"/>
              </w:rPr>
              <w:t>Other Land and Buildings</w:t>
            </w:r>
          </w:p>
        </w:tc>
        <w:tc>
          <w:tcPr>
            <w:tcW w:w="1749" w:type="dxa"/>
            <w:tcBorders>
              <w:top w:val="nil"/>
              <w:left w:val="nil"/>
              <w:bottom w:val="nil"/>
              <w:right w:val="nil"/>
            </w:tcBorders>
            <w:shd w:val="clear" w:color="auto" w:fill="auto"/>
            <w:vAlign w:val="center"/>
            <w:hideMark/>
          </w:tcPr>
          <w:p w:rsidR="002643B5" w:rsidRPr="00AC1CDE" w:rsidRDefault="002643B5" w:rsidP="000A40EC">
            <w:pPr>
              <w:jc w:val="right"/>
              <w:rPr>
                <w:sz w:val="20"/>
                <w:szCs w:val="18"/>
              </w:rPr>
            </w:pPr>
            <w:r w:rsidRPr="00AC1CDE">
              <w:rPr>
                <w:sz w:val="20"/>
                <w:szCs w:val="18"/>
              </w:rPr>
              <w:t>Vehicles, Plant, Furniture &amp; Equipment</w:t>
            </w:r>
          </w:p>
        </w:tc>
        <w:tc>
          <w:tcPr>
            <w:tcW w:w="2127" w:type="dxa"/>
            <w:tcBorders>
              <w:top w:val="nil"/>
              <w:left w:val="nil"/>
              <w:bottom w:val="nil"/>
              <w:right w:val="nil"/>
            </w:tcBorders>
            <w:shd w:val="clear" w:color="auto" w:fill="auto"/>
            <w:vAlign w:val="center"/>
            <w:hideMark/>
          </w:tcPr>
          <w:p w:rsidR="002643B5" w:rsidRPr="00AC1CDE" w:rsidRDefault="002643B5" w:rsidP="000A40EC">
            <w:pPr>
              <w:jc w:val="right"/>
              <w:rPr>
                <w:sz w:val="20"/>
                <w:szCs w:val="18"/>
              </w:rPr>
            </w:pPr>
            <w:r w:rsidRPr="00AC1CDE">
              <w:rPr>
                <w:sz w:val="20"/>
                <w:szCs w:val="18"/>
              </w:rPr>
              <w:t>Infrastructure Assets</w:t>
            </w:r>
          </w:p>
        </w:tc>
        <w:tc>
          <w:tcPr>
            <w:tcW w:w="1701" w:type="dxa"/>
            <w:tcBorders>
              <w:top w:val="nil"/>
              <w:left w:val="nil"/>
              <w:bottom w:val="nil"/>
              <w:right w:val="nil"/>
            </w:tcBorders>
            <w:shd w:val="clear" w:color="auto" w:fill="auto"/>
            <w:vAlign w:val="center"/>
            <w:hideMark/>
          </w:tcPr>
          <w:p w:rsidR="002643B5" w:rsidRPr="00AC1CDE" w:rsidRDefault="002643B5" w:rsidP="000A40EC">
            <w:pPr>
              <w:jc w:val="right"/>
              <w:rPr>
                <w:sz w:val="20"/>
                <w:szCs w:val="18"/>
              </w:rPr>
            </w:pPr>
            <w:r w:rsidRPr="00AC1CDE">
              <w:rPr>
                <w:sz w:val="20"/>
                <w:szCs w:val="18"/>
              </w:rPr>
              <w:t>Community Assets</w:t>
            </w:r>
          </w:p>
        </w:tc>
        <w:tc>
          <w:tcPr>
            <w:tcW w:w="1417" w:type="dxa"/>
            <w:tcBorders>
              <w:top w:val="nil"/>
              <w:left w:val="nil"/>
              <w:bottom w:val="nil"/>
              <w:right w:val="nil"/>
            </w:tcBorders>
            <w:shd w:val="clear" w:color="auto" w:fill="auto"/>
            <w:vAlign w:val="center"/>
            <w:hideMark/>
          </w:tcPr>
          <w:p w:rsidR="002643B5" w:rsidRPr="00AC1CDE" w:rsidRDefault="002643B5" w:rsidP="000A40EC">
            <w:pPr>
              <w:jc w:val="right"/>
              <w:rPr>
                <w:sz w:val="20"/>
                <w:szCs w:val="18"/>
              </w:rPr>
            </w:pPr>
            <w:r w:rsidRPr="00AC1CDE">
              <w:rPr>
                <w:sz w:val="20"/>
                <w:szCs w:val="18"/>
              </w:rPr>
              <w:t>Assets Under Construction</w:t>
            </w:r>
          </w:p>
        </w:tc>
        <w:tc>
          <w:tcPr>
            <w:tcW w:w="1559" w:type="dxa"/>
            <w:tcBorders>
              <w:top w:val="nil"/>
              <w:left w:val="nil"/>
              <w:bottom w:val="nil"/>
              <w:right w:val="nil"/>
            </w:tcBorders>
            <w:shd w:val="clear" w:color="auto" w:fill="auto"/>
            <w:vAlign w:val="center"/>
            <w:hideMark/>
          </w:tcPr>
          <w:p w:rsidR="002643B5" w:rsidRPr="00AC1CDE" w:rsidRDefault="002643B5" w:rsidP="000A40EC">
            <w:pPr>
              <w:jc w:val="right"/>
              <w:rPr>
                <w:b/>
                <w:bCs/>
                <w:sz w:val="20"/>
                <w:szCs w:val="18"/>
              </w:rPr>
            </w:pPr>
            <w:r w:rsidRPr="00AC1CDE">
              <w:rPr>
                <w:b/>
                <w:bCs/>
                <w:sz w:val="20"/>
                <w:szCs w:val="18"/>
              </w:rPr>
              <w:t>Total Property, Plant &amp; Equipment</w:t>
            </w:r>
          </w:p>
        </w:tc>
        <w:tc>
          <w:tcPr>
            <w:tcW w:w="1353" w:type="dxa"/>
            <w:tcBorders>
              <w:top w:val="nil"/>
              <w:left w:val="nil"/>
              <w:bottom w:val="nil"/>
              <w:right w:val="nil"/>
            </w:tcBorders>
          </w:tcPr>
          <w:p w:rsidR="002643B5" w:rsidRPr="00AC1CDE" w:rsidRDefault="002643B5" w:rsidP="000A40EC">
            <w:pPr>
              <w:jc w:val="right"/>
              <w:rPr>
                <w:bCs/>
                <w:sz w:val="20"/>
                <w:szCs w:val="18"/>
              </w:rPr>
            </w:pPr>
            <w:r w:rsidRPr="00AC1CDE">
              <w:rPr>
                <w:bCs/>
                <w:sz w:val="20"/>
                <w:szCs w:val="18"/>
              </w:rPr>
              <w:t>PFI Assets Included in Property, Plant and Equipment</w:t>
            </w:r>
          </w:p>
        </w:tc>
      </w:tr>
      <w:tr w:rsidR="002643B5" w:rsidRPr="00AC1CDE" w:rsidTr="000A40EC">
        <w:trPr>
          <w:trHeight w:val="304"/>
        </w:trPr>
        <w:tc>
          <w:tcPr>
            <w:tcW w:w="2479" w:type="dxa"/>
            <w:gridSpan w:val="2"/>
            <w:tcBorders>
              <w:top w:val="nil"/>
              <w:left w:val="nil"/>
              <w:bottom w:val="nil"/>
              <w:right w:val="nil"/>
            </w:tcBorders>
            <w:shd w:val="clear" w:color="auto" w:fill="auto"/>
            <w:noWrap/>
            <w:vAlign w:val="bottom"/>
            <w:hideMark/>
          </w:tcPr>
          <w:p w:rsidR="002643B5" w:rsidRPr="00AC1CDE" w:rsidRDefault="002643B5" w:rsidP="000A40EC">
            <w:pPr>
              <w:rPr>
                <w:sz w:val="20"/>
                <w:szCs w:val="18"/>
              </w:rPr>
            </w:pPr>
          </w:p>
        </w:tc>
        <w:tc>
          <w:tcPr>
            <w:tcW w:w="1162" w:type="dxa"/>
            <w:tcBorders>
              <w:top w:val="nil"/>
              <w:left w:val="nil"/>
              <w:bottom w:val="nil"/>
              <w:right w:val="nil"/>
            </w:tcBorders>
            <w:shd w:val="clear" w:color="auto" w:fill="auto"/>
            <w:noWrap/>
            <w:vAlign w:val="bottom"/>
            <w:hideMark/>
          </w:tcPr>
          <w:p w:rsidR="002643B5" w:rsidRPr="00AC1CDE" w:rsidRDefault="002643B5" w:rsidP="000A40EC">
            <w:pPr>
              <w:jc w:val="right"/>
              <w:rPr>
                <w:sz w:val="20"/>
                <w:szCs w:val="18"/>
              </w:rPr>
            </w:pPr>
          </w:p>
        </w:tc>
        <w:tc>
          <w:tcPr>
            <w:tcW w:w="1162" w:type="dxa"/>
            <w:tcBorders>
              <w:top w:val="nil"/>
              <w:left w:val="nil"/>
              <w:bottom w:val="nil"/>
              <w:right w:val="nil"/>
            </w:tcBorders>
            <w:shd w:val="clear" w:color="auto" w:fill="auto"/>
            <w:noWrap/>
            <w:vAlign w:val="bottom"/>
            <w:hideMark/>
          </w:tcPr>
          <w:p w:rsidR="002643B5" w:rsidRPr="00AC1CDE" w:rsidRDefault="002643B5" w:rsidP="000A40EC">
            <w:pPr>
              <w:jc w:val="right"/>
              <w:rPr>
                <w:sz w:val="20"/>
                <w:szCs w:val="18"/>
              </w:rPr>
            </w:pPr>
            <w:r w:rsidRPr="00AC1CDE">
              <w:rPr>
                <w:sz w:val="20"/>
                <w:szCs w:val="18"/>
              </w:rPr>
              <w:t>£000</w:t>
            </w:r>
          </w:p>
        </w:tc>
        <w:tc>
          <w:tcPr>
            <w:tcW w:w="1749" w:type="dxa"/>
            <w:tcBorders>
              <w:top w:val="nil"/>
              <w:left w:val="nil"/>
              <w:bottom w:val="nil"/>
              <w:right w:val="nil"/>
            </w:tcBorders>
            <w:shd w:val="clear" w:color="auto" w:fill="auto"/>
            <w:noWrap/>
            <w:vAlign w:val="bottom"/>
            <w:hideMark/>
          </w:tcPr>
          <w:p w:rsidR="002643B5" w:rsidRPr="00AC1CDE" w:rsidRDefault="002643B5" w:rsidP="000A40EC">
            <w:pPr>
              <w:jc w:val="right"/>
              <w:rPr>
                <w:sz w:val="20"/>
                <w:szCs w:val="18"/>
              </w:rPr>
            </w:pPr>
            <w:r w:rsidRPr="00AC1CDE">
              <w:rPr>
                <w:sz w:val="20"/>
                <w:szCs w:val="18"/>
              </w:rPr>
              <w:t>£000</w:t>
            </w:r>
          </w:p>
        </w:tc>
        <w:tc>
          <w:tcPr>
            <w:tcW w:w="2127" w:type="dxa"/>
            <w:tcBorders>
              <w:top w:val="nil"/>
              <w:left w:val="nil"/>
              <w:bottom w:val="nil"/>
              <w:right w:val="nil"/>
            </w:tcBorders>
            <w:shd w:val="clear" w:color="auto" w:fill="auto"/>
            <w:noWrap/>
            <w:vAlign w:val="bottom"/>
            <w:hideMark/>
          </w:tcPr>
          <w:p w:rsidR="002643B5" w:rsidRPr="00AC1CDE" w:rsidRDefault="002643B5" w:rsidP="000A40EC">
            <w:pPr>
              <w:jc w:val="right"/>
              <w:rPr>
                <w:sz w:val="20"/>
                <w:szCs w:val="18"/>
              </w:rPr>
            </w:pPr>
            <w:r w:rsidRPr="00AC1CDE">
              <w:rPr>
                <w:sz w:val="20"/>
                <w:szCs w:val="18"/>
              </w:rPr>
              <w:t>£000</w:t>
            </w:r>
          </w:p>
        </w:tc>
        <w:tc>
          <w:tcPr>
            <w:tcW w:w="1701" w:type="dxa"/>
            <w:tcBorders>
              <w:top w:val="nil"/>
              <w:left w:val="nil"/>
              <w:bottom w:val="nil"/>
              <w:right w:val="nil"/>
            </w:tcBorders>
            <w:shd w:val="clear" w:color="auto" w:fill="auto"/>
            <w:noWrap/>
            <w:vAlign w:val="bottom"/>
            <w:hideMark/>
          </w:tcPr>
          <w:p w:rsidR="002643B5" w:rsidRPr="00AC1CDE" w:rsidRDefault="002643B5" w:rsidP="000A40EC">
            <w:pPr>
              <w:jc w:val="right"/>
              <w:rPr>
                <w:sz w:val="20"/>
                <w:szCs w:val="18"/>
              </w:rPr>
            </w:pPr>
            <w:r w:rsidRPr="00AC1CDE">
              <w:rPr>
                <w:sz w:val="20"/>
                <w:szCs w:val="18"/>
              </w:rPr>
              <w:t>£000</w:t>
            </w:r>
          </w:p>
        </w:tc>
        <w:tc>
          <w:tcPr>
            <w:tcW w:w="1417" w:type="dxa"/>
            <w:tcBorders>
              <w:top w:val="nil"/>
              <w:left w:val="nil"/>
              <w:bottom w:val="nil"/>
              <w:right w:val="nil"/>
            </w:tcBorders>
            <w:shd w:val="clear" w:color="auto" w:fill="auto"/>
            <w:noWrap/>
            <w:vAlign w:val="bottom"/>
            <w:hideMark/>
          </w:tcPr>
          <w:p w:rsidR="002643B5" w:rsidRPr="00AC1CDE" w:rsidRDefault="002643B5" w:rsidP="000A40EC">
            <w:pPr>
              <w:jc w:val="right"/>
              <w:rPr>
                <w:sz w:val="20"/>
                <w:szCs w:val="18"/>
              </w:rPr>
            </w:pPr>
            <w:r w:rsidRPr="00AC1CDE">
              <w:rPr>
                <w:sz w:val="20"/>
                <w:szCs w:val="18"/>
              </w:rPr>
              <w:t>£000</w:t>
            </w:r>
          </w:p>
        </w:tc>
        <w:tc>
          <w:tcPr>
            <w:tcW w:w="1559" w:type="dxa"/>
            <w:tcBorders>
              <w:top w:val="nil"/>
              <w:left w:val="nil"/>
              <w:bottom w:val="nil"/>
              <w:right w:val="nil"/>
            </w:tcBorders>
            <w:shd w:val="clear" w:color="auto" w:fill="auto"/>
            <w:noWrap/>
            <w:vAlign w:val="bottom"/>
            <w:hideMark/>
          </w:tcPr>
          <w:p w:rsidR="002643B5" w:rsidRPr="00AC1CDE" w:rsidRDefault="002643B5" w:rsidP="000A40EC">
            <w:pPr>
              <w:jc w:val="right"/>
              <w:rPr>
                <w:b/>
                <w:bCs/>
                <w:sz w:val="20"/>
                <w:szCs w:val="18"/>
              </w:rPr>
            </w:pPr>
            <w:r w:rsidRPr="00AC1CDE">
              <w:rPr>
                <w:b/>
                <w:bCs/>
                <w:sz w:val="20"/>
                <w:szCs w:val="18"/>
              </w:rPr>
              <w:t>£000</w:t>
            </w:r>
          </w:p>
        </w:tc>
        <w:tc>
          <w:tcPr>
            <w:tcW w:w="1353" w:type="dxa"/>
            <w:tcBorders>
              <w:top w:val="nil"/>
              <w:left w:val="nil"/>
              <w:bottom w:val="nil"/>
              <w:right w:val="nil"/>
            </w:tcBorders>
            <w:vAlign w:val="bottom"/>
          </w:tcPr>
          <w:p w:rsidR="002643B5" w:rsidRPr="00AC1CDE" w:rsidRDefault="002643B5" w:rsidP="000A40EC">
            <w:pPr>
              <w:jc w:val="right"/>
              <w:rPr>
                <w:b/>
                <w:bCs/>
                <w:sz w:val="20"/>
                <w:szCs w:val="18"/>
              </w:rPr>
            </w:pPr>
            <w:r w:rsidRPr="00AC1CDE">
              <w:rPr>
                <w:sz w:val="20"/>
                <w:szCs w:val="18"/>
              </w:rPr>
              <w:t>£000</w:t>
            </w:r>
          </w:p>
        </w:tc>
      </w:tr>
      <w:tr w:rsidR="002643B5" w:rsidRPr="00AC1CDE" w:rsidTr="000A40EC">
        <w:trPr>
          <w:trHeight w:val="304"/>
        </w:trPr>
        <w:tc>
          <w:tcPr>
            <w:tcW w:w="2479" w:type="dxa"/>
            <w:gridSpan w:val="2"/>
            <w:tcBorders>
              <w:top w:val="nil"/>
              <w:left w:val="nil"/>
              <w:bottom w:val="nil"/>
              <w:right w:val="nil"/>
            </w:tcBorders>
            <w:shd w:val="clear" w:color="auto" w:fill="auto"/>
            <w:noWrap/>
            <w:vAlign w:val="bottom"/>
            <w:hideMark/>
          </w:tcPr>
          <w:p w:rsidR="002643B5" w:rsidRPr="00AC1CDE" w:rsidRDefault="002643B5" w:rsidP="000A40EC">
            <w:pPr>
              <w:rPr>
                <w:sz w:val="20"/>
                <w:szCs w:val="18"/>
              </w:rPr>
            </w:pPr>
          </w:p>
        </w:tc>
        <w:tc>
          <w:tcPr>
            <w:tcW w:w="1162" w:type="dxa"/>
            <w:tcBorders>
              <w:top w:val="nil"/>
              <w:left w:val="nil"/>
              <w:bottom w:val="nil"/>
              <w:right w:val="nil"/>
            </w:tcBorders>
            <w:shd w:val="clear" w:color="auto" w:fill="auto"/>
            <w:noWrap/>
            <w:vAlign w:val="bottom"/>
            <w:hideMark/>
          </w:tcPr>
          <w:p w:rsidR="002643B5" w:rsidRPr="00AC1CDE" w:rsidRDefault="002643B5" w:rsidP="000A40EC">
            <w:pPr>
              <w:rPr>
                <w:sz w:val="20"/>
                <w:szCs w:val="18"/>
              </w:rPr>
            </w:pPr>
          </w:p>
        </w:tc>
        <w:tc>
          <w:tcPr>
            <w:tcW w:w="1162" w:type="dxa"/>
            <w:tcBorders>
              <w:top w:val="nil"/>
              <w:left w:val="nil"/>
              <w:bottom w:val="nil"/>
              <w:right w:val="nil"/>
            </w:tcBorders>
            <w:shd w:val="clear" w:color="auto" w:fill="auto"/>
            <w:noWrap/>
            <w:vAlign w:val="bottom"/>
            <w:hideMark/>
          </w:tcPr>
          <w:p w:rsidR="002643B5" w:rsidRPr="00AC1CDE" w:rsidRDefault="002643B5" w:rsidP="000A40EC">
            <w:pPr>
              <w:jc w:val="center"/>
              <w:rPr>
                <w:sz w:val="20"/>
                <w:szCs w:val="18"/>
              </w:rPr>
            </w:pPr>
          </w:p>
        </w:tc>
        <w:tc>
          <w:tcPr>
            <w:tcW w:w="1749" w:type="dxa"/>
            <w:tcBorders>
              <w:top w:val="nil"/>
              <w:left w:val="nil"/>
              <w:bottom w:val="nil"/>
              <w:right w:val="nil"/>
            </w:tcBorders>
            <w:shd w:val="clear" w:color="auto" w:fill="auto"/>
            <w:noWrap/>
            <w:vAlign w:val="bottom"/>
            <w:hideMark/>
          </w:tcPr>
          <w:p w:rsidR="002643B5" w:rsidRPr="00AC1CDE" w:rsidRDefault="002643B5" w:rsidP="000A40EC">
            <w:pPr>
              <w:jc w:val="center"/>
              <w:rPr>
                <w:sz w:val="20"/>
                <w:szCs w:val="18"/>
              </w:rPr>
            </w:pPr>
          </w:p>
        </w:tc>
        <w:tc>
          <w:tcPr>
            <w:tcW w:w="2127" w:type="dxa"/>
            <w:tcBorders>
              <w:top w:val="nil"/>
              <w:left w:val="nil"/>
              <w:bottom w:val="nil"/>
              <w:right w:val="nil"/>
            </w:tcBorders>
            <w:shd w:val="clear" w:color="auto" w:fill="auto"/>
            <w:noWrap/>
            <w:vAlign w:val="bottom"/>
            <w:hideMark/>
          </w:tcPr>
          <w:p w:rsidR="002643B5" w:rsidRPr="00AC1CDE" w:rsidRDefault="002643B5" w:rsidP="000A40EC">
            <w:pPr>
              <w:jc w:val="center"/>
              <w:rPr>
                <w:sz w:val="20"/>
                <w:szCs w:val="18"/>
              </w:rPr>
            </w:pPr>
          </w:p>
        </w:tc>
        <w:tc>
          <w:tcPr>
            <w:tcW w:w="1701" w:type="dxa"/>
            <w:tcBorders>
              <w:top w:val="nil"/>
              <w:left w:val="nil"/>
              <w:bottom w:val="nil"/>
              <w:right w:val="nil"/>
            </w:tcBorders>
            <w:shd w:val="clear" w:color="auto" w:fill="auto"/>
            <w:noWrap/>
            <w:vAlign w:val="bottom"/>
            <w:hideMark/>
          </w:tcPr>
          <w:p w:rsidR="002643B5" w:rsidRPr="00AC1CDE" w:rsidRDefault="002643B5" w:rsidP="000A40EC">
            <w:pPr>
              <w:jc w:val="center"/>
              <w:rPr>
                <w:sz w:val="20"/>
                <w:szCs w:val="18"/>
              </w:rPr>
            </w:pPr>
          </w:p>
        </w:tc>
        <w:tc>
          <w:tcPr>
            <w:tcW w:w="1417" w:type="dxa"/>
            <w:tcBorders>
              <w:top w:val="nil"/>
              <w:left w:val="nil"/>
              <w:bottom w:val="nil"/>
              <w:right w:val="nil"/>
            </w:tcBorders>
            <w:shd w:val="clear" w:color="auto" w:fill="auto"/>
            <w:noWrap/>
            <w:vAlign w:val="bottom"/>
            <w:hideMark/>
          </w:tcPr>
          <w:p w:rsidR="002643B5" w:rsidRPr="00AC1CDE" w:rsidRDefault="002643B5" w:rsidP="000A40EC">
            <w:pPr>
              <w:jc w:val="center"/>
              <w:rPr>
                <w:sz w:val="20"/>
                <w:szCs w:val="18"/>
              </w:rPr>
            </w:pPr>
          </w:p>
        </w:tc>
        <w:tc>
          <w:tcPr>
            <w:tcW w:w="1559" w:type="dxa"/>
            <w:tcBorders>
              <w:top w:val="nil"/>
              <w:left w:val="nil"/>
              <w:bottom w:val="nil"/>
              <w:right w:val="nil"/>
            </w:tcBorders>
            <w:shd w:val="clear" w:color="auto" w:fill="auto"/>
            <w:noWrap/>
            <w:vAlign w:val="bottom"/>
            <w:hideMark/>
          </w:tcPr>
          <w:p w:rsidR="002643B5" w:rsidRPr="00AC1CDE" w:rsidRDefault="002643B5" w:rsidP="000A40EC">
            <w:pPr>
              <w:jc w:val="center"/>
              <w:rPr>
                <w:b/>
                <w:bCs/>
                <w:color w:val="0000FF"/>
                <w:sz w:val="20"/>
                <w:szCs w:val="18"/>
              </w:rPr>
            </w:pPr>
          </w:p>
        </w:tc>
        <w:tc>
          <w:tcPr>
            <w:tcW w:w="1353" w:type="dxa"/>
            <w:tcBorders>
              <w:top w:val="nil"/>
              <w:left w:val="nil"/>
              <w:bottom w:val="nil"/>
              <w:right w:val="nil"/>
            </w:tcBorders>
          </w:tcPr>
          <w:p w:rsidR="002643B5" w:rsidRPr="00AC1CDE" w:rsidRDefault="002643B5" w:rsidP="000A40EC">
            <w:pPr>
              <w:jc w:val="center"/>
              <w:rPr>
                <w:b/>
                <w:bCs/>
                <w:color w:val="0000FF"/>
                <w:sz w:val="20"/>
                <w:szCs w:val="18"/>
              </w:rPr>
            </w:pPr>
          </w:p>
        </w:tc>
      </w:tr>
      <w:tr w:rsidR="002643B5" w:rsidRPr="00AC1CDE" w:rsidTr="000A40EC">
        <w:trPr>
          <w:trHeight w:val="323"/>
        </w:trPr>
        <w:tc>
          <w:tcPr>
            <w:tcW w:w="2479" w:type="dxa"/>
            <w:gridSpan w:val="2"/>
            <w:tcBorders>
              <w:top w:val="nil"/>
              <w:left w:val="nil"/>
              <w:bottom w:val="nil"/>
              <w:right w:val="nil"/>
            </w:tcBorders>
            <w:shd w:val="clear" w:color="auto" w:fill="auto"/>
            <w:noWrap/>
            <w:vAlign w:val="bottom"/>
            <w:hideMark/>
          </w:tcPr>
          <w:p w:rsidR="002643B5" w:rsidRPr="00AC1CDE" w:rsidRDefault="002643B5" w:rsidP="000A40EC">
            <w:pPr>
              <w:rPr>
                <w:b/>
                <w:bCs/>
                <w:sz w:val="20"/>
                <w:szCs w:val="20"/>
              </w:rPr>
            </w:pPr>
            <w:r w:rsidRPr="00AC1CDE">
              <w:rPr>
                <w:b/>
                <w:bCs/>
                <w:sz w:val="20"/>
                <w:szCs w:val="20"/>
              </w:rPr>
              <w:t xml:space="preserve">Cost or valuation </w:t>
            </w:r>
          </w:p>
        </w:tc>
        <w:tc>
          <w:tcPr>
            <w:tcW w:w="1162" w:type="dxa"/>
            <w:tcBorders>
              <w:top w:val="single" w:sz="4" w:space="0" w:color="auto"/>
              <w:left w:val="nil"/>
              <w:bottom w:val="nil"/>
              <w:right w:val="nil"/>
            </w:tcBorders>
            <w:shd w:val="clear" w:color="auto" w:fill="auto"/>
            <w:noWrap/>
            <w:vAlign w:val="bottom"/>
            <w:hideMark/>
          </w:tcPr>
          <w:p w:rsidR="002643B5" w:rsidRPr="00AC1CDE" w:rsidRDefault="002643B5" w:rsidP="000A40EC">
            <w:pPr>
              <w:rPr>
                <w:sz w:val="20"/>
                <w:szCs w:val="18"/>
              </w:rPr>
            </w:pPr>
            <w:r w:rsidRPr="00AC1CDE">
              <w:rPr>
                <w:sz w:val="20"/>
                <w:szCs w:val="18"/>
              </w:rPr>
              <w:t> </w:t>
            </w:r>
          </w:p>
        </w:tc>
        <w:tc>
          <w:tcPr>
            <w:tcW w:w="1162" w:type="dxa"/>
            <w:tcBorders>
              <w:top w:val="single" w:sz="4" w:space="0" w:color="auto"/>
              <w:left w:val="nil"/>
              <w:bottom w:val="nil"/>
              <w:right w:val="nil"/>
            </w:tcBorders>
            <w:shd w:val="clear" w:color="auto" w:fill="auto"/>
            <w:noWrap/>
            <w:vAlign w:val="bottom"/>
            <w:hideMark/>
          </w:tcPr>
          <w:p w:rsidR="002643B5" w:rsidRPr="00AC1CDE" w:rsidRDefault="002643B5" w:rsidP="000A40EC">
            <w:pPr>
              <w:rPr>
                <w:sz w:val="20"/>
                <w:szCs w:val="18"/>
              </w:rPr>
            </w:pPr>
            <w:r w:rsidRPr="00AC1CDE">
              <w:rPr>
                <w:sz w:val="20"/>
                <w:szCs w:val="18"/>
              </w:rPr>
              <w:t> </w:t>
            </w:r>
          </w:p>
        </w:tc>
        <w:tc>
          <w:tcPr>
            <w:tcW w:w="1749" w:type="dxa"/>
            <w:tcBorders>
              <w:top w:val="single" w:sz="4" w:space="0" w:color="auto"/>
              <w:left w:val="nil"/>
              <w:bottom w:val="nil"/>
              <w:right w:val="nil"/>
            </w:tcBorders>
            <w:shd w:val="clear" w:color="auto" w:fill="auto"/>
            <w:noWrap/>
            <w:vAlign w:val="bottom"/>
            <w:hideMark/>
          </w:tcPr>
          <w:p w:rsidR="002643B5" w:rsidRPr="00AC1CDE" w:rsidRDefault="002643B5" w:rsidP="000A40EC">
            <w:pPr>
              <w:rPr>
                <w:sz w:val="20"/>
                <w:szCs w:val="18"/>
              </w:rPr>
            </w:pPr>
            <w:r w:rsidRPr="00AC1CDE">
              <w:rPr>
                <w:sz w:val="20"/>
                <w:szCs w:val="18"/>
              </w:rPr>
              <w:t> </w:t>
            </w:r>
          </w:p>
        </w:tc>
        <w:tc>
          <w:tcPr>
            <w:tcW w:w="2127" w:type="dxa"/>
            <w:tcBorders>
              <w:top w:val="single" w:sz="4" w:space="0" w:color="auto"/>
              <w:left w:val="nil"/>
              <w:bottom w:val="nil"/>
              <w:right w:val="nil"/>
            </w:tcBorders>
            <w:shd w:val="clear" w:color="auto" w:fill="auto"/>
            <w:noWrap/>
            <w:vAlign w:val="bottom"/>
            <w:hideMark/>
          </w:tcPr>
          <w:p w:rsidR="002643B5" w:rsidRPr="00AC1CDE" w:rsidRDefault="002643B5" w:rsidP="000A40EC">
            <w:pPr>
              <w:rPr>
                <w:sz w:val="20"/>
                <w:szCs w:val="18"/>
              </w:rPr>
            </w:pPr>
            <w:r w:rsidRPr="00AC1CDE">
              <w:rPr>
                <w:sz w:val="20"/>
                <w:szCs w:val="18"/>
              </w:rPr>
              <w:t> </w:t>
            </w:r>
          </w:p>
        </w:tc>
        <w:tc>
          <w:tcPr>
            <w:tcW w:w="1701" w:type="dxa"/>
            <w:tcBorders>
              <w:top w:val="single" w:sz="4" w:space="0" w:color="auto"/>
              <w:left w:val="nil"/>
              <w:bottom w:val="nil"/>
              <w:right w:val="nil"/>
            </w:tcBorders>
            <w:shd w:val="clear" w:color="auto" w:fill="auto"/>
            <w:noWrap/>
            <w:vAlign w:val="bottom"/>
            <w:hideMark/>
          </w:tcPr>
          <w:p w:rsidR="002643B5" w:rsidRPr="00AC1CDE" w:rsidRDefault="002643B5" w:rsidP="000A40EC">
            <w:pPr>
              <w:rPr>
                <w:sz w:val="20"/>
                <w:szCs w:val="18"/>
              </w:rPr>
            </w:pPr>
            <w:r w:rsidRPr="00AC1CDE">
              <w:rPr>
                <w:sz w:val="20"/>
                <w:szCs w:val="18"/>
              </w:rPr>
              <w:t> </w:t>
            </w:r>
          </w:p>
        </w:tc>
        <w:tc>
          <w:tcPr>
            <w:tcW w:w="1417" w:type="dxa"/>
            <w:tcBorders>
              <w:top w:val="single" w:sz="4" w:space="0" w:color="auto"/>
              <w:left w:val="nil"/>
              <w:bottom w:val="nil"/>
              <w:right w:val="nil"/>
            </w:tcBorders>
            <w:shd w:val="clear" w:color="auto" w:fill="auto"/>
            <w:noWrap/>
            <w:vAlign w:val="bottom"/>
            <w:hideMark/>
          </w:tcPr>
          <w:p w:rsidR="002643B5" w:rsidRPr="00AC1CDE" w:rsidRDefault="002643B5" w:rsidP="000A40EC">
            <w:pPr>
              <w:rPr>
                <w:sz w:val="20"/>
                <w:szCs w:val="18"/>
              </w:rPr>
            </w:pPr>
            <w:r w:rsidRPr="00AC1CDE">
              <w:rPr>
                <w:sz w:val="20"/>
                <w:szCs w:val="18"/>
              </w:rPr>
              <w:t> </w:t>
            </w:r>
          </w:p>
        </w:tc>
        <w:tc>
          <w:tcPr>
            <w:tcW w:w="1559" w:type="dxa"/>
            <w:tcBorders>
              <w:top w:val="single" w:sz="4" w:space="0" w:color="auto"/>
              <w:left w:val="nil"/>
              <w:bottom w:val="nil"/>
              <w:right w:val="nil"/>
            </w:tcBorders>
            <w:shd w:val="clear" w:color="auto" w:fill="auto"/>
            <w:noWrap/>
            <w:vAlign w:val="bottom"/>
            <w:hideMark/>
          </w:tcPr>
          <w:p w:rsidR="002643B5" w:rsidRPr="00AC1CDE" w:rsidRDefault="002643B5" w:rsidP="000A40EC">
            <w:pPr>
              <w:rPr>
                <w:b/>
                <w:bCs/>
                <w:color w:val="0000FF"/>
                <w:sz w:val="20"/>
                <w:szCs w:val="18"/>
              </w:rPr>
            </w:pPr>
            <w:r w:rsidRPr="00AC1CDE">
              <w:rPr>
                <w:b/>
                <w:bCs/>
                <w:color w:val="0000FF"/>
                <w:sz w:val="20"/>
                <w:szCs w:val="18"/>
              </w:rPr>
              <w:t> </w:t>
            </w:r>
          </w:p>
        </w:tc>
        <w:tc>
          <w:tcPr>
            <w:tcW w:w="1353" w:type="dxa"/>
            <w:tcBorders>
              <w:top w:val="single" w:sz="4" w:space="0" w:color="auto"/>
              <w:left w:val="nil"/>
              <w:bottom w:val="nil"/>
              <w:right w:val="nil"/>
            </w:tcBorders>
            <w:vAlign w:val="bottom"/>
          </w:tcPr>
          <w:p w:rsidR="002643B5" w:rsidRPr="00AC1CDE" w:rsidRDefault="002643B5" w:rsidP="000A40EC">
            <w:pPr>
              <w:jc w:val="center"/>
              <w:rPr>
                <w:b/>
                <w:bCs/>
                <w:color w:val="0000FF"/>
                <w:sz w:val="20"/>
                <w:szCs w:val="18"/>
              </w:rPr>
            </w:pPr>
          </w:p>
        </w:tc>
      </w:tr>
      <w:tr w:rsidR="002643B5" w:rsidRPr="00AC1CDE" w:rsidTr="000A40EC">
        <w:trPr>
          <w:trHeight w:val="304"/>
        </w:trPr>
        <w:tc>
          <w:tcPr>
            <w:tcW w:w="2479" w:type="dxa"/>
            <w:gridSpan w:val="2"/>
            <w:tcBorders>
              <w:top w:val="nil"/>
              <w:left w:val="nil"/>
              <w:bottom w:val="nil"/>
              <w:right w:val="nil"/>
            </w:tcBorders>
            <w:shd w:val="clear" w:color="auto" w:fill="auto"/>
            <w:noWrap/>
            <w:vAlign w:val="bottom"/>
            <w:hideMark/>
          </w:tcPr>
          <w:p w:rsidR="002643B5" w:rsidRPr="00AC1CDE" w:rsidRDefault="002643B5" w:rsidP="000A40EC">
            <w:pPr>
              <w:rPr>
                <w:b/>
                <w:bCs/>
                <w:sz w:val="20"/>
                <w:szCs w:val="18"/>
              </w:rPr>
            </w:pPr>
            <w:r w:rsidRPr="00AC1CDE">
              <w:rPr>
                <w:b/>
                <w:bCs/>
                <w:sz w:val="20"/>
                <w:szCs w:val="18"/>
              </w:rPr>
              <w:t>At 1 April 2010</w:t>
            </w:r>
          </w:p>
        </w:tc>
        <w:tc>
          <w:tcPr>
            <w:tcW w:w="1162" w:type="dxa"/>
            <w:tcBorders>
              <w:top w:val="nil"/>
              <w:left w:val="nil"/>
              <w:bottom w:val="nil"/>
              <w:right w:val="nil"/>
            </w:tcBorders>
            <w:shd w:val="clear" w:color="auto" w:fill="auto"/>
            <w:noWrap/>
            <w:vAlign w:val="bottom"/>
            <w:hideMark/>
          </w:tcPr>
          <w:p w:rsidR="002643B5" w:rsidRPr="00AC1CDE" w:rsidRDefault="002643B5" w:rsidP="000A40EC">
            <w:pPr>
              <w:rPr>
                <w:sz w:val="20"/>
                <w:szCs w:val="18"/>
              </w:rPr>
            </w:pPr>
          </w:p>
        </w:tc>
        <w:tc>
          <w:tcPr>
            <w:tcW w:w="1162"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1,720,145</w:t>
            </w:r>
          </w:p>
        </w:tc>
        <w:tc>
          <w:tcPr>
            <w:tcW w:w="1749"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45,092</w:t>
            </w:r>
          </w:p>
        </w:tc>
        <w:tc>
          <w:tcPr>
            <w:tcW w:w="2127"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472,958</w:t>
            </w:r>
          </w:p>
        </w:tc>
        <w:tc>
          <w:tcPr>
            <w:tcW w:w="1701"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w:t>
            </w:r>
          </w:p>
        </w:tc>
        <w:tc>
          <w:tcPr>
            <w:tcW w:w="1417"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47,283</w:t>
            </w:r>
          </w:p>
        </w:tc>
        <w:tc>
          <w:tcPr>
            <w:tcW w:w="1559" w:type="dxa"/>
            <w:tcBorders>
              <w:top w:val="nil"/>
              <w:left w:val="nil"/>
              <w:bottom w:val="nil"/>
              <w:right w:val="nil"/>
            </w:tcBorders>
            <w:shd w:val="clear" w:color="auto" w:fill="auto"/>
            <w:noWrap/>
            <w:vAlign w:val="center"/>
            <w:hideMark/>
          </w:tcPr>
          <w:p w:rsidR="002643B5" w:rsidRPr="00AC1CDE" w:rsidRDefault="002643B5" w:rsidP="000A40EC">
            <w:pPr>
              <w:jc w:val="right"/>
              <w:rPr>
                <w:b/>
                <w:bCs/>
                <w:sz w:val="20"/>
                <w:szCs w:val="18"/>
              </w:rPr>
            </w:pPr>
            <w:r w:rsidRPr="00AC1CDE">
              <w:rPr>
                <w:b/>
                <w:bCs/>
                <w:sz w:val="20"/>
                <w:szCs w:val="18"/>
              </w:rPr>
              <w:t>2,285,478</w:t>
            </w:r>
          </w:p>
        </w:tc>
        <w:tc>
          <w:tcPr>
            <w:tcW w:w="1353" w:type="dxa"/>
            <w:tcBorders>
              <w:top w:val="nil"/>
              <w:left w:val="nil"/>
              <w:bottom w:val="nil"/>
              <w:right w:val="nil"/>
            </w:tcBorders>
            <w:vAlign w:val="center"/>
          </w:tcPr>
          <w:p w:rsidR="002643B5" w:rsidRPr="00AC1CDE" w:rsidRDefault="002643B5" w:rsidP="000A40EC">
            <w:pPr>
              <w:jc w:val="right"/>
              <w:rPr>
                <w:bCs/>
                <w:sz w:val="20"/>
                <w:szCs w:val="18"/>
              </w:rPr>
            </w:pPr>
            <w:r w:rsidRPr="00AC1CDE">
              <w:rPr>
                <w:bCs/>
                <w:sz w:val="20"/>
                <w:szCs w:val="18"/>
              </w:rPr>
              <w:t>130,466</w:t>
            </w:r>
          </w:p>
        </w:tc>
      </w:tr>
      <w:tr w:rsidR="002643B5" w:rsidRPr="00AC1CDE" w:rsidTr="000A40EC">
        <w:trPr>
          <w:gridBefore w:val="1"/>
          <w:wBefore w:w="295" w:type="dxa"/>
          <w:trHeight w:val="304"/>
        </w:trPr>
        <w:tc>
          <w:tcPr>
            <w:tcW w:w="2184" w:type="dxa"/>
            <w:tcBorders>
              <w:top w:val="nil"/>
              <w:left w:val="nil"/>
              <w:bottom w:val="nil"/>
              <w:right w:val="nil"/>
            </w:tcBorders>
            <w:shd w:val="clear" w:color="auto" w:fill="auto"/>
            <w:noWrap/>
            <w:vAlign w:val="bottom"/>
            <w:hideMark/>
          </w:tcPr>
          <w:p w:rsidR="002643B5" w:rsidRPr="00AC1CDE" w:rsidRDefault="002643B5" w:rsidP="000A40EC">
            <w:pPr>
              <w:rPr>
                <w:sz w:val="20"/>
                <w:szCs w:val="18"/>
              </w:rPr>
            </w:pPr>
            <w:r w:rsidRPr="00AC1CDE">
              <w:rPr>
                <w:sz w:val="20"/>
                <w:szCs w:val="18"/>
              </w:rPr>
              <w:t>Additions</w:t>
            </w:r>
          </w:p>
        </w:tc>
        <w:tc>
          <w:tcPr>
            <w:tcW w:w="1162" w:type="dxa"/>
            <w:tcBorders>
              <w:top w:val="nil"/>
              <w:left w:val="nil"/>
              <w:bottom w:val="nil"/>
              <w:right w:val="nil"/>
            </w:tcBorders>
            <w:shd w:val="clear" w:color="auto" w:fill="auto"/>
            <w:noWrap/>
            <w:vAlign w:val="bottom"/>
            <w:hideMark/>
          </w:tcPr>
          <w:p w:rsidR="002643B5" w:rsidRPr="00AC1CDE" w:rsidRDefault="002643B5" w:rsidP="000A40EC">
            <w:pPr>
              <w:rPr>
                <w:sz w:val="20"/>
                <w:szCs w:val="18"/>
              </w:rPr>
            </w:pPr>
          </w:p>
        </w:tc>
        <w:tc>
          <w:tcPr>
            <w:tcW w:w="1162"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210,461</w:t>
            </w:r>
          </w:p>
        </w:tc>
        <w:tc>
          <w:tcPr>
            <w:tcW w:w="1749"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15,180</w:t>
            </w:r>
          </w:p>
        </w:tc>
        <w:tc>
          <w:tcPr>
            <w:tcW w:w="2127"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46,104</w:t>
            </w:r>
          </w:p>
        </w:tc>
        <w:tc>
          <w:tcPr>
            <w:tcW w:w="1701"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w:t>
            </w:r>
          </w:p>
        </w:tc>
        <w:tc>
          <w:tcPr>
            <w:tcW w:w="1417"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9,103</w:t>
            </w:r>
          </w:p>
        </w:tc>
        <w:tc>
          <w:tcPr>
            <w:tcW w:w="1559" w:type="dxa"/>
            <w:tcBorders>
              <w:top w:val="nil"/>
              <w:left w:val="nil"/>
              <w:bottom w:val="nil"/>
              <w:right w:val="nil"/>
            </w:tcBorders>
            <w:shd w:val="clear" w:color="auto" w:fill="auto"/>
            <w:noWrap/>
            <w:vAlign w:val="center"/>
            <w:hideMark/>
          </w:tcPr>
          <w:p w:rsidR="002643B5" w:rsidRPr="00AC1CDE" w:rsidRDefault="002643B5" w:rsidP="000A40EC">
            <w:pPr>
              <w:jc w:val="right"/>
              <w:rPr>
                <w:b/>
                <w:bCs/>
                <w:sz w:val="20"/>
                <w:szCs w:val="18"/>
              </w:rPr>
            </w:pPr>
            <w:r w:rsidRPr="00AC1CDE">
              <w:rPr>
                <w:b/>
                <w:bCs/>
                <w:sz w:val="20"/>
                <w:szCs w:val="18"/>
              </w:rPr>
              <w:t>280,848</w:t>
            </w:r>
          </w:p>
        </w:tc>
        <w:tc>
          <w:tcPr>
            <w:tcW w:w="1353" w:type="dxa"/>
            <w:tcBorders>
              <w:top w:val="nil"/>
              <w:left w:val="nil"/>
              <w:bottom w:val="nil"/>
              <w:right w:val="nil"/>
            </w:tcBorders>
            <w:vAlign w:val="center"/>
          </w:tcPr>
          <w:p w:rsidR="002643B5" w:rsidRPr="00AC1CDE" w:rsidRDefault="002643B5" w:rsidP="000A40EC">
            <w:pPr>
              <w:jc w:val="right"/>
              <w:rPr>
                <w:bCs/>
                <w:sz w:val="20"/>
                <w:szCs w:val="18"/>
              </w:rPr>
            </w:pPr>
            <w:r w:rsidRPr="00AC1CDE">
              <w:rPr>
                <w:bCs/>
                <w:sz w:val="20"/>
                <w:szCs w:val="18"/>
              </w:rPr>
              <w:t>86,232</w:t>
            </w:r>
          </w:p>
        </w:tc>
      </w:tr>
      <w:tr w:rsidR="002643B5" w:rsidRPr="00AC1CDE" w:rsidTr="000A40EC">
        <w:trPr>
          <w:gridBefore w:val="1"/>
          <w:wBefore w:w="295" w:type="dxa"/>
          <w:trHeight w:val="304"/>
        </w:trPr>
        <w:tc>
          <w:tcPr>
            <w:tcW w:w="2184" w:type="dxa"/>
            <w:tcBorders>
              <w:top w:val="nil"/>
              <w:left w:val="nil"/>
              <w:bottom w:val="nil"/>
              <w:right w:val="nil"/>
            </w:tcBorders>
            <w:shd w:val="clear" w:color="auto" w:fill="auto"/>
            <w:noWrap/>
            <w:vAlign w:val="bottom"/>
            <w:hideMark/>
          </w:tcPr>
          <w:p w:rsidR="002643B5" w:rsidRPr="00AC1CDE" w:rsidRDefault="002643B5" w:rsidP="000A40EC">
            <w:pPr>
              <w:rPr>
                <w:sz w:val="20"/>
                <w:szCs w:val="18"/>
              </w:rPr>
            </w:pPr>
            <w:r w:rsidRPr="00AC1CDE">
              <w:rPr>
                <w:sz w:val="20"/>
                <w:szCs w:val="18"/>
              </w:rPr>
              <w:t>Reclassifications</w:t>
            </w:r>
          </w:p>
        </w:tc>
        <w:tc>
          <w:tcPr>
            <w:tcW w:w="1162" w:type="dxa"/>
            <w:tcBorders>
              <w:top w:val="nil"/>
              <w:left w:val="nil"/>
              <w:bottom w:val="nil"/>
              <w:right w:val="nil"/>
            </w:tcBorders>
            <w:shd w:val="clear" w:color="auto" w:fill="auto"/>
            <w:noWrap/>
            <w:vAlign w:val="bottom"/>
            <w:hideMark/>
          </w:tcPr>
          <w:p w:rsidR="002643B5" w:rsidRPr="00AC1CDE" w:rsidRDefault="002643B5" w:rsidP="000A40EC">
            <w:pPr>
              <w:rPr>
                <w:sz w:val="20"/>
                <w:szCs w:val="18"/>
              </w:rPr>
            </w:pPr>
          </w:p>
        </w:tc>
        <w:tc>
          <w:tcPr>
            <w:tcW w:w="1162"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p>
        </w:tc>
        <w:tc>
          <w:tcPr>
            <w:tcW w:w="1749"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p>
        </w:tc>
        <w:tc>
          <w:tcPr>
            <w:tcW w:w="2127"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p>
        </w:tc>
        <w:tc>
          <w:tcPr>
            <w:tcW w:w="1701"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p>
        </w:tc>
        <w:tc>
          <w:tcPr>
            <w:tcW w:w="1417"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p>
        </w:tc>
        <w:tc>
          <w:tcPr>
            <w:tcW w:w="1559" w:type="dxa"/>
            <w:tcBorders>
              <w:top w:val="nil"/>
              <w:left w:val="nil"/>
              <w:bottom w:val="nil"/>
              <w:right w:val="nil"/>
            </w:tcBorders>
            <w:shd w:val="clear" w:color="auto" w:fill="auto"/>
            <w:noWrap/>
            <w:vAlign w:val="center"/>
            <w:hideMark/>
          </w:tcPr>
          <w:p w:rsidR="002643B5" w:rsidRPr="00AC1CDE" w:rsidRDefault="002643B5" w:rsidP="000A40EC">
            <w:pPr>
              <w:jc w:val="right"/>
              <w:rPr>
                <w:b/>
                <w:bCs/>
                <w:sz w:val="20"/>
                <w:szCs w:val="18"/>
              </w:rPr>
            </w:pPr>
          </w:p>
        </w:tc>
        <w:tc>
          <w:tcPr>
            <w:tcW w:w="1353" w:type="dxa"/>
            <w:tcBorders>
              <w:top w:val="nil"/>
              <w:left w:val="nil"/>
              <w:bottom w:val="nil"/>
              <w:right w:val="nil"/>
            </w:tcBorders>
            <w:vAlign w:val="center"/>
          </w:tcPr>
          <w:p w:rsidR="002643B5" w:rsidRPr="00AC1CDE" w:rsidRDefault="002643B5" w:rsidP="000A40EC">
            <w:pPr>
              <w:jc w:val="right"/>
              <w:rPr>
                <w:bCs/>
                <w:sz w:val="20"/>
                <w:szCs w:val="18"/>
              </w:rPr>
            </w:pPr>
          </w:p>
        </w:tc>
      </w:tr>
      <w:tr w:rsidR="002643B5" w:rsidRPr="00AC1CDE" w:rsidTr="000A40EC">
        <w:trPr>
          <w:gridBefore w:val="1"/>
          <w:wBefore w:w="295" w:type="dxa"/>
          <w:trHeight w:val="304"/>
        </w:trPr>
        <w:tc>
          <w:tcPr>
            <w:tcW w:w="2184" w:type="dxa"/>
            <w:tcBorders>
              <w:top w:val="nil"/>
              <w:left w:val="nil"/>
              <w:bottom w:val="nil"/>
              <w:right w:val="nil"/>
            </w:tcBorders>
            <w:shd w:val="clear" w:color="auto" w:fill="auto"/>
            <w:noWrap/>
            <w:vAlign w:val="bottom"/>
            <w:hideMark/>
          </w:tcPr>
          <w:p w:rsidR="002643B5" w:rsidRPr="00AC1CDE" w:rsidRDefault="002643B5" w:rsidP="000A40EC">
            <w:pPr>
              <w:rPr>
                <w:sz w:val="20"/>
                <w:szCs w:val="18"/>
              </w:rPr>
            </w:pPr>
            <w:r w:rsidRPr="00AC1CDE">
              <w:rPr>
                <w:sz w:val="20"/>
                <w:szCs w:val="18"/>
              </w:rPr>
              <w:t>Donations</w:t>
            </w:r>
          </w:p>
        </w:tc>
        <w:tc>
          <w:tcPr>
            <w:tcW w:w="1162" w:type="dxa"/>
            <w:tcBorders>
              <w:top w:val="nil"/>
              <w:left w:val="nil"/>
              <w:bottom w:val="nil"/>
              <w:right w:val="nil"/>
            </w:tcBorders>
            <w:shd w:val="clear" w:color="auto" w:fill="auto"/>
            <w:noWrap/>
            <w:vAlign w:val="bottom"/>
            <w:hideMark/>
          </w:tcPr>
          <w:p w:rsidR="002643B5" w:rsidRPr="00AC1CDE" w:rsidRDefault="002643B5" w:rsidP="000A40EC">
            <w:pPr>
              <w:rPr>
                <w:sz w:val="20"/>
                <w:szCs w:val="18"/>
              </w:rPr>
            </w:pPr>
          </w:p>
        </w:tc>
        <w:tc>
          <w:tcPr>
            <w:tcW w:w="1162"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p>
        </w:tc>
        <w:tc>
          <w:tcPr>
            <w:tcW w:w="1749"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p>
        </w:tc>
        <w:tc>
          <w:tcPr>
            <w:tcW w:w="2127"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p>
        </w:tc>
        <w:tc>
          <w:tcPr>
            <w:tcW w:w="1701"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p>
        </w:tc>
        <w:tc>
          <w:tcPr>
            <w:tcW w:w="1417"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p>
        </w:tc>
        <w:tc>
          <w:tcPr>
            <w:tcW w:w="1559" w:type="dxa"/>
            <w:tcBorders>
              <w:top w:val="nil"/>
              <w:left w:val="nil"/>
              <w:bottom w:val="nil"/>
              <w:right w:val="nil"/>
            </w:tcBorders>
            <w:shd w:val="clear" w:color="auto" w:fill="auto"/>
            <w:noWrap/>
            <w:vAlign w:val="center"/>
            <w:hideMark/>
          </w:tcPr>
          <w:p w:rsidR="002643B5" w:rsidRPr="00AC1CDE" w:rsidRDefault="002643B5" w:rsidP="000A40EC">
            <w:pPr>
              <w:jc w:val="right"/>
              <w:rPr>
                <w:b/>
                <w:bCs/>
                <w:sz w:val="20"/>
                <w:szCs w:val="18"/>
              </w:rPr>
            </w:pPr>
          </w:p>
        </w:tc>
        <w:tc>
          <w:tcPr>
            <w:tcW w:w="1353" w:type="dxa"/>
            <w:tcBorders>
              <w:top w:val="nil"/>
              <w:left w:val="nil"/>
              <w:bottom w:val="nil"/>
              <w:right w:val="nil"/>
            </w:tcBorders>
            <w:vAlign w:val="center"/>
          </w:tcPr>
          <w:p w:rsidR="002643B5" w:rsidRPr="00AC1CDE" w:rsidRDefault="002643B5" w:rsidP="000A40EC">
            <w:pPr>
              <w:jc w:val="right"/>
              <w:rPr>
                <w:bCs/>
                <w:sz w:val="20"/>
                <w:szCs w:val="18"/>
              </w:rPr>
            </w:pPr>
          </w:p>
        </w:tc>
      </w:tr>
      <w:tr w:rsidR="002643B5" w:rsidRPr="00AC1CDE" w:rsidTr="000A40EC">
        <w:trPr>
          <w:gridBefore w:val="1"/>
          <w:wBefore w:w="295" w:type="dxa"/>
          <w:trHeight w:val="304"/>
        </w:trPr>
        <w:tc>
          <w:tcPr>
            <w:tcW w:w="4508" w:type="dxa"/>
            <w:gridSpan w:val="3"/>
            <w:tcBorders>
              <w:top w:val="nil"/>
              <w:left w:val="nil"/>
              <w:bottom w:val="nil"/>
              <w:right w:val="nil"/>
            </w:tcBorders>
            <w:shd w:val="clear" w:color="auto" w:fill="auto"/>
            <w:noWrap/>
            <w:vAlign w:val="bottom"/>
            <w:hideMark/>
          </w:tcPr>
          <w:p w:rsidR="002643B5" w:rsidRPr="00AC1CDE" w:rsidRDefault="002643B5" w:rsidP="000A40EC">
            <w:pPr>
              <w:rPr>
                <w:sz w:val="20"/>
                <w:szCs w:val="18"/>
              </w:rPr>
            </w:pPr>
            <w:r w:rsidRPr="00AC1CDE">
              <w:rPr>
                <w:sz w:val="20"/>
                <w:szCs w:val="18"/>
              </w:rPr>
              <w:t>De-recognition – Disposals                      (26,321)</w:t>
            </w:r>
          </w:p>
        </w:tc>
        <w:tc>
          <w:tcPr>
            <w:tcW w:w="1749"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w:t>
            </w:r>
          </w:p>
        </w:tc>
        <w:tc>
          <w:tcPr>
            <w:tcW w:w="2127"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(10)</w:t>
            </w:r>
          </w:p>
        </w:tc>
        <w:tc>
          <w:tcPr>
            <w:tcW w:w="1701"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w:t>
            </w:r>
          </w:p>
        </w:tc>
        <w:tc>
          <w:tcPr>
            <w:tcW w:w="1417"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w:t>
            </w:r>
          </w:p>
        </w:tc>
        <w:tc>
          <w:tcPr>
            <w:tcW w:w="1559" w:type="dxa"/>
            <w:tcBorders>
              <w:top w:val="nil"/>
              <w:left w:val="nil"/>
              <w:bottom w:val="nil"/>
              <w:right w:val="nil"/>
            </w:tcBorders>
            <w:shd w:val="clear" w:color="auto" w:fill="auto"/>
            <w:noWrap/>
            <w:vAlign w:val="center"/>
            <w:hideMark/>
          </w:tcPr>
          <w:p w:rsidR="002643B5" w:rsidRPr="00AC1CDE" w:rsidRDefault="002643B5" w:rsidP="000A40EC">
            <w:pPr>
              <w:jc w:val="right"/>
              <w:rPr>
                <w:b/>
                <w:bCs/>
                <w:sz w:val="20"/>
                <w:szCs w:val="18"/>
              </w:rPr>
            </w:pPr>
            <w:r w:rsidRPr="00AC1CDE">
              <w:rPr>
                <w:b/>
                <w:bCs/>
                <w:sz w:val="20"/>
                <w:szCs w:val="18"/>
              </w:rPr>
              <w:t>(26,331)</w:t>
            </w:r>
          </w:p>
        </w:tc>
        <w:tc>
          <w:tcPr>
            <w:tcW w:w="1353" w:type="dxa"/>
            <w:tcBorders>
              <w:top w:val="nil"/>
              <w:left w:val="nil"/>
              <w:bottom w:val="nil"/>
              <w:right w:val="nil"/>
            </w:tcBorders>
            <w:vAlign w:val="center"/>
          </w:tcPr>
          <w:p w:rsidR="002643B5" w:rsidRPr="00AC1CDE" w:rsidRDefault="002643B5" w:rsidP="000A40EC">
            <w:pPr>
              <w:jc w:val="right"/>
              <w:rPr>
                <w:sz w:val="20"/>
                <w:szCs w:val="18"/>
              </w:rPr>
            </w:pPr>
            <w:r w:rsidRPr="00AC1CDE">
              <w:rPr>
                <w:sz w:val="20"/>
                <w:szCs w:val="18"/>
              </w:rPr>
              <w:t>-</w:t>
            </w:r>
          </w:p>
        </w:tc>
      </w:tr>
      <w:tr w:rsidR="002643B5" w:rsidRPr="00AC1CDE" w:rsidTr="000A40EC">
        <w:trPr>
          <w:gridBefore w:val="1"/>
          <w:wBefore w:w="295" w:type="dxa"/>
          <w:trHeight w:val="304"/>
        </w:trPr>
        <w:tc>
          <w:tcPr>
            <w:tcW w:w="3346" w:type="dxa"/>
            <w:gridSpan w:val="2"/>
            <w:tcBorders>
              <w:top w:val="nil"/>
              <w:left w:val="nil"/>
              <w:bottom w:val="nil"/>
              <w:right w:val="nil"/>
            </w:tcBorders>
            <w:shd w:val="clear" w:color="auto" w:fill="auto"/>
            <w:noWrap/>
            <w:vAlign w:val="bottom"/>
            <w:hideMark/>
          </w:tcPr>
          <w:p w:rsidR="002643B5" w:rsidRPr="00AC1CDE" w:rsidRDefault="002643B5" w:rsidP="000A40EC">
            <w:pPr>
              <w:rPr>
                <w:sz w:val="20"/>
                <w:szCs w:val="18"/>
              </w:rPr>
            </w:pPr>
            <w:r w:rsidRPr="00AC1CDE">
              <w:rPr>
                <w:sz w:val="20"/>
                <w:szCs w:val="18"/>
              </w:rPr>
              <w:t>De-recognition - Other</w:t>
            </w:r>
          </w:p>
        </w:tc>
        <w:tc>
          <w:tcPr>
            <w:tcW w:w="1162"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(2,284)</w:t>
            </w:r>
          </w:p>
        </w:tc>
        <w:tc>
          <w:tcPr>
            <w:tcW w:w="1749"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w:t>
            </w:r>
          </w:p>
        </w:tc>
        <w:tc>
          <w:tcPr>
            <w:tcW w:w="2127"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w:t>
            </w:r>
          </w:p>
        </w:tc>
        <w:tc>
          <w:tcPr>
            <w:tcW w:w="1701"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w:t>
            </w:r>
          </w:p>
        </w:tc>
        <w:tc>
          <w:tcPr>
            <w:tcW w:w="1417"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(41,867)</w:t>
            </w:r>
          </w:p>
        </w:tc>
        <w:tc>
          <w:tcPr>
            <w:tcW w:w="1559" w:type="dxa"/>
            <w:tcBorders>
              <w:top w:val="nil"/>
              <w:left w:val="nil"/>
              <w:bottom w:val="nil"/>
              <w:right w:val="nil"/>
            </w:tcBorders>
            <w:shd w:val="clear" w:color="auto" w:fill="auto"/>
            <w:noWrap/>
            <w:vAlign w:val="center"/>
            <w:hideMark/>
          </w:tcPr>
          <w:p w:rsidR="002643B5" w:rsidRPr="00AC1CDE" w:rsidRDefault="002643B5" w:rsidP="000A40EC">
            <w:pPr>
              <w:jc w:val="right"/>
              <w:rPr>
                <w:b/>
                <w:bCs/>
                <w:sz w:val="20"/>
                <w:szCs w:val="18"/>
              </w:rPr>
            </w:pPr>
            <w:r w:rsidRPr="00AC1CDE">
              <w:rPr>
                <w:b/>
                <w:bCs/>
                <w:sz w:val="20"/>
                <w:szCs w:val="18"/>
              </w:rPr>
              <w:t>(44,151)</w:t>
            </w:r>
          </w:p>
        </w:tc>
        <w:tc>
          <w:tcPr>
            <w:tcW w:w="1353" w:type="dxa"/>
            <w:tcBorders>
              <w:top w:val="nil"/>
              <w:left w:val="nil"/>
              <w:bottom w:val="nil"/>
              <w:right w:val="nil"/>
            </w:tcBorders>
            <w:vAlign w:val="center"/>
          </w:tcPr>
          <w:p w:rsidR="002643B5" w:rsidRPr="00AC1CDE" w:rsidRDefault="002643B5" w:rsidP="000A40EC">
            <w:pPr>
              <w:jc w:val="right"/>
              <w:rPr>
                <w:bCs/>
                <w:sz w:val="20"/>
                <w:szCs w:val="18"/>
              </w:rPr>
            </w:pPr>
            <w:r w:rsidRPr="00AC1CDE">
              <w:rPr>
                <w:bCs/>
                <w:sz w:val="20"/>
                <w:szCs w:val="18"/>
              </w:rPr>
              <w:t>-</w:t>
            </w:r>
          </w:p>
        </w:tc>
      </w:tr>
      <w:tr w:rsidR="002643B5" w:rsidRPr="00AC1CDE" w:rsidTr="000A40EC">
        <w:trPr>
          <w:gridBefore w:val="1"/>
          <w:wBefore w:w="295" w:type="dxa"/>
          <w:trHeight w:val="609"/>
        </w:trPr>
        <w:tc>
          <w:tcPr>
            <w:tcW w:w="2184" w:type="dxa"/>
            <w:tcBorders>
              <w:top w:val="nil"/>
              <w:left w:val="nil"/>
              <w:bottom w:val="nil"/>
              <w:right w:val="nil"/>
            </w:tcBorders>
            <w:shd w:val="clear" w:color="auto" w:fill="auto"/>
            <w:vAlign w:val="bottom"/>
            <w:hideMark/>
          </w:tcPr>
          <w:p w:rsidR="002643B5" w:rsidRPr="00AC1CDE" w:rsidRDefault="002643B5" w:rsidP="000A40EC">
            <w:pPr>
              <w:rPr>
                <w:sz w:val="20"/>
                <w:szCs w:val="18"/>
              </w:rPr>
            </w:pPr>
            <w:r w:rsidRPr="00AC1CDE">
              <w:rPr>
                <w:sz w:val="20"/>
                <w:szCs w:val="18"/>
              </w:rPr>
              <w:t>Revaluations increases/(decreases) recognised in Revaluation Reserve</w:t>
            </w:r>
          </w:p>
        </w:tc>
        <w:tc>
          <w:tcPr>
            <w:tcW w:w="1162" w:type="dxa"/>
            <w:tcBorders>
              <w:top w:val="nil"/>
              <w:left w:val="nil"/>
              <w:bottom w:val="nil"/>
              <w:right w:val="nil"/>
            </w:tcBorders>
            <w:shd w:val="clear" w:color="auto" w:fill="auto"/>
            <w:noWrap/>
            <w:vAlign w:val="bottom"/>
            <w:hideMark/>
          </w:tcPr>
          <w:p w:rsidR="002643B5" w:rsidRPr="00AC1CDE" w:rsidRDefault="002643B5" w:rsidP="000A40EC">
            <w:pPr>
              <w:rPr>
                <w:sz w:val="20"/>
                <w:szCs w:val="18"/>
              </w:rPr>
            </w:pPr>
          </w:p>
        </w:tc>
        <w:tc>
          <w:tcPr>
            <w:tcW w:w="1162"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119,058</w:t>
            </w:r>
          </w:p>
        </w:tc>
        <w:tc>
          <w:tcPr>
            <w:tcW w:w="1749"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w:t>
            </w:r>
          </w:p>
        </w:tc>
        <w:tc>
          <w:tcPr>
            <w:tcW w:w="2127"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w:t>
            </w:r>
          </w:p>
        </w:tc>
        <w:tc>
          <w:tcPr>
            <w:tcW w:w="1701"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w:t>
            </w:r>
          </w:p>
        </w:tc>
        <w:tc>
          <w:tcPr>
            <w:tcW w:w="1417"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w:t>
            </w:r>
          </w:p>
        </w:tc>
        <w:tc>
          <w:tcPr>
            <w:tcW w:w="1559" w:type="dxa"/>
            <w:tcBorders>
              <w:top w:val="nil"/>
              <w:left w:val="nil"/>
              <w:bottom w:val="nil"/>
              <w:right w:val="nil"/>
            </w:tcBorders>
            <w:shd w:val="clear" w:color="auto" w:fill="auto"/>
            <w:noWrap/>
            <w:vAlign w:val="center"/>
            <w:hideMark/>
          </w:tcPr>
          <w:p w:rsidR="002643B5" w:rsidRPr="00AC1CDE" w:rsidRDefault="002643B5" w:rsidP="000A40EC">
            <w:pPr>
              <w:jc w:val="right"/>
              <w:rPr>
                <w:b/>
                <w:bCs/>
                <w:sz w:val="20"/>
                <w:szCs w:val="18"/>
              </w:rPr>
            </w:pPr>
            <w:r w:rsidRPr="00AC1CDE">
              <w:rPr>
                <w:b/>
                <w:bCs/>
                <w:sz w:val="20"/>
                <w:szCs w:val="18"/>
              </w:rPr>
              <w:t>53,955</w:t>
            </w:r>
          </w:p>
        </w:tc>
        <w:tc>
          <w:tcPr>
            <w:tcW w:w="1353" w:type="dxa"/>
            <w:tcBorders>
              <w:top w:val="nil"/>
              <w:left w:val="nil"/>
              <w:bottom w:val="nil"/>
              <w:right w:val="nil"/>
            </w:tcBorders>
            <w:vAlign w:val="center"/>
          </w:tcPr>
          <w:p w:rsidR="002643B5" w:rsidRPr="00AC1CDE" w:rsidRDefault="002643B5" w:rsidP="000A40EC">
            <w:pPr>
              <w:jc w:val="right"/>
              <w:rPr>
                <w:bCs/>
                <w:sz w:val="20"/>
                <w:szCs w:val="18"/>
              </w:rPr>
            </w:pPr>
            <w:r w:rsidRPr="00AC1CDE">
              <w:rPr>
                <w:bCs/>
                <w:sz w:val="20"/>
                <w:szCs w:val="18"/>
              </w:rPr>
              <w:t>2,912</w:t>
            </w:r>
          </w:p>
        </w:tc>
      </w:tr>
      <w:tr w:rsidR="002643B5" w:rsidRPr="00AC1CDE" w:rsidTr="000A40EC">
        <w:trPr>
          <w:gridBefore w:val="1"/>
          <w:wBefore w:w="295" w:type="dxa"/>
          <w:trHeight w:val="913"/>
        </w:trPr>
        <w:tc>
          <w:tcPr>
            <w:tcW w:w="2184" w:type="dxa"/>
            <w:tcBorders>
              <w:top w:val="nil"/>
              <w:left w:val="nil"/>
              <w:bottom w:val="nil"/>
              <w:right w:val="nil"/>
            </w:tcBorders>
            <w:shd w:val="clear" w:color="auto" w:fill="auto"/>
            <w:vAlign w:val="bottom"/>
            <w:hideMark/>
          </w:tcPr>
          <w:p w:rsidR="002643B5" w:rsidRPr="00AC1CDE" w:rsidRDefault="002643B5" w:rsidP="000A40EC">
            <w:pPr>
              <w:rPr>
                <w:sz w:val="20"/>
                <w:szCs w:val="18"/>
              </w:rPr>
            </w:pPr>
            <w:r w:rsidRPr="00AC1CDE">
              <w:rPr>
                <w:sz w:val="20"/>
                <w:szCs w:val="18"/>
              </w:rPr>
              <w:t>Revaluations increases/(decreases)               recognised in Surplus/Deficit on Provision of Services</w:t>
            </w:r>
          </w:p>
        </w:tc>
        <w:tc>
          <w:tcPr>
            <w:tcW w:w="1162" w:type="dxa"/>
            <w:tcBorders>
              <w:top w:val="nil"/>
              <w:left w:val="nil"/>
              <w:bottom w:val="nil"/>
              <w:right w:val="nil"/>
            </w:tcBorders>
            <w:shd w:val="clear" w:color="auto" w:fill="auto"/>
            <w:noWrap/>
            <w:vAlign w:val="bottom"/>
            <w:hideMark/>
          </w:tcPr>
          <w:p w:rsidR="002643B5" w:rsidRPr="00AC1CDE" w:rsidRDefault="002643B5" w:rsidP="000A40EC">
            <w:pPr>
              <w:rPr>
                <w:sz w:val="20"/>
                <w:szCs w:val="18"/>
              </w:rPr>
            </w:pPr>
          </w:p>
        </w:tc>
        <w:tc>
          <w:tcPr>
            <w:tcW w:w="1162"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(65,103)</w:t>
            </w:r>
          </w:p>
        </w:tc>
        <w:tc>
          <w:tcPr>
            <w:tcW w:w="1749"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w:t>
            </w:r>
          </w:p>
        </w:tc>
        <w:tc>
          <w:tcPr>
            <w:tcW w:w="2127"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w:t>
            </w:r>
          </w:p>
        </w:tc>
        <w:tc>
          <w:tcPr>
            <w:tcW w:w="1701"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w:t>
            </w:r>
          </w:p>
        </w:tc>
        <w:tc>
          <w:tcPr>
            <w:tcW w:w="1417"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w:t>
            </w:r>
          </w:p>
        </w:tc>
        <w:tc>
          <w:tcPr>
            <w:tcW w:w="1559" w:type="dxa"/>
            <w:tcBorders>
              <w:top w:val="nil"/>
              <w:left w:val="nil"/>
              <w:bottom w:val="nil"/>
              <w:right w:val="nil"/>
            </w:tcBorders>
            <w:shd w:val="clear" w:color="auto" w:fill="auto"/>
            <w:noWrap/>
            <w:vAlign w:val="center"/>
            <w:hideMark/>
          </w:tcPr>
          <w:p w:rsidR="002643B5" w:rsidRPr="00AC1CDE" w:rsidRDefault="002643B5" w:rsidP="000A40EC">
            <w:pPr>
              <w:jc w:val="right"/>
              <w:rPr>
                <w:b/>
                <w:bCs/>
                <w:color w:val="0000FF"/>
                <w:sz w:val="20"/>
                <w:szCs w:val="18"/>
              </w:rPr>
            </w:pPr>
            <w:r w:rsidRPr="00AC1CDE">
              <w:rPr>
                <w:b/>
                <w:bCs/>
                <w:color w:val="0000FF"/>
                <w:sz w:val="20"/>
                <w:szCs w:val="18"/>
              </w:rPr>
              <w:t>-</w:t>
            </w:r>
          </w:p>
        </w:tc>
        <w:tc>
          <w:tcPr>
            <w:tcW w:w="1353" w:type="dxa"/>
            <w:tcBorders>
              <w:top w:val="nil"/>
              <w:left w:val="nil"/>
              <w:bottom w:val="nil"/>
              <w:right w:val="nil"/>
            </w:tcBorders>
            <w:vAlign w:val="center"/>
          </w:tcPr>
          <w:p w:rsidR="002643B5" w:rsidRPr="00AC1CDE" w:rsidRDefault="002643B5" w:rsidP="000A40EC">
            <w:pPr>
              <w:jc w:val="right"/>
              <w:rPr>
                <w:bCs/>
                <w:color w:val="0000FF"/>
                <w:sz w:val="20"/>
                <w:szCs w:val="18"/>
              </w:rPr>
            </w:pPr>
            <w:r w:rsidRPr="00AC1CDE">
              <w:rPr>
                <w:bCs/>
                <w:color w:val="0000FF"/>
                <w:sz w:val="20"/>
                <w:szCs w:val="18"/>
              </w:rPr>
              <w:t>-</w:t>
            </w:r>
          </w:p>
        </w:tc>
      </w:tr>
      <w:tr w:rsidR="002643B5" w:rsidRPr="00AC1CDE" w:rsidTr="000A40EC">
        <w:trPr>
          <w:gridBefore w:val="1"/>
          <w:wBefore w:w="295" w:type="dxa"/>
          <w:trHeight w:val="609"/>
        </w:trPr>
        <w:tc>
          <w:tcPr>
            <w:tcW w:w="2184" w:type="dxa"/>
            <w:tcBorders>
              <w:top w:val="nil"/>
              <w:left w:val="nil"/>
              <w:bottom w:val="nil"/>
              <w:right w:val="nil"/>
            </w:tcBorders>
            <w:shd w:val="clear" w:color="auto" w:fill="auto"/>
            <w:vAlign w:val="bottom"/>
            <w:hideMark/>
          </w:tcPr>
          <w:p w:rsidR="002643B5" w:rsidRPr="00AC1CDE" w:rsidRDefault="002643B5" w:rsidP="000A40EC">
            <w:pPr>
              <w:rPr>
                <w:sz w:val="20"/>
                <w:szCs w:val="18"/>
              </w:rPr>
            </w:pPr>
            <w:r w:rsidRPr="00AC1CDE">
              <w:rPr>
                <w:sz w:val="20"/>
                <w:szCs w:val="18"/>
              </w:rPr>
              <w:t>Assets reclassified (to)/from Held for Sale</w:t>
            </w:r>
          </w:p>
        </w:tc>
        <w:tc>
          <w:tcPr>
            <w:tcW w:w="1162" w:type="dxa"/>
            <w:tcBorders>
              <w:top w:val="nil"/>
              <w:left w:val="nil"/>
              <w:bottom w:val="nil"/>
              <w:right w:val="nil"/>
            </w:tcBorders>
            <w:shd w:val="clear" w:color="auto" w:fill="auto"/>
            <w:noWrap/>
            <w:vAlign w:val="bottom"/>
            <w:hideMark/>
          </w:tcPr>
          <w:p w:rsidR="002643B5" w:rsidRPr="00AC1CDE" w:rsidRDefault="002643B5" w:rsidP="000A40EC">
            <w:pPr>
              <w:rPr>
                <w:sz w:val="20"/>
                <w:szCs w:val="18"/>
              </w:rPr>
            </w:pPr>
          </w:p>
        </w:tc>
        <w:tc>
          <w:tcPr>
            <w:tcW w:w="1162"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(2,266)</w:t>
            </w:r>
          </w:p>
        </w:tc>
        <w:tc>
          <w:tcPr>
            <w:tcW w:w="1749"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w:t>
            </w:r>
          </w:p>
        </w:tc>
        <w:tc>
          <w:tcPr>
            <w:tcW w:w="2127"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w:t>
            </w:r>
          </w:p>
        </w:tc>
        <w:tc>
          <w:tcPr>
            <w:tcW w:w="1701"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w:t>
            </w:r>
          </w:p>
        </w:tc>
        <w:tc>
          <w:tcPr>
            <w:tcW w:w="1417"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w:t>
            </w:r>
          </w:p>
        </w:tc>
        <w:tc>
          <w:tcPr>
            <w:tcW w:w="1559" w:type="dxa"/>
            <w:tcBorders>
              <w:top w:val="nil"/>
              <w:left w:val="nil"/>
              <w:bottom w:val="nil"/>
              <w:right w:val="nil"/>
            </w:tcBorders>
            <w:shd w:val="clear" w:color="auto" w:fill="auto"/>
            <w:noWrap/>
            <w:vAlign w:val="center"/>
            <w:hideMark/>
          </w:tcPr>
          <w:p w:rsidR="002643B5" w:rsidRPr="00AC1CDE" w:rsidRDefault="002643B5" w:rsidP="000A40EC">
            <w:pPr>
              <w:jc w:val="right"/>
              <w:rPr>
                <w:b/>
                <w:bCs/>
                <w:sz w:val="20"/>
                <w:szCs w:val="18"/>
              </w:rPr>
            </w:pPr>
            <w:r w:rsidRPr="00AC1CDE">
              <w:rPr>
                <w:b/>
                <w:bCs/>
                <w:sz w:val="20"/>
                <w:szCs w:val="18"/>
              </w:rPr>
              <w:t>(2,266)</w:t>
            </w:r>
          </w:p>
        </w:tc>
        <w:tc>
          <w:tcPr>
            <w:tcW w:w="1353" w:type="dxa"/>
            <w:tcBorders>
              <w:top w:val="nil"/>
              <w:left w:val="nil"/>
              <w:bottom w:val="nil"/>
              <w:right w:val="nil"/>
            </w:tcBorders>
            <w:vAlign w:val="center"/>
          </w:tcPr>
          <w:p w:rsidR="002643B5" w:rsidRPr="00AC1CDE" w:rsidRDefault="002643B5" w:rsidP="000A40EC">
            <w:pPr>
              <w:jc w:val="right"/>
              <w:rPr>
                <w:bCs/>
                <w:sz w:val="20"/>
                <w:szCs w:val="18"/>
              </w:rPr>
            </w:pPr>
            <w:r w:rsidRPr="00AC1CDE">
              <w:rPr>
                <w:bCs/>
                <w:sz w:val="20"/>
                <w:szCs w:val="18"/>
              </w:rPr>
              <w:t>-</w:t>
            </w:r>
          </w:p>
        </w:tc>
      </w:tr>
      <w:tr w:rsidR="002643B5" w:rsidRPr="00AC1CDE" w:rsidTr="000A40EC">
        <w:trPr>
          <w:trHeight w:val="304"/>
        </w:trPr>
        <w:tc>
          <w:tcPr>
            <w:tcW w:w="2479" w:type="dxa"/>
            <w:gridSpan w:val="2"/>
            <w:tcBorders>
              <w:top w:val="nil"/>
              <w:left w:val="nil"/>
              <w:bottom w:val="nil"/>
              <w:right w:val="nil"/>
            </w:tcBorders>
            <w:shd w:val="clear" w:color="auto" w:fill="auto"/>
            <w:noWrap/>
            <w:vAlign w:val="bottom"/>
            <w:hideMark/>
          </w:tcPr>
          <w:p w:rsidR="002643B5" w:rsidRPr="00AC1CDE" w:rsidRDefault="002643B5" w:rsidP="000A40EC">
            <w:pPr>
              <w:rPr>
                <w:b/>
                <w:bCs/>
                <w:sz w:val="20"/>
                <w:szCs w:val="18"/>
              </w:rPr>
            </w:pPr>
            <w:r w:rsidRPr="00AC1CDE">
              <w:rPr>
                <w:b/>
                <w:bCs/>
                <w:sz w:val="20"/>
                <w:szCs w:val="18"/>
              </w:rPr>
              <w:t>At 31 March 2011</w:t>
            </w:r>
          </w:p>
        </w:tc>
        <w:tc>
          <w:tcPr>
            <w:tcW w:w="1162" w:type="dxa"/>
            <w:tcBorders>
              <w:top w:val="single" w:sz="4" w:space="0" w:color="auto"/>
              <w:left w:val="nil"/>
              <w:bottom w:val="single" w:sz="4" w:space="0" w:color="auto"/>
              <w:right w:val="nil"/>
            </w:tcBorders>
            <w:shd w:val="clear" w:color="auto" w:fill="auto"/>
            <w:noWrap/>
            <w:vAlign w:val="bottom"/>
            <w:hideMark/>
          </w:tcPr>
          <w:p w:rsidR="002643B5" w:rsidRPr="00AC1CDE" w:rsidRDefault="002643B5" w:rsidP="000A40EC">
            <w:pPr>
              <w:rPr>
                <w:b/>
                <w:bCs/>
                <w:sz w:val="20"/>
                <w:szCs w:val="18"/>
              </w:rPr>
            </w:pPr>
            <w:r w:rsidRPr="00AC1CDE">
              <w:rPr>
                <w:b/>
                <w:bCs/>
                <w:sz w:val="20"/>
                <w:szCs w:val="18"/>
              </w:rPr>
              <w:t> </w:t>
            </w:r>
          </w:p>
        </w:tc>
        <w:tc>
          <w:tcPr>
            <w:tcW w:w="1162" w:type="dxa"/>
            <w:tcBorders>
              <w:top w:val="single" w:sz="4" w:space="0" w:color="auto"/>
              <w:left w:val="nil"/>
              <w:bottom w:val="single" w:sz="4" w:space="0" w:color="auto"/>
              <w:right w:val="nil"/>
            </w:tcBorders>
            <w:shd w:val="clear" w:color="auto" w:fill="auto"/>
            <w:noWrap/>
            <w:vAlign w:val="center"/>
            <w:hideMark/>
          </w:tcPr>
          <w:p w:rsidR="002643B5" w:rsidRPr="00AC1CDE" w:rsidRDefault="002643B5" w:rsidP="000A40EC">
            <w:pPr>
              <w:jc w:val="right"/>
              <w:rPr>
                <w:b/>
                <w:bCs/>
                <w:sz w:val="20"/>
                <w:szCs w:val="18"/>
              </w:rPr>
            </w:pPr>
            <w:r w:rsidRPr="00AC1CDE">
              <w:rPr>
                <w:b/>
                <w:bCs/>
                <w:sz w:val="20"/>
                <w:szCs w:val="18"/>
              </w:rPr>
              <w:t>1,953,690 </w:t>
            </w:r>
          </w:p>
        </w:tc>
        <w:tc>
          <w:tcPr>
            <w:tcW w:w="1749" w:type="dxa"/>
            <w:tcBorders>
              <w:top w:val="single" w:sz="4" w:space="0" w:color="auto"/>
              <w:left w:val="nil"/>
              <w:bottom w:val="single" w:sz="4" w:space="0" w:color="auto"/>
              <w:right w:val="nil"/>
            </w:tcBorders>
            <w:shd w:val="clear" w:color="auto" w:fill="auto"/>
            <w:noWrap/>
            <w:vAlign w:val="center"/>
            <w:hideMark/>
          </w:tcPr>
          <w:p w:rsidR="002643B5" w:rsidRPr="00AC1CDE" w:rsidRDefault="002643B5" w:rsidP="000A40EC">
            <w:pPr>
              <w:jc w:val="right"/>
              <w:rPr>
                <w:b/>
                <w:bCs/>
                <w:sz w:val="20"/>
                <w:szCs w:val="18"/>
              </w:rPr>
            </w:pPr>
            <w:r w:rsidRPr="00AC1CDE">
              <w:rPr>
                <w:b/>
                <w:bCs/>
                <w:sz w:val="20"/>
                <w:szCs w:val="18"/>
              </w:rPr>
              <w:t> 60,272</w:t>
            </w:r>
          </w:p>
        </w:tc>
        <w:tc>
          <w:tcPr>
            <w:tcW w:w="2127" w:type="dxa"/>
            <w:tcBorders>
              <w:top w:val="single" w:sz="4" w:space="0" w:color="auto"/>
              <w:left w:val="nil"/>
              <w:bottom w:val="single" w:sz="4" w:space="0" w:color="auto"/>
              <w:right w:val="nil"/>
            </w:tcBorders>
            <w:shd w:val="clear" w:color="auto" w:fill="auto"/>
            <w:noWrap/>
            <w:vAlign w:val="center"/>
            <w:hideMark/>
          </w:tcPr>
          <w:p w:rsidR="002643B5" w:rsidRPr="00AC1CDE" w:rsidRDefault="002643B5" w:rsidP="000A40EC">
            <w:pPr>
              <w:jc w:val="right"/>
              <w:rPr>
                <w:b/>
                <w:bCs/>
                <w:sz w:val="20"/>
                <w:szCs w:val="18"/>
              </w:rPr>
            </w:pPr>
            <w:r w:rsidRPr="00AC1CDE">
              <w:rPr>
                <w:b/>
                <w:bCs/>
                <w:sz w:val="20"/>
                <w:szCs w:val="18"/>
              </w:rPr>
              <w:t>519,052 </w:t>
            </w:r>
          </w:p>
        </w:tc>
        <w:tc>
          <w:tcPr>
            <w:tcW w:w="1701" w:type="dxa"/>
            <w:tcBorders>
              <w:top w:val="single" w:sz="4" w:space="0" w:color="auto"/>
              <w:left w:val="nil"/>
              <w:bottom w:val="single" w:sz="4" w:space="0" w:color="auto"/>
              <w:right w:val="nil"/>
            </w:tcBorders>
            <w:shd w:val="clear" w:color="auto" w:fill="auto"/>
            <w:noWrap/>
            <w:vAlign w:val="center"/>
            <w:hideMark/>
          </w:tcPr>
          <w:p w:rsidR="002643B5" w:rsidRPr="00AC1CDE" w:rsidRDefault="002643B5" w:rsidP="000A40EC">
            <w:pPr>
              <w:jc w:val="right"/>
              <w:rPr>
                <w:b/>
                <w:bCs/>
                <w:sz w:val="20"/>
                <w:szCs w:val="18"/>
              </w:rPr>
            </w:pPr>
            <w:r w:rsidRPr="00AC1CDE">
              <w:rPr>
                <w:b/>
                <w:bCs/>
                <w:sz w:val="20"/>
                <w:szCs w:val="18"/>
              </w:rPr>
              <w:t> -</w:t>
            </w:r>
          </w:p>
        </w:tc>
        <w:tc>
          <w:tcPr>
            <w:tcW w:w="1417" w:type="dxa"/>
            <w:tcBorders>
              <w:top w:val="single" w:sz="4" w:space="0" w:color="auto"/>
              <w:left w:val="nil"/>
              <w:bottom w:val="single" w:sz="4" w:space="0" w:color="auto"/>
              <w:right w:val="nil"/>
            </w:tcBorders>
            <w:shd w:val="clear" w:color="auto" w:fill="auto"/>
            <w:noWrap/>
            <w:vAlign w:val="center"/>
            <w:hideMark/>
          </w:tcPr>
          <w:p w:rsidR="002643B5" w:rsidRPr="00AC1CDE" w:rsidRDefault="002643B5" w:rsidP="000A40EC">
            <w:pPr>
              <w:jc w:val="right"/>
              <w:rPr>
                <w:b/>
                <w:bCs/>
                <w:sz w:val="20"/>
                <w:szCs w:val="18"/>
              </w:rPr>
            </w:pPr>
            <w:r w:rsidRPr="00AC1CDE">
              <w:rPr>
                <w:b/>
                <w:bCs/>
                <w:sz w:val="20"/>
                <w:szCs w:val="18"/>
              </w:rPr>
              <w:t> 14,519</w:t>
            </w:r>
          </w:p>
        </w:tc>
        <w:tc>
          <w:tcPr>
            <w:tcW w:w="1559" w:type="dxa"/>
            <w:tcBorders>
              <w:top w:val="single" w:sz="4" w:space="0" w:color="auto"/>
              <w:left w:val="nil"/>
              <w:bottom w:val="single" w:sz="4" w:space="0" w:color="auto"/>
              <w:right w:val="nil"/>
            </w:tcBorders>
            <w:shd w:val="clear" w:color="auto" w:fill="auto"/>
            <w:noWrap/>
            <w:vAlign w:val="center"/>
            <w:hideMark/>
          </w:tcPr>
          <w:p w:rsidR="002643B5" w:rsidRPr="00AC1CDE" w:rsidRDefault="002643B5" w:rsidP="000A40EC">
            <w:pPr>
              <w:jc w:val="right"/>
              <w:rPr>
                <w:b/>
                <w:bCs/>
                <w:sz w:val="20"/>
                <w:szCs w:val="18"/>
              </w:rPr>
            </w:pPr>
            <w:r w:rsidRPr="00AC1CDE">
              <w:rPr>
                <w:b/>
                <w:bCs/>
                <w:sz w:val="20"/>
                <w:szCs w:val="18"/>
              </w:rPr>
              <w:t> 2,547,533</w:t>
            </w:r>
          </w:p>
        </w:tc>
        <w:tc>
          <w:tcPr>
            <w:tcW w:w="1353" w:type="dxa"/>
            <w:tcBorders>
              <w:top w:val="single" w:sz="4" w:space="0" w:color="auto"/>
              <w:left w:val="nil"/>
              <w:bottom w:val="single" w:sz="4" w:space="0" w:color="auto"/>
              <w:right w:val="nil"/>
            </w:tcBorders>
            <w:vAlign w:val="center"/>
          </w:tcPr>
          <w:p w:rsidR="002643B5" w:rsidRPr="00AC1CDE" w:rsidRDefault="002643B5" w:rsidP="000A40EC">
            <w:pPr>
              <w:jc w:val="right"/>
              <w:rPr>
                <w:b/>
                <w:bCs/>
                <w:sz w:val="20"/>
                <w:szCs w:val="18"/>
              </w:rPr>
            </w:pPr>
            <w:r w:rsidRPr="00AC1CDE">
              <w:rPr>
                <w:b/>
                <w:bCs/>
                <w:sz w:val="20"/>
                <w:szCs w:val="18"/>
              </w:rPr>
              <w:t>219,610</w:t>
            </w:r>
          </w:p>
        </w:tc>
      </w:tr>
      <w:tr w:rsidR="002643B5" w:rsidRPr="00AC1CDE" w:rsidTr="000A40EC">
        <w:trPr>
          <w:trHeight w:val="304"/>
        </w:trPr>
        <w:tc>
          <w:tcPr>
            <w:tcW w:w="2479" w:type="dxa"/>
            <w:gridSpan w:val="2"/>
            <w:tcBorders>
              <w:top w:val="nil"/>
              <w:left w:val="nil"/>
              <w:bottom w:val="nil"/>
              <w:right w:val="nil"/>
            </w:tcBorders>
            <w:shd w:val="clear" w:color="auto" w:fill="auto"/>
            <w:noWrap/>
            <w:vAlign w:val="bottom"/>
            <w:hideMark/>
          </w:tcPr>
          <w:p w:rsidR="002643B5" w:rsidRPr="00AC1CDE" w:rsidRDefault="002643B5" w:rsidP="000A40EC">
            <w:pPr>
              <w:rPr>
                <w:sz w:val="20"/>
                <w:szCs w:val="18"/>
              </w:rPr>
            </w:pPr>
          </w:p>
        </w:tc>
        <w:tc>
          <w:tcPr>
            <w:tcW w:w="1162" w:type="dxa"/>
            <w:tcBorders>
              <w:top w:val="nil"/>
              <w:left w:val="nil"/>
              <w:bottom w:val="nil"/>
              <w:right w:val="nil"/>
            </w:tcBorders>
            <w:shd w:val="clear" w:color="auto" w:fill="auto"/>
            <w:noWrap/>
            <w:vAlign w:val="bottom"/>
            <w:hideMark/>
          </w:tcPr>
          <w:p w:rsidR="002643B5" w:rsidRPr="00AC1CDE" w:rsidRDefault="002643B5" w:rsidP="000A40EC">
            <w:pPr>
              <w:rPr>
                <w:sz w:val="20"/>
                <w:szCs w:val="18"/>
              </w:rPr>
            </w:pPr>
          </w:p>
        </w:tc>
        <w:tc>
          <w:tcPr>
            <w:tcW w:w="1162" w:type="dxa"/>
            <w:tcBorders>
              <w:top w:val="nil"/>
              <w:left w:val="nil"/>
              <w:bottom w:val="nil"/>
              <w:right w:val="nil"/>
            </w:tcBorders>
            <w:shd w:val="clear" w:color="auto" w:fill="auto"/>
            <w:noWrap/>
            <w:vAlign w:val="bottom"/>
            <w:hideMark/>
          </w:tcPr>
          <w:p w:rsidR="002643B5" w:rsidRPr="00AC1CDE" w:rsidRDefault="002643B5" w:rsidP="000A40EC">
            <w:pPr>
              <w:rPr>
                <w:sz w:val="20"/>
                <w:szCs w:val="18"/>
              </w:rPr>
            </w:pPr>
          </w:p>
        </w:tc>
        <w:tc>
          <w:tcPr>
            <w:tcW w:w="1749" w:type="dxa"/>
            <w:tcBorders>
              <w:top w:val="nil"/>
              <w:left w:val="nil"/>
              <w:bottom w:val="nil"/>
              <w:right w:val="nil"/>
            </w:tcBorders>
            <w:shd w:val="clear" w:color="auto" w:fill="auto"/>
            <w:noWrap/>
            <w:vAlign w:val="bottom"/>
            <w:hideMark/>
          </w:tcPr>
          <w:p w:rsidR="002643B5" w:rsidRPr="00AC1CDE" w:rsidRDefault="002643B5" w:rsidP="000A40EC">
            <w:pPr>
              <w:rPr>
                <w:sz w:val="20"/>
                <w:szCs w:val="18"/>
              </w:rPr>
            </w:pPr>
          </w:p>
        </w:tc>
        <w:tc>
          <w:tcPr>
            <w:tcW w:w="2127" w:type="dxa"/>
            <w:tcBorders>
              <w:top w:val="nil"/>
              <w:left w:val="nil"/>
              <w:bottom w:val="nil"/>
              <w:right w:val="nil"/>
            </w:tcBorders>
            <w:shd w:val="clear" w:color="auto" w:fill="auto"/>
            <w:noWrap/>
            <w:vAlign w:val="bottom"/>
            <w:hideMark/>
          </w:tcPr>
          <w:p w:rsidR="002643B5" w:rsidRPr="00AC1CDE" w:rsidRDefault="002643B5" w:rsidP="000A40EC">
            <w:pPr>
              <w:rPr>
                <w:sz w:val="20"/>
                <w:szCs w:val="18"/>
              </w:rPr>
            </w:pPr>
          </w:p>
        </w:tc>
        <w:tc>
          <w:tcPr>
            <w:tcW w:w="1701" w:type="dxa"/>
            <w:tcBorders>
              <w:top w:val="nil"/>
              <w:left w:val="nil"/>
              <w:bottom w:val="nil"/>
              <w:right w:val="nil"/>
            </w:tcBorders>
            <w:shd w:val="clear" w:color="auto" w:fill="auto"/>
            <w:noWrap/>
            <w:vAlign w:val="bottom"/>
            <w:hideMark/>
          </w:tcPr>
          <w:p w:rsidR="002643B5" w:rsidRPr="00AC1CDE" w:rsidRDefault="002643B5" w:rsidP="000A40EC">
            <w:pPr>
              <w:rPr>
                <w:sz w:val="20"/>
                <w:szCs w:val="18"/>
              </w:rPr>
            </w:pPr>
          </w:p>
        </w:tc>
        <w:tc>
          <w:tcPr>
            <w:tcW w:w="1417" w:type="dxa"/>
            <w:tcBorders>
              <w:top w:val="nil"/>
              <w:left w:val="nil"/>
              <w:bottom w:val="nil"/>
              <w:right w:val="nil"/>
            </w:tcBorders>
            <w:shd w:val="clear" w:color="auto" w:fill="auto"/>
            <w:noWrap/>
            <w:vAlign w:val="bottom"/>
            <w:hideMark/>
          </w:tcPr>
          <w:p w:rsidR="002643B5" w:rsidRPr="00AC1CDE" w:rsidRDefault="002643B5" w:rsidP="000A40EC">
            <w:pPr>
              <w:rPr>
                <w:sz w:val="20"/>
                <w:szCs w:val="18"/>
              </w:rPr>
            </w:pPr>
          </w:p>
        </w:tc>
        <w:tc>
          <w:tcPr>
            <w:tcW w:w="1559" w:type="dxa"/>
            <w:tcBorders>
              <w:top w:val="nil"/>
              <w:left w:val="nil"/>
              <w:bottom w:val="nil"/>
              <w:right w:val="nil"/>
            </w:tcBorders>
            <w:shd w:val="clear" w:color="auto" w:fill="auto"/>
            <w:noWrap/>
            <w:vAlign w:val="bottom"/>
            <w:hideMark/>
          </w:tcPr>
          <w:p w:rsidR="002643B5" w:rsidRPr="00AC1CDE" w:rsidRDefault="002643B5" w:rsidP="000A40EC">
            <w:pPr>
              <w:rPr>
                <w:b/>
                <w:bCs/>
                <w:color w:val="0000FF"/>
                <w:sz w:val="20"/>
                <w:szCs w:val="18"/>
              </w:rPr>
            </w:pPr>
          </w:p>
        </w:tc>
        <w:tc>
          <w:tcPr>
            <w:tcW w:w="1353" w:type="dxa"/>
            <w:tcBorders>
              <w:top w:val="nil"/>
              <w:left w:val="nil"/>
              <w:bottom w:val="nil"/>
              <w:right w:val="nil"/>
            </w:tcBorders>
            <w:vAlign w:val="bottom"/>
          </w:tcPr>
          <w:p w:rsidR="002643B5" w:rsidRPr="00AC1CDE" w:rsidRDefault="002643B5" w:rsidP="000A40EC">
            <w:pPr>
              <w:jc w:val="center"/>
              <w:rPr>
                <w:bCs/>
                <w:color w:val="0000FF"/>
                <w:sz w:val="20"/>
                <w:szCs w:val="18"/>
              </w:rPr>
            </w:pPr>
          </w:p>
        </w:tc>
      </w:tr>
      <w:tr w:rsidR="002643B5" w:rsidRPr="00AC1CDE" w:rsidTr="000A40EC">
        <w:trPr>
          <w:trHeight w:val="970"/>
        </w:trPr>
        <w:tc>
          <w:tcPr>
            <w:tcW w:w="2479" w:type="dxa"/>
            <w:gridSpan w:val="2"/>
            <w:tcBorders>
              <w:top w:val="nil"/>
              <w:left w:val="nil"/>
              <w:bottom w:val="nil"/>
              <w:right w:val="nil"/>
            </w:tcBorders>
            <w:shd w:val="clear" w:color="auto" w:fill="auto"/>
            <w:vAlign w:val="bottom"/>
            <w:hideMark/>
          </w:tcPr>
          <w:p w:rsidR="002643B5" w:rsidRPr="00AC1CDE" w:rsidRDefault="002643B5" w:rsidP="000A40EC">
            <w:pPr>
              <w:rPr>
                <w:b/>
                <w:bCs/>
                <w:sz w:val="20"/>
                <w:szCs w:val="20"/>
              </w:rPr>
            </w:pPr>
            <w:r w:rsidRPr="00AC1CDE">
              <w:rPr>
                <w:b/>
                <w:bCs/>
                <w:sz w:val="20"/>
                <w:szCs w:val="20"/>
              </w:rPr>
              <w:lastRenderedPageBreak/>
              <w:t>Depreciation and Impairments</w:t>
            </w:r>
          </w:p>
        </w:tc>
        <w:tc>
          <w:tcPr>
            <w:tcW w:w="1162" w:type="dxa"/>
            <w:tcBorders>
              <w:top w:val="nil"/>
              <w:left w:val="nil"/>
              <w:bottom w:val="nil"/>
              <w:right w:val="nil"/>
            </w:tcBorders>
            <w:shd w:val="clear" w:color="auto" w:fill="auto"/>
            <w:noWrap/>
            <w:vAlign w:val="bottom"/>
            <w:hideMark/>
          </w:tcPr>
          <w:p w:rsidR="002643B5" w:rsidRPr="00AC1CDE" w:rsidRDefault="002643B5" w:rsidP="000A40EC">
            <w:pPr>
              <w:rPr>
                <w:sz w:val="20"/>
                <w:szCs w:val="18"/>
              </w:rPr>
            </w:pPr>
          </w:p>
        </w:tc>
        <w:tc>
          <w:tcPr>
            <w:tcW w:w="1162" w:type="dxa"/>
            <w:tcBorders>
              <w:top w:val="nil"/>
              <w:left w:val="nil"/>
              <w:bottom w:val="nil"/>
              <w:right w:val="nil"/>
            </w:tcBorders>
            <w:shd w:val="clear" w:color="auto" w:fill="auto"/>
            <w:noWrap/>
            <w:vAlign w:val="bottom"/>
            <w:hideMark/>
          </w:tcPr>
          <w:p w:rsidR="002643B5" w:rsidRPr="00AC1CDE" w:rsidRDefault="002643B5" w:rsidP="000A40EC">
            <w:pPr>
              <w:rPr>
                <w:sz w:val="20"/>
                <w:szCs w:val="18"/>
              </w:rPr>
            </w:pPr>
          </w:p>
        </w:tc>
        <w:tc>
          <w:tcPr>
            <w:tcW w:w="1749" w:type="dxa"/>
            <w:tcBorders>
              <w:top w:val="nil"/>
              <w:left w:val="nil"/>
              <w:bottom w:val="nil"/>
              <w:right w:val="nil"/>
            </w:tcBorders>
            <w:shd w:val="clear" w:color="auto" w:fill="auto"/>
            <w:noWrap/>
            <w:vAlign w:val="bottom"/>
            <w:hideMark/>
          </w:tcPr>
          <w:p w:rsidR="002643B5" w:rsidRPr="00AC1CDE" w:rsidRDefault="002643B5" w:rsidP="000A40EC">
            <w:pPr>
              <w:rPr>
                <w:sz w:val="20"/>
                <w:szCs w:val="18"/>
              </w:rPr>
            </w:pPr>
          </w:p>
        </w:tc>
        <w:tc>
          <w:tcPr>
            <w:tcW w:w="2127" w:type="dxa"/>
            <w:tcBorders>
              <w:top w:val="nil"/>
              <w:left w:val="nil"/>
              <w:bottom w:val="nil"/>
              <w:right w:val="nil"/>
            </w:tcBorders>
            <w:shd w:val="clear" w:color="auto" w:fill="auto"/>
            <w:noWrap/>
            <w:vAlign w:val="bottom"/>
            <w:hideMark/>
          </w:tcPr>
          <w:p w:rsidR="002643B5" w:rsidRPr="00AC1CDE" w:rsidRDefault="002643B5" w:rsidP="000A40EC">
            <w:pPr>
              <w:rPr>
                <w:sz w:val="20"/>
                <w:szCs w:val="18"/>
              </w:rPr>
            </w:pPr>
          </w:p>
        </w:tc>
        <w:tc>
          <w:tcPr>
            <w:tcW w:w="1701" w:type="dxa"/>
            <w:tcBorders>
              <w:top w:val="nil"/>
              <w:left w:val="nil"/>
              <w:bottom w:val="nil"/>
              <w:right w:val="nil"/>
            </w:tcBorders>
            <w:shd w:val="clear" w:color="auto" w:fill="auto"/>
            <w:noWrap/>
            <w:vAlign w:val="bottom"/>
            <w:hideMark/>
          </w:tcPr>
          <w:p w:rsidR="002643B5" w:rsidRPr="00AC1CDE" w:rsidRDefault="002643B5" w:rsidP="000A40EC">
            <w:pPr>
              <w:rPr>
                <w:sz w:val="20"/>
                <w:szCs w:val="18"/>
              </w:rPr>
            </w:pPr>
          </w:p>
        </w:tc>
        <w:tc>
          <w:tcPr>
            <w:tcW w:w="1417" w:type="dxa"/>
            <w:tcBorders>
              <w:top w:val="nil"/>
              <w:left w:val="nil"/>
              <w:bottom w:val="nil"/>
              <w:right w:val="nil"/>
            </w:tcBorders>
            <w:shd w:val="clear" w:color="auto" w:fill="auto"/>
            <w:noWrap/>
            <w:vAlign w:val="bottom"/>
            <w:hideMark/>
          </w:tcPr>
          <w:p w:rsidR="002643B5" w:rsidRPr="00AC1CDE" w:rsidRDefault="002643B5" w:rsidP="000A40EC">
            <w:pPr>
              <w:rPr>
                <w:sz w:val="20"/>
                <w:szCs w:val="18"/>
              </w:rPr>
            </w:pPr>
          </w:p>
        </w:tc>
        <w:tc>
          <w:tcPr>
            <w:tcW w:w="1559" w:type="dxa"/>
            <w:tcBorders>
              <w:top w:val="nil"/>
              <w:left w:val="nil"/>
              <w:bottom w:val="nil"/>
              <w:right w:val="nil"/>
            </w:tcBorders>
            <w:shd w:val="clear" w:color="auto" w:fill="auto"/>
            <w:noWrap/>
            <w:vAlign w:val="bottom"/>
            <w:hideMark/>
          </w:tcPr>
          <w:p w:rsidR="002643B5" w:rsidRPr="00AC1CDE" w:rsidRDefault="002643B5" w:rsidP="000A40EC">
            <w:pPr>
              <w:rPr>
                <w:b/>
                <w:bCs/>
                <w:color w:val="0000FF"/>
                <w:sz w:val="20"/>
                <w:szCs w:val="18"/>
              </w:rPr>
            </w:pPr>
          </w:p>
        </w:tc>
        <w:tc>
          <w:tcPr>
            <w:tcW w:w="1353" w:type="dxa"/>
            <w:tcBorders>
              <w:top w:val="nil"/>
              <w:left w:val="nil"/>
              <w:bottom w:val="nil"/>
              <w:right w:val="nil"/>
            </w:tcBorders>
            <w:vAlign w:val="bottom"/>
          </w:tcPr>
          <w:p w:rsidR="002643B5" w:rsidRPr="00AC1CDE" w:rsidRDefault="002643B5" w:rsidP="000A40EC">
            <w:pPr>
              <w:jc w:val="center"/>
              <w:rPr>
                <w:bCs/>
                <w:color w:val="0000FF"/>
                <w:sz w:val="20"/>
                <w:szCs w:val="18"/>
              </w:rPr>
            </w:pPr>
          </w:p>
        </w:tc>
      </w:tr>
      <w:tr w:rsidR="002643B5" w:rsidRPr="00AC1CDE" w:rsidTr="000A40EC">
        <w:trPr>
          <w:trHeight w:val="304"/>
        </w:trPr>
        <w:tc>
          <w:tcPr>
            <w:tcW w:w="2479" w:type="dxa"/>
            <w:gridSpan w:val="2"/>
            <w:tcBorders>
              <w:top w:val="nil"/>
              <w:left w:val="nil"/>
              <w:bottom w:val="nil"/>
              <w:right w:val="nil"/>
            </w:tcBorders>
            <w:shd w:val="clear" w:color="auto" w:fill="auto"/>
            <w:noWrap/>
            <w:vAlign w:val="bottom"/>
            <w:hideMark/>
          </w:tcPr>
          <w:p w:rsidR="002643B5" w:rsidRPr="00AC1CDE" w:rsidRDefault="002643B5" w:rsidP="000A40EC">
            <w:pPr>
              <w:rPr>
                <w:b/>
                <w:bCs/>
                <w:sz w:val="20"/>
                <w:szCs w:val="18"/>
              </w:rPr>
            </w:pPr>
            <w:r w:rsidRPr="00AC1CDE">
              <w:rPr>
                <w:b/>
                <w:bCs/>
                <w:sz w:val="20"/>
                <w:szCs w:val="18"/>
              </w:rPr>
              <w:t>At 1 April 2010</w:t>
            </w:r>
          </w:p>
        </w:tc>
        <w:tc>
          <w:tcPr>
            <w:tcW w:w="1162" w:type="dxa"/>
            <w:tcBorders>
              <w:top w:val="nil"/>
              <w:left w:val="nil"/>
              <w:bottom w:val="nil"/>
              <w:right w:val="nil"/>
            </w:tcBorders>
            <w:shd w:val="clear" w:color="auto" w:fill="auto"/>
            <w:noWrap/>
            <w:vAlign w:val="bottom"/>
            <w:hideMark/>
          </w:tcPr>
          <w:p w:rsidR="002643B5" w:rsidRPr="00AC1CDE" w:rsidRDefault="002643B5" w:rsidP="000A40EC">
            <w:pPr>
              <w:rPr>
                <w:sz w:val="20"/>
                <w:szCs w:val="18"/>
              </w:rPr>
            </w:pPr>
          </w:p>
        </w:tc>
        <w:tc>
          <w:tcPr>
            <w:tcW w:w="1162"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38,563</w:t>
            </w:r>
          </w:p>
        </w:tc>
        <w:tc>
          <w:tcPr>
            <w:tcW w:w="1749"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15,275</w:t>
            </w:r>
          </w:p>
        </w:tc>
        <w:tc>
          <w:tcPr>
            <w:tcW w:w="2127"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28,070</w:t>
            </w:r>
          </w:p>
        </w:tc>
        <w:tc>
          <w:tcPr>
            <w:tcW w:w="1701"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w:t>
            </w:r>
          </w:p>
        </w:tc>
        <w:tc>
          <w:tcPr>
            <w:tcW w:w="1417"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w:t>
            </w:r>
          </w:p>
        </w:tc>
        <w:tc>
          <w:tcPr>
            <w:tcW w:w="1559" w:type="dxa"/>
            <w:tcBorders>
              <w:top w:val="nil"/>
              <w:left w:val="nil"/>
              <w:bottom w:val="nil"/>
              <w:right w:val="nil"/>
            </w:tcBorders>
            <w:shd w:val="clear" w:color="auto" w:fill="auto"/>
            <w:noWrap/>
            <w:vAlign w:val="center"/>
            <w:hideMark/>
          </w:tcPr>
          <w:p w:rsidR="002643B5" w:rsidRPr="00AC1CDE" w:rsidRDefault="002643B5" w:rsidP="000A40EC">
            <w:pPr>
              <w:jc w:val="right"/>
              <w:rPr>
                <w:b/>
                <w:bCs/>
                <w:sz w:val="20"/>
                <w:szCs w:val="18"/>
              </w:rPr>
            </w:pPr>
            <w:r w:rsidRPr="00AC1CDE">
              <w:rPr>
                <w:b/>
                <w:bCs/>
                <w:sz w:val="20"/>
                <w:szCs w:val="18"/>
              </w:rPr>
              <w:t>81,908</w:t>
            </w:r>
          </w:p>
        </w:tc>
        <w:tc>
          <w:tcPr>
            <w:tcW w:w="1353" w:type="dxa"/>
            <w:tcBorders>
              <w:top w:val="nil"/>
              <w:left w:val="nil"/>
              <w:bottom w:val="nil"/>
              <w:right w:val="nil"/>
            </w:tcBorders>
            <w:vAlign w:val="center"/>
          </w:tcPr>
          <w:p w:rsidR="002643B5" w:rsidRPr="00AC1CDE" w:rsidRDefault="002643B5" w:rsidP="000A40EC">
            <w:pPr>
              <w:jc w:val="right"/>
              <w:rPr>
                <w:bCs/>
                <w:sz w:val="20"/>
                <w:szCs w:val="18"/>
              </w:rPr>
            </w:pPr>
            <w:r w:rsidRPr="00AC1CDE">
              <w:rPr>
                <w:bCs/>
                <w:sz w:val="20"/>
                <w:szCs w:val="18"/>
              </w:rPr>
              <w:t>(1,461)</w:t>
            </w:r>
          </w:p>
        </w:tc>
      </w:tr>
      <w:tr w:rsidR="002643B5" w:rsidRPr="00AC1CDE" w:rsidTr="000A40EC">
        <w:trPr>
          <w:gridBefore w:val="1"/>
          <w:wBefore w:w="295" w:type="dxa"/>
          <w:trHeight w:val="233"/>
        </w:trPr>
        <w:tc>
          <w:tcPr>
            <w:tcW w:w="2184" w:type="dxa"/>
            <w:tcBorders>
              <w:top w:val="nil"/>
              <w:left w:val="nil"/>
              <w:bottom w:val="nil"/>
              <w:right w:val="nil"/>
            </w:tcBorders>
            <w:shd w:val="clear" w:color="auto" w:fill="auto"/>
            <w:vAlign w:val="bottom"/>
            <w:hideMark/>
          </w:tcPr>
          <w:p w:rsidR="002643B5" w:rsidRPr="00AC1CDE" w:rsidRDefault="002643B5" w:rsidP="000A40EC">
            <w:pPr>
              <w:rPr>
                <w:sz w:val="20"/>
                <w:szCs w:val="18"/>
              </w:rPr>
            </w:pPr>
            <w:r w:rsidRPr="00AC1CDE">
              <w:rPr>
                <w:sz w:val="20"/>
                <w:szCs w:val="18"/>
              </w:rPr>
              <w:t>Depreciation charge for 2010/11</w:t>
            </w:r>
          </w:p>
        </w:tc>
        <w:tc>
          <w:tcPr>
            <w:tcW w:w="1162" w:type="dxa"/>
            <w:tcBorders>
              <w:top w:val="nil"/>
              <w:left w:val="nil"/>
              <w:bottom w:val="nil"/>
              <w:right w:val="nil"/>
            </w:tcBorders>
            <w:shd w:val="clear" w:color="auto" w:fill="auto"/>
            <w:noWrap/>
            <w:vAlign w:val="bottom"/>
            <w:hideMark/>
          </w:tcPr>
          <w:p w:rsidR="002643B5" w:rsidRPr="00AC1CDE" w:rsidRDefault="002643B5" w:rsidP="000A40EC">
            <w:pPr>
              <w:rPr>
                <w:sz w:val="20"/>
                <w:szCs w:val="18"/>
              </w:rPr>
            </w:pPr>
          </w:p>
        </w:tc>
        <w:tc>
          <w:tcPr>
            <w:tcW w:w="1162"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20,648</w:t>
            </w:r>
          </w:p>
        </w:tc>
        <w:tc>
          <w:tcPr>
            <w:tcW w:w="1749"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5,945</w:t>
            </w:r>
          </w:p>
        </w:tc>
        <w:tc>
          <w:tcPr>
            <w:tcW w:w="2127"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11,278</w:t>
            </w:r>
          </w:p>
        </w:tc>
        <w:tc>
          <w:tcPr>
            <w:tcW w:w="1701"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w:t>
            </w:r>
          </w:p>
        </w:tc>
        <w:tc>
          <w:tcPr>
            <w:tcW w:w="1417"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r w:rsidRPr="00AC1CDE">
              <w:rPr>
                <w:sz w:val="20"/>
                <w:szCs w:val="18"/>
              </w:rPr>
              <w:t>-</w:t>
            </w:r>
          </w:p>
        </w:tc>
        <w:tc>
          <w:tcPr>
            <w:tcW w:w="1559" w:type="dxa"/>
            <w:tcBorders>
              <w:top w:val="nil"/>
              <w:left w:val="nil"/>
              <w:bottom w:val="nil"/>
              <w:right w:val="nil"/>
            </w:tcBorders>
            <w:shd w:val="clear" w:color="auto" w:fill="auto"/>
            <w:noWrap/>
            <w:vAlign w:val="center"/>
            <w:hideMark/>
          </w:tcPr>
          <w:p w:rsidR="002643B5" w:rsidRPr="00AC1CDE" w:rsidRDefault="002643B5" w:rsidP="000A40EC">
            <w:pPr>
              <w:jc w:val="right"/>
              <w:rPr>
                <w:b/>
                <w:bCs/>
                <w:sz w:val="20"/>
                <w:szCs w:val="18"/>
              </w:rPr>
            </w:pPr>
            <w:r w:rsidRPr="00AC1CDE">
              <w:rPr>
                <w:b/>
                <w:bCs/>
                <w:sz w:val="20"/>
                <w:szCs w:val="18"/>
              </w:rPr>
              <w:t>37,871</w:t>
            </w:r>
          </w:p>
        </w:tc>
        <w:tc>
          <w:tcPr>
            <w:tcW w:w="1353" w:type="dxa"/>
            <w:tcBorders>
              <w:top w:val="nil"/>
              <w:left w:val="nil"/>
              <w:bottom w:val="nil"/>
              <w:right w:val="nil"/>
            </w:tcBorders>
            <w:vAlign w:val="center"/>
          </w:tcPr>
          <w:p w:rsidR="002643B5" w:rsidRPr="00AC1CDE" w:rsidRDefault="002643B5" w:rsidP="000A40EC">
            <w:pPr>
              <w:jc w:val="right"/>
              <w:rPr>
                <w:bCs/>
                <w:sz w:val="20"/>
                <w:szCs w:val="18"/>
              </w:rPr>
            </w:pPr>
            <w:r w:rsidRPr="00AC1CDE">
              <w:rPr>
                <w:bCs/>
                <w:sz w:val="20"/>
                <w:szCs w:val="18"/>
              </w:rPr>
              <w:t>(2,099)</w:t>
            </w:r>
          </w:p>
        </w:tc>
      </w:tr>
      <w:tr w:rsidR="002643B5" w:rsidRPr="00AC1CDE" w:rsidTr="000A40EC">
        <w:trPr>
          <w:gridBefore w:val="1"/>
          <w:wBefore w:w="295" w:type="dxa"/>
          <w:trHeight w:val="302"/>
        </w:trPr>
        <w:tc>
          <w:tcPr>
            <w:tcW w:w="2184" w:type="dxa"/>
            <w:tcBorders>
              <w:top w:val="nil"/>
              <w:left w:val="nil"/>
              <w:bottom w:val="nil"/>
              <w:right w:val="nil"/>
            </w:tcBorders>
            <w:shd w:val="clear" w:color="auto" w:fill="auto"/>
            <w:vAlign w:val="bottom"/>
            <w:hideMark/>
          </w:tcPr>
          <w:p w:rsidR="002643B5" w:rsidRPr="00AC1CDE" w:rsidRDefault="002643B5" w:rsidP="000A40EC">
            <w:pPr>
              <w:rPr>
                <w:sz w:val="20"/>
                <w:szCs w:val="18"/>
              </w:rPr>
            </w:pPr>
            <w:r w:rsidRPr="00AC1CDE">
              <w:rPr>
                <w:sz w:val="20"/>
                <w:szCs w:val="18"/>
              </w:rPr>
              <w:t>Depreciation written out to the Revaluation Reserve</w:t>
            </w:r>
          </w:p>
        </w:tc>
        <w:tc>
          <w:tcPr>
            <w:tcW w:w="1162" w:type="dxa"/>
            <w:tcBorders>
              <w:top w:val="nil"/>
              <w:left w:val="nil"/>
              <w:bottom w:val="nil"/>
              <w:right w:val="nil"/>
            </w:tcBorders>
            <w:shd w:val="clear" w:color="auto" w:fill="auto"/>
            <w:noWrap/>
            <w:vAlign w:val="bottom"/>
            <w:hideMark/>
          </w:tcPr>
          <w:p w:rsidR="002643B5" w:rsidRPr="00AC1CDE" w:rsidRDefault="002643B5" w:rsidP="000A40EC">
            <w:pPr>
              <w:rPr>
                <w:sz w:val="20"/>
                <w:szCs w:val="18"/>
              </w:rPr>
            </w:pPr>
          </w:p>
        </w:tc>
        <w:tc>
          <w:tcPr>
            <w:tcW w:w="1162" w:type="dxa"/>
            <w:tcBorders>
              <w:top w:val="nil"/>
              <w:left w:val="nil"/>
              <w:bottom w:val="nil"/>
              <w:right w:val="nil"/>
            </w:tcBorders>
            <w:shd w:val="clear" w:color="auto" w:fill="auto"/>
            <w:noWrap/>
            <w:vAlign w:val="bottom"/>
            <w:hideMark/>
          </w:tcPr>
          <w:p w:rsidR="002643B5" w:rsidRPr="00AC1CDE" w:rsidRDefault="002643B5" w:rsidP="000A40EC">
            <w:pPr>
              <w:jc w:val="right"/>
              <w:rPr>
                <w:sz w:val="20"/>
                <w:szCs w:val="18"/>
              </w:rPr>
            </w:pPr>
            <w:r w:rsidRPr="00AC1CDE">
              <w:rPr>
                <w:sz w:val="20"/>
                <w:szCs w:val="18"/>
              </w:rPr>
              <w:t>-</w:t>
            </w:r>
          </w:p>
        </w:tc>
        <w:tc>
          <w:tcPr>
            <w:tcW w:w="1749" w:type="dxa"/>
            <w:tcBorders>
              <w:top w:val="nil"/>
              <w:left w:val="nil"/>
              <w:bottom w:val="nil"/>
              <w:right w:val="nil"/>
            </w:tcBorders>
            <w:shd w:val="clear" w:color="auto" w:fill="auto"/>
            <w:noWrap/>
            <w:vAlign w:val="bottom"/>
            <w:hideMark/>
          </w:tcPr>
          <w:p w:rsidR="002643B5" w:rsidRPr="00AC1CDE" w:rsidRDefault="002643B5" w:rsidP="000A40EC">
            <w:pPr>
              <w:jc w:val="right"/>
              <w:rPr>
                <w:sz w:val="20"/>
                <w:szCs w:val="18"/>
              </w:rPr>
            </w:pPr>
            <w:r w:rsidRPr="00AC1CDE">
              <w:rPr>
                <w:sz w:val="20"/>
                <w:szCs w:val="18"/>
              </w:rPr>
              <w:t>-</w:t>
            </w:r>
          </w:p>
        </w:tc>
        <w:tc>
          <w:tcPr>
            <w:tcW w:w="2127" w:type="dxa"/>
            <w:tcBorders>
              <w:top w:val="nil"/>
              <w:left w:val="nil"/>
              <w:bottom w:val="nil"/>
              <w:right w:val="nil"/>
            </w:tcBorders>
            <w:shd w:val="clear" w:color="auto" w:fill="auto"/>
            <w:noWrap/>
            <w:vAlign w:val="bottom"/>
            <w:hideMark/>
          </w:tcPr>
          <w:p w:rsidR="002643B5" w:rsidRPr="00AC1CDE" w:rsidRDefault="002643B5" w:rsidP="000A40EC">
            <w:pPr>
              <w:jc w:val="right"/>
              <w:rPr>
                <w:sz w:val="20"/>
                <w:szCs w:val="18"/>
              </w:rPr>
            </w:pPr>
            <w:r w:rsidRPr="00AC1CDE">
              <w:rPr>
                <w:sz w:val="20"/>
                <w:szCs w:val="18"/>
              </w:rPr>
              <w:t>-</w:t>
            </w:r>
          </w:p>
        </w:tc>
        <w:tc>
          <w:tcPr>
            <w:tcW w:w="1701" w:type="dxa"/>
            <w:tcBorders>
              <w:top w:val="nil"/>
              <w:left w:val="nil"/>
              <w:bottom w:val="nil"/>
              <w:right w:val="nil"/>
            </w:tcBorders>
            <w:shd w:val="clear" w:color="auto" w:fill="auto"/>
            <w:noWrap/>
            <w:vAlign w:val="bottom"/>
            <w:hideMark/>
          </w:tcPr>
          <w:p w:rsidR="002643B5" w:rsidRPr="00AC1CDE" w:rsidRDefault="002643B5" w:rsidP="000A40EC">
            <w:pPr>
              <w:jc w:val="right"/>
              <w:rPr>
                <w:sz w:val="20"/>
                <w:szCs w:val="18"/>
              </w:rPr>
            </w:pPr>
            <w:r w:rsidRPr="00AC1CDE">
              <w:rPr>
                <w:sz w:val="20"/>
                <w:szCs w:val="18"/>
              </w:rPr>
              <w:t>-</w:t>
            </w:r>
          </w:p>
        </w:tc>
        <w:tc>
          <w:tcPr>
            <w:tcW w:w="1417" w:type="dxa"/>
            <w:tcBorders>
              <w:top w:val="nil"/>
              <w:left w:val="nil"/>
              <w:bottom w:val="nil"/>
              <w:right w:val="nil"/>
            </w:tcBorders>
            <w:shd w:val="clear" w:color="auto" w:fill="auto"/>
            <w:noWrap/>
            <w:vAlign w:val="bottom"/>
            <w:hideMark/>
          </w:tcPr>
          <w:p w:rsidR="002643B5" w:rsidRPr="00AC1CDE" w:rsidRDefault="002643B5" w:rsidP="000A40EC">
            <w:pPr>
              <w:jc w:val="right"/>
              <w:rPr>
                <w:sz w:val="20"/>
                <w:szCs w:val="18"/>
              </w:rPr>
            </w:pPr>
            <w:r w:rsidRPr="00AC1CDE">
              <w:rPr>
                <w:sz w:val="20"/>
                <w:szCs w:val="18"/>
              </w:rPr>
              <w:t>-</w:t>
            </w:r>
          </w:p>
        </w:tc>
        <w:tc>
          <w:tcPr>
            <w:tcW w:w="1559" w:type="dxa"/>
            <w:tcBorders>
              <w:top w:val="nil"/>
              <w:left w:val="nil"/>
              <w:bottom w:val="nil"/>
              <w:right w:val="nil"/>
            </w:tcBorders>
            <w:shd w:val="clear" w:color="auto" w:fill="auto"/>
            <w:noWrap/>
            <w:vAlign w:val="bottom"/>
            <w:hideMark/>
          </w:tcPr>
          <w:p w:rsidR="002643B5" w:rsidRPr="00AC1CDE" w:rsidRDefault="002643B5" w:rsidP="000A40EC">
            <w:pPr>
              <w:jc w:val="right"/>
              <w:rPr>
                <w:b/>
                <w:bCs/>
                <w:sz w:val="20"/>
                <w:szCs w:val="18"/>
              </w:rPr>
            </w:pPr>
            <w:r w:rsidRPr="00AC1CDE">
              <w:rPr>
                <w:b/>
                <w:bCs/>
                <w:sz w:val="20"/>
                <w:szCs w:val="18"/>
              </w:rPr>
              <w:t>-</w:t>
            </w:r>
          </w:p>
        </w:tc>
        <w:tc>
          <w:tcPr>
            <w:tcW w:w="1353" w:type="dxa"/>
            <w:tcBorders>
              <w:top w:val="nil"/>
              <w:left w:val="nil"/>
              <w:bottom w:val="nil"/>
              <w:right w:val="nil"/>
            </w:tcBorders>
            <w:vAlign w:val="bottom"/>
          </w:tcPr>
          <w:p w:rsidR="002643B5" w:rsidRPr="00AC1CDE" w:rsidRDefault="002643B5" w:rsidP="000A40EC">
            <w:pPr>
              <w:jc w:val="right"/>
              <w:rPr>
                <w:bCs/>
                <w:sz w:val="20"/>
                <w:szCs w:val="18"/>
              </w:rPr>
            </w:pPr>
            <w:r w:rsidRPr="00AC1CDE">
              <w:rPr>
                <w:bCs/>
                <w:sz w:val="20"/>
                <w:szCs w:val="18"/>
              </w:rPr>
              <w:t>-</w:t>
            </w:r>
          </w:p>
        </w:tc>
      </w:tr>
      <w:tr w:rsidR="002643B5" w:rsidRPr="00AC1CDE" w:rsidTr="000A40EC">
        <w:trPr>
          <w:gridBefore w:val="1"/>
          <w:wBefore w:w="295" w:type="dxa"/>
          <w:trHeight w:val="422"/>
        </w:trPr>
        <w:tc>
          <w:tcPr>
            <w:tcW w:w="2184" w:type="dxa"/>
            <w:tcBorders>
              <w:top w:val="nil"/>
              <w:left w:val="nil"/>
              <w:bottom w:val="nil"/>
              <w:right w:val="nil"/>
            </w:tcBorders>
            <w:shd w:val="clear" w:color="auto" w:fill="auto"/>
            <w:vAlign w:val="bottom"/>
            <w:hideMark/>
          </w:tcPr>
          <w:p w:rsidR="002643B5" w:rsidRPr="00AC1CDE" w:rsidRDefault="002643B5" w:rsidP="000A40EC">
            <w:pPr>
              <w:rPr>
                <w:sz w:val="20"/>
                <w:szCs w:val="18"/>
              </w:rPr>
            </w:pPr>
            <w:r w:rsidRPr="00AC1CDE">
              <w:rPr>
                <w:sz w:val="20"/>
                <w:szCs w:val="18"/>
              </w:rPr>
              <w:t>Depreciation written out to the Surplus/Deficit on Provision of Services</w:t>
            </w:r>
          </w:p>
        </w:tc>
        <w:tc>
          <w:tcPr>
            <w:tcW w:w="1162" w:type="dxa"/>
            <w:tcBorders>
              <w:top w:val="nil"/>
              <w:left w:val="nil"/>
              <w:bottom w:val="nil"/>
              <w:right w:val="nil"/>
            </w:tcBorders>
            <w:shd w:val="clear" w:color="auto" w:fill="auto"/>
            <w:noWrap/>
            <w:vAlign w:val="bottom"/>
            <w:hideMark/>
          </w:tcPr>
          <w:p w:rsidR="002643B5" w:rsidRPr="00AC1CDE" w:rsidRDefault="002643B5" w:rsidP="000A40EC">
            <w:pPr>
              <w:rPr>
                <w:sz w:val="20"/>
                <w:szCs w:val="18"/>
              </w:rPr>
            </w:pPr>
          </w:p>
        </w:tc>
        <w:tc>
          <w:tcPr>
            <w:tcW w:w="1162" w:type="dxa"/>
            <w:tcBorders>
              <w:top w:val="nil"/>
              <w:left w:val="nil"/>
              <w:bottom w:val="nil"/>
              <w:right w:val="nil"/>
            </w:tcBorders>
            <w:shd w:val="clear" w:color="auto" w:fill="auto"/>
            <w:noWrap/>
            <w:vAlign w:val="bottom"/>
            <w:hideMark/>
          </w:tcPr>
          <w:p w:rsidR="002643B5" w:rsidRPr="00AC1CDE" w:rsidRDefault="002643B5" w:rsidP="000A40EC">
            <w:pPr>
              <w:jc w:val="right"/>
              <w:rPr>
                <w:sz w:val="20"/>
                <w:szCs w:val="18"/>
              </w:rPr>
            </w:pPr>
            <w:r w:rsidRPr="00AC1CDE">
              <w:rPr>
                <w:sz w:val="20"/>
                <w:szCs w:val="18"/>
              </w:rPr>
              <w:t>-</w:t>
            </w:r>
          </w:p>
        </w:tc>
        <w:tc>
          <w:tcPr>
            <w:tcW w:w="1749" w:type="dxa"/>
            <w:tcBorders>
              <w:top w:val="nil"/>
              <w:left w:val="nil"/>
              <w:bottom w:val="nil"/>
              <w:right w:val="nil"/>
            </w:tcBorders>
            <w:shd w:val="clear" w:color="auto" w:fill="auto"/>
            <w:noWrap/>
            <w:vAlign w:val="bottom"/>
            <w:hideMark/>
          </w:tcPr>
          <w:p w:rsidR="002643B5" w:rsidRPr="00AC1CDE" w:rsidRDefault="002643B5" w:rsidP="000A40EC">
            <w:pPr>
              <w:jc w:val="right"/>
              <w:rPr>
                <w:sz w:val="20"/>
                <w:szCs w:val="18"/>
              </w:rPr>
            </w:pPr>
            <w:r w:rsidRPr="00AC1CDE">
              <w:rPr>
                <w:sz w:val="20"/>
                <w:szCs w:val="18"/>
              </w:rPr>
              <w:t>-</w:t>
            </w:r>
          </w:p>
        </w:tc>
        <w:tc>
          <w:tcPr>
            <w:tcW w:w="2127" w:type="dxa"/>
            <w:tcBorders>
              <w:top w:val="nil"/>
              <w:left w:val="nil"/>
              <w:bottom w:val="nil"/>
              <w:right w:val="nil"/>
            </w:tcBorders>
            <w:shd w:val="clear" w:color="auto" w:fill="auto"/>
            <w:noWrap/>
            <w:vAlign w:val="bottom"/>
            <w:hideMark/>
          </w:tcPr>
          <w:p w:rsidR="002643B5" w:rsidRPr="00AC1CDE" w:rsidRDefault="002643B5" w:rsidP="000A40EC">
            <w:pPr>
              <w:jc w:val="right"/>
              <w:rPr>
                <w:sz w:val="20"/>
                <w:szCs w:val="18"/>
              </w:rPr>
            </w:pPr>
            <w:r w:rsidRPr="00AC1CDE">
              <w:rPr>
                <w:sz w:val="20"/>
                <w:szCs w:val="18"/>
              </w:rPr>
              <w:t>-</w:t>
            </w:r>
          </w:p>
        </w:tc>
        <w:tc>
          <w:tcPr>
            <w:tcW w:w="1701" w:type="dxa"/>
            <w:tcBorders>
              <w:top w:val="nil"/>
              <w:left w:val="nil"/>
              <w:bottom w:val="nil"/>
              <w:right w:val="nil"/>
            </w:tcBorders>
            <w:shd w:val="clear" w:color="auto" w:fill="auto"/>
            <w:noWrap/>
            <w:vAlign w:val="bottom"/>
            <w:hideMark/>
          </w:tcPr>
          <w:p w:rsidR="002643B5" w:rsidRPr="00AC1CDE" w:rsidRDefault="002643B5" w:rsidP="000A40EC">
            <w:pPr>
              <w:jc w:val="right"/>
              <w:rPr>
                <w:sz w:val="20"/>
                <w:szCs w:val="18"/>
              </w:rPr>
            </w:pPr>
            <w:r w:rsidRPr="00AC1CDE">
              <w:rPr>
                <w:sz w:val="20"/>
                <w:szCs w:val="18"/>
              </w:rPr>
              <w:t>-</w:t>
            </w:r>
          </w:p>
        </w:tc>
        <w:tc>
          <w:tcPr>
            <w:tcW w:w="1417" w:type="dxa"/>
            <w:tcBorders>
              <w:top w:val="nil"/>
              <w:left w:val="nil"/>
              <w:bottom w:val="nil"/>
              <w:right w:val="nil"/>
            </w:tcBorders>
            <w:shd w:val="clear" w:color="auto" w:fill="auto"/>
            <w:noWrap/>
            <w:vAlign w:val="bottom"/>
            <w:hideMark/>
          </w:tcPr>
          <w:p w:rsidR="002643B5" w:rsidRPr="00AC1CDE" w:rsidRDefault="002643B5" w:rsidP="000A40EC">
            <w:pPr>
              <w:jc w:val="right"/>
              <w:rPr>
                <w:sz w:val="20"/>
                <w:szCs w:val="18"/>
              </w:rPr>
            </w:pPr>
            <w:r w:rsidRPr="00AC1CDE">
              <w:rPr>
                <w:sz w:val="20"/>
                <w:szCs w:val="18"/>
              </w:rPr>
              <w:t>-</w:t>
            </w:r>
          </w:p>
        </w:tc>
        <w:tc>
          <w:tcPr>
            <w:tcW w:w="1559" w:type="dxa"/>
            <w:tcBorders>
              <w:top w:val="nil"/>
              <w:left w:val="nil"/>
              <w:bottom w:val="nil"/>
              <w:right w:val="nil"/>
            </w:tcBorders>
            <w:shd w:val="clear" w:color="auto" w:fill="auto"/>
            <w:noWrap/>
            <w:vAlign w:val="bottom"/>
            <w:hideMark/>
          </w:tcPr>
          <w:p w:rsidR="002643B5" w:rsidRPr="00AC1CDE" w:rsidRDefault="002643B5" w:rsidP="000A40EC">
            <w:pPr>
              <w:jc w:val="right"/>
              <w:rPr>
                <w:b/>
                <w:bCs/>
                <w:color w:val="0000FF"/>
                <w:sz w:val="20"/>
                <w:szCs w:val="18"/>
              </w:rPr>
            </w:pPr>
            <w:r w:rsidRPr="00AC1CDE">
              <w:rPr>
                <w:b/>
                <w:bCs/>
                <w:color w:val="0000FF"/>
                <w:sz w:val="20"/>
                <w:szCs w:val="18"/>
              </w:rPr>
              <w:t>-</w:t>
            </w:r>
          </w:p>
        </w:tc>
        <w:tc>
          <w:tcPr>
            <w:tcW w:w="1353" w:type="dxa"/>
            <w:tcBorders>
              <w:top w:val="nil"/>
              <w:left w:val="nil"/>
              <w:bottom w:val="nil"/>
              <w:right w:val="nil"/>
            </w:tcBorders>
            <w:vAlign w:val="bottom"/>
          </w:tcPr>
          <w:p w:rsidR="002643B5" w:rsidRPr="00AC1CDE" w:rsidRDefault="002643B5" w:rsidP="000A40EC">
            <w:pPr>
              <w:jc w:val="right"/>
              <w:rPr>
                <w:bCs/>
                <w:color w:val="0000FF"/>
                <w:sz w:val="20"/>
                <w:szCs w:val="18"/>
              </w:rPr>
            </w:pPr>
            <w:r w:rsidRPr="00AC1CDE">
              <w:rPr>
                <w:bCs/>
                <w:color w:val="0000FF"/>
                <w:sz w:val="20"/>
                <w:szCs w:val="18"/>
              </w:rPr>
              <w:t>-</w:t>
            </w:r>
          </w:p>
        </w:tc>
      </w:tr>
      <w:tr w:rsidR="002643B5" w:rsidRPr="00AC1CDE" w:rsidTr="000A40EC">
        <w:trPr>
          <w:gridBefore w:val="1"/>
          <w:wBefore w:w="295" w:type="dxa"/>
          <w:trHeight w:val="240"/>
        </w:trPr>
        <w:tc>
          <w:tcPr>
            <w:tcW w:w="2184" w:type="dxa"/>
            <w:tcBorders>
              <w:top w:val="nil"/>
              <w:left w:val="nil"/>
              <w:bottom w:val="nil"/>
              <w:right w:val="nil"/>
            </w:tcBorders>
            <w:shd w:val="clear" w:color="auto" w:fill="auto"/>
            <w:vAlign w:val="bottom"/>
            <w:hideMark/>
          </w:tcPr>
          <w:p w:rsidR="002643B5" w:rsidRPr="00AC1CDE" w:rsidRDefault="002643B5" w:rsidP="000A40EC">
            <w:pPr>
              <w:rPr>
                <w:sz w:val="20"/>
                <w:szCs w:val="18"/>
              </w:rPr>
            </w:pPr>
            <w:r w:rsidRPr="00AC1CDE">
              <w:rPr>
                <w:sz w:val="20"/>
                <w:szCs w:val="18"/>
              </w:rPr>
              <w:t>Impairment losses/(reversals) recognised in the Revaluation Reserve</w:t>
            </w:r>
          </w:p>
        </w:tc>
        <w:tc>
          <w:tcPr>
            <w:tcW w:w="1162" w:type="dxa"/>
            <w:tcBorders>
              <w:top w:val="nil"/>
              <w:left w:val="nil"/>
              <w:bottom w:val="nil"/>
              <w:right w:val="nil"/>
            </w:tcBorders>
            <w:shd w:val="clear" w:color="auto" w:fill="auto"/>
            <w:noWrap/>
            <w:vAlign w:val="bottom"/>
            <w:hideMark/>
          </w:tcPr>
          <w:p w:rsidR="002643B5" w:rsidRPr="00AC1CDE" w:rsidRDefault="002643B5" w:rsidP="000A40EC">
            <w:pPr>
              <w:rPr>
                <w:sz w:val="20"/>
                <w:szCs w:val="18"/>
              </w:rPr>
            </w:pPr>
          </w:p>
        </w:tc>
        <w:tc>
          <w:tcPr>
            <w:tcW w:w="1162" w:type="dxa"/>
            <w:tcBorders>
              <w:top w:val="nil"/>
              <w:left w:val="nil"/>
              <w:bottom w:val="nil"/>
              <w:right w:val="nil"/>
            </w:tcBorders>
            <w:shd w:val="clear" w:color="auto" w:fill="auto"/>
            <w:noWrap/>
            <w:vAlign w:val="bottom"/>
            <w:hideMark/>
          </w:tcPr>
          <w:p w:rsidR="002643B5" w:rsidRPr="00AC1CDE" w:rsidRDefault="002643B5" w:rsidP="000A40EC">
            <w:pPr>
              <w:jc w:val="right"/>
              <w:rPr>
                <w:sz w:val="20"/>
                <w:szCs w:val="18"/>
              </w:rPr>
            </w:pPr>
            <w:r w:rsidRPr="00AC1CDE">
              <w:rPr>
                <w:sz w:val="20"/>
                <w:szCs w:val="18"/>
              </w:rPr>
              <w:t>-</w:t>
            </w:r>
          </w:p>
        </w:tc>
        <w:tc>
          <w:tcPr>
            <w:tcW w:w="1749" w:type="dxa"/>
            <w:tcBorders>
              <w:top w:val="nil"/>
              <w:left w:val="nil"/>
              <w:bottom w:val="nil"/>
              <w:right w:val="nil"/>
            </w:tcBorders>
            <w:shd w:val="clear" w:color="auto" w:fill="auto"/>
            <w:noWrap/>
            <w:vAlign w:val="bottom"/>
            <w:hideMark/>
          </w:tcPr>
          <w:p w:rsidR="002643B5" w:rsidRPr="00AC1CDE" w:rsidRDefault="002643B5" w:rsidP="000A40EC">
            <w:pPr>
              <w:jc w:val="right"/>
              <w:rPr>
                <w:sz w:val="20"/>
                <w:szCs w:val="18"/>
              </w:rPr>
            </w:pPr>
            <w:r w:rsidRPr="00AC1CDE">
              <w:rPr>
                <w:sz w:val="20"/>
                <w:szCs w:val="18"/>
              </w:rPr>
              <w:t>-</w:t>
            </w:r>
          </w:p>
        </w:tc>
        <w:tc>
          <w:tcPr>
            <w:tcW w:w="2127" w:type="dxa"/>
            <w:tcBorders>
              <w:top w:val="nil"/>
              <w:left w:val="nil"/>
              <w:bottom w:val="nil"/>
              <w:right w:val="nil"/>
            </w:tcBorders>
            <w:shd w:val="clear" w:color="auto" w:fill="auto"/>
            <w:noWrap/>
            <w:vAlign w:val="bottom"/>
            <w:hideMark/>
          </w:tcPr>
          <w:p w:rsidR="002643B5" w:rsidRPr="00AC1CDE" w:rsidRDefault="002643B5" w:rsidP="000A40EC">
            <w:pPr>
              <w:jc w:val="right"/>
              <w:rPr>
                <w:sz w:val="20"/>
                <w:szCs w:val="18"/>
              </w:rPr>
            </w:pPr>
            <w:r w:rsidRPr="00AC1CDE">
              <w:rPr>
                <w:sz w:val="20"/>
                <w:szCs w:val="18"/>
              </w:rPr>
              <w:t>-</w:t>
            </w:r>
          </w:p>
        </w:tc>
        <w:tc>
          <w:tcPr>
            <w:tcW w:w="1701" w:type="dxa"/>
            <w:tcBorders>
              <w:top w:val="nil"/>
              <w:left w:val="nil"/>
              <w:bottom w:val="nil"/>
              <w:right w:val="nil"/>
            </w:tcBorders>
            <w:shd w:val="clear" w:color="auto" w:fill="auto"/>
            <w:noWrap/>
            <w:vAlign w:val="bottom"/>
            <w:hideMark/>
          </w:tcPr>
          <w:p w:rsidR="002643B5" w:rsidRPr="00AC1CDE" w:rsidRDefault="002643B5" w:rsidP="000A40EC">
            <w:pPr>
              <w:jc w:val="right"/>
              <w:rPr>
                <w:sz w:val="20"/>
                <w:szCs w:val="18"/>
              </w:rPr>
            </w:pPr>
            <w:r w:rsidRPr="00AC1CDE">
              <w:rPr>
                <w:sz w:val="20"/>
                <w:szCs w:val="18"/>
              </w:rPr>
              <w:t>-</w:t>
            </w:r>
          </w:p>
        </w:tc>
        <w:tc>
          <w:tcPr>
            <w:tcW w:w="1417" w:type="dxa"/>
            <w:tcBorders>
              <w:top w:val="nil"/>
              <w:left w:val="nil"/>
              <w:bottom w:val="nil"/>
              <w:right w:val="nil"/>
            </w:tcBorders>
            <w:shd w:val="clear" w:color="auto" w:fill="auto"/>
            <w:noWrap/>
            <w:vAlign w:val="bottom"/>
            <w:hideMark/>
          </w:tcPr>
          <w:p w:rsidR="002643B5" w:rsidRPr="00AC1CDE" w:rsidRDefault="002643B5" w:rsidP="000A40EC">
            <w:pPr>
              <w:jc w:val="right"/>
              <w:rPr>
                <w:sz w:val="20"/>
                <w:szCs w:val="18"/>
              </w:rPr>
            </w:pPr>
            <w:r w:rsidRPr="00AC1CDE">
              <w:rPr>
                <w:sz w:val="20"/>
                <w:szCs w:val="18"/>
              </w:rPr>
              <w:t>-</w:t>
            </w:r>
          </w:p>
        </w:tc>
        <w:tc>
          <w:tcPr>
            <w:tcW w:w="1559" w:type="dxa"/>
            <w:tcBorders>
              <w:top w:val="nil"/>
              <w:left w:val="nil"/>
              <w:bottom w:val="nil"/>
              <w:right w:val="nil"/>
            </w:tcBorders>
            <w:shd w:val="clear" w:color="auto" w:fill="auto"/>
            <w:noWrap/>
            <w:vAlign w:val="bottom"/>
            <w:hideMark/>
          </w:tcPr>
          <w:p w:rsidR="002643B5" w:rsidRPr="00AC1CDE" w:rsidRDefault="002643B5" w:rsidP="000A40EC">
            <w:pPr>
              <w:jc w:val="right"/>
              <w:rPr>
                <w:b/>
                <w:bCs/>
                <w:color w:val="0000FF"/>
                <w:sz w:val="20"/>
                <w:szCs w:val="18"/>
              </w:rPr>
            </w:pPr>
            <w:r w:rsidRPr="00AC1CDE">
              <w:rPr>
                <w:b/>
                <w:bCs/>
                <w:color w:val="0000FF"/>
                <w:sz w:val="20"/>
                <w:szCs w:val="18"/>
              </w:rPr>
              <w:t>-</w:t>
            </w:r>
          </w:p>
        </w:tc>
        <w:tc>
          <w:tcPr>
            <w:tcW w:w="1353" w:type="dxa"/>
            <w:tcBorders>
              <w:top w:val="nil"/>
              <w:left w:val="nil"/>
              <w:bottom w:val="nil"/>
              <w:right w:val="nil"/>
            </w:tcBorders>
            <w:vAlign w:val="bottom"/>
          </w:tcPr>
          <w:p w:rsidR="002643B5" w:rsidRPr="00AC1CDE" w:rsidRDefault="002643B5" w:rsidP="000A40EC">
            <w:pPr>
              <w:jc w:val="right"/>
              <w:rPr>
                <w:bCs/>
                <w:color w:val="0000FF"/>
                <w:sz w:val="20"/>
                <w:szCs w:val="18"/>
              </w:rPr>
            </w:pPr>
            <w:r w:rsidRPr="00AC1CDE">
              <w:rPr>
                <w:bCs/>
                <w:color w:val="0000FF"/>
                <w:sz w:val="20"/>
                <w:szCs w:val="18"/>
              </w:rPr>
              <w:t>-</w:t>
            </w:r>
          </w:p>
        </w:tc>
      </w:tr>
      <w:tr w:rsidR="002643B5" w:rsidRPr="00AC1CDE" w:rsidTr="000A40EC">
        <w:trPr>
          <w:gridBefore w:val="1"/>
          <w:wBefore w:w="295" w:type="dxa"/>
          <w:trHeight w:val="211"/>
        </w:trPr>
        <w:tc>
          <w:tcPr>
            <w:tcW w:w="4508" w:type="dxa"/>
            <w:gridSpan w:val="3"/>
            <w:tcBorders>
              <w:top w:val="nil"/>
              <w:left w:val="nil"/>
              <w:bottom w:val="nil"/>
              <w:right w:val="nil"/>
            </w:tcBorders>
            <w:shd w:val="clear" w:color="auto" w:fill="auto"/>
            <w:noWrap/>
            <w:vAlign w:val="bottom"/>
            <w:hideMark/>
          </w:tcPr>
          <w:p w:rsidR="002643B5" w:rsidRPr="00AC1CDE" w:rsidRDefault="002643B5" w:rsidP="000A40EC">
            <w:pPr>
              <w:rPr>
                <w:sz w:val="20"/>
                <w:szCs w:val="18"/>
              </w:rPr>
            </w:pPr>
            <w:r w:rsidRPr="00AC1CDE">
              <w:rPr>
                <w:sz w:val="20"/>
                <w:szCs w:val="18"/>
              </w:rPr>
              <w:t>De-recognition - Disposals</w:t>
            </w:r>
          </w:p>
        </w:tc>
        <w:tc>
          <w:tcPr>
            <w:tcW w:w="1749" w:type="dxa"/>
            <w:tcBorders>
              <w:top w:val="nil"/>
              <w:left w:val="nil"/>
              <w:bottom w:val="nil"/>
              <w:right w:val="nil"/>
            </w:tcBorders>
            <w:shd w:val="clear" w:color="auto" w:fill="auto"/>
            <w:noWrap/>
            <w:vAlign w:val="bottom"/>
            <w:hideMark/>
          </w:tcPr>
          <w:p w:rsidR="002643B5" w:rsidRPr="00AC1CDE" w:rsidRDefault="002643B5" w:rsidP="000A40EC">
            <w:pPr>
              <w:jc w:val="right"/>
              <w:rPr>
                <w:sz w:val="20"/>
                <w:szCs w:val="18"/>
              </w:rPr>
            </w:pPr>
          </w:p>
        </w:tc>
        <w:tc>
          <w:tcPr>
            <w:tcW w:w="2127" w:type="dxa"/>
            <w:tcBorders>
              <w:top w:val="nil"/>
              <w:left w:val="nil"/>
              <w:bottom w:val="nil"/>
              <w:right w:val="nil"/>
            </w:tcBorders>
            <w:shd w:val="clear" w:color="auto" w:fill="auto"/>
            <w:noWrap/>
            <w:vAlign w:val="bottom"/>
            <w:hideMark/>
          </w:tcPr>
          <w:p w:rsidR="002643B5" w:rsidRPr="00AC1CDE" w:rsidRDefault="002643B5" w:rsidP="000A40EC">
            <w:pPr>
              <w:jc w:val="right"/>
              <w:rPr>
                <w:sz w:val="20"/>
                <w:szCs w:val="18"/>
              </w:rPr>
            </w:pPr>
          </w:p>
        </w:tc>
        <w:tc>
          <w:tcPr>
            <w:tcW w:w="1701" w:type="dxa"/>
            <w:tcBorders>
              <w:top w:val="nil"/>
              <w:left w:val="nil"/>
              <w:bottom w:val="nil"/>
              <w:right w:val="nil"/>
            </w:tcBorders>
            <w:shd w:val="clear" w:color="auto" w:fill="auto"/>
            <w:noWrap/>
            <w:vAlign w:val="bottom"/>
            <w:hideMark/>
          </w:tcPr>
          <w:p w:rsidR="002643B5" w:rsidRPr="00AC1CDE" w:rsidRDefault="002643B5" w:rsidP="000A40EC">
            <w:pPr>
              <w:jc w:val="right"/>
              <w:rPr>
                <w:sz w:val="20"/>
                <w:szCs w:val="18"/>
              </w:rPr>
            </w:pPr>
          </w:p>
        </w:tc>
        <w:tc>
          <w:tcPr>
            <w:tcW w:w="1417" w:type="dxa"/>
            <w:tcBorders>
              <w:top w:val="nil"/>
              <w:left w:val="nil"/>
              <w:bottom w:val="nil"/>
              <w:right w:val="nil"/>
            </w:tcBorders>
            <w:shd w:val="clear" w:color="auto" w:fill="auto"/>
            <w:noWrap/>
            <w:vAlign w:val="bottom"/>
            <w:hideMark/>
          </w:tcPr>
          <w:p w:rsidR="002643B5" w:rsidRPr="00AC1CDE" w:rsidRDefault="002643B5" w:rsidP="000A40EC">
            <w:pPr>
              <w:jc w:val="right"/>
              <w:rPr>
                <w:sz w:val="20"/>
                <w:szCs w:val="18"/>
              </w:rPr>
            </w:pPr>
          </w:p>
        </w:tc>
        <w:tc>
          <w:tcPr>
            <w:tcW w:w="1559" w:type="dxa"/>
            <w:tcBorders>
              <w:top w:val="nil"/>
              <w:left w:val="nil"/>
              <w:bottom w:val="nil"/>
              <w:right w:val="nil"/>
            </w:tcBorders>
            <w:shd w:val="clear" w:color="auto" w:fill="auto"/>
            <w:noWrap/>
            <w:vAlign w:val="bottom"/>
            <w:hideMark/>
          </w:tcPr>
          <w:p w:rsidR="002643B5" w:rsidRPr="00AC1CDE" w:rsidRDefault="002643B5" w:rsidP="000A40EC">
            <w:pPr>
              <w:jc w:val="right"/>
              <w:rPr>
                <w:b/>
                <w:bCs/>
                <w:color w:val="0000FF"/>
                <w:sz w:val="20"/>
                <w:szCs w:val="18"/>
              </w:rPr>
            </w:pPr>
          </w:p>
        </w:tc>
        <w:tc>
          <w:tcPr>
            <w:tcW w:w="1353" w:type="dxa"/>
            <w:tcBorders>
              <w:top w:val="nil"/>
              <w:left w:val="nil"/>
              <w:bottom w:val="nil"/>
              <w:right w:val="nil"/>
            </w:tcBorders>
            <w:vAlign w:val="bottom"/>
          </w:tcPr>
          <w:p w:rsidR="002643B5" w:rsidRPr="00AC1CDE" w:rsidRDefault="002643B5" w:rsidP="000A40EC">
            <w:pPr>
              <w:jc w:val="right"/>
              <w:rPr>
                <w:bCs/>
                <w:color w:val="0000FF"/>
                <w:sz w:val="20"/>
                <w:szCs w:val="18"/>
              </w:rPr>
            </w:pPr>
          </w:p>
        </w:tc>
      </w:tr>
      <w:tr w:rsidR="002643B5" w:rsidRPr="00AC1CDE" w:rsidTr="000A40EC">
        <w:trPr>
          <w:gridBefore w:val="1"/>
          <w:wBefore w:w="295" w:type="dxa"/>
          <w:trHeight w:val="142"/>
        </w:trPr>
        <w:tc>
          <w:tcPr>
            <w:tcW w:w="3346" w:type="dxa"/>
            <w:gridSpan w:val="2"/>
            <w:tcBorders>
              <w:top w:val="nil"/>
              <w:left w:val="nil"/>
              <w:bottom w:val="nil"/>
              <w:right w:val="nil"/>
            </w:tcBorders>
            <w:shd w:val="clear" w:color="auto" w:fill="auto"/>
            <w:noWrap/>
            <w:vAlign w:val="bottom"/>
            <w:hideMark/>
          </w:tcPr>
          <w:p w:rsidR="002643B5" w:rsidRPr="00AC1CDE" w:rsidRDefault="002643B5" w:rsidP="000A40EC">
            <w:pPr>
              <w:rPr>
                <w:sz w:val="20"/>
                <w:szCs w:val="18"/>
              </w:rPr>
            </w:pPr>
            <w:r w:rsidRPr="00AC1CDE">
              <w:rPr>
                <w:sz w:val="20"/>
                <w:szCs w:val="18"/>
              </w:rPr>
              <w:t>De-recognition - Other</w:t>
            </w:r>
          </w:p>
        </w:tc>
        <w:tc>
          <w:tcPr>
            <w:tcW w:w="1162" w:type="dxa"/>
            <w:tcBorders>
              <w:top w:val="nil"/>
              <w:left w:val="nil"/>
              <w:bottom w:val="nil"/>
              <w:right w:val="nil"/>
            </w:tcBorders>
            <w:shd w:val="clear" w:color="auto" w:fill="auto"/>
            <w:noWrap/>
            <w:vAlign w:val="bottom"/>
            <w:hideMark/>
          </w:tcPr>
          <w:p w:rsidR="002643B5" w:rsidRPr="00AC1CDE" w:rsidRDefault="002643B5" w:rsidP="000A40EC">
            <w:pPr>
              <w:jc w:val="right"/>
              <w:rPr>
                <w:sz w:val="20"/>
                <w:szCs w:val="18"/>
              </w:rPr>
            </w:pPr>
            <w:r w:rsidRPr="00AC1CDE">
              <w:rPr>
                <w:sz w:val="20"/>
                <w:szCs w:val="18"/>
              </w:rPr>
              <w:t>-</w:t>
            </w:r>
          </w:p>
        </w:tc>
        <w:tc>
          <w:tcPr>
            <w:tcW w:w="1749" w:type="dxa"/>
            <w:tcBorders>
              <w:top w:val="nil"/>
              <w:left w:val="nil"/>
              <w:bottom w:val="nil"/>
              <w:right w:val="nil"/>
            </w:tcBorders>
            <w:shd w:val="clear" w:color="auto" w:fill="auto"/>
            <w:noWrap/>
            <w:vAlign w:val="bottom"/>
            <w:hideMark/>
          </w:tcPr>
          <w:p w:rsidR="002643B5" w:rsidRPr="00AC1CDE" w:rsidRDefault="002643B5" w:rsidP="000A40EC">
            <w:pPr>
              <w:jc w:val="right"/>
              <w:rPr>
                <w:sz w:val="20"/>
                <w:szCs w:val="18"/>
              </w:rPr>
            </w:pPr>
            <w:r w:rsidRPr="00AC1CDE">
              <w:rPr>
                <w:sz w:val="20"/>
                <w:szCs w:val="18"/>
              </w:rPr>
              <w:t>-</w:t>
            </w:r>
          </w:p>
        </w:tc>
        <w:tc>
          <w:tcPr>
            <w:tcW w:w="2127" w:type="dxa"/>
            <w:tcBorders>
              <w:top w:val="nil"/>
              <w:left w:val="nil"/>
              <w:bottom w:val="nil"/>
              <w:right w:val="nil"/>
            </w:tcBorders>
            <w:shd w:val="clear" w:color="auto" w:fill="auto"/>
            <w:noWrap/>
            <w:vAlign w:val="bottom"/>
            <w:hideMark/>
          </w:tcPr>
          <w:p w:rsidR="002643B5" w:rsidRPr="00AC1CDE" w:rsidRDefault="002643B5" w:rsidP="000A40EC">
            <w:pPr>
              <w:jc w:val="right"/>
              <w:rPr>
                <w:sz w:val="20"/>
                <w:szCs w:val="18"/>
              </w:rPr>
            </w:pPr>
            <w:r w:rsidRPr="00AC1CDE">
              <w:rPr>
                <w:sz w:val="20"/>
                <w:szCs w:val="18"/>
              </w:rPr>
              <w:t>-</w:t>
            </w:r>
          </w:p>
        </w:tc>
        <w:tc>
          <w:tcPr>
            <w:tcW w:w="1701" w:type="dxa"/>
            <w:tcBorders>
              <w:top w:val="nil"/>
              <w:left w:val="nil"/>
              <w:bottom w:val="nil"/>
              <w:right w:val="nil"/>
            </w:tcBorders>
            <w:shd w:val="clear" w:color="auto" w:fill="auto"/>
            <w:noWrap/>
            <w:vAlign w:val="bottom"/>
            <w:hideMark/>
          </w:tcPr>
          <w:p w:rsidR="002643B5" w:rsidRPr="00AC1CDE" w:rsidRDefault="002643B5" w:rsidP="000A40EC">
            <w:pPr>
              <w:jc w:val="right"/>
              <w:rPr>
                <w:sz w:val="20"/>
                <w:szCs w:val="18"/>
              </w:rPr>
            </w:pPr>
            <w:r w:rsidRPr="00AC1CDE">
              <w:rPr>
                <w:sz w:val="20"/>
                <w:szCs w:val="18"/>
              </w:rPr>
              <w:t>-</w:t>
            </w:r>
          </w:p>
        </w:tc>
        <w:tc>
          <w:tcPr>
            <w:tcW w:w="1417" w:type="dxa"/>
            <w:tcBorders>
              <w:top w:val="nil"/>
              <w:left w:val="nil"/>
              <w:bottom w:val="nil"/>
              <w:right w:val="nil"/>
            </w:tcBorders>
            <w:shd w:val="clear" w:color="auto" w:fill="auto"/>
            <w:noWrap/>
            <w:vAlign w:val="bottom"/>
            <w:hideMark/>
          </w:tcPr>
          <w:p w:rsidR="002643B5" w:rsidRPr="00AC1CDE" w:rsidRDefault="002643B5" w:rsidP="000A40EC">
            <w:pPr>
              <w:jc w:val="right"/>
              <w:rPr>
                <w:sz w:val="20"/>
                <w:szCs w:val="18"/>
              </w:rPr>
            </w:pPr>
            <w:r w:rsidRPr="00AC1CDE">
              <w:rPr>
                <w:sz w:val="20"/>
                <w:szCs w:val="18"/>
              </w:rPr>
              <w:t>-</w:t>
            </w:r>
          </w:p>
        </w:tc>
        <w:tc>
          <w:tcPr>
            <w:tcW w:w="1559" w:type="dxa"/>
            <w:tcBorders>
              <w:top w:val="nil"/>
              <w:left w:val="nil"/>
              <w:bottom w:val="nil"/>
              <w:right w:val="nil"/>
            </w:tcBorders>
            <w:shd w:val="clear" w:color="auto" w:fill="auto"/>
            <w:noWrap/>
            <w:vAlign w:val="bottom"/>
            <w:hideMark/>
          </w:tcPr>
          <w:p w:rsidR="002643B5" w:rsidRPr="00AC1CDE" w:rsidRDefault="002643B5" w:rsidP="000A40EC">
            <w:pPr>
              <w:jc w:val="right"/>
              <w:rPr>
                <w:b/>
                <w:bCs/>
                <w:color w:val="0000FF"/>
                <w:sz w:val="20"/>
                <w:szCs w:val="18"/>
              </w:rPr>
            </w:pPr>
            <w:r w:rsidRPr="00AC1CDE">
              <w:rPr>
                <w:b/>
                <w:bCs/>
                <w:color w:val="0000FF"/>
                <w:sz w:val="20"/>
                <w:szCs w:val="18"/>
              </w:rPr>
              <w:t>-</w:t>
            </w:r>
          </w:p>
        </w:tc>
        <w:tc>
          <w:tcPr>
            <w:tcW w:w="1353" w:type="dxa"/>
            <w:tcBorders>
              <w:top w:val="nil"/>
              <w:left w:val="nil"/>
              <w:bottom w:val="nil"/>
              <w:right w:val="nil"/>
            </w:tcBorders>
            <w:vAlign w:val="bottom"/>
          </w:tcPr>
          <w:p w:rsidR="002643B5" w:rsidRPr="00AC1CDE" w:rsidRDefault="002643B5" w:rsidP="000A40EC">
            <w:pPr>
              <w:jc w:val="right"/>
              <w:rPr>
                <w:bCs/>
                <w:color w:val="0000FF"/>
                <w:sz w:val="20"/>
                <w:szCs w:val="18"/>
              </w:rPr>
            </w:pPr>
            <w:r w:rsidRPr="00AC1CDE">
              <w:rPr>
                <w:bCs/>
                <w:color w:val="0000FF"/>
                <w:sz w:val="20"/>
                <w:szCs w:val="18"/>
              </w:rPr>
              <w:t>-</w:t>
            </w:r>
          </w:p>
        </w:tc>
      </w:tr>
      <w:tr w:rsidR="002643B5" w:rsidRPr="00AC1CDE" w:rsidTr="000A40EC">
        <w:trPr>
          <w:gridBefore w:val="1"/>
          <w:wBefore w:w="295" w:type="dxa"/>
          <w:trHeight w:val="628"/>
        </w:trPr>
        <w:tc>
          <w:tcPr>
            <w:tcW w:w="2184" w:type="dxa"/>
            <w:tcBorders>
              <w:top w:val="nil"/>
              <w:left w:val="nil"/>
              <w:bottom w:val="nil"/>
              <w:right w:val="nil"/>
            </w:tcBorders>
            <w:shd w:val="clear" w:color="auto" w:fill="auto"/>
            <w:vAlign w:val="bottom"/>
            <w:hideMark/>
          </w:tcPr>
          <w:p w:rsidR="002643B5" w:rsidRPr="00AC1CDE" w:rsidRDefault="002643B5" w:rsidP="000A40EC">
            <w:pPr>
              <w:rPr>
                <w:sz w:val="20"/>
                <w:szCs w:val="18"/>
              </w:rPr>
            </w:pPr>
            <w:r w:rsidRPr="00AC1CDE">
              <w:rPr>
                <w:sz w:val="20"/>
                <w:szCs w:val="18"/>
              </w:rPr>
              <w:t>Any Other Movements in Depreciation and Impairment</w:t>
            </w:r>
          </w:p>
        </w:tc>
        <w:tc>
          <w:tcPr>
            <w:tcW w:w="1162" w:type="dxa"/>
            <w:tcBorders>
              <w:top w:val="nil"/>
              <w:left w:val="nil"/>
              <w:bottom w:val="nil"/>
              <w:right w:val="nil"/>
            </w:tcBorders>
            <w:shd w:val="clear" w:color="auto" w:fill="auto"/>
            <w:noWrap/>
            <w:vAlign w:val="bottom"/>
            <w:hideMark/>
          </w:tcPr>
          <w:p w:rsidR="002643B5" w:rsidRPr="00AC1CDE" w:rsidRDefault="002643B5" w:rsidP="000A40EC">
            <w:pPr>
              <w:rPr>
                <w:sz w:val="20"/>
                <w:szCs w:val="18"/>
              </w:rPr>
            </w:pPr>
          </w:p>
        </w:tc>
        <w:tc>
          <w:tcPr>
            <w:tcW w:w="1162" w:type="dxa"/>
            <w:tcBorders>
              <w:top w:val="nil"/>
              <w:left w:val="nil"/>
              <w:bottom w:val="nil"/>
              <w:right w:val="nil"/>
            </w:tcBorders>
            <w:shd w:val="clear" w:color="auto" w:fill="auto"/>
            <w:noWrap/>
            <w:vAlign w:val="bottom"/>
            <w:hideMark/>
          </w:tcPr>
          <w:p w:rsidR="002643B5" w:rsidRPr="00AC1CDE" w:rsidRDefault="002643B5" w:rsidP="000A40EC">
            <w:pPr>
              <w:jc w:val="right"/>
              <w:rPr>
                <w:sz w:val="20"/>
                <w:szCs w:val="18"/>
              </w:rPr>
            </w:pPr>
            <w:r w:rsidRPr="00AC1CDE">
              <w:rPr>
                <w:sz w:val="20"/>
                <w:szCs w:val="18"/>
              </w:rPr>
              <w:t>-</w:t>
            </w:r>
          </w:p>
        </w:tc>
        <w:tc>
          <w:tcPr>
            <w:tcW w:w="1749" w:type="dxa"/>
            <w:tcBorders>
              <w:top w:val="nil"/>
              <w:left w:val="nil"/>
              <w:bottom w:val="nil"/>
              <w:right w:val="nil"/>
            </w:tcBorders>
            <w:shd w:val="clear" w:color="auto" w:fill="auto"/>
            <w:noWrap/>
            <w:vAlign w:val="bottom"/>
            <w:hideMark/>
          </w:tcPr>
          <w:p w:rsidR="002643B5" w:rsidRPr="00AC1CDE" w:rsidRDefault="002643B5" w:rsidP="000A40EC">
            <w:pPr>
              <w:jc w:val="right"/>
              <w:rPr>
                <w:sz w:val="20"/>
                <w:szCs w:val="18"/>
              </w:rPr>
            </w:pPr>
            <w:r w:rsidRPr="00AC1CDE">
              <w:rPr>
                <w:sz w:val="20"/>
                <w:szCs w:val="18"/>
              </w:rPr>
              <w:t>-</w:t>
            </w:r>
          </w:p>
        </w:tc>
        <w:tc>
          <w:tcPr>
            <w:tcW w:w="2127" w:type="dxa"/>
            <w:tcBorders>
              <w:top w:val="nil"/>
              <w:left w:val="nil"/>
              <w:bottom w:val="nil"/>
              <w:right w:val="nil"/>
            </w:tcBorders>
            <w:shd w:val="clear" w:color="auto" w:fill="auto"/>
            <w:noWrap/>
            <w:vAlign w:val="bottom"/>
            <w:hideMark/>
          </w:tcPr>
          <w:p w:rsidR="002643B5" w:rsidRPr="00AC1CDE" w:rsidRDefault="002643B5" w:rsidP="000A40EC">
            <w:pPr>
              <w:jc w:val="right"/>
              <w:rPr>
                <w:sz w:val="20"/>
                <w:szCs w:val="18"/>
              </w:rPr>
            </w:pPr>
            <w:r w:rsidRPr="00AC1CDE">
              <w:rPr>
                <w:sz w:val="20"/>
                <w:szCs w:val="18"/>
              </w:rPr>
              <w:t>-</w:t>
            </w:r>
          </w:p>
        </w:tc>
        <w:tc>
          <w:tcPr>
            <w:tcW w:w="1701" w:type="dxa"/>
            <w:tcBorders>
              <w:top w:val="nil"/>
              <w:left w:val="nil"/>
              <w:bottom w:val="nil"/>
              <w:right w:val="nil"/>
            </w:tcBorders>
            <w:shd w:val="clear" w:color="auto" w:fill="auto"/>
            <w:noWrap/>
            <w:vAlign w:val="bottom"/>
            <w:hideMark/>
          </w:tcPr>
          <w:p w:rsidR="002643B5" w:rsidRPr="00AC1CDE" w:rsidRDefault="002643B5" w:rsidP="000A40EC">
            <w:pPr>
              <w:jc w:val="right"/>
              <w:rPr>
                <w:sz w:val="20"/>
                <w:szCs w:val="18"/>
              </w:rPr>
            </w:pPr>
            <w:r w:rsidRPr="00AC1CDE">
              <w:rPr>
                <w:sz w:val="20"/>
                <w:szCs w:val="18"/>
              </w:rPr>
              <w:t>-</w:t>
            </w:r>
          </w:p>
        </w:tc>
        <w:tc>
          <w:tcPr>
            <w:tcW w:w="1417" w:type="dxa"/>
            <w:tcBorders>
              <w:top w:val="nil"/>
              <w:left w:val="nil"/>
              <w:bottom w:val="nil"/>
              <w:right w:val="nil"/>
            </w:tcBorders>
            <w:shd w:val="clear" w:color="auto" w:fill="auto"/>
            <w:noWrap/>
            <w:vAlign w:val="bottom"/>
            <w:hideMark/>
          </w:tcPr>
          <w:p w:rsidR="002643B5" w:rsidRPr="00AC1CDE" w:rsidRDefault="002643B5" w:rsidP="000A40EC">
            <w:pPr>
              <w:jc w:val="right"/>
              <w:rPr>
                <w:sz w:val="20"/>
                <w:szCs w:val="18"/>
              </w:rPr>
            </w:pPr>
            <w:r w:rsidRPr="00AC1CDE">
              <w:rPr>
                <w:sz w:val="20"/>
                <w:szCs w:val="18"/>
              </w:rPr>
              <w:t>-</w:t>
            </w:r>
          </w:p>
        </w:tc>
        <w:tc>
          <w:tcPr>
            <w:tcW w:w="1559" w:type="dxa"/>
            <w:tcBorders>
              <w:top w:val="nil"/>
              <w:left w:val="nil"/>
              <w:bottom w:val="nil"/>
              <w:right w:val="nil"/>
            </w:tcBorders>
            <w:shd w:val="clear" w:color="auto" w:fill="auto"/>
            <w:noWrap/>
            <w:vAlign w:val="bottom"/>
            <w:hideMark/>
          </w:tcPr>
          <w:p w:rsidR="002643B5" w:rsidRPr="00AC1CDE" w:rsidRDefault="002643B5" w:rsidP="000A40EC">
            <w:pPr>
              <w:jc w:val="right"/>
              <w:rPr>
                <w:b/>
                <w:bCs/>
                <w:color w:val="0000FF"/>
                <w:sz w:val="20"/>
                <w:szCs w:val="18"/>
              </w:rPr>
            </w:pPr>
            <w:r w:rsidRPr="00AC1CDE">
              <w:rPr>
                <w:b/>
                <w:bCs/>
                <w:color w:val="0000FF"/>
                <w:sz w:val="20"/>
                <w:szCs w:val="18"/>
              </w:rPr>
              <w:t>-</w:t>
            </w:r>
          </w:p>
        </w:tc>
        <w:tc>
          <w:tcPr>
            <w:tcW w:w="1353" w:type="dxa"/>
            <w:tcBorders>
              <w:top w:val="nil"/>
              <w:left w:val="nil"/>
              <w:bottom w:val="nil"/>
              <w:right w:val="nil"/>
            </w:tcBorders>
            <w:vAlign w:val="bottom"/>
          </w:tcPr>
          <w:p w:rsidR="002643B5" w:rsidRPr="00AC1CDE" w:rsidRDefault="002643B5" w:rsidP="000A40EC">
            <w:pPr>
              <w:jc w:val="right"/>
              <w:rPr>
                <w:bCs/>
                <w:color w:val="0000FF"/>
                <w:sz w:val="20"/>
                <w:szCs w:val="18"/>
              </w:rPr>
            </w:pPr>
            <w:r w:rsidRPr="00AC1CDE">
              <w:rPr>
                <w:bCs/>
                <w:color w:val="0000FF"/>
                <w:sz w:val="20"/>
                <w:szCs w:val="18"/>
              </w:rPr>
              <w:t>-</w:t>
            </w:r>
          </w:p>
        </w:tc>
      </w:tr>
      <w:tr w:rsidR="002643B5" w:rsidRPr="00AC1CDE" w:rsidTr="000A40EC">
        <w:trPr>
          <w:trHeight w:val="304"/>
        </w:trPr>
        <w:tc>
          <w:tcPr>
            <w:tcW w:w="2479" w:type="dxa"/>
            <w:gridSpan w:val="2"/>
            <w:tcBorders>
              <w:top w:val="nil"/>
              <w:left w:val="nil"/>
              <w:bottom w:val="nil"/>
              <w:right w:val="nil"/>
            </w:tcBorders>
            <w:shd w:val="clear" w:color="auto" w:fill="auto"/>
            <w:noWrap/>
            <w:vAlign w:val="bottom"/>
            <w:hideMark/>
          </w:tcPr>
          <w:p w:rsidR="002643B5" w:rsidRPr="00AC1CDE" w:rsidRDefault="002643B5" w:rsidP="000A40EC">
            <w:pPr>
              <w:rPr>
                <w:b/>
                <w:bCs/>
                <w:sz w:val="20"/>
                <w:szCs w:val="18"/>
              </w:rPr>
            </w:pPr>
            <w:r w:rsidRPr="00AC1CDE">
              <w:rPr>
                <w:b/>
                <w:bCs/>
                <w:sz w:val="20"/>
                <w:szCs w:val="18"/>
              </w:rPr>
              <w:t>At 31 March 2011</w:t>
            </w:r>
          </w:p>
        </w:tc>
        <w:tc>
          <w:tcPr>
            <w:tcW w:w="1162" w:type="dxa"/>
            <w:tcBorders>
              <w:top w:val="single" w:sz="4" w:space="0" w:color="auto"/>
              <w:left w:val="nil"/>
              <w:bottom w:val="single" w:sz="4" w:space="0" w:color="auto"/>
              <w:right w:val="nil"/>
            </w:tcBorders>
            <w:shd w:val="clear" w:color="auto" w:fill="auto"/>
            <w:noWrap/>
            <w:vAlign w:val="bottom"/>
            <w:hideMark/>
          </w:tcPr>
          <w:p w:rsidR="002643B5" w:rsidRPr="00AC1CDE" w:rsidRDefault="002643B5" w:rsidP="000A40EC">
            <w:pPr>
              <w:rPr>
                <w:sz w:val="20"/>
                <w:szCs w:val="18"/>
              </w:rPr>
            </w:pPr>
            <w:r w:rsidRPr="00AC1CDE">
              <w:rPr>
                <w:sz w:val="20"/>
                <w:szCs w:val="18"/>
              </w:rPr>
              <w:t> </w:t>
            </w:r>
          </w:p>
        </w:tc>
        <w:tc>
          <w:tcPr>
            <w:tcW w:w="1162" w:type="dxa"/>
            <w:tcBorders>
              <w:top w:val="single" w:sz="4" w:space="0" w:color="auto"/>
              <w:left w:val="nil"/>
              <w:bottom w:val="single" w:sz="4" w:space="0" w:color="auto"/>
              <w:right w:val="nil"/>
            </w:tcBorders>
            <w:shd w:val="clear" w:color="auto" w:fill="auto"/>
            <w:noWrap/>
            <w:vAlign w:val="center"/>
            <w:hideMark/>
          </w:tcPr>
          <w:p w:rsidR="002643B5" w:rsidRPr="00AC1CDE" w:rsidRDefault="002643B5" w:rsidP="000A40EC">
            <w:pPr>
              <w:jc w:val="right"/>
              <w:rPr>
                <w:b/>
                <w:sz w:val="20"/>
                <w:szCs w:val="18"/>
              </w:rPr>
            </w:pPr>
            <w:r w:rsidRPr="00AC1CDE">
              <w:rPr>
                <w:b/>
                <w:sz w:val="20"/>
                <w:szCs w:val="18"/>
              </w:rPr>
              <w:t>59,211</w:t>
            </w:r>
          </w:p>
        </w:tc>
        <w:tc>
          <w:tcPr>
            <w:tcW w:w="1749" w:type="dxa"/>
            <w:tcBorders>
              <w:top w:val="single" w:sz="4" w:space="0" w:color="auto"/>
              <w:left w:val="nil"/>
              <w:bottom w:val="single" w:sz="4" w:space="0" w:color="auto"/>
              <w:right w:val="nil"/>
            </w:tcBorders>
            <w:shd w:val="clear" w:color="auto" w:fill="auto"/>
            <w:noWrap/>
            <w:vAlign w:val="center"/>
            <w:hideMark/>
          </w:tcPr>
          <w:p w:rsidR="002643B5" w:rsidRPr="00AC1CDE" w:rsidRDefault="002643B5" w:rsidP="000A40EC">
            <w:pPr>
              <w:jc w:val="right"/>
              <w:rPr>
                <w:b/>
                <w:sz w:val="20"/>
                <w:szCs w:val="18"/>
              </w:rPr>
            </w:pPr>
            <w:r w:rsidRPr="00AC1CDE">
              <w:rPr>
                <w:b/>
                <w:sz w:val="20"/>
                <w:szCs w:val="18"/>
              </w:rPr>
              <w:t>21,220 </w:t>
            </w:r>
          </w:p>
        </w:tc>
        <w:tc>
          <w:tcPr>
            <w:tcW w:w="2127" w:type="dxa"/>
            <w:tcBorders>
              <w:top w:val="single" w:sz="4" w:space="0" w:color="auto"/>
              <w:left w:val="nil"/>
              <w:bottom w:val="single" w:sz="4" w:space="0" w:color="auto"/>
              <w:right w:val="nil"/>
            </w:tcBorders>
            <w:shd w:val="clear" w:color="auto" w:fill="auto"/>
            <w:noWrap/>
            <w:vAlign w:val="center"/>
            <w:hideMark/>
          </w:tcPr>
          <w:p w:rsidR="002643B5" w:rsidRPr="00AC1CDE" w:rsidRDefault="002643B5" w:rsidP="000A40EC">
            <w:pPr>
              <w:jc w:val="right"/>
              <w:rPr>
                <w:b/>
                <w:sz w:val="20"/>
                <w:szCs w:val="18"/>
              </w:rPr>
            </w:pPr>
            <w:r w:rsidRPr="00AC1CDE">
              <w:rPr>
                <w:b/>
                <w:sz w:val="20"/>
                <w:szCs w:val="18"/>
              </w:rPr>
              <w:t>39,348 </w:t>
            </w:r>
          </w:p>
        </w:tc>
        <w:tc>
          <w:tcPr>
            <w:tcW w:w="1701" w:type="dxa"/>
            <w:tcBorders>
              <w:top w:val="single" w:sz="4" w:space="0" w:color="auto"/>
              <w:left w:val="nil"/>
              <w:bottom w:val="single" w:sz="4" w:space="0" w:color="auto"/>
              <w:right w:val="nil"/>
            </w:tcBorders>
            <w:shd w:val="clear" w:color="auto" w:fill="auto"/>
            <w:noWrap/>
            <w:vAlign w:val="center"/>
            <w:hideMark/>
          </w:tcPr>
          <w:p w:rsidR="002643B5" w:rsidRPr="00AC1CDE" w:rsidRDefault="002643B5" w:rsidP="000A40EC">
            <w:pPr>
              <w:jc w:val="right"/>
              <w:rPr>
                <w:b/>
                <w:sz w:val="20"/>
                <w:szCs w:val="18"/>
              </w:rPr>
            </w:pPr>
            <w:r w:rsidRPr="00AC1CDE">
              <w:rPr>
                <w:b/>
                <w:sz w:val="20"/>
                <w:szCs w:val="18"/>
              </w:rPr>
              <w:t> -</w:t>
            </w:r>
          </w:p>
        </w:tc>
        <w:tc>
          <w:tcPr>
            <w:tcW w:w="1417" w:type="dxa"/>
            <w:tcBorders>
              <w:top w:val="single" w:sz="4" w:space="0" w:color="auto"/>
              <w:left w:val="nil"/>
              <w:bottom w:val="single" w:sz="4" w:space="0" w:color="auto"/>
              <w:right w:val="nil"/>
            </w:tcBorders>
            <w:shd w:val="clear" w:color="auto" w:fill="auto"/>
            <w:noWrap/>
            <w:vAlign w:val="center"/>
            <w:hideMark/>
          </w:tcPr>
          <w:p w:rsidR="002643B5" w:rsidRPr="00AC1CDE" w:rsidRDefault="002643B5" w:rsidP="000A40EC">
            <w:pPr>
              <w:jc w:val="right"/>
              <w:rPr>
                <w:b/>
                <w:sz w:val="20"/>
                <w:szCs w:val="18"/>
              </w:rPr>
            </w:pPr>
            <w:r w:rsidRPr="00AC1CDE">
              <w:rPr>
                <w:b/>
                <w:sz w:val="20"/>
                <w:szCs w:val="18"/>
              </w:rPr>
              <w:t>-</w:t>
            </w:r>
          </w:p>
        </w:tc>
        <w:tc>
          <w:tcPr>
            <w:tcW w:w="1559" w:type="dxa"/>
            <w:tcBorders>
              <w:top w:val="single" w:sz="4" w:space="0" w:color="auto"/>
              <w:left w:val="nil"/>
              <w:bottom w:val="single" w:sz="4" w:space="0" w:color="auto"/>
              <w:right w:val="nil"/>
            </w:tcBorders>
            <w:shd w:val="clear" w:color="auto" w:fill="auto"/>
            <w:noWrap/>
            <w:vAlign w:val="center"/>
            <w:hideMark/>
          </w:tcPr>
          <w:p w:rsidR="002643B5" w:rsidRPr="00AC1CDE" w:rsidRDefault="002643B5" w:rsidP="000A40EC">
            <w:pPr>
              <w:jc w:val="right"/>
              <w:rPr>
                <w:b/>
                <w:bCs/>
                <w:sz w:val="20"/>
                <w:szCs w:val="18"/>
              </w:rPr>
            </w:pPr>
            <w:r w:rsidRPr="00AC1CDE">
              <w:rPr>
                <w:b/>
                <w:bCs/>
                <w:sz w:val="20"/>
                <w:szCs w:val="18"/>
              </w:rPr>
              <w:t> 119,779</w:t>
            </w:r>
          </w:p>
        </w:tc>
        <w:tc>
          <w:tcPr>
            <w:tcW w:w="1353" w:type="dxa"/>
            <w:tcBorders>
              <w:top w:val="single" w:sz="4" w:space="0" w:color="auto"/>
              <w:left w:val="nil"/>
              <w:bottom w:val="single" w:sz="4" w:space="0" w:color="auto"/>
              <w:right w:val="nil"/>
            </w:tcBorders>
            <w:vAlign w:val="center"/>
          </w:tcPr>
          <w:p w:rsidR="002643B5" w:rsidRPr="00AC1CDE" w:rsidRDefault="002643B5" w:rsidP="000A40EC">
            <w:pPr>
              <w:jc w:val="right"/>
              <w:rPr>
                <w:b/>
                <w:bCs/>
                <w:sz w:val="20"/>
                <w:szCs w:val="18"/>
              </w:rPr>
            </w:pPr>
            <w:r w:rsidRPr="00AC1CDE">
              <w:rPr>
                <w:b/>
                <w:bCs/>
                <w:sz w:val="20"/>
                <w:szCs w:val="18"/>
              </w:rPr>
              <w:t>(3,560)</w:t>
            </w:r>
          </w:p>
        </w:tc>
      </w:tr>
      <w:tr w:rsidR="002643B5" w:rsidRPr="00AC1CDE" w:rsidTr="000A40EC">
        <w:trPr>
          <w:trHeight w:val="304"/>
        </w:trPr>
        <w:tc>
          <w:tcPr>
            <w:tcW w:w="2479" w:type="dxa"/>
            <w:gridSpan w:val="2"/>
            <w:tcBorders>
              <w:top w:val="nil"/>
              <w:left w:val="nil"/>
              <w:bottom w:val="nil"/>
              <w:right w:val="nil"/>
            </w:tcBorders>
            <w:shd w:val="clear" w:color="auto" w:fill="auto"/>
            <w:noWrap/>
            <w:vAlign w:val="bottom"/>
            <w:hideMark/>
          </w:tcPr>
          <w:p w:rsidR="002643B5" w:rsidRPr="00AC1CDE" w:rsidRDefault="002643B5" w:rsidP="000A40EC">
            <w:pPr>
              <w:rPr>
                <w:sz w:val="20"/>
                <w:szCs w:val="18"/>
              </w:rPr>
            </w:pPr>
          </w:p>
        </w:tc>
        <w:tc>
          <w:tcPr>
            <w:tcW w:w="1162" w:type="dxa"/>
            <w:tcBorders>
              <w:top w:val="nil"/>
              <w:left w:val="nil"/>
              <w:bottom w:val="nil"/>
              <w:right w:val="nil"/>
            </w:tcBorders>
            <w:shd w:val="clear" w:color="auto" w:fill="auto"/>
            <w:noWrap/>
            <w:vAlign w:val="bottom"/>
            <w:hideMark/>
          </w:tcPr>
          <w:p w:rsidR="002643B5" w:rsidRPr="00AC1CDE" w:rsidRDefault="002643B5" w:rsidP="000A40EC">
            <w:pPr>
              <w:rPr>
                <w:sz w:val="20"/>
                <w:szCs w:val="18"/>
              </w:rPr>
            </w:pPr>
          </w:p>
        </w:tc>
        <w:tc>
          <w:tcPr>
            <w:tcW w:w="1162"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p>
        </w:tc>
        <w:tc>
          <w:tcPr>
            <w:tcW w:w="1749"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p>
        </w:tc>
        <w:tc>
          <w:tcPr>
            <w:tcW w:w="2127"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p>
        </w:tc>
        <w:tc>
          <w:tcPr>
            <w:tcW w:w="1701"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p>
        </w:tc>
        <w:tc>
          <w:tcPr>
            <w:tcW w:w="1417" w:type="dxa"/>
            <w:tcBorders>
              <w:top w:val="nil"/>
              <w:left w:val="nil"/>
              <w:bottom w:val="nil"/>
              <w:right w:val="nil"/>
            </w:tcBorders>
            <w:shd w:val="clear" w:color="auto" w:fill="auto"/>
            <w:noWrap/>
            <w:vAlign w:val="center"/>
            <w:hideMark/>
          </w:tcPr>
          <w:p w:rsidR="002643B5" w:rsidRPr="00AC1CDE" w:rsidRDefault="002643B5" w:rsidP="000A40EC">
            <w:pPr>
              <w:jc w:val="right"/>
              <w:rPr>
                <w:sz w:val="20"/>
                <w:szCs w:val="18"/>
              </w:rPr>
            </w:pPr>
          </w:p>
        </w:tc>
        <w:tc>
          <w:tcPr>
            <w:tcW w:w="1559" w:type="dxa"/>
            <w:tcBorders>
              <w:top w:val="nil"/>
              <w:left w:val="nil"/>
              <w:bottom w:val="nil"/>
              <w:right w:val="nil"/>
            </w:tcBorders>
            <w:shd w:val="clear" w:color="auto" w:fill="auto"/>
            <w:noWrap/>
            <w:vAlign w:val="center"/>
            <w:hideMark/>
          </w:tcPr>
          <w:p w:rsidR="002643B5" w:rsidRPr="00AC1CDE" w:rsidRDefault="002643B5" w:rsidP="000A40EC">
            <w:pPr>
              <w:jc w:val="right"/>
              <w:rPr>
                <w:b/>
                <w:bCs/>
                <w:color w:val="0000FF"/>
                <w:sz w:val="20"/>
                <w:szCs w:val="18"/>
              </w:rPr>
            </w:pPr>
          </w:p>
        </w:tc>
        <w:tc>
          <w:tcPr>
            <w:tcW w:w="1353" w:type="dxa"/>
            <w:tcBorders>
              <w:top w:val="nil"/>
              <w:left w:val="nil"/>
              <w:bottom w:val="nil"/>
              <w:right w:val="nil"/>
            </w:tcBorders>
            <w:vAlign w:val="center"/>
          </w:tcPr>
          <w:p w:rsidR="002643B5" w:rsidRPr="00AC1CDE" w:rsidRDefault="002643B5" w:rsidP="000A40EC">
            <w:pPr>
              <w:jc w:val="right"/>
              <w:rPr>
                <w:b/>
                <w:bCs/>
                <w:color w:val="0000FF"/>
                <w:sz w:val="20"/>
                <w:szCs w:val="18"/>
              </w:rPr>
            </w:pPr>
          </w:p>
        </w:tc>
      </w:tr>
      <w:tr w:rsidR="002643B5" w:rsidRPr="00AC1CDE" w:rsidTr="000A40EC">
        <w:trPr>
          <w:trHeight w:val="913"/>
        </w:trPr>
        <w:tc>
          <w:tcPr>
            <w:tcW w:w="2479" w:type="dxa"/>
            <w:gridSpan w:val="2"/>
            <w:tcBorders>
              <w:top w:val="nil"/>
              <w:left w:val="nil"/>
              <w:bottom w:val="nil"/>
              <w:right w:val="nil"/>
            </w:tcBorders>
            <w:shd w:val="clear" w:color="auto" w:fill="auto"/>
            <w:vAlign w:val="bottom"/>
            <w:hideMark/>
          </w:tcPr>
          <w:p w:rsidR="002643B5" w:rsidRPr="00AC1CDE" w:rsidRDefault="002643B5" w:rsidP="000A40EC">
            <w:pPr>
              <w:rPr>
                <w:b/>
                <w:bCs/>
                <w:sz w:val="20"/>
                <w:szCs w:val="18"/>
              </w:rPr>
            </w:pPr>
            <w:r w:rsidRPr="00AC1CDE">
              <w:rPr>
                <w:b/>
                <w:bCs/>
                <w:sz w:val="20"/>
                <w:szCs w:val="18"/>
              </w:rPr>
              <w:t>Net Book Value at   31 March 2011</w:t>
            </w:r>
          </w:p>
        </w:tc>
        <w:tc>
          <w:tcPr>
            <w:tcW w:w="1162" w:type="dxa"/>
            <w:tcBorders>
              <w:top w:val="nil"/>
              <w:left w:val="nil"/>
              <w:bottom w:val="single" w:sz="4" w:space="0" w:color="auto"/>
              <w:right w:val="nil"/>
            </w:tcBorders>
            <w:shd w:val="clear" w:color="auto" w:fill="auto"/>
            <w:noWrap/>
            <w:vAlign w:val="bottom"/>
            <w:hideMark/>
          </w:tcPr>
          <w:p w:rsidR="002643B5" w:rsidRPr="00AC1CDE" w:rsidRDefault="002643B5" w:rsidP="000A40EC">
            <w:pPr>
              <w:rPr>
                <w:sz w:val="20"/>
                <w:szCs w:val="18"/>
              </w:rPr>
            </w:pPr>
            <w:r w:rsidRPr="00AC1CDE">
              <w:rPr>
                <w:sz w:val="20"/>
                <w:szCs w:val="18"/>
              </w:rPr>
              <w:t> </w:t>
            </w:r>
          </w:p>
        </w:tc>
        <w:tc>
          <w:tcPr>
            <w:tcW w:w="1162" w:type="dxa"/>
            <w:tcBorders>
              <w:top w:val="nil"/>
              <w:left w:val="nil"/>
              <w:bottom w:val="single" w:sz="4" w:space="0" w:color="auto"/>
              <w:right w:val="nil"/>
            </w:tcBorders>
            <w:shd w:val="clear" w:color="auto" w:fill="auto"/>
            <w:noWrap/>
            <w:vAlign w:val="center"/>
            <w:hideMark/>
          </w:tcPr>
          <w:p w:rsidR="002643B5" w:rsidRPr="00AC1CDE" w:rsidRDefault="002643B5" w:rsidP="000A40EC">
            <w:pPr>
              <w:jc w:val="right"/>
              <w:rPr>
                <w:b/>
                <w:sz w:val="20"/>
                <w:szCs w:val="18"/>
              </w:rPr>
            </w:pPr>
            <w:r w:rsidRPr="00AC1CDE">
              <w:rPr>
                <w:b/>
                <w:sz w:val="20"/>
                <w:szCs w:val="18"/>
              </w:rPr>
              <w:t>1,894,479 </w:t>
            </w:r>
          </w:p>
        </w:tc>
        <w:tc>
          <w:tcPr>
            <w:tcW w:w="1749" w:type="dxa"/>
            <w:tcBorders>
              <w:top w:val="nil"/>
              <w:left w:val="nil"/>
              <w:bottom w:val="single" w:sz="4" w:space="0" w:color="auto"/>
              <w:right w:val="nil"/>
            </w:tcBorders>
            <w:shd w:val="clear" w:color="auto" w:fill="auto"/>
            <w:noWrap/>
            <w:vAlign w:val="center"/>
            <w:hideMark/>
          </w:tcPr>
          <w:p w:rsidR="002643B5" w:rsidRPr="00AC1CDE" w:rsidRDefault="002643B5" w:rsidP="000A40EC">
            <w:pPr>
              <w:jc w:val="right"/>
              <w:rPr>
                <w:b/>
                <w:sz w:val="20"/>
                <w:szCs w:val="18"/>
              </w:rPr>
            </w:pPr>
            <w:r w:rsidRPr="00AC1CDE">
              <w:rPr>
                <w:b/>
                <w:sz w:val="20"/>
                <w:szCs w:val="18"/>
              </w:rPr>
              <w:t> 39,052</w:t>
            </w:r>
          </w:p>
        </w:tc>
        <w:tc>
          <w:tcPr>
            <w:tcW w:w="2127" w:type="dxa"/>
            <w:tcBorders>
              <w:top w:val="nil"/>
              <w:left w:val="nil"/>
              <w:bottom w:val="single" w:sz="4" w:space="0" w:color="auto"/>
              <w:right w:val="nil"/>
            </w:tcBorders>
            <w:shd w:val="clear" w:color="auto" w:fill="auto"/>
            <w:noWrap/>
            <w:vAlign w:val="center"/>
            <w:hideMark/>
          </w:tcPr>
          <w:p w:rsidR="002643B5" w:rsidRPr="00AC1CDE" w:rsidRDefault="002643B5" w:rsidP="000A40EC">
            <w:pPr>
              <w:jc w:val="right"/>
              <w:rPr>
                <w:b/>
                <w:sz w:val="20"/>
                <w:szCs w:val="18"/>
              </w:rPr>
            </w:pPr>
            <w:r w:rsidRPr="00AC1CDE">
              <w:rPr>
                <w:b/>
                <w:sz w:val="20"/>
                <w:szCs w:val="18"/>
              </w:rPr>
              <w:t> 479,704</w:t>
            </w:r>
          </w:p>
        </w:tc>
        <w:tc>
          <w:tcPr>
            <w:tcW w:w="1701" w:type="dxa"/>
            <w:tcBorders>
              <w:top w:val="nil"/>
              <w:left w:val="nil"/>
              <w:bottom w:val="single" w:sz="4" w:space="0" w:color="auto"/>
              <w:right w:val="nil"/>
            </w:tcBorders>
            <w:shd w:val="clear" w:color="auto" w:fill="auto"/>
            <w:noWrap/>
            <w:vAlign w:val="center"/>
            <w:hideMark/>
          </w:tcPr>
          <w:p w:rsidR="002643B5" w:rsidRPr="00AC1CDE" w:rsidRDefault="002643B5" w:rsidP="000A40EC">
            <w:pPr>
              <w:jc w:val="right"/>
              <w:rPr>
                <w:b/>
                <w:sz w:val="20"/>
                <w:szCs w:val="18"/>
              </w:rPr>
            </w:pPr>
            <w:r w:rsidRPr="00AC1CDE">
              <w:rPr>
                <w:b/>
                <w:sz w:val="20"/>
                <w:szCs w:val="18"/>
              </w:rPr>
              <w:t>- </w:t>
            </w:r>
          </w:p>
        </w:tc>
        <w:tc>
          <w:tcPr>
            <w:tcW w:w="1417" w:type="dxa"/>
            <w:tcBorders>
              <w:top w:val="nil"/>
              <w:left w:val="nil"/>
              <w:bottom w:val="single" w:sz="4" w:space="0" w:color="auto"/>
              <w:right w:val="nil"/>
            </w:tcBorders>
            <w:shd w:val="clear" w:color="auto" w:fill="auto"/>
            <w:noWrap/>
            <w:vAlign w:val="center"/>
            <w:hideMark/>
          </w:tcPr>
          <w:p w:rsidR="002643B5" w:rsidRPr="00AC1CDE" w:rsidRDefault="002643B5" w:rsidP="000A40EC">
            <w:pPr>
              <w:jc w:val="right"/>
              <w:rPr>
                <w:b/>
                <w:sz w:val="20"/>
                <w:szCs w:val="18"/>
              </w:rPr>
            </w:pPr>
            <w:r w:rsidRPr="00AC1CDE">
              <w:rPr>
                <w:b/>
                <w:sz w:val="20"/>
                <w:szCs w:val="18"/>
              </w:rPr>
              <w:t> 14,519</w:t>
            </w:r>
          </w:p>
        </w:tc>
        <w:tc>
          <w:tcPr>
            <w:tcW w:w="1559" w:type="dxa"/>
            <w:tcBorders>
              <w:top w:val="nil"/>
              <w:left w:val="nil"/>
              <w:bottom w:val="single" w:sz="4" w:space="0" w:color="auto"/>
              <w:right w:val="nil"/>
            </w:tcBorders>
            <w:shd w:val="clear" w:color="auto" w:fill="auto"/>
            <w:noWrap/>
            <w:vAlign w:val="center"/>
            <w:hideMark/>
          </w:tcPr>
          <w:p w:rsidR="002643B5" w:rsidRPr="00AC1CDE" w:rsidRDefault="002643B5" w:rsidP="000A40EC">
            <w:pPr>
              <w:jc w:val="right"/>
              <w:rPr>
                <w:b/>
                <w:bCs/>
                <w:sz w:val="20"/>
                <w:szCs w:val="18"/>
              </w:rPr>
            </w:pPr>
            <w:r w:rsidRPr="00AC1CDE">
              <w:rPr>
                <w:b/>
                <w:bCs/>
                <w:sz w:val="20"/>
                <w:szCs w:val="18"/>
              </w:rPr>
              <w:t> 2,427,754</w:t>
            </w:r>
          </w:p>
        </w:tc>
        <w:tc>
          <w:tcPr>
            <w:tcW w:w="1353" w:type="dxa"/>
            <w:tcBorders>
              <w:top w:val="nil"/>
              <w:left w:val="nil"/>
              <w:bottom w:val="single" w:sz="4" w:space="0" w:color="auto"/>
              <w:right w:val="nil"/>
            </w:tcBorders>
            <w:vAlign w:val="center"/>
          </w:tcPr>
          <w:p w:rsidR="002643B5" w:rsidRPr="00AC1CDE" w:rsidRDefault="002643B5" w:rsidP="000A40EC">
            <w:pPr>
              <w:jc w:val="right"/>
              <w:rPr>
                <w:b/>
                <w:bCs/>
                <w:sz w:val="20"/>
                <w:szCs w:val="18"/>
              </w:rPr>
            </w:pPr>
            <w:r w:rsidRPr="00AC1CDE">
              <w:rPr>
                <w:b/>
                <w:bCs/>
                <w:sz w:val="20"/>
                <w:szCs w:val="18"/>
              </w:rPr>
              <w:t>216,050</w:t>
            </w:r>
          </w:p>
        </w:tc>
      </w:tr>
      <w:tr w:rsidR="002643B5" w:rsidRPr="00286C0E" w:rsidTr="000A40EC">
        <w:trPr>
          <w:trHeight w:val="913"/>
        </w:trPr>
        <w:tc>
          <w:tcPr>
            <w:tcW w:w="2479" w:type="dxa"/>
            <w:gridSpan w:val="2"/>
            <w:tcBorders>
              <w:top w:val="nil"/>
              <w:left w:val="nil"/>
              <w:bottom w:val="nil"/>
              <w:right w:val="nil"/>
            </w:tcBorders>
            <w:shd w:val="clear" w:color="auto" w:fill="auto"/>
            <w:vAlign w:val="bottom"/>
            <w:hideMark/>
          </w:tcPr>
          <w:p w:rsidR="002643B5" w:rsidRPr="00AC1CDE" w:rsidRDefault="002643B5" w:rsidP="000A40EC">
            <w:pPr>
              <w:rPr>
                <w:b/>
                <w:bCs/>
                <w:sz w:val="20"/>
                <w:szCs w:val="18"/>
              </w:rPr>
            </w:pPr>
            <w:r w:rsidRPr="00AC1CDE">
              <w:rPr>
                <w:b/>
                <w:bCs/>
                <w:sz w:val="20"/>
                <w:szCs w:val="18"/>
              </w:rPr>
              <w:t>Net Book Value at   31 March 2010</w:t>
            </w:r>
          </w:p>
        </w:tc>
        <w:tc>
          <w:tcPr>
            <w:tcW w:w="1162" w:type="dxa"/>
            <w:tcBorders>
              <w:top w:val="nil"/>
              <w:left w:val="nil"/>
              <w:bottom w:val="single" w:sz="4" w:space="0" w:color="auto"/>
              <w:right w:val="nil"/>
            </w:tcBorders>
            <w:shd w:val="clear" w:color="auto" w:fill="auto"/>
            <w:noWrap/>
            <w:vAlign w:val="bottom"/>
            <w:hideMark/>
          </w:tcPr>
          <w:p w:rsidR="002643B5" w:rsidRPr="00AC1CDE" w:rsidRDefault="002643B5" w:rsidP="000A40EC">
            <w:pPr>
              <w:rPr>
                <w:sz w:val="20"/>
                <w:szCs w:val="18"/>
              </w:rPr>
            </w:pPr>
          </w:p>
        </w:tc>
        <w:tc>
          <w:tcPr>
            <w:tcW w:w="1162" w:type="dxa"/>
            <w:tcBorders>
              <w:top w:val="nil"/>
              <w:left w:val="nil"/>
              <w:bottom w:val="single" w:sz="4" w:space="0" w:color="auto"/>
              <w:right w:val="nil"/>
            </w:tcBorders>
            <w:shd w:val="clear" w:color="auto" w:fill="auto"/>
            <w:noWrap/>
            <w:vAlign w:val="center"/>
            <w:hideMark/>
          </w:tcPr>
          <w:p w:rsidR="002643B5" w:rsidRPr="00AC1CDE" w:rsidRDefault="002643B5" w:rsidP="000A40EC">
            <w:pPr>
              <w:jc w:val="right"/>
              <w:rPr>
                <w:b/>
                <w:sz w:val="20"/>
                <w:szCs w:val="18"/>
              </w:rPr>
            </w:pPr>
            <w:r w:rsidRPr="00AC1CDE">
              <w:rPr>
                <w:b/>
                <w:sz w:val="20"/>
                <w:szCs w:val="18"/>
              </w:rPr>
              <w:t> 1,681,582</w:t>
            </w:r>
          </w:p>
        </w:tc>
        <w:tc>
          <w:tcPr>
            <w:tcW w:w="1749" w:type="dxa"/>
            <w:tcBorders>
              <w:top w:val="nil"/>
              <w:left w:val="nil"/>
              <w:bottom w:val="single" w:sz="4" w:space="0" w:color="auto"/>
              <w:right w:val="nil"/>
            </w:tcBorders>
            <w:shd w:val="clear" w:color="auto" w:fill="auto"/>
            <w:noWrap/>
            <w:vAlign w:val="center"/>
            <w:hideMark/>
          </w:tcPr>
          <w:p w:rsidR="002643B5" w:rsidRPr="00AC1CDE" w:rsidRDefault="002643B5" w:rsidP="000A40EC">
            <w:pPr>
              <w:jc w:val="right"/>
              <w:rPr>
                <w:b/>
                <w:sz w:val="20"/>
                <w:szCs w:val="18"/>
              </w:rPr>
            </w:pPr>
            <w:r w:rsidRPr="00AC1CDE">
              <w:rPr>
                <w:b/>
                <w:sz w:val="20"/>
                <w:szCs w:val="18"/>
              </w:rPr>
              <w:t>29,817</w:t>
            </w:r>
          </w:p>
        </w:tc>
        <w:tc>
          <w:tcPr>
            <w:tcW w:w="2127" w:type="dxa"/>
            <w:tcBorders>
              <w:top w:val="nil"/>
              <w:left w:val="nil"/>
              <w:bottom w:val="single" w:sz="4" w:space="0" w:color="auto"/>
              <w:right w:val="nil"/>
            </w:tcBorders>
            <w:shd w:val="clear" w:color="auto" w:fill="auto"/>
            <w:noWrap/>
            <w:vAlign w:val="center"/>
            <w:hideMark/>
          </w:tcPr>
          <w:p w:rsidR="002643B5" w:rsidRPr="00AC1CDE" w:rsidRDefault="002643B5" w:rsidP="000A40EC">
            <w:pPr>
              <w:jc w:val="right"/>
              <w:rPr>
                <w:b/>
                <w:sz w:val="20"/>
                <w:szCs w:val="18"/>
              </w:rPr>
            </w:pPr>
            <w:r w:rsidRPr="00AC1CDE">
              <w:rPr>
                <w:b/>
                <w:sz w:val="20"/>
                <w:szCs w:val="18"/>
              </w:rPr>
              <w:t>444,888</w:t>
            </w:r>
          </w:p>
        </w:tc>
        <w:tc>
          <w:tcPr>
            <w:tcW w:w="1701" w:type="dxa"/>
            <w:tcBorders>
              <w:top w:val="nil"/>
              <w:left w:val="nil"/>
              <w:bottom w:val="single" w:sz="4" w:space="0" w:color="auto"/>
              <w:right w:val="nil"/>
            </w:tcBorders>
            <w:shd w:val="clear" w:color="auto" w:fill="auto"/>
            <w:noWrap/>
            <w:vAlign w:val="center"/>
            <w:hideMark/>
          </w:tcPr>
          <w:p w:rsidR="002643B5" w:rsidRPr="00AC1CDE" w:rsidRDefault="002643B5" w:rsidP="000A40EC">
            <w:pPr>
              <w:jc w:val="right"/>
              <w:rPr>
                <w:b/>
                <w:sz w:val="20"/>
                <w:szCs w:val="18"/>
              </w:rPr>
            </w:pPr>
            <w:r w:rsidRPr="00AC1CDE">
              <w:rPr>
                <w:b/>
                <w:sz w:val="20"/>
                <w:szCs w:val="18"/>
              </w:rPr>
              <w:t>- </w:t>
            </w:r>
          </w:p>
        </w:tc>
        <w:tc>
          <w:tcPr>
            <w:tcW w:w="1417" w:type="dxa"/>
            <w:tcBorders>
              <w:top w:val="nil"/>
              <w:left w:val="nil"/>
              <w:bottom w:val="single" w:sz="4" w:space="0" w:color="auto"/>
              <w:right w:val="nil"/>
            </w:tcBorders>
            <w:shd w:val="clear" w:color="auto" w:fill="auto"/>
            <w:noWrap/>
            <w:vAlign w:val="center"/>
            <w:hideMark/>
          </w:tcPr>
          <w:p w:rsidR="002643B5" w:rsidRPr="00AC1CDE" w:rsidRDefault="002643B5" w:rsidP="000A40EC">
            <w:pPr>
              <w:jc w:val="right"/>
              <w:rPr>
                <w:b/>
                <w:sz w:val="20"/>
                <w:szCs w:val="18"/>
              </w:rPr>
            </w:pPr>
            <w:r w:rsidRPr="00AC1CDE">
              <w:rPr>
                <w:b/>
                <w:sz w:val="20"/>
                <w:szCs w:val="18"/>
              </w:rPr>
              <w:t>47,283</w:t>
            </w:r>
          </w:p>
        </w:tc>
        <w:tc>
          <w:tcPr>
            <w:tcW w:w="1559" w:type="dxa"/>
            <w:tcBorders>
              <w:top w:val="nil"/>
              <w:left w:val="nil"/>
              <w:bottom w:val="single" w:sz="4" w:space="0" w:color="auto"/>
              <w:right w:val="nil"/>
            </w:tcBorders>
            <w:shd w:val="clear" w:color="auto" w:fill="auto"/>
            <w:noWrap/>
            <w:vAlign w:val="center"/>
            <w:hideMark/>
          </w:tcPr>
          <w:p w:rsidR="002643B5" w:rsidRPr="00AC1CDE" w:rsidRDefault="002643B5" w:rsidP="000A40EC">
            <w:pPr>
              <w:jc w:val="right"/>
              <w:rPr>
                <w:b/>
                <w:bCs/>
                <w:sz w:val="20"/>
                <w:szCs w:val="18"/>
              </w:rPr>
            </w:pPr>
            <w:r w:rsidRPr="00AC1CDE">
              <w:rPr>
                <w:b/>
                <w:bCs/>
                <w:sz w:val="20"/>
                <w:szCs w:val="18"/>
              </w:rPr>
              <w:t>2,203,570</w:t>
            </w:r>
          </w:p>
        </w:tc>
        <w:tc>
          <w:tcPr>
            <w:tcW w:w="1353" w:type="dxa"/>
            <w:tcBorders>
              <w:top w:val="nil"/>
              <w:left w:val="nil"/>
              <w:bottom w:val="single" w:sz="4" w:space="0" w:color="auto"/>
              <w:right w:val="nil"/>
            </w:tcBorders>
            <w:vAlign w:val="center"/>
          </w:tcPr>
          <w:p w:rsidR="002643B5" w:rsidRPr="00AC1CDE" w:rsidRDefault="002643B5" w:rsidP="000A40EC">
            <w:pPr>
              <w:jc w:val="right"/>
              <w:rPr>
                <w:b/>
                <w:bCs/>
                <w:sz w:val="20"/>
                <w:szCs w:val="18"/>
              </w:rPr>
            </w:pPr>
            <w:r w:rsidRPr="00AC1CDE">
              <w:rPr>
                <w:b/>
                <w:bCs/>
                <w:sz w:val="20"/>
                <w:szCs w:val="18"/>
              </w:rPr>
              <w:t>129,005</w:t>
            </w:r>
          </w:p>
        </w:tc>
      </w:tr>
      <w:tr w:rsidR="002643B5" w:rsidRPr="00286C0E" w:rsidTr="000A40EC">
        <w:trPr>
          <w:trHeight w:val="304"/>
        </w:trPr>
        <w:tc>
          <w:tcPr>
            <w:tcW w:w="2479" w:type="dxa"/>
            <w:gridSpan w:val="2"/>
            <w:tcBorders>
              <w:top w:val="nil"/>
              <w:left w:val="nil"/>
              <w:bottom w:val="nil"/>
              <w:right w:val="nil"/>
            </w:tcBorders>
            <w:shd w:val="clear" w:color="auto" w:fill="auto"/>
            <w:noWrap/>
            <w:vAlign w:val="bottom"/>
            <w:hideMark/>
          </w:tcPr>
          <w:p w:rsidR="002643B5" w:rsidRPr="00286C0E" w:rsidRDefault="002643B5" w:rsidP="000A40EC">
            <w:pPr>
              <w:rPr>
                <w:rFonts w:ascii="Calibri" w:hAnsi="Calibri"/>
                <w:sz w:val="18"/>
                <w:szCs w:val="18"/>
                <w:highlight w:val="yellow"/>
              </w:rPr>
            </w:pPr>
          </w:p>
        </w:tc>
        <w:tc>
          <w:tcPr>
            <w:tcW w:w="1162" w:type="dxa"/>
            <w:tcBorders>
              <w:top w:val="nil"/>
              <w:left w:val="nil"/>
              <w:bottom w:val="nil"/>
              <w:right w:val="nil"/>
            </w:tcBorders>
            <w:shd w:val="clear" w:color="auto" w:fill="auto"/>
            <w:noWrap/>
            <w:vAlign w:val="bottom"/>
            <w:hideMark/>
          </w:tcPr>
          <w:p w:rsidR="002643B5" w:rsidRPr="00286C0E" w:rsidRDefault="002643B5" w:rsidP="000A40EC">
            <w:pPr>
              <w:rPr>
                <w:rFonts w:ascii="Calibri" w:hAnsi="Calibri"/>
                <w:sz w:val="18"/>
                <w:szCs w:val="18"/>
                <w:highlight w:val="yellow"/>
              </w:rPr>
            </w:pPr>
          </w:p>
        </w:tc>
        <w:tc>
          <w:tcPr>
            <w:tcW w:w="1162" w:type="dxa"/>
            <w:tcBorders>
              <w:top w:val="nil"/>
              <w:left w:val="nil"/>
              <w:bottom w:val="nil"/>
              <w:right w:val="nil"/>
            </w:tcBorders>
            <w:shd w:val="clear" w:color="auto" w:fill="auto"/>
            <w:noWrap/>
            <w:vAlign w:val="bottom"/>
            <w:hideMark/>
          </w:tcPr>
          <w:p w:rsidR="002643B5" w:rsidRPr="00286C0E" w:rsidRDefault="002643B5" w:rsidP="000A40EC">
            <w:pPr>
              <w:rPr>
                <w:rFonts w:ascii="Calibri" w:hAnsi="Calibri"/>
                <w:sz w:val="18"/>
                <w:szCs w:val="18"/>
                <w:highlight w:val="yellow"/>
              </w:rPr>
            </w:pPr>
          </w:p>
        </w:tc>
        <w:tc>
          <w:tcPr>
            <w:tcW w:w="1749" w:type="dxa"/>
            <w:tcBorders>
              <w:top w:val="nil"/>
              <w:left w:val="nil"/>
              <w:bottom w:val="nil"/>
              <w:right w:val="nil"/>
            </w:tcBorders>
            <w:shd w:val="clear" w:color="auto" w:fill="auto"/>
            <w:noWrap/>
            <w:vAlign w:val="bottom"/>
            <w:hideMark/>
          </w:tcPr>
          <w:p w:rsidR="002643B5" w:rsidRPr="00286C0E" w:rsidRDefault="002643B5" w:rsidP="000A40EC">
            <w:pPr>
              <w:rPr>
                <w:rFonts w:ascii="Calibri" w:hAnsi="Calibri"/>
                <w:sz w:val="18"/>
                <w:szCs w:val="18"/>
                <w:highlight w:val="yellow"/>
              </w:rPr>
            </w:pPr>
          </w:p>
        </w:tc>
        <w:tc>
          <w:tcPr>
            <w:tcW w:w="2127" w:type="dxa"/>
            <w:tcBorders>
              <w:top w:val="nil"/>
              <w:left w:val="nil"/>
              <w:bottom w:val="nil"/>
              <w:right w:val="nil"/>
            </w:tcBorders>
            <w:shd w:val="clear" w:color="auto" w:fill="auto"/>
            <w:noWrap/>
            <w:vAlign w:val="bottom"/>
            <w:hideMark/>
          </w:tcPr>
          <w:p w:rsidR="002643B5" w:rsidRPr="00286C0E" w:rsidRDefault="002643B5" w:rsidP="000A40EC">
            <w:pPr>
              <w:rPr>
                <w:rFonts w:ascii="Calibri" w:hAnsi="Calibri"/>
                <w:sz w:val="18"/>
                <w:szCs w:val="18"/>
                <w:highlight w:val="yellow"/>
              </w:rPr>
            </w:pPr>
          </w:p>
        </w:tc>
        <w:tc>
          <w:tcPr>
            <w:tcW w:w="1701" w:type="dxa"/>
            <w:tcBorders>
              <w:top w:val="nil"/>
              <w:left w:val="nil"/>
              <w:bottom w:val="nil"/>
              <w:right w:val="nil"/>
            </w:tcBorders>
            <w:shd w:val="clear" w:color="auto" w:fill="auto"/>
            <w:noWrap/>
            <w:vAlign w:val="bottom"/>
            <w:hideMark/>
          </w:tcPr>
          <w:p w:rsidR="002643B5" w:rsidRPr="00286C0E" w:rsidRDefault="002643B5" w:rsidP="000A40EC">
            <w:pPr>
              <w:rPr>
                <w:rFonts w:ascii="Calibri" w:hAnsi="Calibri"/>
                <w:sz w:val="18"/>
                <w:szCs w:val="18"/>
                <w:highlight w:val="yellow"/>
              </w:rPr>
            </w:pPr>
          </w:p>
        </w:tc>
        <w:tc>
          <w:tcPr>
            <w:tcW w:w="1417" w:type="dxa"/>
            <w:tcBorders>
              <w:top w:val="nil"/>
              <w:left w:val="nil"/>
              <w:bottom w:val="nil"/>
              <w:right w:val="nil"/>
            </w:tcBorders>
            <w:shd w:val="clear" w:color="auto" w:fill="auto"/>
            <w:noWrap/>
            <w:vAlign w:val="bottom"/>
            <w:hideMark/>
          </w:tcPr>
          <w:p w:rsidR="002643B5" w:rsidRPr="00286C0E" w:rsidRDefault="002643B5" w:rsidP="000A40EC">
            <w:pPr>
              <w:rPr>
                <w:rFonts w:ascii="Calibri" w:hAnsi="Calibri"/>
                <w:sz w:val="18"/>
                <w:szCs w:val="18"/>
                <w:highlight w:val="yellow"/>
              </w:rPr>
            </w:pPr>
          </w:p>
        </w:tc>
        <w:tc>
          <w:tcPr>
            <w:tcW w:w="1559" w:type="dxa"/>
            <w:tcBorders>
              <w:top w:val="nil"/>
              <w:left w:val="nil"/>
              <w:bottom w:val="nil"/>
              <w:right w:val="nil"/>
            </w:tcBorders>
            <w:shd w:val="clear" w:color="auto" w:fill="auto"/>
            <w:noWrap/>
            <w:vAlign w:val="bottom"/>
            <w:hideMark/>
          </w:tcPr>
          <w:p w:rsidR="002643B5" w:rsidRPr="00286C0E" w:rsidRDefault="002643B5" w:rsidP="000A40EC">
            <w:pPr>
              <w:rPr>
                <w:rFonts w:ascii="Calibri" w:hAnsi="Calibri"/>
                <w:b/>
                <w:bCs/>
                <w:color w:val="0000FF"/>
                <w:sz w:val="18"/>
                <w:szCs w:val="18"/>
                <w:highlight w:val="yellow"/>
              </w:rPr>
            </w:pPr>
          </w:p>
        </w:tc>
        <w:tc>
          <w:tcPr>
            <w:tcW w:w="1353" w:type="dxa"/>
            <w:tcBorders>
              <w:top w:val="nil"/>
              <w:left w:val="nil"/>
              <w:bottom w:val="nil"/>
              <w:right w:val="nil"/>
            </w:tcBorders>
          </w:tcPr>
          <w:p w:rsidR="002643B5" w:rsidRPr="00286C0E" w:rsidRDefault="002643B5" w:rsidP="000A40EC">
            <w:pPr>
              <w:rPr>
                <w:rFonts w:ascii="Calibri" w:hAnsi="Calibri"/>
                <w:b/>
                <w:bCs/>
                <w:color w:val="0000FF"/>
                <w:sz w:val="18"/>
                <w:szCs w:val="18"/>
                <w:highlight w:val="yellow"/>
              </w:rPr>
            </w:pPr>
          </w:p>
        </w:tc>
      </w:tr>
    </w:tbl>
    <w:p w:rsidR="002643B5" w:rsidRPr="00286C0E" w:rsidRDefault="002643B5" w:rsidP="00F076D1">
      <w:pPr>
        <w:rPr>
          <w:b/>
          <w:highlight w:val="yellow"/>
        </w:rPr>
        <w:sectPr w:rsidR="002643B5" w:rsidRPr="00286C0E" w:rsidSect="003018D5">
          <w:pgSz w:w="16838" w:h="11906" w:orient="landscape" w:code="9"/>
          <w:pgMar w:top="720" w:right="720" w:bottom="720" w:left="720" w:header="709" w:footer="709" w:gutter="0"/>
          <w:cols w:space="708"/>
          <w:docGrid w:linePitch="360"/>
        </w:sectPr>
      </w:pPr>
    </w:p>
    <w:p w:rsidR="00412E98" w:rsidRPr="00537C3C" w:rsidRDefault="00412E98" w:rsidP="00F076D1">
      <w:pPr>
        <w:rPr>
          <w:b/>
          <w:u w:val="single"/>
        </w:rPr>
      </w:pPr>
      <w:r w:rsidRPr="00537C3C">
        <w:rPr>
          <w:b/>
          <w:u w:val="single"/>
        </w:rPr>
        <w:lastRenderedPageBreak/>
        <w:t>Effects of Changes in Estimates</w:t>
      </w:r>
    </w:p>
    <w:p w:rsidR="00412E98" w:rsidRPr="00537C3C" w:rsidRDefault="00412E98" w:rsidP="00F076D1">
      <w:pPr>
        <w:rPr>
          <w:b/>
        </w:rPr>
      </w:pPr>
    </w:p>
    <w:p w:rsidR="00412E98" w:rsidRPr="00537C3C" w:rsidRDefault="00286808" w:rsidP="00F076D1">
      <w:r w:rsidRPr="00537C3C">
        <w:t>In 2011</w:t>
      </w:r>
      <w:r w:rsidR="00412E98" w:rsidRPr="00537C3C">
        <w:t>/1</w:t>
      </w:r>
      <w:r w:rsidRPr="00537C3C">
        <w:t>2</w:t>
      </w:r>
      <w:r w:rsidR="00412E98" w:rsidRPr="00537C3C">
        <w:t xml:space="preserve"> the authority made no material changes to its accounting estimates for Property, Plant and Equipment.</w:t>
      </w:r>
    </w:p>
    <w:p w:rsidR="00412E98" w:rsidRPr="00537C3C" w:rsidRDefault="00412E98" w:rsidP="00F076D1">
      <w:pPr>
        <w:rPr>
          <w:b/>
        </w:rPr>
      </w:pPr>
    </w:p>
    <w:p w:rsidR="0001467D" w:rsidRPr="00537C3C" w:rsidRDefault="0001467D" w:rsidP="00F076D1">
      <w:pPr>
        <w:rPr>
          <w:b/>
          <w:u w:val="single"/>
        </w:rPr>
      </w:pPr>
      <w:r w:rsidRPr="00537C3C">
        <w:rPr>
          <w:b/>
          <w:u w:val="single"/>
        </w:rPr>
        <w:t>Depreciation</w:t>
      </w:r>
    </w:p>
    <w:p w:rsidR="0001467D" w:rsidRPr="00537C3C" w:rsidRDefault="0001467D" w:rsidP="0001467D">
      <w:pPr>
        <w:spacing w:after="240"/>
        <w:jc w:val="both"/>
      </w:pPr>
    </w:p>
    <w:p w:rsidR="00073DA2" w:rsidRPr="00537C3C" w:rsidRDefault="00073DA2" w:rsidP="00073DA2">
      <w:r w:rsidRPr="00537C3C">
        <w:t>The useful lives for land and buildings used for depreciation are assessed by individual property by the valuer in groups of 10 year up to over 50 years, namely:</w:t>
      </w:r>
    </w:p>
    <w:p w:rsidR="00073DA2" w:rsidRPr="00537C3C" w:rsidRDefault="00073DA2" w:rsidP="00073DA2"/>
    <w:p w:rsidR="00073DA2" w:rsidRPr="00537C3C" w:rsidRDefault="00DD3129" w:rsidP="00073DA2">
      <w:pPr>
        <w:ind w:firstLine="360"/>
      </w:pPr>
      <w:r w:rsidRPr="00537C3C">
        <w:t xml:space="preserve">Life grouping        </w:t>
      </w:r>
      <w:r w:rsidRPr="00537C3C">
        <w:tab/>
        <w:t>L</w:t>
      </w:r>
      <w:r w:rsidR="00073DA2" w:rsidRPr="00537C3C">
        <w:t>ife used for depreciation</w:t>
      </w:r>
    </w:p>
    <w:p w:rsidR="00073DA2" w:rsidRPr="00537C3C" w:rsidRDefault="00073DA2" w:rsidP="00073DA2"/>
    <w:p w:rsidR="00073DA2" w:rsidRPr="00537C3C" w:rsidRDefault="00A36222" w:rsidP="00A36222">
      <w:pPr>
        <w:pStyle w:val="ListParagraph"/>
        <w:ind w:left="0" w:firstLine="360"/>
      </w:pPr>
      <w:r w:rsidRPr="00537C3C">
        <w:t>0 u</w:t>
      </w:r>
      <w:r w:rsidR="00073DA2" w:rsidRPr="00537C3C">
        <w:t>p to 10 years           </w:t>
      </w:r>
      <w:r w:rsidRPr="00537C3C">
        <w:tab/>
      </w:r>
      <w:r w:rsidR="00073DA2" w:rsidRPr="00537C3C">
        <w:t>specific asset life used</w:t>
      </w:r>
    </w:p>
    <w:p w:rsidR="00073DA2" w:rsidRPr="00537C3C" w:rsidRDefault="00073DA2" w:rsidP="00073DA2">
      <w:pPr>
        <w:ind w:firstLine="360"/>
      </w:pPr>
      <w:r w:rsidRPr="00537C3C">
        <w:t>10-20 years                              </w:t>
      </w:r>
      <w:r w:rsidR="00E353CF">
        <w:tab/>
      </w:r>
      <w:r w:rsidRPr="00537C3C">
        <w:t>10</w:t>
      </w:r>
    </w:p>
    <w:p w:rsidR="00073DA2" w:rsidRPr="00537C3C" w:rsidRDefault="00073DA2" w:rsidP="00073DA2">
      <w:pPr>
        <w:ind w:firstLine="360"/>
      </w:pPr>
      <w:r w:rsidRPr="00537C3C">
        <w:t>21-30 years                              </w:t>
      </w:r>
      <w:r w:rsidR="00E353CF">
        <w:tab/>
      </w:r>
      <w:r w:rsidRPr="00537C3C">
        <w:t>20</w:t>
      </w:r>
    </w:p>
    <w:p w:rsidR="00073DA2" w:rsidRPr="00537C3C" w:rsidRDefault="00073DA2" w:rsidP="00073DA2">
      <w:pPr>
        <w:ind w:firstLine="360"/>
      </w:pPr>
      <w:r w:rsidRPr="00537C3C">
        <w:t xml:space="preserve">30-40 years                              </w:t>
      </w:r>
      <w:r w:rsidR="00E353CF">
        <w:tab/>
      </w:r>
      <w:r w:rsidRPr="00537C3C">
        <w:t>30</w:t>
      </w:r>
    </w:p>
    <w:p w:rsidR="00073DA2" w:rsidRPr="00537C3C" w:rsidRDefault="00073DA2" w:rsidP="00073DA2">
      <w:pPr>
        <w:ind w:firstLine="360"/>
      </w:pPr>
      <w:r w:rsidRPr="00537C3C">
        <w:t>40-50 years                             </w:t>
      </w:r>
      <w:r w:rsidRPr="00537C3C">
        <w:tab/>
      </w:r>
      <w:r w:rsidR="00E353CF">
        <w:tab/>
      </w:r>
      <w:r w:rsidRPr="00537C3C">
        <w:t>40</w:t>
      </w:r>
    </w:p>
    <w:p w:rsidR="00073DA2" w:rsidRPr="00537C3C" w:rsidRDefault="00073DA2" w:rsidP="00073DA2">
      <w:pPr>
        <w:ind w:firstLine="360"/>
      </w:pPr>
      <w:r w:rsidRPr="00537C3C">
        <w:t xml:space="preserve">Over 50 years                          </w:t>
      </w:r>
      <w:r w:rsidR="00E353CF">
        <w:t xml:space="preserve"> </w:t>
      </w:r>
      <w:r w:rsidR="00E353CF">
        <w:tab/>
      </w:r>
      <w:r w:rsidRPr="00537C3C">
        <w:t>50</w:t>
      </w:r>
    </w:p>
    <w:p w:rsidR="00073DA2" w:rsidRPr="00537C3C" w:rsidRDefault="00073DA2" w:rsidP="0001467D">
      <w:pPr>
        <w:spacing w:after="240"/>
        <w:jc w:val="both"/>
      </w:pPr>
    </w:p>
    <w:p w:rsidR="00073DA2" w:rsidRPr="00537C3C" w:rsidRDefault="0001467D" w:rsidP="00073DA2">
      <w:pPr>
        <w:spacing w:after="240"/>
        <w:jc w:val="both"/>
      </w:pPr>
      <w:r w:rsidRPr="00537C3C">
        <w:t>The following useful lives and depreciation rates have been used in the calculation of depreciation:</w:t>
      </w:r>
    </w:p>
    <w:p w:rsidR="0001467D" w:rsidRPr="00537C3C" w:rsidRDefault="006218A3" w:rsidP="00BD07E4">
      <w:pPr>
        <w:numPr>
          <w:ilvl w:val="0"/>
          <w:numId w:val="44"/>
        </w:numPr>
        <w:spacing w:after="240"/>
        <w:jc w:val="both"/>
      </w:pPr>
      <w:r w:rsidRPr="00537C3C">
        <w:t>Land is not depreciated</w:t>
      </w:r>
    </w:p>
    <w:p w:rsidR="0001467D" w:rsidRPr="00537C3C" w:rsidRDefault="0001467D" w:rsidP="00BD07E4">
      <w:pPr>
        <w:numPr>
          <w:ilvl w:val="0"/>
          <w:numId w:val="44"/>
        </w:numPr>
        <w:spacing w:after="240"/>
        <w:jc w:val="both"/>
      </w:pPr>
      <w:r w:rsidRPr="00537C3C">
        <w:t>Vehicles</w:t>
      </w:r>
      <w:r w:rsidR="006218A3" w:rsidRPr="00537C3C">
        <w:t>, Plant, Furniture and Equipment 10 years</w:t>
      </w:r>
    </w:p>
    <w:p w:rsidR="0001467D" w:rsidRPr="00537C3C" w:rsidRDefault="006218A3" w:rsidP="00BD07E4">
      <w:pPr>
        <w:numPr>
          <w:ilvl w:val="0"/>
          <w:numId w:val="44"/>
        </w:numPr>
        <w:spacing w:after="240"/>
        <w:jc w:val="both"/>
      </w:pPr>
      <w:r w:rsidRPr="00537C3C">
        <w:t>Infrastructure generally 50 years with exceptions as based on advice from surveyors</w:t>
      </w:r>
    </w:p>
    <w:p w:rsidR="00412E98" w:rsidRPr="00537C3C" w:rsidRDefault="00412E98" w:rsidP="00CD038F">
      <w:pPr>
        <w:spacing w:after="240"/>
        <w:rPr>
          <w:b/>
        </w:rPr>
      </w:pPr>
    </w:p>
    <w:p w:rsidR="00CD038F" w:rsidRPr="004D7C5F" w:rsidRDefault="00CD038F" w:rsidP="00CD038F">
      <w:pPr>
        <w:spacing w:after="240"/>
        <w:rPr>
          <w:b/>
        </w:rPr>
      </w:pPr>
      <w:r w:rsidRPr="004D7C5F">
        <w:rPr>
          <w:b/>
        </w:rPr>
        <w:t>Summary of our main assets</w:t>
      </w:r>
    </w:p>
    <w:tbl>
      <w:tblPr>
        <w:tblW w:w="0" w:type="auto"/>
        <w:tblInd w:w="392" w:type="dxa"/>
        <w:tblLayout w:type="fixed"/>
        <w:tblLook w:val="0000"/>
      </w:tblPr>
      <w:tblGrid>
        <w:gridCol w:w="50"/>
        <w:gridCol w:w="8171"/>
        <w:gridCol w:w="89"/>
        <w:gridCol w:w="1336"/>
        <w:gridCol w:w="194"/>
        <w:gridCol w:w="82"/>
      </w:tblGrid>
      <w:tr w:rsidR="00CD038F" w:rsidRPr="004D7C5F" w:rsidTr="003D305C">
        <w:trPr>
          <w:gridBefore w:val="1"/>
          <w:gridAfter w:val="1"/>
          <w:wBefore w:w="50" w:type="dxa"/>
          <w:wAfter w:w="82" w:type="dxa"/>
          <w:trHeight w:val="98"/>
        </w:trPr>
        <w:tc>
          <w:tcPr>
            <w:tcW w:w="8260" w:type="dxa"/>
            <w:gridSpan w:val="2"/>
          </w:tcPr>
          <w:p w:rsidR="00CD038F" w:rsidRPr="004D7C5F" w:rsidRDefault="00CD038F" w:rsidP="00CD038F">
            <w:pPr>
              <w:rPr>
                <w:b/>
              </w:rPr>
            </w:pPr>
            <w:r w:rsidRPr="004D7C5F">
              <w:rPr>
                <w:b/>
              </w:rPr>
              <w:t xml:space="preserve">Directorate for Children and Young People </w:t>
            </w:r>
          </w:p>
        </w:tc>
        <w:tc>
          <w:tcPr>
            <w:tcW w:w="1530" w:type="dxa"/>
            <w:gridSpan w:val="2"/>
          </w:tcPr>
          <w:p w:rsidR="00CD038F" w:rsidRPr="004D7C5F" w:rsidRDefault="00CD038F" w:rsidP="00CD038F">
            <w:pPr>
              <w:jc w:val="right"/>
              <w:rPr>
                <w:b/>
              </w:rPr>
            </w:pPr>
            <w:r w:rsidRPr="004D7C5F">
              <w:rPr>
                <w:b/>
              </w:rPr>
              <w:t>Number</w:t>
            </w:r>
          </w:p>
        </w:tc>
      </w:tr>
      <w:tr w:rsidR="00C74EA4" w:rsidRPr="004D7C5F" w:rsidTr="003D305C">
        <w:trPr>
          <w:gridBefore w:val="1"/>
          <w:gridAfter w:val="1"/>
          <w:wBefore w:w="50" w:type="dxa"/>
          <w:wAfter w:w="82" w:type="dxa"/>
          <w:trHeight w:val="251"/>
        </w:trPr>
        <w:tc>
          <w:tcPr>
            <w:tcW w:w="8260" w:type="dxa"/>
            <w:gridSpan w:val="2"/>
          </w:tcPr>
          <w:p w:rsidR="00C74EA4" w:rsidRPr="004D7C5F" w:rsidRDefault="00C74EA4" w:rsidP="00CD038F">
            <w:r w:rsidRPr="004D7C5F">
              <w:t>Short Stay Schools</w:t>
            </w:r>
          </w:p>
        </w:tc>
        <w:tc>
          <w:tcPr>
            <w:tcW w:w="1530" w:type="dxa"/>
            <w:gridSpan w:val="2"/>
            <w:shd w:val="clear" w:color="auto" w:fill="FFFFFF"/>
          </w:tcPr>
          <w:p w:rsidR="00C74EA4" w:rsidRPr="004D7C5F" w:rsidRDefault="00C74EA4" w:rsidP="00CD038F">
            <w:pPr>
              <w:jc w:val="right"/>
            </w:pPr>
            <w:r w:rsidRPr="004D7C5F">
              <w:t>12</w:t>
            </w:r>
          </w:p>
        </w:tc>
      </w:tr>
      <w:tr w:rsidR="00CD038F" w:rsidRPr="004D7C5F" w:rsidTr="003D305C">
        <w:trPr>
          <w:gridBefore w:val="1"/>
          <w:gridAfter w:val="1"/>
          <w:wBefore w:w="50" w:type="dxa"/>
          <w:wAfter w:w="82" w:type="dxa"/>
          <w:trHeight w:val="251"/>
        </w:trPr>
        <w:tc>
          <w:tcPr>
            <w:tcW w:w="8260" w:type="dxa"/>
            <w:gridSpan w:val="2"/>
          </w:tcPr>
          <w:p w:rsidR="00CD038F" w:rsidRPr="004D7C5F" w:rsidRDefault="00CD038F" w:rsidP="00CD038F">
            <w:r w:rsidRPr="004D7C5F">
              <w:t>Nursery schools</w:t>
            </w:r>
          </w:p>
        </w:tc>
        <w:tc>
          <w:tcPr>
            <w:tcW w:w="1530" w:type="dxa"/>
            <w:gridSpan w:val="2"/>
            <w:shd w:val="clear" w:color="auto" w:fill="FFFFFF"/>
          </w:tcPr>
          <w:p w:rsidR="00CD038F" w:rsidRPr="004D7C5F" w:rsidRDefault="00CD038F" w:rsidP="00CD038F">
            <w:pPr>
              <w:jc w:val="right"/>
            </w:pPr>
            <w:r w:rsidRPr="004D7C5F">
              <w:t>24</w:t>
            </w:r>
          </w:p>
        </w:tc>
      </w:tr>
      <w:tr w:rsidR="00CD038F" w:rsidRPr="004D7C5F" w:rsidTr="003D305C">
        <w:trPr>
          <w:gridBefore w:val="1"/>
          <w:gridAfter w:val="1"/>
          <w:wBefore w:w="50" w:type="dxa"/>
          <w:wAfter w:w="82" w:type="dxa"/>
          <w:trHeight w:val="264"/>
        </w:trPr>
        <w:tc>
          <w:tcPr>
            <w:tcW w:w="8260" w:type="dxa"/>
            <w:gridSpan w:val="2"/>
          </w:tcPr>
          <w:p w:rsidR="00CD038F" w:rsidRPr="004D7C5F" w:rsidRDefault="00CD038F" w:rsidP="00A400A7">
            <w:r w:rsidRPr="004D7C5F">
              <w:t>Primary schools (including 2</w:t>
            </w:r>
            <w:r w:rsidR="00A400A7" w:rsidRPr="004D7C5F">
              <w:t>50</w:t>
            </w:r>
            <w:r w:rsidRPr="004D7C5F">
              <w:t xml:space="preserve"> aided schools)</w:t>
            </w:r>
          </w:p>
        </w:tc>
        <w:tc>
          <w:tcPr>
            <w:tcW w:w="1530" w:type="dxa"/>
            <w:gridSpan w:val="2"/>
            <w:shd w:val="clear" w:color="auto" w:fill="FFFFFF"/>
          </w:tcPr>
          <w:p w:rsidR="00CD038F" w:rsidRPr="004D7C5F" w:rsidRDefault="00CD038F" w:rsidP="00A400A7">
            <w:pPr>
              <w:jc w:val="right"/>
            </w:pPr>
            <w:r w:rsidRPr="004D7C5F">
              <w:t>48</w:t>
            </w:r>
            <w:r w:rsidR="00F00B92" w:rsidRPr="004D7C5F">
              <w:t>0</w:t>
            </w:r>
          </w:p>
        </w:tc>
      </w:tr>
      <w:tr w:rsidR="00CD038F" w:rsidRPr="004D7C5F" w:rsidTr="003D305C">
        <w:trPr>
          <w:gridBefore w:val="1"/>
          <w:gridAfter w:val="1"/>
          <w:wBefore w:w="50" w:type="dxa"/>
          <w:wAfter w:w="82" w:type="dxa"/>
          <w:trHeight w:val="251"/>
        </w:trPr>
        <w:tc>
          <w:tcPr>
            <w:tcW w:w="8260" w:type="dxa"/>
            <w:gridSpan w:val="2"/>
          </w:tcPr>
          <w:p w:rsidR="00CD038F" w:rsidRPr="004D7C5F" w:rsidRDefault="00CD038F" w:rsidP="00CD038F">
            <w:r w:rsidRPr="004D7C5F">
              <w:t>Secondary schools (including 27 aided schools)</w:t>
            </w:r>
          </w:p>
        </w:tc>
        <w:tc>
          <w:tcPr>
            <w:tcW w:w="1530" w:type="dxa"/>
            <w:gridSpan w:val="2"/>
            <w:shd w:val="clear" w:color="auto" w:fill="FFFFFF"/>
          </w:tcPr>
          <w:p w:rsidR="00CD038F" w:rsidRPr="004D7C5F" w:rsidRDefault="00F00B92" w:rsidP="00CD038F">
            <w:pPr>
              <w:jc w:val="right"/>
            </w:pPr>
            <w:r w:rsidRPr="004D7C5F">
              <w:t>69</w:t>
            </w:r>
          </w:p>
        </w:tc>
      </w:tr>
      <w:tr w:rsidR="00CD038F" w:rsidRPr="004D7C5F" w:rsidTr="003D305C">
        <w:trPr>
          <w:gridBefore w:val="1"/>
          <w:gridAfter w:val="1"/>
          <w:wBefore w:w="50" w:type="dxa"/>
          <w:wAfter w:w="82" w:type="dxa"/>
          <w:trHeight w:val="251"/>
        </w:trPr>
        <w:tc>
          <w:tcPr>
            <w:tcW w:w="8260" w:type="dxa"/>
            <w:gridSpan w:val="2"/>
          </w:tcPr>
          <w:p w:rsidR="00A400A7" w:rsidRPr="004D7C5F" w:rsidRDefault="00CD038F" w:rsidP="00C74EA4">
            <w:r w:rsidRPr="004D7C5F">
              <w:t>Special schools</w:t>
            </w:r>
            <w:r w:rsidR="00A400A7" w:rsidRPr="004D7C5F">
              <w:t xml:space="preserve">                                                                                                                                                                                        </w:t>
            </w:r>
          </w:p>
        </w:tc>
        <w:tc>
          <w:tcPr>
            <w:tcW w:w="1530" w:type="dxa"/>
            <w:gridSpan w:val="2"/>
            <w:shd w:val="clear" w:color="auto" w:fill="FFFFFF"/>
          </w:tcPr>
          <w:p w:rsidR="00CD038F" w:rsidRPr="004D7C5F" w:rsidRDefault="00CD038F" w:rsidP="00CD038F">
            <w:pPr>
              <w:jc w:val="right"/>
            </w:pPr>
            <w:r w:rsidRPr="004D7C5F">
              <w:t>3</w:t>
            </w:r>
            <w:r w:rsidR="00F00B92" w:rsidRPr="004D7C5F">
              <w:t>0</w:t>
            </w:r>
          </w:p>
        </w:tc>
      </w:tr>
      <w:tr w:rsidR="00C74EA4" w:rsidRPr="004D7C5F" w:rsidTr="003D305C">
        <w:trPr>
          <w:gridBefore w:val="1"/>
          <w:gridAfter w:val="1"/>
          <w:wBefore w:w="50" w:type="dxa"/>
          <w:wAfter w:w="82" w:type="dxa"/>
          <w:trHeight w:val="251"/>
        </w:trPr>
        <w:tc>
          <w:tcPr>
            <w:tcW w:w="8260" w:type="dxa"/>
            <w:gridSpan w:val="2"/>
          </w:tcPr>
          <w:p w:rsidR="00C74EA4" w:rsidRPr="004D7C5F" w:rsidRDefault="00C74EA4" w:rsidP="00C74EA4">
            <w:r w:rsidRPr="004D7C5F">
              <w:t>Children's Centres</w:t>
            </w:r>
          </w:p>
        </w:tc>
        <w:tc>
          <w:tcPr>
            <w:tcW w:w="1530" w:type="dxa"/>
            <w:gridSpan w:val="2"/>
            <w:shd w:val="clear" w:color="auto" w:fill="FFFFFF"/>
          </w:tcPr>
          <w:p w:rsidR="00C74EA4" w:rsidRPr="004D7C5F" w:rsidRDefault="00C74EA4" w:rsidP="00CD038F">
            <w:pPr>
              <w:jc w:val="right"/>
            </w:pPr>
            <w:r w:rsidRPr="004D7C5F">
              <w:t>58</w:t>
            </w:r>
          </w:p>
        </w:tc>
      </w:tr>
      <w:tr w:rsidR="00C74EA4" w:rsidRPr="004D7C5F" w:rsidTr="003D305C">
        <w:trPr>
          <w:gridBefore w:val="1"/>
          <w:gridAfter w:val="1"/>
          <w:wBefore w:w="50" w:type="dxa"/>
          <w:wAfter w:w="82" w:type="dxa"/>
          <w:trHeight w:val="251"/>
        </w:trPr>
        <w:tc>
          <w:tcPr>
            <w:tcW w:w="8260" w:type="dxa"/>
            <w:gridSpan w:val="2"/>
          </w:tcPr>
          <w:p w:rsidR="00C74EA4" w:rsidRPr="004D7C5F" w:rsidRDefault="00C74EA4" w:rsidP="00C74EA4">
            <w:r w:rsidRPr="004D7C5F">
              <w:t>Youth Centres/Establishments</w:t>
            </w:r>
          </w:p>
        </w:tc>
        <w:tc>
          <w:tcPr>
            <w:tcW w:w="1530" w:type="dxa"/>
            <w:gridSpan w:val="2"/>
            <w:shd w:val="clear" w:color="auto" w:fill="FFFFFF"/>
          </w:tcPr>
          <w:p w:rsidR="00C74EA4" w:rsidRPr="004D7C5F" w:rsidRDefault="00F00B92" w:rsidP="00CD038F">
            <w:pPr>
              <w:jc w:val="right"/>
            </w:pPr>
            <w:r w:rsidRPr="004D7C5F">
              <w:t>33</w:t>
            </w:r>
          </w:p>
        </w:tc>
      </w:tr>
      <w:tr w:rsidR="00CD038F" w:rsidRPr="004D7C5F" w:rsidTr="003D305C">
        <w:trPr>
          <w:gridBefore w:val="1"/>
          <w:gridAfter w:val="1"/>
          <w:wBefore w:w="50" w:type="dxa"/>
          <w:wAfter w:w="82" w:type="dxa"/>
          <w:trHeight w:val="264"/>
        </w:trPr>
        <w:tc>
          <w:tcPr>
            <w:tcW w:w="8260" w:type="dxa"/>
            <w:gridSpan w:val="2"/>
          </w:tcPr>
          <w:p w:rsidR="00CD038F" w:rsidRPr="004D7C5F" w:rsidRDefault="00CD038F" w:rsidP="00CD038F">
            <w:r w:rsidRPr="004D7C5F">
              <w:t>Outdoor education centres</w:t>
            </w:r>
          </w:p>
        </w:tc>
        <w:tc>
          <w:tcPr>
            <w:tcW w:w="1530" w:type="dxa"/>
            <w:gridSpan w:val="2"/>
            <w:shd w:val="clear" w:color="auto" w:fill="FFFFFF"/>
          </w:tcPr>
          <w:p w:rsidR="00CD038F" w:rsidRPr="004D7C5F" w:rsidRDefault="00CD038F" w:rsidP="00CD038F">
            <w:pPr>
              <w:jc w:val="right"/>
            </w:pPr>
            <w:r w:rsidRPr="004D7C5F">
              <w:t>4</w:t>
            </w:r>
          </w:p>
        </w:tc>
      </w:tr>
      <w:tr w:rsidR="00CD038F" w:rsidRPr="004D7C5F" w:rsidTr="003D305C">
        <w:trPr>
          <w:gridBefore w:val="1"/>
          <w:gridAfter w:val="1"/>
          <w:wBefore w:w="50" w:type="dxa"/>
          <w:wAfter w:w="82" w:type="dxa"/>
          <w:trHeight w:val="251"/>
        </w:trPr>
        <w:tc>
          <w:tcPr>
            <w:tcW w:w="8260" w:type="dxa"/>
            <w:gridSpan w:val="2"/>
          </w:tcPr>
          <w:p w:rsidR="00CD038F" w:rsidRPr="004D7C5F" w:rsidRDefault="00F00B92" w:rsidP="00CD038F">
            <w:r w:rsidRPr="004D7C5F">
              <w:t>Mainstream residential homes</w:t>
            </w:r>
          </w:p>
        </w:tc>
        <w:tc>
          <w:tcPr>
            <w:tcW w:w="1530" w:type="dxa"/>
            <w:gridSpan w:val="2"/>
            <w:shd w:val="clear" w:color="auto" w:fill="FFFFFF"/>
          </w:tcPr>
          <w:p w:rsidR="00CD038F" w:rsidRPr="004D7C5F" w:rsidRDefault="00F00B92" w:rsidP="00CD038F">
            <w:pPr>
              <w:jc w:val="right"/>
            </w:pPr>
            <w:r w:rsidRPr="004D7C5F">
              <w:t>13</w:t>
            </w:r>
          </w:p>
        </w:tc>
      </w:tr>
      <w:tr w:rsidR="00CD038F" w:rsidRPr="004D7C5F" w:rsidTr="003D305C">
        <w:trPr>
          <w:gridBefore w:val="1"/>
          <w:gridAfter w:val="1"/>
          <w:wBefore w:w="50" w:type="dxa"/>
          <w:wAfter w:w="82" w:type="dxa"/>
          <w:trHeight w:val="264"/>
        </w:trPr>
        <w:tc>
          <w:tcPr>
            <w:tcW w:w="8260" w:type="dxa"/>
            <w:gridSpan w:val="2"/>
          </w:tcPr>
          <w:p w:rsidR="00CD038F" w:rsidRPr="004D7C5F" w:rsidRDefault="00CD038F" w:rsidP="00CD038F"/>
        </w:tc>
        <w:tc>
          <w:tcPr>
            <w:tcW w:w="1530" w:type="dxa"/>
            <w:gridSpan w:val="2"/>
            <w:shd w:val="clear" w:color="auto" w:fill="FFFFFF"/>
          </w:tcPr>
          <w:p w:rsidR="00CD038F" w:rsidRPr="004D7C5F" w:rsidRDefault="00CD038F" w:rsidP="00CD038F">
            <w:pPr>
              <w:jc w:val="right"/>
            </w:pPr>
          </w:p>
        </w:tc>
      </w:tr>
      <w:tr w:rsidR="00CD038F" w:rsidRPr="004D7C5F" w:rsidTr="003D305C">
        <w:trPr>
          <w:gridBefore w:val="1"/>
          <w:gridAfter w:val="1"/>
          <w:wBefore w:w="50" w:type="dxa"/>
          <w:wAfter w:w="82" w:type="dxa"/>
          <w:trHeight w:val="251"/>
        </w:trPr>
        <w:tc>
          <w:tcPr>
            <w:tcW w:w="8260" w:type="dxa"/>
            <w:gridSpan w:val="2"/>
          </w:tcPr>
          <w:p w:rsidR="00CD038F" w:rsidRPr="004D7C5F" w:rsidRDefault="00CD038F" w:rsidP="00CD038F">
            <w:r w:rsidRPr="004D7C5F">
              <w:t>Short-term residential units for children with disabilities</w:t>
            </w:r>
          </w:p>
        </w:tc>
        <w:tc>
          <w:tcPr>
            <w:tcW w:w="1530" w:type="dxa"/>
            <w:gridSpan w:val="2"/>
            <w:shd w:val="clear" w:color="auto" w:fill="FFFFFF"/>
          </w:tcPr>
          <w:p w:rsidR="00CD038F" w:rsidRPr="004D7C5F" w:rsidRDefault="00CD038F" w:rsidP="00CD038F">
            <w:pPr>
              <w:jc w:val="right"/>
            </w:pPr>
            <w:r w:rsidRPr="004D7C5F">
              <w:t>8</w:t>
            </w:r>
          </w:p>
        </w:tc>
      </w:tr>
      <w:tr w:rsidR="00CD038F" w:rsidRPr="004D7C5F" w:rsidTr="003D305C">
        <w:trPr>
          <w:gridBefore w:val="1"/>
          <w:gridAfter w:val="1"/>
          <w:wBefore w:w="50" w:type="dxa"/>
          <w:wAfter w:w="82" w:type="dxa"/>
          <w:trHeight w:val="362"/>
        </w:trPr>
        <w:tc>
          <w:tcPr>
            <w:tcW w:w="8260" w:type="dxa"/>
            <w:gridSpan w:val="2"/>
          </w:tcPr>
          <w:p w:rsidR="00A400A7" w:rsidRPr="004D7C5F" w:rsidRDefault="00CD038F" w:rsidP="00C74EA4">
            <w:pPr>
              <w:spacing w:after="120"/>
            </w:pPr>
            <w:r w:rsidRPr="004D7C5F">
              <w:t>Children and parenting support centres</w:t>
            </w:r>
            <w:r w:rsidR="00A400A7" w:rsidRPr="004D7C5F">
              <w:t xml:space="preserve">                                                                                                                                                                                                </w:t>
            </w:r>
          </w:p>
        </w:tc>
        <w:tc>
          <w:tcPr>
            <w:tcW w:w="1530" w:type="dxa"/>
            <w:gridSpan w:val="2"/>
            <w:shd w:val="clear" w:color="auto" w:fill="FFFFFF"/>
          </w:tcPr>
          <w:p w:rsidR="00CD038F" w:rsidRPr="004D7C5F" w:rsidRDefault="00CD038F" w:rsidP="00A400A7">
            <w:pPr>
              <w:spacing w:after="120"/>
              <w:jc w:val="right"/>
            </w:pPr>
            <w:r w:rsidRPr="004D7C5F">
              <w:t>1</w:t>
            </w:r>
            <w:r w:rsidR="00F00B92" w:rsidRPr="004D7C5F">
              <w:t>2</w:t>
            </w:r>
          </w:p>
        </w:tc>
      </w:tr>
      <w:tr w:rsidR="00CD038F" w:rsidRPr="004D7C5F" w:rsidTr="003D305C">
        <w:trPr>
          <w:gridBefore w:val="1"/>
          <w:gridAfter w:val="1"/>
          <w:wBefore w:w="50" w:type="dxa"/>
          <w:wAfter w:w="82" w:type="dxa"/>
          <w:trHeight w:val="1254"/>
        </w:trPr>
        <w:tc>
          <w:tcPr>
            <w:tcW w:w="8260" w:type="dxa"/>
            <w:gridSpan w:val="2"/>
          </w:tcPr>
          <w:p w:rsidR="003444A1" w:rsidRPr="004D7C5F" w:rsidRDefault="00CD038F" w:rsidP="003444A1">
            <w:pPr>
              <w:spacing w:after="240"/>
              <w:ind w:left="720"/>
              <w:rPr>
                <w:i/>
              </w:rPr>
            </w:pPr>
            <w:r w:rsidRPr="004D7C5F">
              <w:rPr>
                <w:i/>
              </w:rPr>
              <w:t>Land and buildings for an aided school are normally financed by a voluntary organisation (usually a church authority). But we may have funded other capital spending at the school.</w:t>
            </w:r>
          </w:p>
        </w:tc>
        <w:tc>
          <w:tcPr>
            <w:tcW w:w="1530" w:type="dxa"/>
            <w:gridSpan w:val="2"/>
            <w:shd w:val="clear" w:color="auto" w:fill="FFFFFF"/>
          </w:tcPr>
          <w:p w:rsidR="00CD038F" w:rsidRPr="004D7C5F" w:rsidRDefault="00CD038F" w:rsidP="00CD038F">
            <w:pPr>
              <w:spacing w:after="240"/>
              <w:jc w:val="right"/>
              <w:rPr>
                <w:b/>
                <w:color w:val="0000FF"/>
              </w:rPr>
            </w:pPr>
          </w:p>
        </w:tc>
      </w:tr>
      <w:tr w:rsidR="00CD038F" w:rsidRPr="004D7C5F" w:rsidTr="003D305C">
        <w:trPr>
          <w:gridBefore w:val="1"/>
          <w:gridAfter w:val="1"/>
          <w:wBefore w:w="50" w:type="dxa"/>
          <w:wAfter w:w="82" w:type="dxa"/>
          <w:trHeight w:val="251"/>
        </w:trPr>
        <w:tc>
          <w:tcPr>
            <w:tcW w:w="8260" w:type="dxa"/>
            <w:gridSpan w:val="2"/>
          </w:tcPr>
          <w:p w:rsidR="003444A1" w:rsidRPr="004D7C5F" w:rsidRDefault="003444A1" w:rsidP="00CD038F">
            <w:pPr>
              <w:rPr>
                <w:b/>
              </w:rPr>
            </w:pPr>
          </w:p>
          <w:p w:rsidR="000F31B4" w:rsidRPr="004D7C5F" w:rsidRDefault="000F31B4" w:rsidP="00CD038F">
            <w:pPr>
              <w:rPr>
                <w:b/>
              </w:rPr>
            </w:pPr>
          </w:p>
          <w:p w:rsidR="00CD038F" w:rsidRPr="004D7C5F" w:rsidRDefault="00CD038F" w:rsidP="00CD038F">
            <w:pPr>
              <w:rPr>
                <w:b/>
              </w:rPr>
            </w:pPr>
            <w:r w:rsidRPr="004D7C5F">
              <w:rPr>
                <w:b/>
              </w:rPr>
              <w:t>Highways and transport services</w:t>
            </w:r>
          </w:p>
        </w:tc>
        <w:tc>
          <w:tcPr>
            <w:tcW w:w="1530" w:type="dxa"/>
            <w:gridSpan w:val="2"/>
            <w:shd w:val="clear" w:color="auto" w:fill="FFFFFF"/>
          </w:tcPr>
          <w:p w:rsidR="00CD038F" w:rsidRPr="004D7C5F" w:rsidRDefault="00CD038F" w:rsidP="00CD038F">
            <w:pPr>
              <w:jc w:val="right"/>
              <w:rPr>
                <w:b/>
                <w:color w:val="0000FF"/>
              </w:rPr>
            </w:pPr>
          </w:p>
        </w:tc>
      </w:tr>
      <w:tr w:rsidR="00CD038F" w:rsidRPr="004D7C5F" w:rsidTr="003D305C">
        <w:trPr>
          <w:gridBefore w:val="1"/>
          <w:gridAfter w:val="1"/>
          <w:wBefore w:w="50" w:type="dxa"/>
          <w:wAfter w:w="82" w:type="dxa"/>
          <w:trHeight w:val="264"/>
        </w:trPr>
        <w:tc>
          <w:tcPr>
            <w:tcW w:w="8260" w:type="dxa"/>
            <w:gridSpan w:val="2"/>
          </w:tcPr>
          <w:p w:rsidR="00CD038F" w:rsidRPr="004D7C5F" w:rsidRDefault="00CD038F" w:rsidP="00CD038F">
            <w:r w:rsidRPr="004D7C5F">
              <w:lastRenderedPageBreak/>
              <w:t>Principal county roads (kilometres)</w:t>
            </w:r>
          </w:p>
        </w:tc>
        <w:tc>
          <w:tcPr>
            <w:tcW w:w="1530" w:type="dxa"/>
            <w:gridSpan w:val="2"/>
            <w:shd w:val="clear" w:color="auto" w:fill="FFFFFF"/>
          </w:tcPr>
          <w:p w:rsidR="00CD038F" w:rsidRPr="004D7C5F" w:rsidRDefault="00F00B92" w:rsidP="00CD038F">
            <w:pPr>
              <w:jc w:val="right"/>
            </w:pPr>
            <w:r w:rsidRPr="004D7C5F">
              <w:t>78</w:t>
            </w:r>
            <w:r w:rsidR="00CD038F" w:rsidRPr="004D7C5F">
              <w:t>0</w:t>
            </w:r>
          </w:p>
        </w:tc>
      </w:tr>
      <w:tr w:rsidR="00CD038F" w:rsidRPr="004D7C5F" w:rsidTr="003D305C">
        <w:trPr>
          <w:gridBefore w:val="1"/>
          <w:gridAfter w:val="1"/>
          <w:wBefore w:w="50" w:type="dxa"/>
          <w:wAfter w:w="82" w:type="dxa"/>
          <w:trHeight w:val="251"/>
        </w:trPr>
        <w:tc>
          <w:tcPr>
            <w:tcW w:w="8260" w:type="dxa"/>
            <w:gridSpan w:val="2"/>
          </w:tcPr>
          <w:p w:rsidR="00CD038F" w:rsidRPr="004D7C5F" w:rsidRDefault="00CD038F" w:rsidP="00CD038F">
            <w:r w:rsidRPr="004D7C5F">
              <w:t>Other county roads (kilometres)</w:t>
            </w:r>
          </w:p>
        </w:tc>
        <w:tc>
          <w:tcPr>
            <w:tcW w:w="1530" w:type="dxa"/>
            <w:gridSpan w:val="2"/>
            <w:shd w:val="clear" w:color="auto" w:fill="FFFFFF"/>
          </w:tcPr>
          <w:p w:rsidR="00CD038F" w:rsidRPr="004D7C5F" w:rsidRDefault="00CD038F" w:rsidP="00166D7B">
            <w:pPr>
              <w:jc w:val="right"/>
            </w:pPr>
            <w:r w:rsidRPr="004D7C5F">
              <w:t>6,1</w:t>
            </w:r>
            <w:r w:rsidR="00F00B92" w:rsidRPr="004D7C5F">
              <w:t>85</w:t>
            </w:r>
          </w:p>
        </w:tc>
      </w:tr>
      <w:tr w:rsidR="00CD038F" w:rsidRPr="004D7C5F" w:rsidTr="003D305C">
        <w:trPr>
          <w:gridBefore w:val="1"/>
          <w:gridAfter w:val="1"/>
          <w:wBefore w:w="50" w:type="dxa"/>
          <w:wAfter w:w="82" w:type="dxa"/>
          <w:trHeight w:val="264"/>
        </w:trPr>
        <w:tc>
          <w:tcPr>
            <w:tcW w:w="8260" w:type="dxa"/>
            <w:gridSpan w:val="2"/>
          </w:tcPr>
          <w:p w:rsidR="00CD038F" w:rsidRPr="004D7C5F" w:rsidRDefault="00CD038F" w:rsidP="00CD038F">
            <w:r w:rsidRPr="004D7C5F">
              <w:t>Principal motorways, including slip-roads</w:t>
            </w:r>
            <w:r w:rsidR="008D7031">
              <w:t xml:space="preserve"> maintained by the council </w:t>
            </w:r>
            <w:r w:rsidRPr="004D7C5F">
              <w:t>(kilometres)</w:t>
            </w:r>
          </w:p>
        </w:tc>
        <w:tc>
          <w:tcPr>
            <w:tcW w:w="1530" w:type="dxa"/>
            <w:gridSpan w:val="2"/>
            <w:shd w:val="clear" w:color="auto" w:fill="FFFFFF"/>
          </w:tcPr>
          <w:p w:rsidR="00CD038F" w:rsidRPr="004D7C5F" w:rsidRDefault="00F00B92" w:rsidP="00CD038F">
            <w:pPr>
              <w:jc w:val="right"/>
            </w:pPr>
            <w:r w:rsidRPr="004D7C5F">
              <w:t>31</w:t>
            </w:r>
          </w:p>
        </w:tc>
      </w:tr>
      <w:tr w:rsidR="00CD038F" w:rsidRPr="004D7C5F" w:rsidTr="003D305C">
        <w:trPr>
          <w:gridBefore w:val="1"/>
          <w:gridAfter w:val="1"/>
          <w:wBefore w:w="50" w:type="dxa"/>
          <w:wAfter w:w="82" w:type="dxa"/>
          <w:trHeight w:val="251"/>
        </w:trPr>
        <w:tc>
          <w:tcPr>
            <w:tcW w:w="8260" w:type="dxa"/>
            <w:gridSpan w:val="2"/>
          </w:tcPr>
          <w:p w:rsidR="00CD038F" w:rsidRPr="004D7C5F" w:rsidRDefault="00166D7B" w:rsidP="00CD038F">
            <w:r w:rsidRPr="004D7C5F">
              <w:t xml:space="preserve">Number of </w:t>
            </w:r>
            <w:r w:rsidR="00CD038F" w:rsidRPr="004D7C5F">
              <w:t>Structures (mainly bridges)</w:t>
            </w:r>
          </w:p>
        </w:tc>
        <w:tc>
          <w:tcPr>
            <w:tcW w:w="1530" w:type="dxa"/>
            <w:gridSpan w:val="2"/>
            <w:shd w:val="clear" w:color="auto" w:fill="FFFFFF"/>
          </w:tcPr>
          <w:p w:rsidR="00CD038F" w:rsidRPr="004D7C5F" w:rsidRDefault="00CD038F" w:rsidP="00CD038F">
            <w:pPr>
              <w:jc w:val="right"/>
            </w:pPr>
            <w:r w:rsidRPr="004D7C5F">
              <w:t>1,7</w:t>
            </w:r>
            <w:r w:rsidR="00F00B92" w:rsidRPr="004D7C5F">
              <w:t>74</w:t>
            </w:r>
          </w:p>
        </w:tc>
      </w:tr>
      <w:tr w:rsidR="00CD038F" w:rsidRPr="004D7C5F" w:rsidTr="003D305C">
        <w:trPr>
          <w:gridBefore w:val="1"/>
          <w:gridAfter w:val="1"/>
          <w:wBefore w:w="50" w:type="dxa"/>
          <w:wAfter w:w="82" w:type="dxa"/>
          <w:trHeight w:val="474"/>
        </w:trPr>
        <w:tc>
          <w:tcPr>
            <w:tcW w:w="8260" w:type="dxa"/>
            <w:gridSpan w:val="2"/>
          </w:tcPr>
          <w:p w:rsidR="00CD038F" w:rsidRPr="004D7C5F" w:rsidRDefault="00CD038F" w:rsidP="00CD038F">
            <w:pPr>
              <w:spacing w:after="240"/>
            </w:pPr>
            <w:r w:rsidRPr="004D7C5F">
              <w:t>Retaining walls (kilometres)</w:t>
            </w:r>
          </w:p>
        </w:tc>
        <w:tc>
          <w:tcPr>
            <w:tcW w:w="1530" w:type="dxa"/>
            <w:gridSpan w:val="2"/>
            <w:shd w:val="clear" w:color="auto" w:fill="FFFFFF"/>
          </w:tcPr>
          <w:p w:rsidR="00CD038F" w:rsidRPr="004D7C5F" w:rsidRDefault="00CD038F" w:rsidP="00CD038F">
            <w:pPr>
              <w:spacing w:after="240"/>
              <w:jc w:val="right"/>
            </w:pPr>
            <w:r w:rsidRPr="004D7C5F">
              <w:t>324</w:t>
            </w:r>
          </w:p>
        </w:tc>
      </w:tr>
      <w:tr w:rsidR="00CD038F" w:rsidRPr="004D7C5F" w:rsidTr="003D305C">
        <w:trPr>
          <w:gridBefore w:val="1"/>
          <w:gridAfter w:val="1"/>
          <w:wBefore w:w="50" w:type="dxa"/>
          <w:wAfter w:w="82" w:type="dxa"/>
          <w:trHeight w:val="310"/>
        </w:trPr>
        <w:tc>
          <w:tcPr>
            <w:tcW w:w="8260" w:type="dxa"/>
            <w:gridSpan w:val="2"/>
          </w:tcPr>
          <w:p w:rsidR="00CD038F" w:rsidRPr="004D7C5F" w:rsidRDefault="00CD038F" w:rsidP="00CD038F">
            <w:pPr>
              <w:spacing w:after="240"/>
            </w:pPr>
            <w:r w:rsidRPr="004D7C5F">
              <w:t xml:space="preserve">Highways depots/stores </w:t>
            </w:r>
          </w:p>
        </w:tc>
        <w:tc>
          <w:tcPr>
            <w:tcW w:w="1530" w:type="dxa"/>
            <w:gridSpan w:val="2"/>
            <w:shd w:val="clear" w:color="auto" w:fill="FFFFFF"/>
          </w:tcPr>
          <w:p w:rsidR="00CD038F" w:rsidRPr="004D7C5F" w:rsidRDefault="00CD038F" w:rsidP="00CD038F">
            <w:pPr>
              <w:jc w:val="right"/>
            </w:pPr>
            <w:r w:rsidRPr="004D7C5F">
              <w:t>33</w:t>
            </w:r>
          </w:p>
        </w:tc>
      </w:tr>
      <w:tr w:rsidR="00CD038F" w:rsidRPr="004D7C5F" w:rsidTr="003D305C">
        <w:trPr>
          <w:gridBefore w:val="1"/>
          <w:gridAfter w:val="1"/>
          <w:wBefore w:w="50" w:type="dxa"/>
          <w:wAfter w:w="82" w:type="dxa"/>
          <w:trHeight w:val="334"/>
        </w:trPr>
        <w:tc>
          <w:tcPr>
            <w:tcW w:w="8260" w:type="dxa"/>
            <w:gridSpan w:val="2"/>
          </w:tcPr>
          <w:p w:rsidR="00CD038F" w:rsidRPr="004D7C5F" w:rsidRDefault="00CD038F" w:rsidP="00CD038F">
            <w:pPr>
              <w:spacing w:after="240"/>
            </w:pPr>
            <w:r w:rsidRPr="004D7C5F">
              <w:t>Transport information centres</w:t>
            </w:r>
          </w:p>
        </w:tc>
        <w:tc>
          <w:tcPr>
            <w:tcW w:w="1530" w:type="dxa"/>
            <w:gridSpan w:val="2"/>
            <w:shd w:val="clear" w:color="auto" w:fill="FFFFFF"/>
          </w:tcPr>
          <w:p w:rsidR="00CD038F" w:rsidRPr="004D7C5F" w:rsidRDefault="00166D7B" w:rsidP="00166D7B">
            <w:pPr>
              <w:jc w:val="right"/>
            </w:pPr>
            <w:r w:rsidRPr="004D7C5F">
              <w:t>3</w:t>
            </w:r>
          </w:p>
        </w:tc>
      </w:tr>
      <w:tr w:rsidR="00CD038F" w:rsidRPr="004D7C5F" w:rsidTr="003D305C">
        <w:trPr>
          <w:gridBefore w:val="1"/>
          <w:gridAfter w:val="1"/>
          <w:wBefore w:w="50" w:type="dxa"/>
          <w:wAfter w:w="82" w:type="dxa"/>
          <w:trHeight w:val="488"/>
        </w:trPr>
        <w:tc>
          <w:tcPr>
            <w:tcW w:w="8260" w:type="dxa"/>
            <w:gridSpan w:val="2"/>
          </w:tcPr>
          <w:p w:rsidR="00CD038F" w:rsidRPr="004D7C5F" w:rsidRDefault="00CD038F" w:rsidP="00CD038F">
            <w:pPr>
              <w:spacing w:after="240"/>
            </w:pPr>
            <w:r w:rsidRPr="004D7C5F">
              <w:t>Bus stations</w:t>
            </w:r>
          </w:p>
        </w:tc>
        <w:tc>
          <w:tcPr>
            <w:tcW w:w="1530" w:type="dxa"/>
            <w:gridSpan w:val="2"/>
            <w:shd w:val="clear" w:color="auto" w:fill="FFFFFF"/>
          </w:tcPr>
          <w:p w:rsidR="00CD038F" w:rsidRPr="004D7C5F" w:rsidRDefault="00CD038F" w:rsidP="00CD038F">
            <w:pPr>
              <w:jc w:val="right"/>
            </w:pPr>
            <w:r w:rsidRPr="004D7C5F">
              <w:t>2</w:t>
            </w:r>
          </w:p>
        </w:tc>
      </w:tr>
      <w:tr w:rsidR="00CD038F" w:rsidRPr="004D7C5F" w:rsidTr="003D305C">
        <w:trPr>
          <w:gridBefore w:val="1"/>
          <w:gridAfter w:val="1"/>
          <w:wBefore w:w="50" w:type="dxa"/>
          <w:wAfter w:w="82" w:type="dxa"/>
          <w:trHeight w:val="474"/>
        </w:trPr>
        <w:tc>
          <w:tcPr>
            <w:tcW w:w="8260" w:type="dxa"/>
            <w:gridSpan w:val="2"/>
          </w:tcPr>
          <w:p w:rsidR="00CD038F" w:rsidRPr="004D7C5F" w:rsidRDefault="00CD038F" w:rsidP="00CD038F">
            <w:pPr>
              <w:spacing w:after="240"/>
            </w:pPr>
            <w:r w:rsidRPr="004D7C5F">
              <w:t>Bus/rail interchanges</w:t>
            </w:r>
          </w:p>
        </w:tc>
        <w:tc>
          <w:tcPr>
            <w:tcW w:w="1530" w:type="dxa"/>
            <w:gridSpan w:val="2"/>
            <w:shd w:val="clear" w:color="auto" w:fill="FFFFFF"/>
          </w:tcPr>
          <w:p w:rsidR="00CD038F" w:rsidRPr="004D7C5F" w:rsidRDefault="00CD038F" w:rsidP="00CD038F">
            <w:pPr>
              <w:jc w:val="right"/>
            </w:pPr>
            <w:r w:rsidRPr="004D7C5F">
              <w:t>2</w:t>
            </w:r>
          </w:p>
        </w:tc>
      </w:tr>
      <w:tr w:rsidR="00CD038F" w:rsidRPr="004D7C5F" w:rsidTr="003D305C">
        <w:trPr>
          <w:gridBefore w:val="1"/>
          <w:gridAfter w:val="1"/>
          <w:wBefore w:w="50" w:type="dxa"/>
          <w:wAfter w:w="82" w:type="dxa"/>
          <w:trHeight w:val="960"/>
        </w:trPr>
        <w:tc>
          <w:tcPr>
            <w:tcW w:w="8260" w:type="dxa"/>
            <w:gridSpan w:val="2"/>
          </w:tcPr>
          <w:p w:rsidR="00CD038F" w:rsidRPr="004D7C5F" w:rsidRDefault="00CD038F" w:rsidP="003D305C">
            <w:pPr>
              <w:spacing w:after="240"/>
            </w:pPr>
            <w:r w:rsidRPr="004D7C5F">
              <w:t>Park and ride sites</w:t>
            </w:r>
          </w:p>
        </w:tc>
        <w:tc>
          <w:tcPr>
            <w:tcW w:w="1530" w:type="dxa"/>
            <w:gridSpan w:val="2"/>
            <w:shd w:val="clear" w:color="auto" w:fill="FFFFFF"/>
          </w:tcPr>
          <w:p w:rsidR="00CD038F" w:rsidRPr="004D7C5F" w:rsidRDefault="00CD038F" w:rsidP="00CD038F">
            <w:pPr>
              <w:jc w:val="right"/>
            </w:pPr>
            <w:r w:rsidRPr="004D7C5F">
              <w:t>3</w:t>
            </w:r>
          </w:p>
        </w:tc>
      </w:tr>
      <w:tr w:rsidR="00CD038F" w:rsidRPr="004D7C5F" w:rsidTr="003D305C">
        <w:trPr>
          <w:gridAfter w:val="2"/>
          <w:wAfter w:w="276" w:type="dxa"/>
          <w:trHeight w:val="272"/>
        </w:trPr>
        <w:tc>
          <w:tcPr>
            <w:tcW w:w="8221" w:type="dxa"/>
            <w:gridSpan w:val="2"/>
          </w:tcPr>
          <w:p w:rsidR="00CD038F" w:rsidRPr="004D7C5F" w:rsidRDefault="00CD038F" w:rsidP="00CD038F">
            <w:pPr>
              <w:rPr>
                <w:b/>
              </w:rPr>
            </w:pPr>
            <w:r w:rsidRPr="004D7C5F">
              <w:rPr>
                <w:b/>
              </w:rPr>
              <w:t>Adult and Community Services Directorate</w:t>
            </w:r>
          </w:p>
        </w:tc>
        <w:tc>
          <w:tcPr>
            <w:tcW w:w="1425" w:type="dxa"/>
            <w:gridSpan w:val="2"/>
          </w:tcPr>
          <w:p w:rsidR="00CD038F" w:rsidRPr="004D7C5F" w:rsidRDefault="00CD038F" w:rsidP="00CD038F">
            <w:pPr>
              <w:jc w:val="right"/>
            </w:pPr>
          </w:p>
        </w:tc>
      </w:tr>
      <w:tr w:rsidR="00CD038F" w:rsidRPr="004D7C5F" w:rsidTr="003D305C">
        <w:trPr>
          <w:gridAfter w:val="2"/>
          <w:wAfter w:w="276" w:type="dxa"/>
          <w:trHeight w:val="272"/>
        </w:trPr>
        <w:tc>
          <w:tcPr>
            <w:tcW w:w="8221" w:type="dxa"/>
            <w:gridSpan w:val="2"/>
          </w:tcPr>
          <w:p w:rsidR="00CD038F" w:rsidRPr="004D7C5F" w:rsidRDefault="00CD038F" w:rsidP="00CD038F">
            <w:r w:rsidRPr="004D7C5F">
              <w:t>Residential homes:</w:t>
            </w:r>
          </w:p>
        </w:tc>
        <w:tc>
          <w:tcPr>
            <w:tcW w:w="1425" w:type="dxa"/>
            <w:gridSpan w:val="2"/>
          </w:tcPr>
          <w:p w:rsidR="00CD038F" w:rsidRPr="004D7C5F" w:rsidRDefault="00CD038F" w:rsidP="00CD038F">
            <w:pPr>
              <w:jc w:val="right"/>
            </w:pPr>
          </w:p>
        </w:tc>
      </w:tr>
      <w:tr w:rsidR="00CD038F" w:rsidRPr="004D7C5F" w:rsidTr="005C3EAA">
        <w:trPr>
          <w:trHeight w:val="272"/>
        </w:trPr>
        <w:tc>
          <w:tcPr>
            <w:tcW w:w="8221" w:type="dxa"/>
            <w:gridSpan w:val="2"/>
          </w:tcPr>
          <w:p w:rsidR="00CD038F" w:rsidRPr="004D7C5F" w:rsidRDefault="00CD038F" w:rsidP="00CD038F">
            <w:r w:rsidRPr="004D7C5F">
              <w:t>– for older people</w:t>
            </w:r>
          </w:p>
        </w:tc>
        <w:tc>
          <w:tcPr>
            <w:tcW w:w="1701" w:type="dxa"/>
            <w:gridSpan w:val="4"/>
          </w:tcPr>
          <w:p w:rsidR="00CD038F" w:rsidRPr="004D7C5F" w:rsidRDefault="00CD038F" w:rsidP="00CD038F">
            <w:pPr>
              <w:jc w:val="right"/>
            </w:pPr>
            <w:r w:rsidRPr="004D7C5F">
              <w:t>17</w:t>
            </w:r>
          </w:p>
        </w:tc>
      </w:tr>
      <w:tr w:rsidR="00CD038F" w:rsidRPr="004D7C5F" w:rsidTr="005C3EAA">
        <w:trPr>
          <w:trHeight w:val="272"/>
        </w:trPr>
        <w:tc>
          <w:tcPr>
            <w:tcW w:w="8221" w:type="dxa"/>
            <w:gridSpan w:val="2"/>
          </w:tcPr>
          <w:p w:rsidR="00CD038F" w:rsidRPr="004D7C5F" w:rsidRDefault="00CD038F" w:rsidP="00CD038F">
            <w:r w:rsidRPr="004D7C5F">
              <w:t>– for people with learning disabilities</w:t>
            </w:r>
          </w:p>
        </w:tc>
        <w:tc>
          <w:tcPr>
            <w:tcW w:w="1701" w:type="dxa"/>
            <w:gridSpan w:val="4"/>
          </w:tcPr>
          <w:p w:rsidR="00CD038F" w:rsidRPr="004D7C5F" w:rsidRDefault="005E48BF" w:rsidP="005E48BF">
            <w:pPr>
              <w:jc w:val="right"/>
            </w:pPr>
            <w:r w:rsidRPr="004D7C5F">
              <w:t>9</w:t>
            </w:r>
          </w:p>
        </w:tc>
      </w:tr>
      <w:tr w:rsidR="00CD038F" w:rsidRPr="004D7C5F" w:rsidTr="005C3EAA">
        <w:trPr>
          <w:trHeight w:val="272"/>
        </w:trPr>
        <w:tc>
          <w:tcPr>
            <w:tcW w:w="8221" w:type="dxa"/>
            <w:gridSpan w:val="2"/>
          </w:tcPr>
          <w:p w:rsidR="00CD038F" w:rsidRPr="004D7C5F" w:rsidRDefault="00CD038F" w:rsidP="00CD038F">
            <w:r w:rsidRPr="004D7C5F">
              <w:t>– for people with mental health needs</w:t>
            </w:r>
          </w:p>
        </w:tc>
        <w:tc>
          <w:tcPr>
            <w:tcW w:w="1701" w:type="dxa"/>
            <w:gridSpan w:val="4"/>
          </w:tcPr>
          <w:p w:rsidR="00CD038F" w:rsidRPr="004D7C5F" w:rsidRDefault="00CD038F" w:rsidP="00CD038F">
            <w:pPr>
              <w:jc w:val="right"/>
            </w:pPr>
            <w:r w:rsidRPr="004D7C5F">
              <w:t>4</w:t>
            </w:r>
          </w:p>
        </w:tc>
      </w:tr>
      <w:tr w:rsidR="00CD038F" w:rsidRPr="004D7C5F" w:rsidTr="005C3EAA">
        <w:trPr>
          <w:trHeight w:val="272"/>
        </w:trPr>
        <w:tc>
          <w:tcPr>
            <w:tcW w:w="8221" w:type="dxa"/>
            <w:gridSpan w:val="2"/>
          </w:tcPr>
          <w:p w:rsidR="00CD038F" w:rsidRPr="004D7C5F" w:rsidRDefault="00CD038F" w:rsidP="00CD038F"/>
        </w:tc>
        <w:tc>
          <w:tcPr>
            <w:tcW w:w="1701" w:type="dxa"/>
            <w:gridSpan w:val="4"/>
          </w:tcPr>
          <w:p w:rsidR="00CD038F" w:rsidRPr="004D7C5F" w:rsidRDefault="00CD038F" w:rsidP="00CD038F">
            <w:pPr>
              <w:jc w:val="right"/>
            </w:pPr>
          </w:p>
        </w:tc>
      </w:tr>
      <w:tr w:rsidR="00CD038F" w:rsidRPr="004D7C5F" w:rsidTr="005C3EAA">
        <w:trPr>
          <w:trHeight w:val="272"/>
        </w:trPr>
        <w:tc>
          <w:tcPr>
            <w:tcW w:w="8221" w:type="dxa"/>
            <w:gridSpan w:val="2"/>
          </w:tcPr>
          <w:p w:rsidR="00CD038F" w:rsidRPr="004D7C5F" w:rsidRDefault="00CD038F" w:rsidP="00CD038F">
            <w:r w:rsidRPr="004D7C5F">
              <w:t>Day centres:</w:t>
            </w:r>
          </w:p>
        </w:tc>
        <w:tc>
          <w:tcPr>
            <w:tcW w:w="1701" w:type="dxa"/>
            <w:gridSpan w:val="4"/>
          </w:tcPr>
          <w:p w:rsidR="00CD038F" w:rsidRPr="004D7C5F" w:rsidRDefault="00CD038F" w:rsidP="00CD038F">
            <w:pPr>
              <w:jc w:val="right"/>
            </w:pPr>
          </w:p>
        </w:tc>
      </w:tr>
      <w:tr w:rsidR="00CD038F" w:rsidRPr="004D7C5F" w:rsidTr="005C3EAA">
        <w:trPr>
          <w:trHeight w:val="272"/>
        </w:trPr>
        <w:tc>
          <w:tcPr>
            <w:tcW w:w="8221" w:type="dxa"/>
            <w:gridSpan w:val="2"/>
          </w:tcPr>
          <w:p w:rsidR="00CD038F" w:rsidRPr="004D7C5F" w:rsidRDefault="00CD038F" w:rsidP="00CD038F">
            <w:r w:rsidRPr="004D7C5F">
              <w:t>– for people with learning disabilities</w:t>
            </w:r>
          </w:p>
        </w:tc>
        <w:tc>
          <w:tcPr>
            <w:tcW w:w="1701" w:type="dxa"/>
            <w:gridSpan w:val="4"/>
          </w:tcPr>
          <w:p w:rsidR="00CD038F" w:rsidRPr="004D7C5F" w:rsidRDefault="00CD038F" w:rsidP="00CD038F">
            <w:pPr>
              <w:jc w:val="right"/>
            </w:pPr>
            <w:r w:rsidRPr="004D7C5F">
              <w:t>12</w:t>
            </w:r>
          </w:p>
        </w:tc>
      </w:tr>
      <w:tr w:rsidR="00CD038F" w:rsidRPr="004D7C5F" w:rsidTr="005C3EAA">
        <w:trPr>
          <w:trHeight w:val="272"/>
        </w:trPr>
        <w:tc>
          <w:tcPr>
            <w:tcW w:w="8221" w:type="dxa"/>
            <w:gridSpan w:val="2"/>
          </w:tcPr>
          <w:p w:rsidR="00CD038F" w:rsidRPr="004D7C5F" w:rsidRDefault="00CD038F" w:rsidP="00CD038F">
            <w:r w:rsidRPr="004D7C5F">
              <w:t>– other</w:t>
            </w:r>
          </w:p>
        </w:tc>
        <w:tc>
          <w:tcPr>
            <w:tcW w:w="1701" w:type="dxa"/>
            <w:gridSpan w:val="4"/>
          </w:tcPr>
          <w:p w:rsidR="00CD038F" w:rsidRPr="004D7C5F" w:rsidRDefault="00CD038F" w:rsidP="00CD038F">
            <w:pPr>
              <w:jc w:val="right"/>
            </w:pPr>
            <w:r w:rsidRPr="004D7C5F">
              <w:t>18</w:t>
            </w:r>
          </w:p>
        </w:tc>
      </w:tr>
      <w:tr w:rsidR="00CD038F" w:rsidRPr="004D7C5F" w:rsidTr="005C3EAA">
        <w:trPr>
          <w:trHeight w:val="272"/>
        </w:trPr>
        <w:tc>
          <w:tcPr>
            <w:tcW w:w="8221" w:type="dxa"/>
            <w:gridSpan w:val="2"/>
          </w:tcPr>
          <w:p w:rsidR="00CD038F" w:rsidRPr="004D7C5F" w:rsidRDefault="00CD038F" w:rsidP="00CD038F"/>
        </w:tc>
        <w:tc>
          <w:tcPr>
            <w:tcW w:w="1701" w:type="dxa"/>
            <w:gridSpan w:val="4"/>
          </w:tcPr>
          <w:p w:rsidR="00CD038F" w:rsidRPr="004D7C5F" w:rsidRDefault="00CD038F" w:rsidP="00CD038F">
            <w:pPr>
              <w:jc w:val="right"/>
            </w:pPr>
          </w:p>
        </w:tc>
      </w:tr>
      <w:tr w:rsidR="00CD038F" w:rsidRPr="004D7C5F" w:rsidTr="005C3EAA">
        <w:trPr>
          <w:trHeight w:val="505"/>
        </w:trPr>
        <w:tc>
          <w:tcPr>
            <w:tcW w:w="8221" w:type="dxa"/>
            <w:gridSpan w:val="2"/>
          </w:tcPr>
          <w:p w:rsidR="00CD038F" w:rsidRPr="004D7C5F" w:rsidRDefault="00DB42CC" w:rsidP="00DB42CC">
            <w:pPr>
              <w:spacing w:after="240"/>
            </w:pPr>
            <w:r w:rsidRPr="004D7C5F">
              <w:t>Adult E</w:t>
            </w:r>
            <w:r w:rsidR="00CD038F" w:rsidRPr="004D7C5F">
              <w:t xml:space="preserve">ducation </w:t>
            </w:r>
            <w:r w:rsidRPr="004D7C5F">
              <w:t>C</w:t>
            </w:r>
            <w:r w:rsidR="00CD038F" w:rsidRPr="004D7C5F">
              <w:t>ollege</w:t>
            </w:r>
            <w:r w:rsidRPr="004D7C5F">
              <w:t>s</w:t>
            </w:r>
          </w:p>
        </w:tc>
        <w:tc>
          <w:tcPr>
            <w:tcW w:w="1701" w:type="dxa"/>
            <w:gridSpan w:val="4"/>
          </w:tcPr>
          <w:p w:rsidR="00CD038F" w:rsidRPr="004D7C5F" w:rsidRDefault="006A76A1" w:rsidP="006A76A1">
            <w:pPr>
              <w:spacing w:after="240"/>
              <w:jc w:val="right"/>
            </w:pPr>
            <w:r w:rsidRPr="004D7C5F">
              <w:t>2</w:t>
            </w:r>
          </w:p>
        </w:tc>
      </w:tr>
      <w:tr w:rsidR="00CD038F" w:rsidRPr="004D7C5F" w:rsidTr="005C3EAA">
        <w:trPr>
          <w:trHeight w:val="272"/>
        </w:trPr>
        <w:tc>
          <w:tcPr>
            <w:tcW w:w="8221" w:type="dxa"/>
            <w:gridSpan w:val="2"/>
          </w:tcPr>
          <w:p w:rsidR="00CD038F" w:rsidRPr="004D7C5F" w:rsidRDefault="00CD038F" w:rsidP="00CD038F">
            <w:pPr>
              <w:rPr>
                <w:b/>
              </w:rPr>
            </w:pPr>
            <w:r w:rsidRPr="004D7C5F">
              <w:rPr>
                <w:b/>
              </w:rPr>
              <w:t>Libraries, museums, arts and recreation services</w:t>
            </w:r>
          </w:p>
        </w:tc>
        <w:tc>
          <w:tcPr>
            <w:tcW w:w="1701" w:type="dxa"/>
            <w:gridSpan w:val="4"/>
          </w:tcPr>
          <w:p w:rsidR="00CD038F" w:rsidRPr="004D7C5F" w:rsidRDefault="00CD038F" w:rsidP="00CD038F">
            <w:pPr>
              <w:jc w:val="right"/>
            </w:pPr>
          </w:p>
        </w:tc>
      </w:tr>
      <w:tr w:rsidR="00CD038F" w:rsidRPr="004D7C5F" w:rsidTr="005C3EAA">
        <w:trPr>
          <w:trHeight w:val="272"/>
        </w:trPr>
        <w:tc>
          <w:tcPr>
            <w:tcW w:w="8221" w:type="dxa"/>
            <w:gridSpan w:val="2"/>
          </w:tcPr>
          <w:p w:rsidR="00CD038F" w:rsidRPr="004D7C5F" w:rsidRDefault="00CD038F" w:rsidP="00CD038F">
            <w:r w:rsidRPr="004D7C5F">
              <w:t>Libraries</w:t>
            </w:r>
          </w:p>
        </w:tc>
        <w:tc>
          <w:tcPr>
            <w:tcW w:w="1701" w:type="dxa"/>
            <w:gridSpan w:val="4"/>
          </w:tcPr>
          <w:p w:rsidR="00CD038F" w:rsidRPr="004D7C5F" w:rsidRDefault="00CD038F" w:rsidP="00CD038F">
            <w:pPr>
              <w:jc w:val="right"/>
            </w:pPr>
            <w:r w:rsidRPr="004D7C5F">
              <w:t>70</w:t>
            </w:r>
          </w:p>
        </w:tc>
      </w:tr>
      <w:tr w:rsidR="00CD038F" w:rsidRPr="004D7C5F" w:rsidTr="005C3EAA">
        <w:trPr>
          <w:trHeight w:val="272"/>
        </w:trPr>
        <w:tc>
          <w:tcPr>
            <w:tcW w:w="8221" w:type="dxa"/>
            <w:gridSpan w:val="2"/>
          </w:tcPr>
          <w:p w:rsidR="00CD038F" w:rsidRPr="004D7C5F" w:rsidRDefault="00CD038F" w:rsidP="00DB42CC">
            <w:r w:rsidRPr="004D7C5F">
              <w:t xml:space="preserve">Museums </w:t>
            </w:r>
            <w:r w:rsidR="00DB42CC" w:rsidRPr="004D7C5F">
              <w:t>and A</w:t>
            </w:r>
            <w:r w:rsidRPr="004D7C5F">
              <w:t xml:space="preserve">rt </w:t>
            </w:r>
            <w:r w:rsidR="00DB42CC" w:rsidRPr="004D7C5F">
              <w:t>G</w:t>
            </w:r>
            <w:r w:rsidRPr="004D7C5F">
              <w:t>alleries</w:t>
            </w:r>
          </w:p>
        </w:tc>
        <w:tc>
          <w:tcPr>
            <w:tcW w:w="1701" w:type="dxa"/>
            <w:gridSpan w:val="4"/>
          </w:tcPr>
          <w:p w:rsidR="00CD038F" w:rsidRPr="004D7C5F" w:rsidRDefault="006A76A1" w:rsidP="006A76A1">
            <w:pPr>
              <w:jc w:val="right"/>
            </w:pPr>
            <w:r w:rsidRPr="004D7C5F">
              <w:t>7</w:t>
            </w:r>
          </w:p>
        </w:tc>
      </w:tr>
      <w:tr w:rsidR="00CD038F" w:rsidRPr="004D7C5F" w:rsidTr="005C3EAA">
        <w:trPr>
          <w:trHeight w:val="272"/>
        </w:trPr>
        <w:tc>
          <w:tcPr>
            <w:tcW w:w="8221" w:type="dxa"/>
            <w:gridSpan w:val="2"/>
          </w:tcPr>
          <w:p w:rsidR="00CD038F" w:rsidRPr="004D7C5F" w:rsidRDefault="00CD038F" w:rsidP="00CD038F">
            <w:r w:rsidRPr="004D7C5F">
              <w:t>Record office</w:t>
            </w:r>
          </w:p>
        </w:tc>
        <w:tc>
          <w:tcPr>
            <w:tcW w:w="1701" w:type="dxa"/>
            <w:gridSpan w:val="4"/>
          </w:tcPr>
          <w:p w:rsidR="00CD038F" w:rsidRPr="004D7C5F" w:rsidRDefault="00CD038F" w:rsidP="00CD038F">
            <w:pPr>
              <w:jc w:val="right"/>
            </w:pPr>
            <w:r w:rsidRPr="004D7C5F">
              <w:t>1</w:t>
            </w:r>
          </w:p>
        </w:tc>
      </w:tr>
      <w:tr w:rsidR="00CD038F" w:rsidRPr="004D7C5F" w:rsidTr="005C3EAA">
        <w:trPr>
          <w:trHeight w:val="167"/>
        </w:trPr>
        <w:tc>
          <w:tcPr>
            <w:tcW w:w="8221" w:type="dxa"/>
            <w:gridSpan w:val="2"/>
          </w:tcPr>
          <w:p w:rsidR="00CD038F" w:rsidRPr="004D7C5F" w:rsidRDefault="00CD038F" w:rsidP="00CD038F">
            <w:pPr>
              <w:spacing w:after="240"/>
            </w:pPr>
            <w:r w:rsidRPr="004D7C5F">
              <w:t>Country parks</w:t>
            </w:r>
          </w:p>
        </w:tc>
        <w:tc>
          <w:tcPr>
            <w:tcW w:w="1701" w:type="dxa"/>
            <w:gridSpan w:val="4"/>
          </w:tcPr>
          <w:p w:rsidR="00CD038F" w:rsidRPr="004D7C5F" w:rsidRDefault="00A90A50" w:rsidP="00CD038F">
            <w:pPr>
              <w:spacing w:after="240"/>
              <w:jc w:val="right"/>
            </w:pPr>
            <w:r w:rsidRPr="004D7C5F">
              <w:t>2</w:t>
            </w:r>
          </w:p>
        </w:tc>
      </w:tr>
      <w:tr w:rsidR="00CD038F" w:rsidRPr="004D7C5F" w:rsidTr="005C3EAA">
        <w:trPr>
          <w:trHeight w:val="112"/>
        </w:trPr>
        <w:tc>
          <w:tcPr>
            <w:tcW w:w="8221" w:type="dxa"/>
            <w:gridSpan w:val="2"/>
          </w:tcPr>
          <w:p w:rsidR="00CD038F" w:rsidRPr="004D7C5F" w:rsidRDefault="00CD038F" w:rsidP="00CD038F">
            <w:pPr>
              <w:spacing w:after="240"/>
            </w:pPr>
            <w:r w:rsidRPr="004D7C5F">
              <w:t>Picnic sites</w:t>
            </w:r>
          </w:p>
        </w:tc>
        <w:tc>
          <w:tcPr>
            <w:tcW w:w="1701" w:type="dxa"/>
            <w:gridSpan w:val="4"/>
          </w:tcPr>
          <w:p w:rsidR="00CD038F" w:rsidRPr="004D7C5F" w:rsidRDefault="004D7C5F" w:rsidP="00CD038F">
            <w:pPr>
              <w:spacing w:after="240"/>
              <w:jc w:val="right"/>
            </w:pPr>
            <w:r w:rsidRPr="004D7C5F">
              <w:t>9</w:t>
            </w:r>
          </w:p>
        </w:tc>
      </w:tr>
      <w:tr w:rsidR="00CD038F" w:rsidRPr="004D7C5F" w:rsidTr="005C3EAA">
        <w:trPr>
          <w:trHeight w:val="272"/>
        </w:trPr>
        <w:tc>
          <w:tcPr>
            <w:tcW w:w="8221" w:type="dxa"/>
            <w:gridSpan w:val="2"/>
          </w:tcPr>
          <w:p w:rsidR="00CD038F" w:rsidRPr="004D7C5F" w:rsidRDefault="00CD038F" w:rsidP="00CD038F">
            <w:r w:rsidRPr="004D7C5F">
              <w:t>Nature reserves</w:t>
            </w:r>
          </w:p>
        </w:tc>
        <w:tc>
          <w:tcPr>
            <w:tcW w:w="1701" w:type="dxa"/>
            <w:gridSpan w:val="4"/>
          </w:tcPr>
          <w:p w:rsidR="00CD038F" w:rsidRPr="004D7C5F" w:rsidRDefault="00CD038F" w:rsidP="00CD038F">
            <w:pPr>
              <w:jc w:val="right"/>
            </w:pPr>
            <w:r w:rsidRPr="004D7C5F">
              <w:t>3</w:t>
            </w:r>
          </w:p>
        </w:tc>
      </w:tr>
      <w:tr w:rsidR="00CD038F" w:rsidRPr="004D7C5F" w:rsidTr="005C3EAA">
        <w:trPr>
          <w:trHeight w:val="272"/>
        </w:trPr>
        <w:tc>
          <w:tcPr>
            <w:tcW w:w="8221" w:type="dxa"/>
            <w:gridSpan w:val="2"/>
          </w:tcPr>
          <w:p w:rsidR="00CD038F" w:rsidRPr="004D7C5F" w:rsidRDefault="00CD038F" w:rsidP="00CD038F">
            <w:r w:rsidRPr="004D7C5F">
              <w:t>Woodlands</w:t>
            </w:r>
          </w:p>
        </w:tc>
        <w:tc>
          <w:tcPr>
            <w:tcW w:w="1701" w:type="dxa"/>
            <w:gridSpan w:val="4"/>
          </w:tcPr>
          <w:p w:rsidR="00CD038F" w:rsidRPr="004D7C5F" w:rsidRDefault="004D7C5F" w:rsidP="00CD038F">
            <w:pPr>
              <w:jc w:val="right"/>
            </w:pPr>
            <w:r w:rsidRPr="004D7C5F">
              <w:t>68</w:t>
            </w:r>
          </w:p>
        </w:tc>
      </w:tr>
      <w:tr w:rsidR="00CD038F" w:rsidRPr="004D7C5F" w:rsidTr="005C3EAA">
        <w:trPr>
          <w:trHeight w:val="272"/>
        </w:trPr>
        <w:tc>
          <w:tcPr>
            <w:tcW w:w="8221" w:type="dxa"/>
            <w:gridSpan w:val="2"/>
          </w:tcPr>
          <w:p w:rsidR="00CD038F" w:rsidRPr="004D7C5F" w:rsidRDefault="00CD038F" w:rsidP="00CD038F">
            <w:pPr>
              <w:rPr>
                <w:b/>
              </w:rPr>
            </w:pPr>
          </w:p>
          <w:p w:rsidR="00CD038F" w:rsidRPr="004D7C5F" w:rsidRDefault="00CD038F" w:rsidP="00CD038F">
            <w:pPr>
              <w:rPr>
                <w:b/>
              </w:rPr>
            </w:pPr>
            <w:r w:rsidRPr="004D7C5F">
              <w:rPr>
                <w:b/>
              </w:rPr>
              <w:t>Other services</w:t>
            </w:r>
          </w:p>
        </w:tc>
        <w:tc>
          <w:tcPr>
            <w:tcW w:w="1701" w:type="dxa"/>
            <w:gridSpan w:val="4"/>
          </w:tcPr>
          <w:p w:rsidR="00CD038F" w:rsidRPr="004D7C5F" w:rsidRDefault="00CD038F" w:rsidP="00CD038F">
            <w:pPr>
              <w:jc w:val="right"/>
              <w:rPr>
                <w:b/>
                <w:color w:val="0000FF"/>
              </w:rPr>
            </w:pPr>
          </w:p>
        </w:tc>
      </w:tr>
      <w:tr w:rsidR="00CD038F" w:rsidRPr="004D7C5F" w:rsidTr="005C3EAA">
        <w:trPr>
          <w:trHeight w:val="272"/>
        </w:trPr>
        <w:tc>
          <w:tcPr>
            <w:tcW w:w="8221" w:type="dxa"/>
            <w:gridSpan w:val="2"/>
          </w:tcPr>
          <w:p w:rsidR="00CD038F" w:rsidRPr="004D7C5F" w:rsidRDefault="00CD038F" w:rsidP="00CD038F">
            <w:r w:rsidRPr="004D7C5F">
              <w:t>Smallholdings (hectares)</w:t>
            </w:r>
          </w:p>
        </w:tc>
        <w:tc>
          <w:tcPr>
            <w:tcW w:w="1701" w:type="dxa"/>
            <w:gridSpan w:val="4"/>
          </w:tcPr>
          <w:p w:rsidR="00CD038F" w:rsidRPr="004D7C5F" w:rsidRDefault="00CD038F" w:rsidP="003E000D">
            <w:pPr>
              <w:jc w:val="right"/>
            </w:pPr>
            <w:r w:rsidRPr="004D7C5F">
              <w:t>10</w:t>
            </w:r>
            <w:r w:rsidR="004D7C5F" w:rsidRPr="004D7C5F">
              <w:t>3</w:t>
            </w:r>
          </w:p>
        </w:tc>
      </w:tr>
      <w:tr w:rsidR="00CD038F" w:rsidRPr="004D7C5F" w:rsidTr="005C3EAA">
        <w:trPr>
          <w:trHeight w:val="272"/>
        </w:trPr>
        <w:tc>
          <w:tcPr>
            <w:tcW w:w="8221" w:type="dxa"/>
            <w:gridSpan w:val="2"/>
          </w:tcPr>
          <w:p w:rsidR="00CD038F" w:rsidRPr="004D7C5F" w:rsidRDefault="00CD038F" w:rsidP="00CD038F">
            <w:r w:rsidRPr="004D7C5F">
              <w:t>County analyst's laboratory</w:t>
            </w:r>
          </w:p>
        </w:tc>
        <w:tc>
          <w:tcPr>
            <w:tcW w:w="1701" w:type="dxa"/>
            <w:gridSpan w:val="4"/>
          </w:tcPr>
          <w:p w:rsidR="00CD038F" w:rsidRPr="004D7C5F" w:rsidRDefault="00CD038F" w:rsidP="00CD038F">
            <w:pPr>
              <w:jc w:val="right"/>
            </w:pPr>
            <w:r w:rsidRPr="004D7C5F">
              <w:t>1</w:t>
            </w:r>
          </w:p>
        </w:tc>
      </w:tr>
      <w:tr w:rsidR="00CD038F" w:rsidRPr="004D7C5F" w:rsidTr="005C3EAA">
        <w:trPr>
          <w:trHeight w:val="272"/>
        </w:trPr>
        <w:tc>
          <w:tcPr>
            <w:tcW w:w="8221" w:type="dxa"/>
            <w:gridSpan w:val="2"/>
          </w:tcPr>
          <w:p w:rsidR="00CD038F" w:rsidRPr="004D7C5F" w:rsidRDefault="00CD038F" w:rsidP="00CD038F">
            <w:r w:rsidRPr="004D7C5F">
              <w:t>County Hall and other administrative buildings</w:t>
            </w:r>
          </w:p>
        </w:tc>
        <w:tc>
          <w:tcPr>
            <w:tcW w:w="1701" w:type="dxa"/>
            <w:gridSpan w:val="4"/>
          </w:tcPr>
          <w:p w:rsidR="00CD038F" w:rsidRPr="004D7C5F" w:rsidRDefault="00CD038F" w:rsidP="00CD038F">
            <w:pPr>
              <w:jc w:val="right"/>
            </w:pPr>
            <w:r w:rsidRPr="004D7C5F">
              <w:t>1</w:t>
            </w:r>
            <w:r w:rsidR="004D7C5F" w:rsidRPr="004D7C5F">
              <w:t>8</w:t>
            </w:r>
          </w:p>
        </w:tc>
      </w:tr>
      <w:tr w:rsidR="00CD038F" w:rsidRPr="004D7C5F" w:rsidTr="005C3EAA">
        <w:trPr>
          <w:trHeight w:val="272"/>
        </w:trPr>
        <w:tc>
          <w:tcPr>
            <w:tcW w:w="8221" w:type="dxa"/>
            <w:gridSpan w:val="2"/>
          </w:tcPr>
          <w:p w:rsidR="00CD038F" w:rsidRPr="004D7C5F" w:rsidRDefault="00CD038F" w:rsidP="00CD038F">
            <w:r w:rsidRPr="004D7C5F">
              <w:t>Household waste recycling centres owned sites</w:t>
            </w:r>
          </w:p>
        </w:tc>
        <w:tc>
          <w:tcPr>
            <w:tcW w:w="1701" w:type="dxa"/>
            <w:gridSpan w:val="4"/>
          </w:tcPr>
          <w:p w:rsidR="00CD038F" w:rsidRPr="004D7C5F" w:rsidRDefault="004D7C5F" w:rsidP="007041B3">
            <w:pPr>
              <w:jc w:val="right"/>
            </w:pPr>
            <w:r w:rsidRPr="004D7C5F">
              <w:t>19</w:t>
            </w:r>
          </w:p>
          <w:p w:rsidR="004D7C5F" w:rsidRPr="004D7C5F" w:rsidRDefault="004D7C5F" w:rsidP="007041B3">
            <w:pPr>
              <w:jc w:val="right"/>
            </w:pPr>
          </w:p>
        </w:tc>
      </w:tr>
      <w:tr w:rsidR="004D7C5F" w:rsidRPr="004D7C5F" w:rsidTr="005C3EAA">
        <w:trPr>
          <w:trHeight w:val="272"/>
        </w:trPr>
        <w:tc>
          <w:tcPr>
            <w:tcW w:w="8221" w:type="dxa"/>
            <w:gridSpan w:val="2"/>
          </w:tcPr>
          <w:p w:rsidR="004D7C5F" w:rsidRPr="004D7C5F" w:rsidRDefault="004D7C5F" w:rsidP="00CD038F">
            <w:r w:rsidRPr="004D7C5F">
              <w:t>Waste technology park sites</w:t>
            </w:r>
          </w:p>
        </w:tc>
        <w:tc>
          <w:tcPr>
            <w:tcW w:w="1701" w:type="dxa"/>
            <w:gridSpan w:val="4"/>
          </w:tcPr>
          <w:p w:rsidR="004D7C5F" w:rsidRPr="004D7C5F" w:rsidRDefault="004D7C5F" w:rsidP="007041B3">
            <w:pPr>
              <w:jc w:val="right"/>
            </w:pPr>
            <w:r w:rsidRPr="004D7C5F">
              <w:t>2</w:t>
            </w:r>
          </w:p>
        </w:tc>
      </w:tr>
    </w:tbl>
    <w:p w:rsidR="003444A1" w:rsidRPr="00286C0E" w:rsidRDefault="003444A1" w:rsidP="003D305C">
      <w:pPr>
        <w:tabs>
          <w:tab w:val="left" w:pos="1480"/>
        </w:tabs>
        <w:rPr>
          <w:b/>
          <w:highlight w:val="yellow"/>
        </w:rPr>
      </w:pPr>
    </w:p>
    <w:p w:rsidR="003D305C" w:rsidRPr="009D2B21" w:rsidRDefault="003D305C" w:rsidP="003D305C">
      <w:pPr>
        <w:tabs>
          <w:tab w:val="left" w:pos="1480"/>
        </w:tabs>
        <w:rPr>
          <w:b/>
        </w:rPr>
      </w:pPr>
      <w:r w:rsidRPr="009D2B21">
        <w:rPr>
          <w:b/>
        </w:rPr>
        <w:lastRenderedPageBreak/>
        <w:t>Fixed Asset Valuation</w:t>
      </w:r>
    </w:p>
    <w:p w:rsidR="003D305C" w:rsidRPr="009D2B21" w:rsidRDefault="003D305C" w:rsidP="003D305C">
      <w:pPr>
        <w:tabs>
          <w:tab w:val="left" w:pos="1480"/>
        </w:tabs>
        <w:ind w:left="720"/>
        <w:rPr>
          <w:b/>
        </w:rPr>
      </w:pPr>
    </w:p>
    <w:p w:rsidR="003D305C" w:rsidRPr="009D2B21" w:rsidRDefault="003D305C" w:rsidP="001B5029">
      <w:pPr>
        <w:jc w:val="both"/>
      </w:pPr>
      <w:r w:rsidRPr="009D2B21">
        <w:t xml:space="preserve">The property valuations are undertaken by appropriately qualified staff within the property group of the </w:t>
      </w:r>
      <w:r w:rsidR="001F1A1A">
        <w:t>County Council</w:t>
      </w:r>
      <w:r w:rsidRPr="009D2B21">
        <w:t xml:space="preserve">. </w:t>
      </w:r>
    </w:p>
    <w:p w:rsidR="003D305C" w:rsidRPr="009D2B21" w:rsidRDefault="003D305C" w:rsidP="003D305C">
      <w:pPr>
        <w:ind w:left="720"/>
        <w:jc w:val="both"/>
      </w:pPr>
    </w:p>
    <w:p w:rsidR="003D305C" w:rsidRPr="009D2B21" w:rsidRDefault="003D305C" w:rsidP="003D305C">
      <w:pPr>
        <w:jc w:val="both"/>
      </w:pPr>
      <w:r w:rsidRPr="009D2B21">
        <w:t>All valuations have been undertaken in accordance with the practice statements, guidance notes and valuation information papers of the Royal Institution of Chartered Surveyors’ (RICS) Valuation Standards (The Red Book) and in accordance with CIPFA regulations and current Local Authority Statement of  Recommended Practice (SORP).</w:t>
      </w:r>
    </w:p>
    <w:p w:rsidR="003D305C" w:rsidRPr="009D2B21" w:rsidRDefault="003D305C" w:rsidP="003D305C">
      <w:pPr>
        <w:jc w:val="both"/>
      </w:pPr>
      <w:r w:rsidRPr="009D2B21">
        <w:t xml:space="preserve"> </w:t>
      </w:r>
    </w:p>
    <w:p w:rsidR="003D305C" w:rsidRPr="009D2B21" w:rsidRDefault="003D305C" w:rsidP="003D305C">
      <w:pPr>
        <w:pStyle w:val="BodyTextIndent"/>
        <w:ind w:left="0"/>
      </w:pPr>
      <w:r w:rsidRPr="009D2B21">
        <w:t xml:space="preserve">Properties regarded by the authority as operational are to be valued on the basis of existing use value  or, where this cannot be assessed because there is no market for the subject asset, the depreciated replacement cost. </w:t>
      </w:r>
    </w:p>
    <w:p w:rsidR="003D305C" w:rsidRPr="009D2B21" w:rsidRDefault="003D305C" w:rsidP="003D305C">
      <w:pPr>
        <w:jc w:val="both"/>
      </w:pPr>
      <w:r w:rsidRPr="009D2B21">
        <w:t>Properties regarded by the authority as non operational are to be valued on the basis of market value.</w:t>
      </w:r>
    </w:p>
    <w:p w:rsidR="003D305C" w:rsidRPr="009D2B21" w:rsidRDefault="003D305C" w:rsidP="003D305C">
      <w:pPr>
        <w:jc w:val="both"/>
      </w:pPr>
    </w:p>
    <w:p w:rsidR="003D305C" w:rsidRDefault="003D305C" w:rsidP="003D305C">
      <w:pPr>
        <w:jc w:val="both"/>
      </w:pPr>
      <w:r w:rsidRPr="009D2B21">
        <w:t>No property valuation is to be more than five years old and at least 20% of properties are revalued each year. In 20</w:t>
      </w:r>
      <w:r w:rsidR="005715C8" w:rsidRPr="009D2B21">
        <w:t>1</w:t>
      </w:r>
      <w:r w:rsidR="009D2B21" w:rsidRPr="009D2B21">
        <w:t>1</w:t>
      </w:r>
      <w:r w:rsidR="005715C8" w:rsidRPr="009D2B21">
        <w:t>/1</w:t>
      </w:r>
      <w:r w:rsidR="009D2B21" w:rsidRPr="009D2B21">
        <w:t>2</w:t>
      </w:r>
      <w:r w:rsidRPr="009D2B21">
        <w:t xml:space="preserve"> </w:t>
      </w:r>
      <w:r w:rsidR="00B83189">
        <w:t>190</w:t>
      </w:r>
      <w:r w:rsidRPr="009D2B21">
        <w:t xml:space="preserve"> properties were revalued which equates to approximately 2</w:t>
      </w:r>
      <w:r w:rsidR="005715C8" w:rsidRPr="009D2B21">
        <w:t>7</w:t>
      </w:r>
      <w:r w:rsidRPr="009D2B21">
        <w:t>% of all the properties held. The valuation attached to these properties was £</w:t>
      </w:r>
      <w:r w:rsidR="00B83189">
        <w:t>172.1</w:t>
      </w:r>
      <w:r w:rsidRPr="009D2B21">
        <w:t xml:space="preserve"> million.</w:t>
      </w:r>
    </w:p>
    <w:p w:rsidR="0013727A" w:rsidRDefault="0013727A" w:rsidP="003D305C">
      <w:pPr>
        <w:jc w:val="both"/>
      </w:pPr>
    </w:p>
    <w:p w:rsidR="003D305C" w:rsidRPr="009D2B21" w:rsidRDefault="003D305C" w:rsidP="003D305C">
      <w:pPr>
        <w:jc w:val="both"/>
      </w:pPr>
      <w:r w:rsidRPr="009D2B21">
        <w:t>The following statement shows the progress of the council's rolling programme for the revaluation of fixed assets.</w:t>
      </w:r>
      <w:r w:rsidRPr="009D2B21">
        <w:rPr>
          <w:color w:val="000080"/>
          <w:sz w:val="20"/>
          <w:szCs w:val="20"/>
        </w:rPr>
        <w:t xml:space="preserve"> </w:t>
      </w:r>
      <w:r w:rsidRPr="009D2B21">
        <w:t xml:space="preserve">Valuations are undertaken internally by Lancashire </w:t>
      </w:r>
      <w:r w:rsidR="001F1A1A">
        <w:t>County Council</w:t>
      </w:r>
      <w:r w:rsidRPr="009D2B21">
        <w:t>’s Property Group. All valuations have been undertaken by qualified Chartered Surveyors who are members of the Royal Institution of Chartered Surveyors. The basis for valuation is set out in the statement of accounting policies.</w:t>
      </w:r>
    </w:p>
    <w:p w:rsidR="003D305C" w:rsidRPr="009D2B21" w:rsidRDefault="003D305C" w:rsidP="003D305C">
      <w:pPr>
        <w:ind w:left="720"/>
      </w:pPr>
    </w:p>
    <w:p w:rsidR="003D305C" w:rsidRPr="009D2B21" w:rsidRDefault="003D305C" w:rsidP="003D305C">
      <w:pPr>
        <w:ind w:left="720"/>
      </w:pPr>
    </w:p>
    <w:tbl>
      <w:tblPr>
        <w:tblpPr w:leftFromText="180" w:rightFromText="180" w:vertAnchor="text" w:horzAnchor="margin" w:tblpY="-90"/>
        <w:tblW w:w="0" w:type="auto"/>
        <w:tblLayout w:type="fixed"/>
        <w:tblLook w:val="01E0"/>
      </w:tblPr>
      <w:tblGrid>
        <w:gridCol w:w="4708"/>
        <w:gridCol w:w="2770"/>
        <w:gridCol w:w="2770"/>
      </w:tblGrid>
      <w:tr w:rsidR="00865F4F" w:rsidRPr="009D2B21" w:rsidTr="00865F4F">
        <w:trPr>
          <w:trHeight w:val="512"/>
        </w:trPr>
        <w:tc>
          <w:tcPr>
            <w:tcW w:w="4708" w:type="dxa"/>
          </w:tcPr>
          <w:p w:rsidR="00865F4F" w:rsidRPr="009D2B21" w:rsidRDefault="00865F4F" w:rsidP="0088556B">
            <w:pPr>
              <w:tabs>
                <w:tab w:val="left" w:pos="342"/>
              </w:tabs>
              <w:ind w:left="342"/>
              <w:rPr>
                <w:sz w:val="22"/>
                <w:szCs w:val="22"/>
              </w:rPr>
            </w:pPr>
          </w:p>
        </w:tc>
        <w:tc>
          <w:tcPr>
            <w:tcW w:w="2770" w:type="dxa"/>
          </w:tcPr>
          <w:p w:rsidR="00865F4F" w:rsidRPr="009D2B21" w:rsidRDefault="00865F4F" w:rsidP="0088556B">
            <w:pPr>
              <w:tabs>
                <w:tab w:val="left" w:pos="342"/>
              </w:tabs>
              <w:ind w:left="342"/>
              <w:jc w:val="center"/>
              <w:rPr>
                <w:b/>
                <w:sz w:val="22"/>
                <w:szCs w:val="22"/>
              </w:rPr>
            </w:pPr>
            <w:r w:rsidRPr="009D2B21">
              <w:rPr>
                <w:b/>
                <w:sz w:val="22"/>
                <w:szCs w:val="22"/>
              </w:rPr>
              <w:t>Land and Buildings</w:t>
            </w:r>
          </w:p>
        </w:tc>
        <w:tc>
          <w:tcPr>
            <w:tcW w:w="2770" w:type="dxa"/>
          </w:tcPr>
          <w:p w:rsidR="00865F4F" w:rsidRPr="009D2B21" w:rsidRDefault="00524285" w:rsidP="0088556B">
            <w:pPr>
              <w:tabs>
                <w:tab w:val="left" w:pos="342"/>
              </w:tabs>
              <w:ind w:left="342"/>
              <w:jc w:val="center"/>
              <w:rPr>
                <w:b/>
                <w:sz w:val="22"/>
                <w:szCs w:val="22"/>
              </w:rPr>
            </w:pPr>
            <w:r w:rsidRPr="009D2B21">
              <w:rPr>
                <w:b/>
                <w:sz w:val="22"/>
                <w:szCs w:val="22"/>
              </w:rPr>
              <w:t>Assets Under Construction</w:t>
            </w:r>
          </w:p>
        </w:tc>
      </w:tr>
      <w:tr w:rsidR="00865F4F" w:rsidRPr="009D2B21" w:rsidTr="00865F4F">
        <w:trPr>
          <w:trHeight w:val="246"/>
        </w:trPr>
        <w:tc>
          <w:tcPr>
            <w:tcW w:w="4708" w:type="dxa"/>
          </w:tcPr>
          <w:p w:rsidR="00865F4F" w:rsidRPr="009D2B21" w:rsidRDefault="00865F4F" w:rsidP="0088556B">
            <w:pPr>
              <w:tabs>
                <w:tab w:val="left" w:pos="342"/>
              </w:tabs>
              <w:ind w:left="342"/>
              <w:rPr>
                <w:sz w:val="22"/>
                <w:szCs w:val="22"/>
              </w:rPr>
            </w:pPr>
          </w:p>
        </w:tc>
        <w:tc>
          <w:tcPr>
            <w:tcW w:w="2770" w:type="dxa"/>
            <w:tcBorders>
              <w:bottom w:val="single" w:sz="4" w:space="0" w:color="auto"/>
            </w:tcBorders>
          </w:tcPr>
          <w:p w:rsidR="00865F4F" w:rsidRPr="009D2B21" w:rsidRDefault="00865F4F" w:rsidP="0088556B">
            <w:pPr>
              <w:tabs>
                <w:tab w:val="left" w:pos="342"/>
              </w:tabs>
              <w:ind w:left="342"/>
              <w:jc w:val="center"/>
              <w:rPr>
                <w:b/>
                <w:sz w:val="22"/>
                <w:szCs w:val="22"/>
              </w:rPr>
            </w:pPr>
            <w:r w:rsidRPr="009D2B21">
              <w:rPr>
                <w:b/>
                <w:sz w:val="22"/>
                <w:szCs w:val="22"/>
              </w:rPr>
              <w:t>£000</w:t>
            </w:r>
          </w:p>
        </w:tc>
        <w:tc>
          <w:tcPr>
            <w:tcW w:w="2770" w:type="dxa"/>
            <w:tcBorders>
              <w:bottom w:val="single" w:sz="4" w:space="0" w:color="auto"/>
            </w:tcBorders>
          </w:tcPr>
          <w:p w:rsidR="00865F4F" w:rsidRPr="009D2B21" w:rsidRDefault="00524285" w:rsidP="0088556B">
            <w:pPr>
              <w:tabs>
                <w:tab w:val="left" w:pos="342"/>
              </w:tabs>
              <w:ind w:left="342"/>
              <w:jc w:val="center"/>
              <w:rPr>
                <w:b/>
                <w:sz w:val="22"/>
                <w:szCs w:val="22"/>
              </w:rPr>
            </w:pPr>
            <w:r w:rsidRPr="009D2B21">
              <w:rPr>
                <w:b/>
                <w:sz w:val="22"/>
                <w:szCs w:val="22"/>
              </w:rPr>
              <w:t>£000</w:t>
            </w:r>
          </w:p>
        </w:tc>
      </w:tr>
      <w:tr w:rsidR="00865F4F" w:rsidRPr="009D2B21" w:rsidTr="000A05FC">
        <w:trPr>
          <w:trHeight w:val="246"/>
        </w:trPr>
        <w:tc>
          <w:tcPr>
            <w:tcW w:w="4708" w:type="dxa"/>
          </w:tcPr>
          <w:p w:rsidR="00865F4F" w:rsidRPr="009D2B21" w:rsidRDefault="00865F4F" w:rsidP="0088556B">
            <w:pPr>
              <w:tabs>
                <w:tab w:val="left" w:pos="342"/>
              </w:tabs>
              <w:ind w:left="342"/>
              <w:rPr>
                <w:sz w:val="22"/>
                <w:szCs w:val="22"/>
              </w:rPr>
            </w:pPr>
            <w:r w:rsidRPr="009D2B21">
              <w:rPr>
                <w:sz w:val="22"/>
                <w:szCs w:val="22"/>
              </w:rPr>
              <w:t>Valued at historical cost</w:t>
            </w:r>
          </w:p>
        </w:tc>
        <w:tc>
          <w:tcPr>
            <w:tcW w:w="2770" w:type="dxa"/>
            <w:tcBorders>
              <w:top w:val="single" w:sz="4" w:space="0" w:color="auto"/>
            </w:tcBorders>
          </w:tcPr>
          <w:p w:rsidR="00865F4F" w:rsidRPr="002D1AAF" w:rsidRDefault="00FB6608" w:rsidP="000A05FC">
            <w:pPr>
              <w:ind w:right="624"/>
              <w:jc w:val="right"/>
              <w:rPr>
                <w:color w:val="000000"/>
                <w:sz w:val="22"/>
                <w:szCs w:val="22"/>
              </w:rPr>
            </w:pPr>
            <w:r w:rsidRPr="002D1AAF">
              <w:rPr>
                <w:color w:val="000000"/>
                <w:sz w:val="22"/>
                <w:szCs w:val="22"/>
              </w:rPr>
              <w:t>369,385</w:t>
            </w:r>
          </w:p>
        </w:tc>
        <w:tc>
          <w:tcPr>
            <w:tcW w:w="2770" w:type="dxa"/>
            <w:tcBorders>
              <w:top w:val="single" w:sz="4" w:space="0" w:color="auto"/>
            </w:tcBorders>
          </w:tcPr>
          <w:p w:rsidR="00865F4F" w:rsidRPr="009D2B21" w:rsidRDefault="00865F4F" w:rsidP="004857F0">
            <w:pPr>
              <w:tabs>
                <w:tab w:val="left" w:pos="342"/>
              </w:tabs>
              <w:ind w:left="342"/>
              <w:jc w:val="center"/>
              <w:rPr>
                <w:sz w:val="22"/>
                <w:szCs w:val="22"/>
              </w:rPr>
            </w:pPr>
          </w:p>
        </w:tc>
      </w:tr>
      <w:tr w:rsidR="00865F4F" w:rsidRPr="009D2B21" w:rsidTr="000A05FC">
        <w:trPr>
          <w:trHeight w:val="266"/>
        </w:trPr>
        <w:tc>
          <w:tcPr>
            <w:tcW w:w="4708" w:type="dxa"/>
          </w:tcPr>
          <w:p w:rsidR="00865F4F" w:rsidRPr="009D2B21" w:rsidRDefault="00865F4F" w:rsidP="0088556B">
            <w:pPr>
              <w:tabs>
                <w:tab w:val="left" w:pos="342"/>
              </w:tabs>
              <w:ind w:left="342"/>
              <w:rPr>
                <w:sz w:val="22"/>
                <w:szCs w:val="22"/>
              </w:rPr>
            </w:pPr>
          </w:p>
        </w:tc>
        <w:tc>
          <w:tcPr>
            <w:tcW w:w="2770" w:type="dxa"/>
          </w:tcPr>
          <w:p w:rsidR="00865F4F" w:rsidRPr="002D1AAF" w:rsidRDefault="00865F4F" w:rsidP="000A05FC">
            <w:pPr>
              <w:tabs>
                <w:tab w:val="left" w:pos="342"/>
              </w:tabs>
              <w:ind w:left="342" w:right="624"/>
              <w:jc w:val="right"/>
              <w:rPr>
                <w:sz w:val="22"/>
                <w:szCs w:val="22"/>
              </w:rPr>
            </w:pPr>
          </w:p>
        </w:tc>
        <w:tc>
          <w:tcPr>
            <w:tcW w:w="2770" w:type="dxa"/>
          </w:tcPr>
          <w:p w:rsidR="00865F4F" w:rsidRPr="009D2B21" w:rsidRDefault="00865F4F" w:rsidP="0088556B">
            <w:pPr>
              <w:tabs>
                <w:tab w:val="left" w:pos="342"/>
              </w:tabs>
              <w:ind w:left="342"/>
              <w:jc w:val="center"/>
              <w:rPr>
                <w:sz w:val="22"/>
                <w:szCs w:val="22"/>
              </w:rPr>
            </w:pPr>
          </w:p>
        </w:tc>
      </w:tr>
      <w:tr w:rsidR="00865F4F" w:rsidRPr="009D2B21" w:rsidTr="000A05FC">
        <w:trPr>
          <w:trHeight w:val="246"/>
        </w:trPr>
        <w:tc>
          <w:tcPr>
            <w:tcW w:w="4708" w:type="dxa"/>
          </w:tcPr>
          <w:p w:rsidR="00865F4F" w:rsidRPr="009D2B21" w:rsidRDefault="00865F4F" w:rsidP="0088556B">
            <w:pPr>
              <w:tabs>
                <w:tab w:val="left" w:pos="342"/>
              </w:tabs>
              <w:ind w:left="342"/>
              <w:rPr>
                <w:sz w:val="22"/>
                <w:szCs w:val="22"/>
              </w:rPr>
            </w:pPr>
            <w:r w:rsidRPr="009D2B21">
              <w:rPr>
                <w:sz w:val="22"/>
                <w:szCs w:val="22"/>
              </w:rPr>
              <w:t>Valued at current value in:</w:t>
            </w:r>
          </w:p>
        </w:tc>
        <w:tc>
          <w:tcPr>
            <w:tcW w:w="2770" w:type="dxa"/>
          </w:tcPr>
          <w:p w:rsidR="00865F4F" w:rsidRPr="002D1AAF" w:rsidRDefault="00865F4F" w:rsidP="000A05FC">
            <w:pPr>
              <w:tabs>
                <w:tab w:val="left" w:pos="342"/>
              </w:tabs>
              <w:ind w:left="342" w:right="624"/>
              <w:jc w:val="right"/>
              <w:rPr>
                <w:sz w:val="22"/>
                <w:szCs w:val="22"/>
              </w:rPr>
            </w:pPr>
          </w:p>
        </w:tc>
        <w:tc>
          <w:tcPr>
            <w:tcW w:w="2770" w:type="dxa"/>
          </w:tcPr>
          <w:p w:rsidR="00865F4F" w:rsidRPr="009D2B21" w:rsidRDefault="00865F4F" w:rsidP="0088556B">
            <w:pPr>
              <w:tabs>
                <w:tab w:val="left" w:pos="342"/>
              </w:tabs>
              <w:ind w:left="342"/>
              <w:jc w:val="center"/>
              <w:rPr>
                <w:sz w:val="22"/>
                <w:szCs w:val="22"/>
              </w:rPr>
            </w:pPr>
          </w:p>
        </w:tc>
      </w:tr>
      <w:tr w:rsidR="00865F4F" w:rsidRPr="009D2B21" w:rsidTr="000A05FC">
        <w:trPr>
          <w:trHeight w:val="266"/>
        </w:trPr>
        <w:tc>
          <w:tcPr>
            <w:tcW w:w="4708" w:type="dxa"/>
          </w:tcPr>
          <w:p w:rsidR="00865F4F" w:rsidRPr="009D2B21" w:rsidRDefault="003B4C68" w:rsidP="003B4C68">
            <w:pPr>
              <w:tabs>
                <w:tab w:val="left" w:pos="342"/>
              </w:tabs>
              <w:ind w:left="342"/>
              <w:rPr>
                <w:sz w:val="22"/>
                <w:szCs w:val="22"/>
              </w:rPr>
            </w:pPr>
            <w:r w:rsidRPr="009D2B21">
              <w:rPr>
                <w:sz w:val="22"/>
                <w:szCs w:val="22"/>
              </w:rPr>
              <w:t>2011</w:t>
            </w:r>
            <w:r w:rsidR="00865F4F" w:rsidRPr="009D2B21">
              <w:rPr>
                <w:sz w:val="22"/>
                <w:szCs w:val="22"/>
              </w:rPr>
              <w:t>/1</w:t>
            </w:r>
            <w:r w:rsidRPr="009D2B21">
              <w:rPr>
                <w:sz w:val="22"/>
                <w:szCs w:val="22"/>
              </w:rPr>
              <w:t>2</w:t>
            </w:r>
          </w:p>
        </w:tc>
        <w:tc>
          <w:tcPr>
            <w:tcW w:w="2770" w:type="dxa"/>
          </w:tcPr>
          <w:p w:rsidR="00865F4F" w:rsidRPr="002D1AAF" w:rsidRDefault="00F14986" w:rsidP="000A05FC">
            <w:pPr>
              <w:tabs>
                <w:tab w:val="left" w:pos="342"/>
              </w:tabs>
              <w:ind w:left="342" w:right="624"/>
              <w:jc w:val="right"/>
              <w:rPr>
                <w:sz w:val="22"/>
                <w:szCs w:val="22"/>
              </w:rPr>
            </w:pPr>
            <w:r w:rsidRPr="002D1AAF">
              <w:rPr>
                <w:sz w:val="22"/>
                <w:szCs w:val="22"/>
              </w:rPr>
              <w:t>172,083</w:t>
            </w:r>
          </w:p>
        </w:tc>
        <w:tc>
          <w:tcPr>
            <w:tcW w:w="2770" w:type="dxa"/>
          </w:tcPr>
          <w:p w:rsidR="00865F4F" w:rsidRPr="009D2B21" w:rsidRDefault="00B66482" w:rsidP="00865F4F">
            <w:pPr>
              <w:tabs>
                <w:tab w:val="left" w:pos="342"/>
              </w:tabs>
              <w:ind w:left="342"/>
              <w:jc w:val="center"/>
              <w:rPr>
                <w:sz w:val="22"/>
                <w:szCs w:val="22"/>
              </w:rPr>
            </w:pPr>
            <w:r w:rsidRPr="009D2B21">
              <w:rPr>
                <w:sz w:val="22"/>
                <w:szCs w:val="22"/>
              </w:rPr>
              <w:t>-</w:t>
            </w:r>
          </w:p>
        </w:tc>
      </w:tr>
      <w:tr w:rsidR="003B4C68" w:rsidRPr="009D2B21" w:rsidTr="000A05FC">
        <w:trPr>
          <w:trHeight w:val="246"/>
        </w:trPr>
        <w:tc>
          <w:tcPr>
            <w:tcW w:w="4708" w:type="dxa"/>
          </w:tcPr>
          <w:p w:rsidR="003B4C68" w:rsidRPr="009D2B21" w:rsidRDefault="003B4C68" w:rsidP="003B4C68">
            <w:pPr>
              <w:tabs>
                <w:tab w:val="left" w:pos="342"/>
              </w:tabs>
              <w:ind w:left="342"/>
              <w:rPr>
                <w:sz w:val="22"/>
                <w:szCs w:val="22"/>
              </w:rPr>
            </w:pPr>
            <w:r w:rsidRPr="009D2B21">
              <w:rPr>
                <w:sz w:val="22"/>
                <w:szCs w:val="22"/>
              </w:rPr>
              <w:t>2010/11</w:t>
            </w:r>
          </w:p>
        </w:tc>
        <w:tc>
          <w:tcPr>
            <w:tcW w:w="2770" w:type="dxa"/>
          </w:tcPr>
          <w:p w:rsidR="003B4C68" w:rsidRPr="002D1AAF" w:rsidRDefault="00F14986" w:rsidP="000A05FC">
            <w:pPr>
              <w:tabs>
                <w:tab w:val="left" w:pos="342"/>
              </w:tabs>
              <w:ind w:left="342" w:right="624"/>
              <w:jc w:val="right"/>
              <w:rPr>
                <w:sz w:val="22"/>
                <w:szCs w:val="22"/>
              </w:rPr>
            </w:pPr>
            <w:r w:rsidRPr="002D1AAF">
              <w:rPr>
                <w:sz w:val="22"/>
                <w:szCs w:val="22"/>
              </w:rPr>
              <w:t>628,667</w:t>
            </w:r>
          </w:p>
        </w:tc>
        <w:tc>
          <w:tcPr>
            <w:tcW w:w="2770" w:type="dxa"/>
          </w:tcPr>
          <w:p w:rsidR="003B4C68" w:rsidRPr="009D2B21" w:rsidRDefault="003B4C68" w:rsidP="003B4C68">
            <w:pPr>
              <w:tabs>
                <w:tab w:val="left" w:pos="342"/>
              </w:tabs>
              <w:ind w:left="342"/>
              <w:jc w:val="center"/>
              <w:rPr>
                <w:sz w:val="22"/>
                <w:szCs w:val="22"/>
              </w:rPr>
            </w:pPr>
            <w:r w:rsidRPr="009D2B21">
              <w:rPr>
                <w:sz w:val="22"/>
                <w:szCs w:val="22"/>
              </w:rPr>
              <w:t>-</w:t>
            </w:r>
          </w:p>
        </w:tc>
      </w:tr>
      <w:tr w:rsidR="003B4C68" w:rsidRPr="009D2B21" w:rsidTr="000A05FC">
        <w:trPr>
          <w:trHeight w:val="246"/>
        </w:trPr>
        <w:tc>
          <w:tcPr>
            <w:tcW w:w="4708" w:type="dxa"/>
          </w:tcPr>
          <w:p w:rsidR="003B4C68" w:rsidRPr="009D2B21" w:rsidRDefault="003B4C68" w:rsidP="003B4C68">
            <w:pPr>
              <w:tabs>
                <w:tab w:val="left" w:pos="342"/>
              </w:tabs>
              <w:ind w:left="342"/>
              <w:rPr>
                <w:sz w:val="22"/>
                <w:szCs w:val="22"/>
              </w:rPr>
            </w:pPr>
            <w:r w:rsidRPr="009D2B21">
              <w:rPr>
                <w:sz w:val="22"/>
                <w:szCs w:val="22"/>
              </w:rPr>
              <w:t>2009/10</w:t>
            </w:r>
          </w:p>
        </w:tc>
        <w:tc>
          <w:tcPr>
            <w:tcW w:w="2770" w:type="dxa"/>
          </w:tcPr>
          <w:p w:rsidR="003B4C68" w:rsidRPr="002D1AAF" w:rsidRDefault="00F14986" w:rsidP="000A05FC">
            <w:pPr>
              <w:tabs>
                <w:tab w:val="left" w:pos="342"/>
              </w:tabs>
              <w:ind w:left="342" w:right="624"/>
              <w:jc w:val="right"/>
              <w:rPr>
                <w:sz w:val="22"/>
                <w:szCs w:val="22"/>
              </w:rPr>
            </w:pPr>
            <w:r w:rsidRPr="002D1AAF">
              <w:rPr>
                <w:sz w:val="22"/>
                <w:szCs w:val="22"/>
              </w:rPr>
              <w:t>286,432</w:t>
            </w:r>
          </w:p>
        </w:tc>
        <w:tc>
          <w:tcPr>
            <w:tcW w:w="2770" w:type="dxa"/>
          </w:tcPr>
          <w:p w:rsidR="003B4C68" w:rsidRPr="009D2B21" w:rsidRDefault="003B4C68" w:rsidP="003B4C68">
            <w:pPr>
              <w:tabs>
                <w:tab w:val="left" w:pos="342"/>
              </w:tabs>
              <w:ind w:left="342"/>
              <w:jc w:val="center"/>
              <w:rPr>
                <w:sz w:val="22"/>
                <w:szCs w:val="22"/>
              </w:rPr>
            </w:pPr>
            <w:r w:rsidRPr="009D2B21">
              <w:rPr>
                <w:sz w:val="22"/>
                <w:szCs w:val="22"/>
              </w:rPr>
              <w:t>-</w:t>
            </w:r>
          </w:p>
        </w:tc>
      </w:tr>
      <w:tr w:rsidR="003B4C68" w:rsidRPr="009D2B21" w:rsidTr="000A05FC">
        <w:trPr>
          <w:trHeight w:val="246"/>
        </w:trPr>
        <w:tc>
          <w:tcPr>
            <w:tcW w:w="4708" w:type="dxa"/>
          </w:tcPr>
          <w:p w:rsidR="003B4C68" w:rsidRPr="009D2B21" w:rsidRDefault="003B4C68" w:rsidP="003B4C68">
            <w:pPr>
              <w:tabs>
                <w:tab w:val="left" w:pos="342"/>
              </w:tabs>
              <w:ind w:left="342"/>
              <w:rPr>
                <w:sz w:val="22"/>
                <w:szCs w:val="22"/>
              </w:rPr>
            </w:pPr>
            <w:r w:rsidRPr="009D2B21">
              <w:rPr>
                <w:sz w:val="22"/>
                <w:szCs w:val="22"/>
              </w:rPr>
              <w:t>2008/09</w:t>
            </w:r>
          </w:p>
        </w:tc>
        <w:tc>
          <w:tcPr>
            <w:tcW w:w="2770" w:type="dxa"/>
          </w:tcPr>
          <w:p w:rsidR="003B4C68" w:rsidRPr="002D1AAF" w:rsidRDefault="00F14986" w:rsidP="000A05FC">
            <w:pPr>
              <w:tabs>
                <w:tab w:val="left" w:pos="342"/>
              </w:tabs>
              <w:ind w:left="342" w:right="624"/>
              <w:jc w:val="right"/>
              <w:rPr>
                <w:sz w:val="22"/>
                <w:szCs w:val="22"/>
              </w:rPr>
            </w:pPr>
            <w:r w:rsidRPr="002D1AAF">
              <w:rPr>
                <w:sz w:val="22"/>
                <w:szCs w:val="22"/>
              </w:rPr>
              <w:t>375,654</w:t>
            </w:r>
          </w:p>
        </w:tc>
        <w:tc>
          <w:tcPr>
            <w:tcW w:w="2770" w:type="dxa"/>
          </w:tcPr>
          <w:p w:rsidR="003B4C68" w:rsidRPr="009D2B21" w:rsidRDefault="003B4C68" w:rsidP="003B4C68">
            <w:pPr>
              <w:tabs>
                <w:tab w:val="left" w:pos="342"/>
              </w:tabs>
              <w:ind w:left="342"/>
              <w:jc w:val="center"/>
              <w:rPr>
                <w:sz w:val="22"/>
                <w:szCs w:val="22"/>
              </w:rPr>
            </w:pPr>
            <w:r w:rsidRPr="009D2B21">
              <w:rPr>
                <w:sz w:val="22"/>
                <w:szCs w:val="22"/>
              </w:rPr>
              <w:t>-</w:t>
            </w:r>
          </w:p>
        </w:tc>
      </w:tr>
      <w:tr w:rsidR="003B4C68" w:rsidRPr="009D2B21" w:rsidTr="000A05FC">
        <w:trPr>
          <w:trHeight w:val="266"/>
        </w:trPr>
        <w:tc>
          <w:tcPr>
            <w:tcW w:w="4708" w:type="dxa"/>
          </w:tcPr>
          <w:p w:rsidR="003B4C68" w:rsidRPr="009D2B21" w:rsidRDefault="003B4C68" w:rsidP="003B4C68">
            <w:pPr>
              <w:tabs>
                <w:tab w:val="left" w:pos="342"/>
              </w:tabs>
              <w:ind w:left="342"/>
              <w:rPr>
                <w:sz w:val="22"/>
                <w:szCs w:val="22"/>
              </w:rPr>
            </w:pPr>
            <w:r w:rsidRPr="009D2B21">
              <w:rPr>
                <w:sz w:val="22"/>
                <w:szCs w:val="22"/>
              </w:rPr>
              <w:t>2007/08</w:t>
            </w:r>
          </w:p>
        </w:tc>
        <w:tc>
          <w:tcPr>
            <w:tcW w:w="2770" w:type="dxa"/>
            <w:tcBorders>
              <w:bottom w:val="single" w:sz="4" w:space="0" w:color="auto"/>
            </w:tcBorders>
          </w:tcPr>
          <w:p w:rsidR="003B4C68" w:rsidRPr="002D1AAF" w:rsidRDefault="00F14986" w:rsidP="000A05FC">
            <w:pPr>
              <w:tabs>
                <w:tab w:val="left" w:pos="342"/>
              </w:tabs>
              <w:ind w:left="342" w:right="624"/>
              <w:jc w:val="right"/>
              <w:rPr>
                <w:sz w:val="22"/>
                <w:szCs w:val="22"/>
              </w:rPr>
            </w:pPr>
            <w:r w:rsidRPr="002D1AAF">
              <w:rPr>
                <w:sz w:val="22"/>
                <w:szCs w:val="22"/>
              </w:rPr>
              <w:t>320,293</w:t>
            </w:r>
          </w:p>
        </w:tc>
        <w:tc>
          <w:tcPr>
            <w:tcW w:w="2770" w:type="dxa"/>
            <w:tcBorders>
              <w:bottom w:val="single" w:sz="4" w:space="0" w:color="auto"/>
            </w:tcBorders>
          </w:tcPr>
          <w:p w:rsidR="003B4C68" w:rsidRPr="009D2B21" w:rsidRDefault="003B4C68" w:rsidP="003B4C68">
            <w:pPr>
              <w:tabs>
                <w:tab w:val="left" w:pos="342"/>
              </w:tabs>
              <w:ind w:left="342"/>
              <w:jc w:val="center"/>
              <w:rPr>
                <w:sz w:val="22"/>
                <w:szCs w:val="22"/>
              </w:rPr>
            </w:pPr>
            <w:r w:rsidRPr="009D2B21">
              <w:rPr>
                <w:sz w:val="22"/>
                <w:szCs w:val="22"/>
              </w:rPr>
              <w:t>-</w:t>
            </w:r>
          </w:p>
        </w:tc>
      </w:tr>
      <w:tr w:rsidR="003B4C68" w:rsidRPr="00286C0E" w:rsidTr="000A05FC">
        <w:trPr>
          <w:trHeight w:val="246"/>
        </w:trPr>
        <w:tc>
          <w:tcPr>
            <w:tcW w:w="4708" w:type="dxa"/>
          </w:tcPr>
          <w:p w:rsidR="003B4C68" w:rsidRPr="009D2B21" w:rsidRDefault="003B4C68" w:rsidP="003B4C68">
            <w:pPr>
              <w:tabs>
                <w:tab w:val="left" w:pos="342"/>
              </w:tabs>
              <w:ind w:left="342"/>
              <w:rPr>
                <w:b/>
                <w:sz w:val="22"/>
                <w:szCs w:val="22"/>
              </w:rPr>
            </w:pPr>
            <w:r w:rsidRPr="009D2B21">
              <w:rPr>
                <w:b/>
                <w:sz w:val="22"/>
                <w:szCs w:val="22"/>
              </w:rPr>
              <w:t>Total</w:t>
            </w:r>
          </w:p>
        </w:tc>
        <w:tc>
          <w:tcPr>
            <w:tcW w:w="2770" w:type="dxa"/>
            <w:tcBorders>
              <w:top w:val="single" w:sz="4" w:space="0" w:color="auto"/>
              <w:bottom w:val="double" w:sz="6" w:space="0" w:color="auto"/>
            </w:tcBorders>
          </w:tcPr>
          <w:p w:rsidR="003B4C68" w:rsidRPr="002D1AAF" w:rsidRDefault="00FB6608" w:rsidP="000A05FC">
            <w:pPr>
              <w:ind w:right="624"/>
              <w:jc w:val="right"/>
              <w:rPr>
                <w:color w:val="000000"/>
                <w:sz w:val="22"/>
                <w:szCs w:val="22"/>
              </w:rPr>
            </w:pPr>
            <w:r w:rsidRPr="002D1AAF">
              <w:rPr>
                <w:color w:val="000000"/>
                <w:sz w:val="22"/>
                <w:szCs w:val="22"/>
              </w:rPr>
              <w:t xml:space="preserve">      2,152,515</w:t>
            </w:r>
          </w:p>
        </w:tc>
        <w:tc>
          <w:tcPr>
            <w:tcW w:w="2770" w:type="dxa"/>
            <w:tcBorders>
              <w:top w:val="single" w:sz="4" w:space="0" w:color="auto"/>
              <w:bottom w:val="double" w:sz="6" w:space="0" w:color="auto"/>
            </w:tcBorders>
          </w:tcPr>
          <w:p w:rsidR="003B4C68" w:rsidRPr="009D2B21" w:rsidRDefault="00F14986" w:rsidP="003B4C68">
            <w:pPr>
              <w:tabs>
                <w:tab w:val="left" w:pos="342"/>
              </w:tabs>
              <w:ind w:left="342"/>
              <w:jc w:val="center"/>
              <w:rPr>
                <w:b/>
                <w:sz w:val="22"/>
                <w:szCs w:val="22"/>
              </w:rPr>
            </w:pPr>
            <w:r w:rsidRPr="009D2B21">
              <w:rPr>
                <w:b/>
                <w:sz w:val="22"/>
                <w:szCs w:val="22"/>
              </w:rPr>
              <w:t>-</w:t>
            </w:r>
          </w:p>
        </w:tc>
      </w:tr>
    </w:tbl>
    <w:p w:rsidR="003D305C" w:rsidRPr="00286C0E" w:rsidRDefault="003D305C" w:rsidP="00DE51C0">
      <w:pPr>
        <w:tabs>
          <w:tab w:val="left" w:pos="1480"/>
        </w:tabs>
        <w:rPr>
          <w:b/>
          <w:sz w:val="22"/>
          <w:szCs w:val="22"/>
          <w:highlight w:val="yellow"/>
        </w:rPr>
      </w:pPr>
    </w:p>
    <w:p w:rsidR="00865F4F" w:rsidRPr="00286C0E" w:rsidRDefault="00865F4F" w:rsidP="003D305C">
      <w:pPr>
        <w:tabs>
          <w:tab w:val="left" w:pos="1480"/>
        </w:tabs>
        <w:rPr>
          <w:b/>
          <w:highlight w:val="yellow"/>
        </w:rPr>
      </w:pPr>
    </w:p>
    <w:p w:rsidR="000F31B4" w:rsidRPr="00537C3C" w:rsidRDefault="000F31B4" w:rsidP="003D305C">
      <w:pPr>
        <w:tabs>
          <w:tab w:val="left" w:pos="1480"/>
        </w:tabs>
        <w:rPr>
          <w:b/>
        </w:rPr>
      </w:pPr>
    </w:p>
    <w:p w:rsidR="0001467D" w:rsidRPr="00537C3C" w:rsidRDefault="0001467D" w:rsidP="00BD07E4">
      <w:pPr>
        <w:numPr>
          <w:ilvl w:val="0"/>
          <w:numId w:val="21"/>
        </w:numPr>
        <w:tabs>
          <w:tab w:val="left" w:pos="1480"/>
        </w:tabs>
        <w:rPr>
          <w:b/>
        </w:rPr>
      </w:pPr>
      <w:r w:rsidRPr="00537C3C">
        <w:rPr>
          <w:b/>
        </w:rPr>
        <w:t xml:space="preserve">Investment Properties </w:t>
      </w:r>
    </w:p>
    <w:p w:rsidR="0001467D" w:rsidRPr="00537C3C" w:rsidRDefault="0001467D" w:rsidP="0001467D">
      <w:pPr>
        <w:ind w:left="720"/>
        <w:jc w:val="both"/>
        <w:rPr>
          <w:b/>
          <w:color w:val="FF0000"/>
        </w:rPr>
      </w:pPr>
    </w:p>
    <w:p w:rsidR="0001467D" w:rsidRPr="00537C3C" w:rsidRDefault="0001467D" w:rsidP="00A1074D">
      <w:pPr>
        <w:ind w:left="720"/>
        <w:jc w:val="both"/>
      </w:pPr>
      <w:r w:rsidRPr="00537C3C">
        <w:t>The following items of income and expense have been accounted for in the Financing and Investment Income and Expenditure line in the Comprehensive Income and Expenditure Statement:</w:t>
      </w:r>
    </w:p>
    <w:p w:rsidR="003444A1" w:rsidRPr="00286C0E" w:rsidRDefault="003444A1" w:rsidP="00A1074D">
      <w:pPr>
        <w:ind w:left="720"/>
        <w:jc w:val="both"/>
        <w:rPr>
          <w:highlight w:val="yellow"/>
        </w:rPr>
      </w:pPr>
    </w:p>
    <w:p w:rsidR="003444A1" w:rsidRPr="00286C0E" w:rsidRDefault="003444A1" w:rsidP="00A1074D">
      <w:pPr>
        <w:ind w:left="720"/>
        <w:jc w:val="both"/>
        <w:rPr>
          <w:highlight w:val="yellow"/>
        </w:rPr>
      </w:pPr>
    </w:p>
    <w:p w:rsidR="003444A1" w:rsidRPr="00286C0E" w:rsidRDefault="003444A1" w:rsidP="00A1074D">
      <w:pPr>
        <w:ind w:left="720"/>
        <w:jc w:val="both"/>
        <w:rPr>
          <w:highlight w:val="yellow"/>
        </w:rPr>
      </w:pPr>
    </w:p>
    <w:p w:rsidR="0001467D" w:rsidRPr="00286C0E" w:rsidRDefault="0001467D" w:rsidP="0001467D">
      <w:pPr>
        <w:ind w:left="720"/>
        <w:jc w:val="both"/>
        <w:rPr>
          <w:highlight w:val="yellow"/>
        </w:rPr>
      </w:pP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1"/>
        <w:gridCol w:w="1508"/>
        <w:gridCol w:w="1985"/>
        <w:gridCol w:w="1984"/>
      </w:tblGrid>
      <w:tr w:rsidR="00F653EA" w:rsidRPr="009D2B21" w:rsidTr="00A36222">
        <w:trPr>
          <w:trHeight w:val="240"/>
        </w:trPr>
        <w:tc>
          <w:tcPr>
            <w:tcW w:w="2461" w:type="dxa"/>
            <w:tcBorders>
              <w:top w:val="nil"/>
              <w:left w:val="nil"/>
              <w:bottom w:val="nil"/>
              <w:right w:val="nil"/>
            </w:tcBorders>
            <w:shd w:val="clear" w:color="auto" w:fill="auto"/>
            <w:noWrap/>
            <w:vAlign w:val="bottom"/>
            <w:hideMark/>
          </w:tcPr>
          <w:p w:rsidR="00F653EA" w:rsidRPr="009D2B21" w:rsidRDefault="00F653EA" w:rsidP="00975DE4">
            <w:pPr>
              <w:rPr>
                <w:sz w:val="22"/>
                <w:szCs w:val="18"/>
              </w:rPr>
            </w:pPr>
          </w:p>
        </w:tc>
        <w:tc>
          <w:tcPr>
            <w:tcW w:w="1508" w:type="dxa"/>
            <w:tcBorders>
              <w:top w:val="nil"/>
              <w:left w:val="nil"/>
              <w:bottom w:val="nil"/>
            </w:tcBorders>
            <w:shd w:val="clear" w:color="auto" w:fill="auto"/>
            <w:noWrap/>
            <w:vAlign w:val="bottom"/>
            <w:hideMark/>
          </w:tcPr>
          <w:p w:rsidR="00F653EA" w:rsidRPr="009D2B21" w:rsidRDefault="00F653EA" w:rsidP="00975DE4">
            <w:pPr>
              <w:rPr>
                <w:sz w:val="22"/>
                <w:szCs w:val="18"/>
              </w:rPr>
            </w:pPr>
          </w:p>
        </w:tc>
        <w:tc>
          <w:tcPr>
            <w:tcW w:w="1985" w:type="dxa"/>
            <w:tcBorders>
              <w:bottom w:val="nil"/>
            </w:tcBorders>
            <w:shd w:val="clear" w:color="auto" w:fill="auto"/>
            <w:noWrap/>
            <w:vAlign w:val="bottom"/>
            <w:hideMark/>
          </w:tcPr>
          <w:p w:rsidR="00F653EA" w:rsidRPr="009D2B21" w:rsidRDefault="00F653EA" w:rsidP="00830E7E">
            <w:pPr>
              <w:jc w:val="right"/>
              <w:rPr>
                <w:b/>
                <w:bCs/>
                <w:sz w:val="22"/>
                <w:szCs w:val="18"/>
              </w:rPr>
            </w:pPr>
            <w:r w:rsidRPr="009D2B21">
              <w:rPr>
                <w:b/>
                <w:bCs/>
                <w:sz w:val="22"/>
                <w:szCs w:val="18"/>
              </w:rPr>
              <w:t>31</w:t>
            </w:r>
            <w:r w:rsidR="003B4C68" w:rsidRPr="009D2B21">
              <w:rPr>
                <w:b/>
                <w:bCs/>
                <w:sz w:val="22"/>
                <w:szCs w:val="18"/>
              </w:rPr>
              <w:t xml:space="preserve"> March 2012</w:t>
            </w:r>
          </w:p>
        </w:tc>
        <w:tc>
          <w:tcPr>
            <w:tcW w:w="1984" w:type="dxa"/>
            <w:tcBorders>
              <w:bottom w:val="nil"/>
            </w:tcBorders>
            <w:shd w:val="clear" w:color="auto" w:fill="auto"/>
            <w:noWrap/>
            <w:vAlign w:val="bottom"/>
            <w:hideMark/>
          </w:tcPr>
          <w:p w:rsidR="00F653EA" w:rsidRPr="009D2B21" w:rsidRDefault="00F653EA" w:rsidP="003B4C68">
            <w:pPr>
              <w:jc w:val="right"/>
              <w:rPr>
                <w:b/>
                <w:bCs/>
                <w:sz w:val="22"/>
                <w:szCs w:val="18"/>
              </w:rPr>
            </w:pPr>
            <w:r w:rsidRPr="009D2B21">
              <w:rPr>
                <w:b/>
                <w:bCs/>
                <w:sz w:val="22"/>
                <w:szCs w:val="18"/>
              </w:rPr>
              <w:t>31 March 201</w:t>
            </w:r>
            <w:r w:rsidR="003B4C68" w:rsidRPr="009D2B21">
              <w:rPr>
                <w:b/>
                <w:bCs/>
                <w:sz w:val="22"/>
                <w:szCs w:val="18"/>
              </w:rPr>
              <w:t>1</w:t>
            </w:r>
          </w:p>
        </w:tc>
      </w:tr>
      <w:tr w:rsidR="00F653EA" w:rsidRPr="009D2B21" w:rsidTr="00A36222">
        <w:trPr>
          <w:trHeight w:val="240"/>
        </w:trPr>
        <w:tc>
          <w:tcPr>
            <w:tcW w:w="2461" w:type="dxa"/>
            <w:tcBorders>
              <w:top w:val="nil"/>
              <w:left w:val="nil"/>
              <w:right w:val="nil"/>
            </w:tcBorders>
            <w:shd w:val="clear" w:color="auto" w:fill="auto"/>
            <w:noWrap/>
            <w:vAlign w:val="bottom"/>
            <w:hideMark/>
          </w:tcPr>
          <w:p w:rsidR="00F653EA" w:rsidRPr="009D2B21" w:rsidRDefault="00F653EA" w:rsidP="00975DE4">
            <w:pPr>
              <w:rPr>
                <w:sz w:val="22"/>
                <w:szCs w:val="18"/>
              </w:rPr>
            </w:pPr>
          </w:p>
        </w:tc>
        <w:tc>
          <w:tcPr>
            <w:tcW w:w="1508" w:type="dxa"/>
            <w:tcBorders>
              <w:top w:val="nil"/>
              <w:left w:val="nil"/>
            </w:tcBorders>
            <w:shd w:val="clear" w:color="auto" w:fill="auto"/>
            <w:noWrap/>
            <w:vAlign w:val="bottom"/>
            <w:hideMark/>
          </w:tcPr>
          <w:p w:rsidR="00F653EA" w:rsidRPr="009D2B21" w:rsidRDefault="00F653EA" w:rsidP="00975DE4">
            <w:pPr>
              <w:rPr>
                <w:sz w:val="22"/>
                <w:szCs w:val="18"/>
              </w:rPr>
            </w:pPr>
          </w:p>
        </w:tc>
        <w:tc>
          <w:tcPr>
            <w:tcW w:w="1985" w:type="dxa"/>
            <w:tcBorders>
              <w:top w:val="nil"/>
            </w:tcBorders>
            <w:shd w:val="clear" w:color="auto" w:fill="auto"/>
            <w:noWrap/>
            <w:vAlign w:val="bottom"/>
            <w:hideMark/>
          </w:tcPr>
          <w:p w:rsidR="00F653EA" w:rsidRPr="009D2B21" w:rsidRDefault="00F653EA" w:rsidP="00830E7E">
            <w:pPr>
              <w:jc w:val="right"/>
              <w:rPr>
                <w:b/>
                <w:bCs/>
                <w:sz w:val="22"/>
                <w:szCs w:val="18"/>
              </w:rPr>
            </w:pPr>
            <w:r w:rsidRPr="009D2B21">
              <w:rPr>
                <w:b/>
                <w:bCs/>
                <w:sz w:val="22"/>
                <w:szCs w:val="18"/>
              </w:rPr>
              <w:t>£000</w:t>
            </w:r>
          </w:p>
        </w:tc>
        <w:tc>
          <w:tcPr>
            <w:tcW w:w="1984" w:type="dxa"/>
            <w:tcBorders>
              <w:top w:val="nil"/>
            </w:tcBorders>
            <w:shd w:val="clear" w:color="auto" w:fill="auto"/>
            <w:noWrap/>
            <w:vAlign w:val="bottom"/>
            <w:hideMark/>
          </w:tcPr>
          <w:p w:rsidR="00F653EA" w:rsidRPr="009D2B21" w:rsidRDefault="00F653EA" w:rsidP="00830E7E">
            <w:pPr>
              <w:jc w:val="right"/>
              <w:rPr>
                <w:b/>
                <w:bCs/>
                <w:sz w:val="22"/>
                <w:szCs w:val="18"/>
              </w:rPr>
            </w:pPr>
            <w:r w:rsidRPr="009D2B21">
              <w:rPr>
                <w:b/>
                <w:bCs/>
                <w:sz w:val="22"/>
                <w:szCs w:val="18"/>
              </w:rPr>
              <w:t>£000</w:t>
            </w:r>
          </w:p>
        </w:tc>
      </w:tr>
      <w:tr w:rsidR="003B4C68" w:rsidRPr="009D2B21" w:rsidTr="00A36222">
        <w:trPr>
          <w:trHeight w:val="240"/>
        </w:trPr>
        <w:tc>
          <w:tcPr>
            <w:tcW w:w="3969" w:type="dxa"/>
            <w:gridSpan w:val="2"/>
            <w:shd w:val="clear" w:color="auto" w:fill="auto"/>
            <w:noWrap/>
            <w:vAlign w:val="bottom"/>
            <w:hideMark/>
          </w:tcPr>
          <w:p w:rsidR="003B4C68" w:rsidRPr="009D2B21" w:rsidRDefault="003B4C68" w:rsidP="00975DE4">
            <w:pPr>
              <w:rPr>
                <w:sz w:val="22"/>
                <w:szCs w:val="18"/>
              </w:rPr>
            </w:pPr>
            <w:r w:rsidRPr="009D2B21">
              <w:rPr>
                <w:sz w:val="22"/>
                <w:szCs w:val="18"/>
              </w:rPr>
              <w:t>Rental income from Investment Property</w:t>
            </w:r>
          </w:p>
        </w:tc>
        <w:tc>
          <w:tcPr>
            <w:tcW w:w="1985" w:type="dxa"/>
            <w:shd w:val="clear" w:color="auto" w:fill="auto"/>
            <w:noWrap/>
            <w:vAlign w:val="bottom"/>
            <w:hideMark/>
          </w:tcPr>
          <w:p w:rsidR="003B4C68" w:rsidRPr="009D2B21" w:rsidRDefault="009D2B21" w:rsidP="00830E7E">
            <w:pPr>
              <w:jc w:val="right"/>
              <w:rPr>
                <w:sz w:val="22"/>
                <w:szCs w:val="18"/>
              </w:rPr>
            </w:pPr>
            <w:r w:rsidRPr="009D2B21">
              <w:rPr>
                <w:sz w:val="22"/>
                <w:szCs w:val="18"/>
              </w:rPr>
              <w:t>(89)</w:t>
            </w:r>
          </w:p>
        </w:tc>
        <w:tc>
          <w:tcPr>
            <w:tcW w:w="1984" w:type="dxa"/>
            <w:shd w:val="clear" w:color="auto" w:fill="auto"/>
            <w:noWrap/>
            <w:vAlign w:val="bottom"/>
            <w:hideMark/>
          </w:tcPr>
          <w:p w:rsidR="003B4C68" w:rsidRPr="009D2B21" w:rsidRDefault="003B4C68" w:rsidP="003B4C68">
            <w:pPr>
              <w:jc w:val="right"/>
              <w:rPr>
                <w:sz w:val="22"/>
                <w:szCs w:val="18"/>
              </w:rPr>
            </w:pPr>
            <w:r w:rsidRPr="009D2B21">
              <w:rPr>
                <w:sz w:val="22"/>
                <w:szCs w:val="18"/>
              </w:rPr>
              <w:t>(89)</w:t>
            </w:r>
          </w:p>
        </w:tc>
      </w:tr>
      <w:tr w:rsidR="003B4C68" w:rsidRPr="009D2B21" w:rsidTr="00A36222">
        <w:trPr>
          <w:trHeight w:val="255"/>
        </w:trPr>
        <w:tc>
          <w:tcPr>
            <w:tcW w:w="3969" w:type="dxa"/>
            <w:gridSpan w:val="2"/>
            <w:shd w:val="clear" w:color="auto" w:fill="auto"/>
            <w:noWrap/>
            <w:vAlign w:val="bottom"/>
            <w:hideMark/>
          </w:tcPr>
          <w:p w:rsidR="003B4C68" w:rsidRPr="009D2B21" w:rsidRDefault="003B4C68" w:rsidP="00975DE4">
            <w:pPr>
              <w:rPr>
                <w:sz w:val="22"/>
                <w:szCs w:val="18"/>
              </w:rPr>
            </w:pPr>
            <w:r w:rsidRPr="009D2B21">
              <w:rPr>
                <w:sz w:val="22"/>
                <w:szCs w:val="18"/>
              </w:rPr>
              <w:t>Direct operating expenses arising from investment</w:t>
            </w:r>
          </w:p>
        </w:tc>
        <w:tc>
          <w:tcPr>
            <w:tcW w:w="1985" w:type="dxa"/>
            <w:shd w:val="clear" w:color="auto" w:fill="auto"/>
            <w:noWrap/>
            <w:vAlign w:val="bottom"/>
            <w:hideMark/>
          </w:tcPr>
          <w:p w:rsidR="003B4C68" w:rsidRPr="009D2B21" w:rsidRDefault="00933A46" w:rsidP="00830E7E">
            <w:pPr>
              <w:jc w:val="right"/>
              <w:rPr>
                <w:sz w:val="22"/>
                <w:szCs w:val="18"/>
              </w:rPr>
            </w:pPr>
            <w:r>
              <w:rPr>
                <w:sz w:val="22"/>
                <w:szCs w:val="18"/>
              </w:rPr>
              <w:t>-</w:t>
            </w:r>
          </w:p>
        </w:tc>
        <w:tc>
          <w:tcPr>
            <w:tcW w:w="1984" w:type="dxa"/>
            <w:shd w:val="clear" w:color="auto" w:fill="auto"/>
            <w:noWrap/>
            <w:vAlign w:val="bottom"/>
            <w:hideMark/>
          </w:tcPr>
          <w:p w:rsidR="003B4C68" w:rsidRPr="009D2B21" w:rsidRDefault="003B4C68" w:rsidP="003B4C68">
            <w:pPr>
              <w:jc w:val="right"/>
              <w:rPr>
                <w:sz w:val="22"/>
                <w:szCs w:val="18"/>
              </w:rPr>
            </w:pPr>
            <w:r w:rsidRPr="009D2B21">
              <w:rPr>
                <w:sz w:val="22"/>
                <w:szCs w:val="18"/>
              </w:rPr>
              <w:t>-</w:t>
            </w:r>
          </w:p>
        </w:tc>
      </w:tr>
      <w:tr w:rsidR="003B4C68" w:rsidRPr="009D2B21" w:rsidTr="00A36222">
        <w:trPr>
          <w:trHeight w:val="255"/>
        </w:trPr>
        <w:tc>
          <w:tcPr>
            <w:tcW w:w="3969" w:type="dxa"/>
            <w:gridSpan w:val="2"/>
            <w:shd w:val="clear" w:color="auto" w:fill="auto"/>
            <w:noWrap/>
            <w:vAlign w:val="bottom"/>
            <w:hideMark/>
          </w:tcPr>
          <w:p w:rsidR="003B4C68" w:rsidRPr="009D2B21" w:rsidRDefault="003B4C68" w:rsidP="00074679">
            <w:pPr>
              <w:rPr>
                <w:b/>
                <w:bCs/>
                <w:sz w:val="22"/>
                <w:szCs w:val="18"/>
              </w:rPr>
            </w:pPr>
            <w:r w:rsidRPr="009D2B21">
              <w:rPr>
                <w:b/>
                <w:bCs/>
                <w:sz w:val="22"/>
                <w:szCs w:val="18"/>
              </w:rPr>
              <w:t>Net (Gain)/loss</w:t>
            </w:r>
          </w:p>
        </w:tc>
        <w:tc>
          <w:tcPr>
            <w:tcW w:w="1985" w:type="dxa"/>
            <w:shd w:val="clear" w:color="auto" w:fill="auto"/>
            <w:noWrap/>
            <w:vAlign w:val="bottom"/>
            <w:hideMark/>
          </w:tcPr>
          <w:p w:rsidR="003B4C68" w:rsidRPr="009D2B21" w:rsidRDefault="009D2B21" w:rsidP="00830E7E">
            <w:pPr>
              <w:jc w:val="right"/>
              <w:rPr>
                <w:b/>
                <w:sz w:val="22"/>
                <w:szCs w:val="18"/>
              </w:rPr>
            </w:pPr>
            <w:r w:rsidRPr="009D2B21">
              <w:rPr>
                <w:b/>
                <w:sz w:val="22"/>
                <w:szCs w:val="18"/>
              </w:rPr>
              <w:t>(89)</w:t>
            </w:r>
          </w:p>
        </w:tc>
        <w:tc>
          <w:tcPr>
            <w:tcW w:w="1984" w:type="dxa"/>
            <w:shd w:val="clear" w:color="auto" w:fill="auto"/>
            <w:noWrap/>
            <w:vAlign w:val="bottom"/>
            <w:hideMark/>
          </w:tcPr>
          <w:p w:rsidR="003B4C68" w:rsidRPr="009D2B21" w:rsidRDefault="003B4C68" w:rsidP="003B4C68">
            <w:pPr>
              <w:jc w:val="right"/>
              <w:rPr>
                <w:b/>
                <w:sz w:val="22"/>
                <w:szCs w:val="18"/>
              </w:rPr>
            </w:pPr>
            <w:r w:rsidRPr="009D2B21">
              <w:rPr>
                <w:b/>
                <w:sz w:val="22"/>
                <w:szCs w:val="18"/>
              </w:rPr>
              <w:t>(89)</w:t>
            </w:r>
          </w:p>
        </w:tc>
      </w:tr>
    </w:tbl>
    <w:p w:rsidR="0001467D" w:rsidRPr="009D2B21" w:rsidRDefault="0001467D" w:rsidP="0001467D">
      <w:pPr>
        <w:ind w:left="720"/>
        <w:jc w:val="both"/>
      </w:pPr>
    </w:p>
    <w:p w:rsidR="0001467D" w:rsidRPr="00286C0E" w:rsidRDefault="0001467D" w:rsidP="0001467D">
      <w:pPr>
        <w:jc w:val="both"/>
        <w:rPr>
          <w:highlight w:val="yellow"/>
        </w:rPr>
      </w:pPr>
    </w:p>
    <w:p w:rsidR="0001467D" w:rsidRPr="00537C3C" w:rsidRDefault="0001467D" w:rsidP="00D314A5">
      <w:pPr>
        <w:ind w:left="720"/>
        <w:jc w:val="both"/>
      </w:pPr>
      <w:r w:rsidRPr="00537C3C">
        <w:t>There are no restrictions on the authority's ability to realise the value inherent in its investment</w:t>
      </w:r>
      <w:r w:rsidR="00A36222" w:rsidRPr="00537C3C">
        <w:t xml:space="preserve"> </w:t>
      </w:r>
      <w:r w:rsidRPr="00537C3C">
        <w:t>property or on the authority's right to the remittance of income and the proceeds of disposal.  The authority has no contractual obligations to purchase, construct or develop investment property or repairs, maintenance and enhancement.</w:t>
      </w:r>
    </w:p>
    <w:p w:rsidR="0001467D" w:rsidRPr="00537C3C" w:rsidRDefault="0001467D" w:rsidP="0001467D">
      <w:pPr>
        <w:ind w:left="720"/>
        <w:jc w:val="both"/>
      </w:pPr>
    </w:p>
    <w:p w:rsidR="0001467D" w:rsidRPr="00537C3C" w:rsidRDefault="0001467D" w:rsidP="00D314A5">
      <w:pPr>
        <w:ind w:left="720"/>
        <w:jc w:val="both"/>
      </w:pPr>
      <w:r w:rsidRPr="00537C3C">
        <w:t>The following table summarises the movement in the fair value of investment properties over the year:</w:t>
      </w:r>
    </w:p>
    <w:p w:rsidR="0001467D" w:rsidRPr="00286C0E" w:rsidRDefault="0001467D" w:rsidP="0001467D">
      <w:pPr>
        <w:jc w:val="both"/>
        <w:rPr>
          <w:highlight w:val="yellow"/>
        </w:rPr>
      </w:pPr>
    </w:p>
    <w:tbl>
      <w:tblPr>
        <w:tblW w:w="8058" w:type="dxa"/>
        <w:tblInd w:w="555" w:type="dxa"/>
        <w:tblLook w:val="04A0"/>
      </w:tblPr>
      <w:tblGrid>
        <w:gridCol w:w="4021"/>
        <w:gridCol w:w="2053"/>
        <w:gridCol w:w="1984"/>
      </w:tblGrid>
      <w:tr w:rsidR="00F653EA" w:rsidRPr="00286C0E" w:rsidTr="00F653EA">
        <w:trPr>
          <w:trHeight w:val="253"/>
        </w:trPr>
        <w:tc>
          <w:tcPr>
            <w:tcW w:w="4021" w:type="dxa"/>
            <w:tcBorders>
              <w:top w:val="nil"/>
              <w:left w:val="nil"/>
              <w:bottom w:val="nil"/>
              <w:right w:val="nil"/>
            </w:tcBorders>
            <w:shd w:val="clear" w:color="auto" w:fill="auto"/>
            <w:noWrap/>
            <w:vAlign w:val="bottom"/>
            <w:hideMark/>
          </w:tcPr>
          <w:p w:rsidR="00F653EA" w:rsidRPr="00AC1CDE" w:rsidRDefault="00F653EA" w:rsidP="00975DE4">
            <w:pPr>
              <w:rPr>
                <w:sz w:val="22"/>
                <w:szCs w:val="18"/>
              </w:rPr>
            </w:pPr>
          </w:p>
        </w:tc>
        <w:tc>
          <w:tcPr>
            <w:tcW w:w="2053" w:type="dxa"/>
            <w:tcBorders>
              <w:top w:val="single" w:sz="4" w:space="0" w:color="auto"/>
              <w:left w:val="single" w:sz="4" w:space="0" w:color="auto"/>
              <w:bottom w:val="nil"/>
              <w:right w:val="single" w:sz="4" w:space="0" w:color="auto"/>
            </w:tcBorders>
            <w:shd w:val="clear" w:color="auto" w:fill="auto"/>
            <w:noWrap/>
            <w:vAlign w:val="center"/>
            <w:hideMark/>
          </w:tcPr>
          <w:p w:rsidR="00F653EA" w:rsidRPr="00AC1CDE" w:rsidRDefault="00F653EA" w:rsidP="003856D5">
            <w:pPr>
              <w:jc w:val="right"/>
              <w:rPr>
                <w:b/>
                <w:bCs/>
                <w:sz w:val="22"/>
                <w:szCs w:val="18"/>
              </w:rPr>
            </w:pPr>
            <w:r w:rsidRPr="00AC1CDE">
              <w:rPr>
                <w:b/>
                <w:bCs/>
                <w:sz w:val="22"/>
                <w:szCs w:val="18"/>
              </w:rPr>
              <w:t>31</w:t>
            </w:r>
            <w:r w:rsidR="003B4C68" w:rsidRPr="00AC1CDE">
              <w:rPr>
                <w:b/>
                <w:bCs/>
                <w:sz w:val="22"/>
                <w:szCs w:val="18"/>
              </w:rPr>
              <w:t xml:space="preserve"> March 2012</w:t>
            </w:r>
          </w:p>
        </w:tc>
        <w:tc>
          <w:tcPr>
            <w:tcW w:w="1984" w:type="dxa"/>
            <w:tcBorders>
              <w:top w:val="single" w:sz="4" w:space="0" w:color="auto"/>
              <w:left w:val="nil"/>
              <w:bottom w:val="nil"/>
              <w:right w:val="single" w:sz="4" w:space="0" w:color="auto"/>
            </w:tcBorders>
            <w:shd w:val="clear" w:color="auto" w:fill="auto"/>
            <w:noWrap/>
            <w:vAlign w:val="center"/>
            <w:hideMark/>
          </w:tcPr>
          <w:p w:rsidR="00F653EA" w:rsidRPr="00AC1CDE" w:rsidRDefault="00F653EA" w:rsidP="003B4C68">
            <w:pPr>
              <w:jc w:val="right"/>
              <w:rPr>
                <w:b/>
                <w:bCs/>
                <w:sz w:val="22"/>
                <w:szCs w:val="18"/>
              </w:rPr>
            </w:pPr>
            <w:r w:rsidRPr="00AC1CDE">
              <w:rPr>
                <w:b/>
                <w:bCs/>
                <w:sz w:val="22"/>
                <w:szCs w:val="18"/>
              </w:rPr>
              <w:t>31 March 201</w:t>
            </w:r>
            <w:r w:rsidR="003B4C68" w:rsidRPr="00AC1CDE">
              <w:rPr>
                <w:b/>
                <w:bCs/>
                <w:sz w:val="22"/>
                <w:szCs w:val="18"/>
              </w:rPr>
              <w:t>1</w:t>
            </w:r>
          </w:p>
        </w:tc>
      </w:tr>
      <w:tr w:rsidR="00F653EA" w:rsidRPr="00286C0E" w:rsidTr="00F653EA">
        <w:trPr>
          <w:trHeight w:val="253"/>
        </w:trPr>
        <w:tc>
          <w:tcPr>
            <w:tcW w:w="4021" w:type="dxa"/>
            <w:tcBorders>
              <w:top w:val="nil"/>
              <w:left w:val="nil"/>
              <w:bottom w:val="single" w:sz="4" w:space="0" w:color="auto"/>
              <w:right w:val="single" w:sz="4" w:space="0" w:color="auto"/>
            </w:tcBorders>
            <w:shd w:val="clear" w:color="auto" w:fill="auto"/>
            <w:noWrap/>
            <w:vAlign w:val="bottom"/>
            <w:hideMark/>
          </w:tcPr>
          <w:p w:rsidR="00F653EA" w:rsidRPr="00AC1CDE" w:rsidRDefault="00F653EA" w:rsidP="00975DE4">
            <w:pPr>
              <w:rPr>
                <w:sz w:val="22"/>
                <w:szCs w:val="18"/>
              </w:rPr>
            </w:pPr>
            <w:r w:rsidRPr="00AC1CDE">
              <w:rPr>
                <w:sz w:val="22"/>
                <w:szCs w:val="18"/>
              </w:rPr>
              <w:t> </w:t>
            </w:r>
          </w:p>
        </w:tc>
        <w:tc>
          <w:tcPr>
            <w:tcW w:w="2053" w:type="dxa"/>
            <w:tcBorders>
              <w:top w:val="nil"/>
              <w:left w:val="nil"/>
              <w:bottom w:val="single" w:sz="4" w:space="0" w:color="auto"/>
              <w:right w:val="single" w:sz="4" w:space="0" w:color="auto"/>
            </w:tcBorders>
            <w:shd w:val="clear" w:color="auto" w:fill="auto"/>
            <w:noWrap/>
            <w:vAlign w:val="center"/>
            <w:hideMark/>
          </w:tcPr>
          <w:p w:rsidR="00F653EA" w:rsidRPr="00AC1CDE" w:rsidRDefault="00F653EA" w:rsidP="003856D5">
            <w:pPr>
              <w:jc w:val="right"/>
              <w:rPr>
                <w:b/>
                <w:sz w:val="22"/>
                <w:szCs w:val="18"/>
              </w:rPr>
            </w:pPr>
            <w:r w:rsidRPr="00AC1CDE">
              <w:rPr>
                <w:b/>
                <w:sz w:val="22"/>
                <w:szCs w:val="18"/>
              </w:rPr>
              <w:t>£000</w:t>
            </w:r>
          </w:p>
        </w:tc>
        <w:tc>
          <w:tcPr>
            <w:tcW w:w="1984" w:type="dxa"/>
            <w:tcBorders>
              <w:top w:val="nil"/>
              <w:left w:val="nil"/>
              <w:bottom w:val="single" w:sz="4" w:space="0" w:color="auto"/>
              <w:right w:val="single" w:sz="4" w:space="0" w:color="auto"/>
            </w:tcBorders>
            <w:shd w:val="clear" w:color="auto" w:fill="auto"/>
            <w:noWrap/>
            <w:vAlign w:val="center"/>
            <w:hideMark/>
          </w:tcPr>
          <w:p w:rsidR="00F653EA" w:rsidRPr="00AC1CDE" w:rsidRDefault="00F653EA" w:rsidP="003856D5">
            <w:pPr>
              <w:jc w:val="right"/>
              <w:rPr>
                <w:b/>
                <w:sz w:val="22"/>
                <w:szCs w:val="18"/>
              </w:rPr>
            </w:pPr>
            <w:r w:rsidRPr="00AC1CDE">
              <w:rPr>
                <w:b/>
                <w:sz w:val="22"/>
                <w:szCs w:val="18"/>
              </w:rPr>
              <w:t>£000</w:t>
            </w:r>
          </w:p>
        </w:tc>
      </w:tr>
      <w:tr w:rsidR="003B4C68" w:rsidRPr="00286C0E" w:rsidTr="009B313D">
        <w:trPr>
          <w:trHeight w:val="253"/>
        </w:trPr>
        <w:tc>
          <w:tcPr>
            <w:tcW w:w="4021" w:type="dxa"/>
            <w:tcBorders>
              <w:top w:val="single" w:sz="4" w:space="0" w:color="auto"/>
              <w:left w:val="single" w:sz="4" w:space="0" w:color="auto"/>
              <w:bottom w:val="nil"/>
              <w:right w:val="nil"/>
            </w:tcBorders>
            <w:shd w:val="clear" w:color="auto" w:fill="auto"/>
            <w:noWrap/>
            <w:vAlign w:val="bottom"/>
            <w:hideMark/>
          </w:tcPr>
          <w:p w:rsidR="003B4C68" w:rsidRPr="00AC1CDE" w:rsidRDefault="003B4C68" w:rsidP="00975DE4">
            <w:pPr>
              <w:rPr>
                <w:b/>
                <w:bCs/>
                <w:sz w:val="22"/>
                <w:szCs w:val="18"/>
              </w:rPr>
            </w:pPr>
            <w:r w:rsidRPr="00AC1CDE">
              <w:rPr>
                <w:b/>
                <w:bCs/>
                <w:sz w:val="22"/>
                <w:szCs w:val="18"/>
              </w:rPr>
              <w:t>Balance at start of year:</w:t>
            </w:r>
          </w:p>
        </w:tc>
        <w:tc>
          <w:tcPr>
            <w:tcW w:w="2053" w:type="dxa"/>
            <w:tcBorders>
              <w:top w:val="nil"/>
              <w:left w:val="single" w:sz="4" w:space="0" w:color="auto"/>
              <w:bottom w:val="nil"/>
              <w:right w:val="single" w:sz="4" w:space="0" w:color="auto"/>
            </w:tcBorders>
            <w:shd w:val="clear" w:color="auto" w:fill="auto"/>
            <w:noWrap/>
            <w:vAlign w:val="bottom"/>
            <w:hideMark/>
          </w:tcPr>
          <w:p w:rsidR="003B4C68" w:rsidRPr="00AC1CDE" w:rsidRDefault="00AC1CDE" w:rsidP="003856D5">
            <w:pPr>
              <w:jc w:val="right"/>
              <w:rPr>
                <w:sz w:val="22"/>
                <w:szCs w:val="18"/>
              </w:rPr>
            </w:pPr>
            <w:r w:rsidRPr="00AC1CDE">
              <w:rPr>
                <w:sz w:val="22"/>
                <w:szCs w:val="18"/>
              </w:rPr>
              <w:t>5,451</w:t>
            </w:r>
          </w:p>
        </w:tc>
        <w:tc>
          <w:tcPr>
            <w:tcW w:w="1984" w:type="dxa"/>
            <w:tcBorders>
              <w:top w:val="nil"/>
              <w:left w:val="nil"/>
              <w:bottom w:val="nil"/>
              <w:right w:val="single" w:sz="4" w:space="0" w:color="auto"/>
            </w:tcBorders>
            <w:shd w:val="clear" w:color="auto" w:fill="auto"/>
            <w:noWrap/>
            <w:vAlign w:val="bottom"/>
            <w:hideMark/>
          </w:tcPr>
          <w:p w:rsidR="003B4C68" w:rsidRPr="00AC1CDE" w:rsidRDefault="003B4C68" w:rsidP="003B4C68">
            <w:pPr>
              <w:jc w:val="right"/>
              <w:rPr>
                <w:sz w:val="22"/>
                <w:szCs w:val="18"/>
              </w:rPr>
            </w:pPr>
            <w:r w:rsidRPr="00AC1CDE">
              <w:rPr>
                <w:sz w:val="22"/>
                <w:szCs w:val="18"/>
              </w:rPr>
              <w:t>4,942</w:t>
            </w:r>
          </w:p>
        </w:tc>
      </w:tr>
      <w:tr w:rsidR="003B4C68" w:rsidRPr="00286C0E" w:rsidTr="009B313D">
        <w:trPr>
          <w:trHeight w:val="253"/>
        </w:trPr>
        <w:tc>
          <w:tcPr>
            <w:tcW w:w="4021" w:type="dxa"/>
            <w:tcBorders>
              <w:top w:val="nil"/>
              <w:left w:val="single" w:sz="4" w:space="0" w:color="auto"/>
              <w:bottom w:val="nil"/>
              <w:right w:val="nil"/>
            </w:tcBorders>
            <w:shd w:val="clear" w:color="auto" w:fill="auto"/>
            <w:noWrap/>
            <w:vAlign w:val="bottom"/>
            <w:hideMark/>
          </w:tcPr>
          <w:p w:rsidR="003B4C68" w:rsidRPr="00AC1CDE" w:rsidRDefault="003B4C68" w:rsidP="00975DE4">
            <w:pPr>
              <w:rPr>
                <w:sz w:val="22"/>
                <w:szCs w:val="18"/>
              </w:rPr>
            </w:pPr>
            <w:r w:rsidRPr="00AC1CDE">
              <w:rPr>
                <w:sz w:val="22"/>
                <w:szCs w:val="18"/>
              </w:rPr>
              <w:t>Additions:</w:t>
            </w:r>
          </w:p>
        </w:tc>
        <w:tc>
          <w:tcPr>
            <w:tcW w:w="2053" w:type="dxa"/>
            <w:tcBorders>
              <w:top w:val="nil"/>
              <w:left w:val="single" w:sz="4" w:space="0" w:color="auto"/>
              <w:bottom w:val="nil"/>
              <w:right w:val="single" w:sz="4" w:space="0" w:color="auto"/>
            </w:tcBorders>
            <w:shd w:val="clear" w:color="auto" w:fill="auto"/>
            <w:noWrap/>
            <w:vAlign w:val="bottom"/>
            <w:hideMark/>
          </w:tcPr>
          <w:p w:rsidR="003B4C68" w:rsidRPr="00AC1CDE" w:rsidRDefault="00AC1CDE" w:rsidP="003856D5">
            <w:pPr>
              <w:jc w:val="right"/>
              <w:rPr>
                <w:sz w:val="22"/>
                <w:szCs w:val="18"/>
              </w:rPr>
            </w:pPr>
            <w:r w:rsidRPr="00AC1CDE">
              <w:rPr>
                <w:sz w:val="22"/>
                <w:szCs w:val="18"/>
              </w:rPr>
              <w:t>-</w:t>
            </w:r>
          </w:p>
        </w:tc>
        <w:tc>
          <w:tcPr>
            <w:tcW w:w="1984" w:type="dxa"/>
            <w:tcBorders>
              <w:top w:val="nil"/>
              <w:left w:val="nil"/>
              <w:bottom w:val="nil"/>
              <w:right w:val="single" w:sz="4" w:space="0" w:color="auto"/>
            </w:tcBorders>
            <w:shd w:val="clear" w:color="auto" w:fill="auto"/>
            <w:noWrap/>
            <w:vAlign w:val="bottom"/>
            <w:hideMark/>
          </w:tcPr>
          <w:p w:rsidR="003B4C68" w:rsidRPr="00AC1CDE" w:rsidRDefault="00AC1CDE" w:rsidP="003B4C68">
            <w:pPr>
              <w:jc w:val="right"/>
              <w:rPr>
                <w:sz w:val="22"/>
                <w:szCs w:val="18"/>
              </w:rPr>
            </w:pPr>
            <w:r w:rsidRPr="00AC1CDE">
              <w:rPr>
                <w:sz w:val="22"/>
                <w:szCs w:val="18"/>
              </w:rPr>
              <w:t>-</w:t>
            </w:r>
          </w:p>
        </w:tc>
      </w:tr>
      <w:tr w:rsidR="003B4C68" w:rsidRPr="00286C0E" w:rsidTr="009B313D">
        <w:trPr>
          <w:trHeight w:val="253"/>
        </w:trPr>
        <w:tc>
          <w:tcPr>
            <w:tcW w:w="4021" w:type="dxa"/>
            <w:tcBorders>
              <w:top w:val="nil"/>
              <w:left w:val="single" w:sz="4" w:space="0" w:color="auto"/>
              <w:bottom w:val="nil"/>
              <w:right w:val="nil"/>
            </w:tcBorders>
            <w:shd w:val="clear" w:color="auto" w:fill="auto"/>
            <w:noWrap/>
            <w:vAlign w:val="bottom"/>
            <w:hideMark/>
          </w:tcPr>
          <w:p w:rsidR="003B4C68" w:rsidRPr="00AC1CDE" w:rsidRDefault="003B4C68" w:rsidP="00975DE4">
            <w:pPr>
              <w:rPr>
                <w:sz w:val="22"/>
                <w:szCs w:val="18"/>
              </w:rPr>
            </w:pPr>
            <w:r w:rsidRPr="00AC1CDE">
              <w:rPr>
                <w:sz w:val="22"/>
                <w:szCs w:val="18"/>
              </w:rPr>
              <w:t>Purchases</w:t>
            </w:r>
          </w:p>
        </w:tc>
        <w:tc>
          <w:tcPr>
            <w:tcW w:w="2053" w:type="dxa"/>
            <w:tcBorders>
              <w:top w:val="nil"/>
              <w:left w:val="single" w:sz="4" w:space="0" w:color="auto"/>
              <w:bottom w:val="nil"/>
              <w:right w:val="single" w:sz="4" w:space="0" w:color="auto"/>
            </w:tcBorders>
            <w:shd w:val="clear" w:color="auto" w:fill="auto"/>
            <w:noWrap/>
            <w:vAlign w:val="bottom"/>
            <w:hideMark/>
          </w:tcPr>
          <w:p w:rsidR="003B4C68" w:rsidRPr="00AC1CDE" w:rsidRDefault="00AC1CDE" w:rsidP="003856D5">
            <w:pPr>
              <w:jc w:val="right"/>
              <w:rPr>
                <w:sz w:val="22"/>
                <w:szCs w:val="18"/>
              </w:rPr>
            </w:pPr>
            <w:r w:rsidRPr="00AC1CDE">
              <w:rPr>
                <w:sz w:val="22"/>
                <w:szCs w:val="18"/>
              </w:rPr>
              <w:t>-</w:t>
            </w:r>
          </w:p>
        </w:tc>
        <w:tc>
          <w:tcPr>
            <w:tcW w:w="1984" w:type="dxa"/>
            <w:tcBorders>
              <w:top w:val="nil"/>
              <w:left w:val="nil"/>
              <w:bottom w:val="nil"/>
              <w:right w:val="single" w:sz="4" w:space="0" w:color="auto"/>
            </w:tcBorders>
            <w:shd w:val="clear" w:color="auto" w:fill="auto"/>
            <w:noWrap/>
            <w:vAlign w:val="bottom"/>
            <w:hideMark/>
          </w:tcPr>
          <w:p w:rsidR="003B4C68" w:rsidRPr="00AC1CDE" w:rsidRDefault="00AC1CDE" w:rsidP="003B4C68">
            <w:pPr>
              <w:jc w:val="right"/>
              <w:rPr>
                <w:sz w:val="22"/>
                <w:szCs w:val="18"/>
              </w:rPr>
            </w:pPr>
            <w:r w:rsidRPr="00AC1CDE">
              <w:rPr>
                <w:sz w:val="22"/>
                <w:szCs w:val="18"/>
              </w:rPr>
              <w:t>-</w:t>
            </w:r>
          </w:p>
        </w:tc>
      </w:tr>
      <w:tr w:rsidR="003B4C68" w:rsidRPr="00286C0E" w:rsidTr="009B313D">
        <w:trPr>
          <w:trHeight w:val="253"/>
        </w:trPr>
        <w:tc>
          <w:tcPr>
            <w:tcW w:w="4021" w:type="dxa"/>
            <w:tcBorders>
              <w:top w:val="nil"/>
              <w:left w:val="single" w:sz="4" w:space="0" w:color="auto"/>
              <w:bottom w:val="nil"/>
              <w:right w:val="nil"/>
            </w:tcBorders>
            <w:shd w:val="clear" w:color="auto" w:fill="auto"/>
            <w:noWrap/>
            <w:vAlign w:val="bottom"/>
            <w:hideMark/>
          </w:tcPr>
          <w:p w:rsidR="003B4C68" w:rsidRPr="00AC1CDE" w:rsidRDefault="003B4C68" w:rsidP="00975DE4">
            <w:pPr>
              <w:rPr>
                <w:sz w:val="22"/>
                <w:szCs w:val="18"/>
              </w:rPr>
            </w:pPr>
            <w:r w:rsidRPr="00AC1CDE">
              <w:rPr>
                <w:sz w:val="22"/>
                <w:szCs w:val="18"/>
              </w:rPr>
              <w:t>Construction</w:t>
            </w:r>
          </w:p>
        </w:tc>
        <w:tc>
          <w:tcPr>
            <w:tcW w:w="2053" w:type="dxa"/>
            <w:tcBorders>
              <w:top w:val="nil"/>
              <w:left w:val="single" w:sz="4" w:space="0" w:color="auto"/>
              <w:bottom w:val="nil"/>
              <w:right w:val="single" w:sz="4" w:space="0" w:color="auto"/>
            </w:tcBorders>
            <w:shd w:val="clear" w:color="auto" w:fill="auto"/>
            <w:noWrap/>
            <w:vAlign w:val="bottom"/>
            <w:hideMark/>
          </w:tcPr>
          <w:p w:rsidR="003B4C68" w:rsidRPr="00AC1CDE" w:rsidRDefault="00AC1CDE" w:rsidP="003856D5">
            <w:pPr>
              <w:jc w:val="right"/>
              <w:rPr>
                <w:sz w:val="22"/>
                <w:szCs w:val="18"/>
              </w:rPr>
            </w:pPr>
            <w:r w:rsidRPr="00AC1CDE">
              <w:rPr>
                <w:sz w:val="22"/>
                <w:szCs w:val="18"/>
              </w:rPr>
              <w:t>-</w:t>
            </w:r>
          </w:p>
        </w:tc>
        <w:tc>
          <w:tcPr>
            <w:tcW w:w="1984" w:type="dxa"/>
            <w:tcBorders>
              <w:top w:val="nil"/>
              <w:left w:val="nil"/>
              <w:bottom w:val="nil"/>
              <w:right w:val="single" w:sz="4" w:space="0" w:color="auto"/>
            </w:tcBorders>
            <w:shd w:val="clear" w:color="auto" w:fill="auto"/>
            <w:noWrap/>
            <w:vAlign w:val="bottom"/>
            <w:hideMark/>
          </w:tcPr>
          <w:p w:rsidR="003B4C68" w:rsidRPr="00AC1CDE" w:rsidRDefault="00AC1CDE" w:rsidP="003B4C68">
            <w:pPr>
              <w:jc w:val="right"/>
              <w:rPr>
                <w:sz w:val="22"/>
                <w:szCs w:val="18"/>
              </w:rPr>
            </w:pPr>
            <w:r w:rsidRPr="00AC1CDE">
              <w:rPr>
                <w:sz w:val="22"/>
                <w:szCs w:val="18"/>
              </w:rPr>
              <w:t>-</w:t>
            </w:r>
          </w:p>
        </w:tc>
      </w:tr>
      <w:tr w:rsidR="003B4C68" w:rsidRPr="00286C0E" w:rsidTr="009B313D">
        <w:trPr>
          <w:trHeight w:val="253"/>
        </w:trPr>
        <w:tc>
          <w:tcPr>
            <w:tcW w:w="4021" w:type="dxa"/>
            <w:tcBorders>
              <w:top w:val="nil"/>
              <w:left w:val="single" w:sz="4" w:space="0" w:color="auto"/>
              <w:bottom w:val="nil"/>
              <w:right w:val="nil"/>
            </w:tcBorders>
            <w:shd w:val="clear" w:color="auto" w:fill="auto"/>
            <w:noWrap/>
            <w:vAlign w:val="bottom"/>
            <w:hideMark/>
          </w:tcPr>
          <w:p w:rsidR="003B4C68" w:rsidRPr="00AC1CDE" w:rsidRDefault="003B4C68" w:rsidP="00975DE4">
            <w:pPr>
              <w:rPr>
                <w:sz w:val="22"/>
                <w:szCs w:val="18"/>
              </w:rPr>
            </w:pPr>
            <w:r w:rsidRPr="00AC1CDE">
              <w:rPr>
                <w:sz w:val="22"/>
                <w:szCs w:val="18"/>
              </w:rPr>
              <w:t>Subsequent Expenditure</w:t>
            </w:r>
          </w:p>
        </w:tc>
        <w:tc>
          <w:tcPr>
            <w:tcW w:w="2053" w:type="dxa"/>
            <w:tcBorders>
              <w:top w:val="nil"/>
              <w:left w:val="single" w:sz="4" w:space="0" w:color="auto"/>
              <w:bottom w:val="nil"/>
              <w:right w:val="single" w:sz="4" w:space="0" w:color="auto"/>
            </w:tcBorders>
            <w:shd w:val="clear" w:color="auto" w:fill="auto"/>
            <w:noWrap/>
            <w:vAlign w:val="bottom"/>
            <w:hideMark/>
          </w:tcPr>
          <w:p w:rsidR="003B4C68" w:rsidRPr="00AC1CDE" w:rsidRDefault="00AC1CDE" w:rsidP="003856D5">
            <w:pPr>
              <w:jc w:val="right"/>
              <w:rPr>
                <w:sz w:val="22"/>
                <w:szCs w:val="18"/>
              </w:rPr>
            </w:pPr>
            <w:r w:rsidRPr="00AC1CDE">
              <w:rPr>
                <w:sz w:val="22"/>
                <w:szCs w:val="18"/>
              </w:rPr>
              <w:t>-</w:t>
            </w:r>
          </w:p>
        </w:tc>
        <w:tc>
          <w:tcPr>
            <w:tcW w:w="1984" w:type="dxa"/>
            <w:tcBorders>
              <w:top w:val="nil"/>
              <w:left w:val="nil"/>
              <w:bottom w:val="nil"/>
              <w:right w:val="single" w:sz="4" w:space="0" w:color="auto"/>
            </w:tcBorders>
            <w:shd w:val="clear" w:color="auto" w:fill="auto"/>
            <w:noWrap/>
            <w:vAlign w:val="bottom"/>
            <w:hideMark/>
          </w:tcPr>
          <w:p w:rsidR="003B4C68" w:rsidRPr="00AC1CDE" w:rsidRDefault="00AC1CDE" w:rsidP="003B4C68">
            <w:pPr>
              <w:jc w:val="right"/>
              <w:rPr>
                <w:sz w:val="22"/>
                <w:szCs w:val="18"/>
              </w:rPr>
            </w:pPr>
            <w:r w:rsidRPr="00AC1CDE">
              <w:rPr>
                <w:sz w:val="22"/>
                <w:szCs w:val="18"/>
              </w:rPr>
              <w:t>-</w:t>
            </w:r>
          </w:p>
        </w:tc>
      </w:tr>
      <w:tr w:rsidR="003B4C68" w:rsidRPr="00286C0E" w:rsidTr="009B313D">
        <w:trPr>
          <w:trHeight w:val="253"/>
        </w:trPr>
        <w:tc>
          <w:tcPr>
            <w:tcW w:w="4021" w:type="dxa"/>
            <w:tcBorders>
              <w:top w:val="nil"/>
              <w:left w:val="single" w:sz="4" w:space="0" w:color="auto"/>
              <w:bottom w:val="nil"/>
              <w:right w:val="nil"/>
            </w:tcBorders>
            <w:shd w:val="clear" w:color="auto" w:fill="auto"/>
            <w:noWrap/>
            <w:vAlign w:val="bottom"/>
            <w:hideMark/>
          </w:tcPr>
          <w:p w:rsidR="003B4C68" w:rsidRPr="00AC1CDE" w:rsidRDefault="003B4C68" w:rsidP="00975DE4">
            <w:pPr>
              <w:rPr>
                <w:sz w:val="22"/>
                <w:szCs w:val="18"/>
              </w:rPr>
            </w:pPr>
          </w:p>
        </w:tc>
        <w:tc>
          <w:tcPr>
            <w:tcW w:w="2053" w:type="dxa"/>
            <w:tcBorders>
              <w:top w:val="nil"/>
              <w:left w:val="single" w:sz="4" w:space="0" w:color="auto"/>
              <w:bottom w:val="nil"/>
              <w:right w:val="single" w:sz="4" w:space="0" w:color="auto"/>
            </w:tcBorders>
            <w:shd w:val="clear" w:color="auto" w:fill="auto"/>
            <w:noWrap/>
            <w:vAlign w:val="bottom"/>
            <w:hideMark/>
          </w:tcPr>
          <w:p w:rsidR="003B4C68" w:rsidRPr="00AC1CDE" w:rsidRDefault="003B4C68" w:rsidP="003856D5">
            <w:pPr>
              <w:jc w:val="right"/>
              <w:rPr>
                <w:sz w:val="22"/>
                <w:szCs w:val="18"/>
              </w:rPr>
            </w:pPr>
          </w:p>
        </w:tc>
        <w:tc>
          <w:tcPr>
            <w:tcW w:w="1984" w:type="dxa"/>
            <w:tcBorders>
              <w:top w:val="nil"/>
              <w:left w:val="nil"/>
              <w:bottom w:val="nil"/>
              <w:right w:val="single" w:sz="4" w:space="0" w:color="auto"/>
            </w:tcBorders>
            <w:shd w:val="clear" w:color="auto" w:fill="auto"/>
            <w:noWrap/>
            <w:vAlign w:val="bottom"/>
            <w:hideMark/>
          </w:tcPr>
          <w:p w:rsidR="003B4C68" w:rsidRPr="00AC1CDE" w:rsidRDefault="003B4C68" w:rsidP="003B4C68">
            <w:pPr>
              <w:jc w:val="right"/>
              <w:rPr>
                <w:sz w:val="22"/>
                <w:szCs w:val="18"/>
              </w:rPr>
            </w:pPr>
          </w:p>
        </w:tc>
      </w:tr>
      <w:tr w:rsidR="003B4C68" w:rsidRPr="00286C0E" w:rsidTr="009B313D">
        <w:trPr>
          <w:trHeight w:val="253"/>
        </w:trPr>
        <w:tc>
          <w:tcPr>
            <w:tcW w:w="4021" w:type="dxa"/>
            <w:tcBorders>
              <w:top w:val="nil"/>
              <w:left w:val="single" w:sz="4" w:space="0" w:color="auto"/>
              <w:bottom w:val="nil"/>
              <w:right w:val="nil"/>
            </w:tcBorders>
            <w:shd w:val="clear" w:color="auto" w:fill="auto"/>
            <w:noWrap/>
            <w:vAlign w:val="bottom"/>
            <w:hideMark/>
          </w:tcPr>
          <w:p w:rsidR="003B4C68" w:rsidRPr="00AC1CDE" w:rsidRDefault="003B4C68" w:rsidP="00975DE4">
            <w:pPr>
              <w:rPr>
                <w:sz w:val="22"/>
                <w:szCs w:val="18"/>
              </w:rPr>
            </w:pPr>
            <w:r w:rsidRPr="00AC1CDE">
              <w:rPr>
                <w:sz w:val="22"/>
                <w:szCs w:val="18"/>
              </w:rPr>
              <w:t>Disposals</w:t>
            </w:r>
          </w:p>
        </w:tc>
        <w:tc>
          <w:tcPr>
            <w:tcW w:w="2053" w:type="dxa"/>
            <w:tcBorders>
              <w:top w:val="nil"/>
              <w:left w:val="single" w:sz="4" w:space="0" w:color="auto"/>
              <w:bottom w:val="nil"/>
              <w:right w:val="single" w:sz="4" w:space="0" w:color="auto"/>
            </w:tcBorders>
            <w:shd w:val="clear" w:color="auto" w:fill="auto"/>
            <w:noWrap/>
            <w:vAlign w:val="bottom"/>
            <w:hideMark/>
          </w:tcPr>
          <w:p w:rsidR="003B4C68" w:rsidRPr="00AC1CDE" w:rsidRDefault="00AC1CDE" w:rsidP="003856D5">
            <w:pPr>
              <w:jc w:val="right"/>
              <w:rPr>
                <w:sz w:val="22"/>
                <w:szCs w:val="18"/>
              </w:rPr>
            </w:pPr>
            <w:r w:rsidRPr="00AC1CDE">
              <w:rPr>
                <w:sz w:val="22"/>
                <w:szCs w:val="18"/>
              </w:rPr>
              <w:t>(6)</w:t>
            </w:r>
          </w:p>
        </w:tc>
        <w:tc>
          <w:tcPr>
            <w:tcW w:w="1984" w:type="dxa"/>
            <w:tcBorders>
              <w:top w:val="nil"/>
              <w:left w:val="nil"/>
              <w:bottom w:val="nil"/>
              <w:right w:val="single" w:sz="4" w:space="0" w:color="auto"/>
            </w:tcBorders>
            <w:shd w:val="clear" w:color="auto" w:fill="auto"/>
            <w:noWrap/>
            <w:vAlign w:val="bottom"/>
            <w:hideMark/>
          </w:tcPr>
          <w:p w:rsidR="003B4C68" w:rsidRPr="00AC1CDE" w:rsidRDefault="00AC1CDE" w:rsidP="003B4C68">
            <w:pPr>
              <w:jc w:val="right"/>
              <w:rPr>
                <w:sz w:val="22"/>
                <w:szCs w:val="18"/>
              </w:rPr>
            </w:pPr>
            <w:r w:rsidRPr="00AC1CDE">
              <w:rPr>
                <w:sz w:val="22"/>
                <w:szCs w:val="18"/>
              </w:rPr>
              <w:t>-</w:t>
            </w:r>
          </w:p>
        </w:tc>
      </w:tr>
      <w:tr w:rsidR="003B4C68" w:rsidRPr="00286C0E" w:rsidTr="009B313D">
        <w:trPr>
          <w:trHeight w:val="253"/>
        </w:trPr>
        <w:tc>
          <w:tcPr>
            <w:tcW w:w="4021" w:type="dxa"/>
            <w:tcBorders>
              <w:top w:val="nil"/>
              <w:left w:val="single" w:sz="4" w:space="0" w:color="auto"/>
              <w:bottom w:val="nil"/>
              <w:right w:val="nil"/>
            </w:tcBorders>
            <w:shd w:val="clear" w:color="auto" w:fill="auto"/>
            <w:noWrap/>
            <w:vAlign w:val="bottom"/>
            <w:hideMark/>
          </w:tcPr>
          <w:p w:rsidR="003B4C68" w:rsidRPr="00AC1CDE" w:rsidRDefault="003B4C68" w:rsidP="00975DE4">
            <w:pPr>
              <w:rPr>
                <w:sz w:val="22"/>
                <w:szCs w:val="18"/>
              </w:rPr>
            </w:pPr>
          </w:p>
        </w:tc>
        <w:tc>
          <w:tcPr>
            <w:tcW w:w="2053" w:type="dxa"/>
            <w:tcBorders>
              <w:top w:val="nil"/>
              <w:left w:val="single" w:sz="4" w:space="0" w:color="auto"/>
              <w:bottom w:val="nil"/>
              <w:right w:val="single" w:sz="4" w:space="0" w:color="auto"/>
            </w:tcBorders>
            <w:shd w:val="clear" w:color="auto" w:fill="auto"/>
            <w:noWrap/>
            <w:vAlign w:val="bottom"/>
            <w:hideMark/>
          </w:tcPr>
          <w:p w:rsidR="003B4C68" w:rsidRPr="00AC1CDE" w:rsidRDefault="003B4C68" w:rsidP="003856D5">
            <w:pPr>
              <w:jc w:val="right"/>
              <w:rPr>
                <w:sz w:val="22"/>
                <w:szCs w:val="18"/>
              </w:rPr>
            </w:pPr>
          </w:p>
        </w:tc>
        <w:tc>
          <w:tcPr>
            <w:tcW w:w="1984" w:type="dxa"/>
            <w:tcBorders>
              <w:top w:val="nil"/>
              <w:left w:val="nil"/>
              <w:bottom w:val="nil"/>
              <w:right w:val="single" w:sz="4" w:space="0" w:color="auto"/>
            </w:tcBorders>
            <w:shd w:val="clear" w:color="auto" w:fill="auto"/>
            <w:noWrap/>
            <w:vAlign w:val="bottom"/>
            <w:hideMark/>
          </w:tcPr>
          <w:p w:rsidR="003B4C68" w:rsidRPr="00AC1CDE" w:rsidRDefault="003B4C68" w:rsidP="003B4C68">
            <w:pPr>
              <w:jc w:val="right"/>
              <w:rPr>
                <w:sz w:val="22"/>
                <w:szCs w:val="18"/>
              </w:rPr>
            </w:pPr>
          </w:p>
        </w:tc>
      </w:tr>
      <w:tr w:rsidR="003B4C68" w:rsidRPr="00286C0E" w:rsidTr="009B313D">
        <w:trPr>
          <w:trHeight w:val="505"/>
        </w:trPr>
        <w:tc>
          <w:tcPr>
            <w:tcW w:w="4021" w:type="dxa"/>
            <w:tcBorders>
              <w:top w:val="nil"/>
              <w:left w:val="single" w:sz="4" w:space="0" w:color="auto"/>
              <w:bottom w:val="nil"/>
              <w:right w:val="nil"/>
            </w:tcBorders>
            <w:shd w:val="clear" w:color="auto" w:fill="auto"/>
            <w:vAlign w:val="bottom"/>
            <w:hideMark/>
          </w:tcPr>
          <w:p w:rsidR="003B4C68" w:rsidRPr="00AC1CDE" w:rsidRDefault="003B4C68" w:rsidP="00975DE4">
            <w:pPr>
              <w:rPr>
                <w:sz w:val="22"/>
                <w:szCs w:val="18"/>
              </w:rPr>
            </w:pPr>
            <w:r w:rsidRPr="00AC1CDE">
              <w:rPr>
                <w:sz w:val="22"/>
                <w:szCs w:val="18"/>
              </w:rPr>
              <w:t>Net gains/ losses from fair value adjustments</w:t>
            </w:r>
          </w:p>
        </w:tc>
        <w:tc>
          <w:tcPr>
            <w:tcW w:w="2053" w:type="dxa"/>
            <w:tcBorders>
              <w:top w:val="nil"/>
              <w:left w:val="single" w:sz="4" w:space="0" w:color="auto"/>
              <w:bottom w:val="nil"/>
              <w:right w:val="single" w:sz="4" w:space="0" w:color="auto"/>
            </w:tcBorders>
            <w:shd w:val="clear" w:color="auto" w:fill="auto"/>
            <w:noWrap/>
            <w:vAlign w:val="bottom"/>
            <w:hideMark/>
          </w:tcPr>
          <w:p w:rsidR="003B4C68" w:rsidRPr="00AC1CDE" w:rsidRDefault="00AC1CDE" w:rsidP="003856D5">
            <w:pPr>
              <w:jc w:val="right"/>
              <w:rPr>
                <w:sz w:val="22"/>
                <w:szCs w:val="18"/>
              </w:rPr>
            </w:pPr>
            <w:r w:rsidRPr="00AC1CDE">
              <w:rPr>
                <w:sz w:val="22"/>
                <w:szCs w:val="18"/>
              </w:rPr>
              <w:t>37</w:t>
            </w:r>
          </w:p>
        </w:tc>
        <w:tc>
          <w:tcPr>
            <w:tcW w:w="1984" w:type="dxa"/>
            <w:tcBorders>
              <w:top w:val="nil"/>
              <w:left w:val="nil"/>
              <w:bottom w:val="nil"/>
              <w:right w:val="single" w:sz="4" w:space="0" w:color="auto"/>
            </w:tcBorders>
            <w:shd w:val="clear" w:color="auto" w:fill="auto"/>
            <w:noWrap/>
            <w:vAlign w:val="bottom"/>
            <w:hideMark/>
          </w:tcPr>
          <w:p w:rsidR="003B4C68" w:rsidRPr="00AC1CDE" w:rsidRDefault="003B4C68" w:rsidP="003B4C68">
            <w:pPr>
              <w:jc w:val="right"/>
              <w:rPr>
                <w:sz w:val="22"/>
                <w:szCs w:val="18"/>
              </w:rPr>
            </w:pPr>
            <w:r w:rsidRPr="00AC1CDE">
              <w:rPr>
                <w:sz w:val="22"/>
                <w:szCs w:val="18"/>
              </w:rPr>
              <w:t>142</w:t>
            </w:r>
          </w:p>
        </w:tc>
      </w:tr>
      <w:tr w:rsidR="003B4C68" w:rsidRPr="00286C0E" w:rsidTr="009B313D">
        <w:trPr>
          <w:trHeight w:val="253"/>
        </w:trPr>
        <w:tc>
          <w:tcPr>
            <w:tcW w:w="4021" w:type="dxa"/>
            <w:tcBorders>
              <w:top w:val="nil"/>
              <w:left w:val="single" w:sz="4" w:space="0" w:color="auto"/>
              <w:bottom w:val="nil"/>
              <w:right w:val="nil"/>
            </w:tcBorders>
            <w:shd w:val="clear" w:color="auto" w:fill="auto"/>
            <w:noWrap/>
            <w:vAlign w:val="bottom"/>
            <w:hideMark/>
          </w:tcPr>
          <w:p w:rsidR="003B4C68" w:rsidRPr="00AC1CDE" w:rsidRDefault="003B4C68" w:rsidP="00975DE4">
            <w:pPr>
              <w:rPr>
                <w:sz w:val="22"/>
                <w:szCs w:val="18"/>
              </w:rPr>
            </w:pPr>
          </w:p>
        </w:tc>
        <w:tc>
          <w:tcPr>
            <w:tcW w:w="2053" w:type="dxa"/>
            <w:tcBorders>
              <w:top w:val="nil"/>
              <w:left w:val="single" w:sz="4" w:space="0" w:color="auto"/>
              <w:bottom w:val="nil"/>
              <w:right w:val="single" w:sz="4" w:space="0" w:color="auto"/>
            </w:tcBorders>
            <w:shd w:val="clear" w:color="auto" w:fill="auto"/>
            <w:noWrap/>
            <w:vAlign w:val="bottom"/>
            <w:hideMark/>
          </w:tcPr>
          <w:p w:rsidR="003B4C68" w:rsidRPr="00AC1CDE" w:rsidRDefault="003B4C68" w:rsidP="003856D5">
            <w:pPr>
              <w:jc w:val="right"/>
              <w:rPr>
                <w:sz w:val="22"/>
                <w:szCs w:val="18"/>
              </w:rPr>
            </w:pPr>
          </w:p>
        </w:tc>
        <w:tc>
          <w:tcPr>
            <w:tcW w:w="1984" w:type="dxa"/>
            <w:tcBorders>
              <w:top w:val="nil"/>
              <w:left w:val="nil"/>
              <w:bottom w:val="nil"/>
              <w:right w:val="single" w:sz="4" w:space="0" w:color="auto"/>
            </w:tcBorders>
            <w:shd w:val="clear" w:color="auto" w:fill="auto"/>
            <w:noWrap/>
            <w:vAlign w:val="bottom"/>
            <w:hideMark/>
          </w:tcPr>
          <w:p w:rsidR="003B4C68" w:rsidRPr="00AC1CDE" w:rsidRDefault="003B4C68" w:rsidP="003B4C68">
            <w:pPr>
              <w:jc w:val="right"/>
              <w:rPr>
                <w:sz w:val="22"/>
                <w:szCs w:val="18"/>
              </w:rPr>
            </w:pPr>
          </w:p>
        </w:tc>
      </w:tr>
      <w:tr w:rsidR="003B4C68" w:rsidRPr="00286C0E" w:rsidTr="009B313D">
        <w:trPr>
          <w:trHeight w:val="253"/>
        </w:trPr>
        <w:tc>
          <w:tcPr>
            <w:tcW w:w="4021" w:type="dxa"/>
            <w:tcBorders>
              <w:top w:val="nil"/>
              <w:left w:val="single" w:sz="4" w:space="0" w:color="auto"/>
              <w:bottom w:val="nil"/>
              <w:right w:val="nil"/>
            </w:tcBorders>
            <w:shd w:val="clear" w:color="auto" w:fill="auto"/>
            <w:noWrap/>
            <w:vAlign w:val="bottom"/>
            <w:hideMark/>
          </w:tcPr>
          <w:p w:rsidR="003B4C68" w:rsidRPr="00AC1CDE" w:rsidRDefault="003B4C68" w:rsidP="00975DE4">
            <w:pPr>
              <w:rPr>
                <w:sz w:val="22"/>
                <w:szCs w:val="18"/>
              </w:rPr>
            </w:pPr>
            <w:r w:rsidRPr="00AC1CDE">
              <w:rPr>
                <w:sz w:val="22"/>
                <w:szCs w:val="18"/>
              </w:rPr>
              <w:t>Transfers:</w:t>
            </w:r>
          </w:p>
        </w:tc>
        <w:tc>
          <w:tcPr>
            <w:tcW w:w="2053" w:type="dxa"/>
            <w:tcBorders>
              <w:top w:val="nil"/>
              <w:left w:val="single" w:sz="4" w:space="0" w:color="auto"/>
              <w:bottom w:val="nil"/>
              <w:right w:val="single" w:sz="4" w:space="0" w:color="auto"/>
            </w:tcBorders>
            <w:shd w:val="clear" w:color="auto" w:fill="auto"/>
            <w:noWrap/>
            <w:vAlign w:val="bottom"/>
            <w:hideMark/>
          </w:tcPr>
          <w:p w:rsidR="003B4C68" w:rsidRPr="00AC1CDE" w:rsidRDefault="003B4C68" w:rsidP="003856D5">
            <w:pPr>
              <w:jc w:val="right"/>
              <w:rPr>
                <w:sz w:val="22"/>
                <w:szCs w:val="18"/>
              </w:rPr>
            </w:pPr>
          </w:p>
        </w:tc>
        <w:tc>
          <w:tcPr>
            <w:tcW w:w="1984" w:type="dxa"/>
            <w:tcBorders>
              <w:top w:val="nil"/>
              <w:left w:val="nil"/>
              <w:bottom w:val="nil"/>
              <w:right w:val="single" w:sz="4" w:space="0" w:color="auto"/>
            </w:tcBorders>
            <w:shd w:val="clear" w:color="auto" w:fill="auto"/>
            <w:noWrap/>
            <w:vAlign w:val="bottom"/>
            <w:hideMark/>
          </w:tcPr>
          <w:p w:rsidR="003B4C68" w:rsidRPr="00AC1CDE" w:rsidRDefault="003B4C68" w:rsidP="003B4C68">
            <w:pPr>
              <w:jc w:val="right"/>
              <w:rPr>
                <w:sz w:val="22"/>
                <w:szCs w:val="18"/>
              </w:rPr>
            </w:pPr>
          </w:p>
        </w:tc>
      </w:tr>
      <w:tr w:rsidR="003B4C68" w:rsidRPr="00286C0E" w:rsidTr="009B313D">
        <w:trPr>
          <w:trHeight w:val="253"/>
        </w:trPr>
        <w:tc>
          <w:tcPr>
            <w:tcW w:w="4021" w:type="dxa"/>
            <w:tcBorders>
              <w:top w:val="nil"/>
              <w:left w:val="single" w:sz="4" w:space="0" w:color="auto"/>
              <w:bottom w:val="nil"/>
              <w:right w:val="nil"/>
            </w:tcBorders>
            <w:shd w:val="clear" w:color="auto" w:fill="auto"/>
            <w:noWrap/>
            <w:vAlign w:val="bottom"/>
            <w:hideMark/>
          </w:tcPr>
          <w:p w:rsidR="003B4C68" w:rsidRPr="00AC1CDE" w:rsidRDefault="003B4C68" w:rsidP="00975DE4">
            <w:pPr>
              <w:rPr>
                <w:sz w:val="22"/>
                <w:szCs w:val="18"/>
              </w:rPr>
            </w:pPr>
            <w:r w:rsidRPr="00AC1CDE">
              <w:rPr>
                <w:sz w:val="22"/>
                <w:szCs w:val="18"/>
              </w:rPr>
              <w:t>To/From inventories</w:t>
            </w:r>
          </w:p>
        </w:tc>
        <w:tc>
          <w:tcPr>
            <w:tcW w:w="2053" w:type="dxa"/>
            <w:tcBorders>
              <w:top w:val="nil"/>
              <w:left w:val="single" w:sz="4" w:space="0" w:color="auto"/>
              <w:bottom w:val="nil"/>
              <w:right w:val="single" w:sz="4" w:space="0" w:color="auto"/>
            </w:tcBorders>
            <w:shd w:val="clear" w:color="auto" w:fill="auto"/>
            <w:noWrap/>
            <w:vAlign w:val="bottom"/>
            <w:hideMark/>
          </w:tcPr>
          <w:p w:rsidR="003B4C68" w:rsidRPr="00AC1CDE" w:rsidRDefault="00AC1CDE" w:rsidP="003856D5">
            <w:pPr>
              <w:jc w:val="right"/>
              <w:rPr>
                <w:sz w:val="22"/>
                <w:szCs w:val="18"/>
              </w:rPr>
            </w:pPr>
            <w:r w:rsidRPr="00AC1CDE">
              <w:rPr>
                <w:sz w:val="22"/>
                <w:szCs w:val="18"/>
              </w:rPr>
              <w:t>-</w:t>
            </w:r>
          </w:p>
        </w:tc>
        <w:tc>
          <w:tcPr>
            <w:tcW w:w="1984" w:type="dxa"/>
            <w:tcBorders>
              <w:top w:val="nil"/>
              <w:left w:val="nil"/>
              <w:bottom w:val="nil"/>
              <w:right w:val="single" w:sz="4" w:space="0" w:color="auto"/>
            </w:tcBorders>
            <w:shd w:val="clear" w:color="auto" w:fill="auto"/>
            <w:noWrap/>
            <w:vAlign w:val="bottom"/>
            <w:hideMark/>
          </w:tcPr>
          <w:p w:rsidR="003B4C68" w:rsidRPr="00AC1CDE" w:rsidRDefault="00AC1CDE" w:rsidP="003B4C68">
            <w:pPr>
              <w:jc w:val="right"/>
              <w:rPr>
                <w:sz w:val="22"/>
                <w:szCs w:val="18"/>
              </w:rPr>
            </w:pPr>
            <w:r w:rsidRPr="00AC1CDE">
              <w:rPr>
                <w:sz w:val="22"/>
                <w:szCs w:val="18"/>
              </w:rPr>
              <w:t>-</w:t>
            </w:r>
          </w:p>
        </w:tc>
      </w:tr>
      <w:tr w:rsidR="003B4C68" w:rsidRPr="00286C0E" w:rsidTr="009B313D">
        <w:trPr>
          <w:trHeight w:val="253"/>
        </w:trPr>
        <w:tc>
          <w:tcPr>
            <w:tcW w:w="4021" w:type="dxa"/>
            <w:tcBorders>
              <w:top w:val="nil"/>
              <w:left w:val="single" w:sz="4" w:space="0" w:color="auto"/>
              <w:bottom w:val="nil"/>
              <w:right w:val="nil"/>
            </w:tcBorders>
            <w:shd w:val="clear" w:color="auto" w:fill="auto"/>
            <w:noWrap/>
            <w:vAlign w:val="bottom"/>
            <w:hideMark/>
          </w:tcPr>
          <w:p w:rsidR="003B4C68" w:rsidRPr="00AC1CDE" w:rsidRDefault="003B4C68" w:rsidP="00242655">
            <w:pPr>
              <w:rPr>
                <w:sz w:val="22"/>
                <w:szCs w:val="18"/>
              </w:rPr>
            </w:pPr>
            <w:r w:rsidRPr="00AC1CDE">
              <w:rPr>
                <w:sz w:val="22"/>
                <w:szCs w:val="18"/>
              </w:rPr>
              <w:t>To/From Property Plant and Equipment</w:t>
            </w:r>
          </w:p>
        </w:tc>
        <w:tc>
          <w:tcPr>
            <w:tcW w:w="2053" w:type="dxa"/>
            <w:tcBorders>
              <w:top w:val="nil"/>
              <w:left w:val="single" w:sz="4" w:space="0" w:color="auto"/>
              <w:bottom w:val="nil"/>
              <w:right w:val="single" w:sz="4" w:space="0" w:color="auto"/>
            </w:tcBorders>
            <w:shd w:val="clear" w:color="auto" w:fill="auto"/>
            <w:noWrap/>
            <w:vAlign w:val="bottom"/>
            <w:hideMark/>
          </w:tcPr>
          <w:p w:rsidR="003B4C68" w:rsidRPr="00AC1CDE" w:rsidRDefault="00AC1CDE" w:rsidP="003856D5">
            <w:pPr>
              <w:jc w:val="right"/>
              <w:rPr>
                <w:sz w:val="22"/>
                <w:szCs w:val="18"/>
              </w:rPr>
            </w:pPr>
            <w:r w:rsidRPr="00AC1CDE">
              <w:rPr>
                <w:sz w:val="22"/>
                <w:szCs w:val="18"/>
              </w:rPr>
              <w:t>-</w:t>
            </w:r>
          </w:p>
        </w:tc>
        <w:tc>
          <w:tcPr>
            <w:tcW w:w="1984" w:type="dxa"/>
            <w:tcBorders>
              <w:top w:val="nil"/>
              <w:left w:val="nil"/>
              <w:bottom w:val="nil"/>
              <w:right w:val="single" w:sz="4" w:space="0" w:color="auto"/>
            </w:tcBorders>
            <w:shd w:val="clear" w:color="auto" w:fill="auto"/>
            <w:noWrap/>
            <w:vAlign w:val="bottom"/>
            <w:hideMark/>
          </w:tcPr>
          <w:p w:rsidR="003B4C68" w:rsidRPr="00AC1CDE" w:rsidRDefault="003B4C68" w:rsidP="003B4C68">
            <w:pPr>
              <w:jc w:val="right"/>
              <w:rPr>
                <w:sz w:val="22"/>
                <w:szCs w:val="18"/>
              </w:rPr>
            </w:pPr>
            <w:r w:rsidRPr="00AC1CDE">
              <w:rPr>
                <w:sz w:val="22"/>
                <w:szCs w:val="18"/>
              </w:rPr>
              <w:t>381</w:t>
            </w:r>
          </w:p>
        </w:tc>
      </w:tr>
      <w:tr w:rsidR="003B4C68" w:rsidRPr="00286C0E" w:rsidTr="009B313D">
        <w:trPr>
          <w:trHeight w:val="253"/>
        </w:trPr>
        <w:tc>
          <w:tcPr>
            <w:tcW w:w="4021" w:type="dxa"/>
            <w:tcBorders>
              <w:top w:val="nil"/>
              <w:left w:val="single" w:sz="4" w:space="0" w:color="auto"/>
              <w:bottom w:val="nil"/>
              <w:right w:val="nil"/>
            </w:tcBorders>
            <w:shd w:val="clear" w:color="auto" w:fill="auto"/>
            <w:noWrap/>
            <w:vAlign w:val="bottom"/>
            <w:hideMark/>
          </w:tcPr>
          <w:p w:rsidR="003B4C68" w:rsidRPr="00AC1CDE" w:rsidRDefault="003B4C68" w:rsidP="00975DE4">
            <w:pPr>
              <w:rPr>
                <w:sz w:val="22"/>
                <w:szCs w:val="18"/>
              </w:rPr>
            </w:pPr>
          </w:p>
        </w:tc>
        <w:tc>
          <w:tcPr>
            <w:tcW w:w="2053" w:type="dxa"/>
            <w:tcBorders>
              <w:top w:val="nil"/>
              <w:left w:val="single" w:sz="4" w:space="0" w:color="auto"/>
              <w:bottom w:val="nil"/>
              <w:right w:val="single" w:sz="4" w:space="0" w:color="auto"/>
            </w:tcBorders>
            <w:shd w:val="clear" w:color="auto" w:fill="auto"/>
            <w:noWrap/>
            <w:vAlign w:val="bottom"/>
            <w:hideMark/>
          </w:tcPr>
          <w:p w:rsidR="003B4C68" w:rsidRPr="00AC1CDE" w:rsidRDefault="003B4C68" w:rsidP="003856D5">
            <w:pPr>
              <w:jc w:val="right"/>
              <w:rPr>
                <w:sz w:val="22"/>
                <w:szCs w:val="18"/>
              </w:rPr>
            </w:pPr>
          </w:p>
        </w:tc>
        <w:tc>
          <w:tcPr>
            <w:tcW w:w="1984" w:type="dxa"/>
            <w:tcBorders>
              <w:top w:val="nil"/>
              <w:left w:val="nil"/>
              <w:bottom w:val="nil"/>
              <w:right w:val="single" w:sz="4" w:space="0" w:color="auto"/>
            </w:tcBorders>
            <w:shd w:val="clear" w:color="auto" w:fill="auto"/>
            <w:noWrap/>
            <w:vAlign w:val="bottom"/>
            <w:hideMark/>
          </w:tcPr>
          <w:p w:rsidR="003B4C68" w:rsidRPr="00AC1CDE" w:rsidRDefault="003B4C68" w:rsidP="003B4C68">
            <w:pPr>
              <w:jc w:val="right"/>
              <w:rPr>
                <w:sz w:val="22"/>
                <w:szCs w:val="18"/>
              </w:rPr>
            </w:pPr>
          </w:p>
        </w:tc>
      </w:tr>
      <w:tr w:rsidR="003B4C68" w:rsidRPr="00286C0E" w:rsidTr="009B313D">
        <w:trPr>
          <w:trHeight w:val="253"/>
        </w:trPr>
        <w:tc>
          <w:tcPr>
            <w:tcW w:w="4021" w:type="dxa"/>
            <w:tcBorders>
              <w:top w:val="nil"/>
              <w:left w:val="single" w:sz="4" w:space="0" w:color="auto"/>
              <w:bottom w:val="nil"/>
              <w:right w:val="nil"/>
            </w:tcBorders>
            <w:shd w:val="clear" w:color="auto" w:fill="auto"/>
            <w:noWrap/>
            <w:vAlign w:val="bottom"/>
            <w:hideMark/>
          </w:tcPr>
          <w:p w:rsidR="003B4C68" w:rsidRPr="00AC1CDE" w:rsidRDefault="003B4C68" w:rsidP="00975DE4">
            <w:pPr>
              <w:rPr>
                <w:sz w:val="22"/>
                <w:szCs w:val="18"/>
              </w:rPr>
            </w:pPr>
            <w:r w:rsidRPr="00AC1CDE">
              <w:rPr>
                <w:sz w:val="22"/>
                <w:szCs w:val="18"/>
              </w:rPr>
              <w:t>Other Charges</w:t>
            </w:r>
          </w:p>
        </w:tc>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3B4C68" w:rsidRPr="00AC1CDE" w:rsidRDefault="00AC1CDE" w:rsidP="003856D5">
            <w:pPr>
              <w:jc w:val="right"/>
              <w:rPr>
                <w:sz w:val="22"/>
                <w:szCs w:val="18"/>
              </w:rPr>
            </w:pPr>
            <w:r w:rsidRPr="00AC1CDE">
              <w:rPr>
                <w:sz w:val="22"/>
                <w:szCs w:val="18"/>
              </w:rPr>
              <w:t>-</w:t>
            </w:r>
          </w:p>
        </w:tc>
        <w:tc>
          <w:tcPr>
            <w:tcW w:w="1984" w:type="dxa"/>
            <w:tcBorders>
              <w:top w:val="nil"/>
              <w:left w:val="nil"/>
              <w:bottom w:val="single" w:sz="4" w:space="0" w:color="auto"/>
              <w:right w:val="single" w:sz="4" w:space="0" w:color="auto"/>
            </w:tcBorders>
            <w:shd w:val="clear" w:color="auto" w:fill="auto"/>
            <w:noWrap/>
            <w:vAlign w:val="bottom"/>
            <w:hideMark/>
          </w:tcPr>
          <w:p w:rsidR="003B4C68" w:rsidRPr="00AC1CDE" w:rsidRDefault="003B4C68" w:rsidP="003B4C68">
            <w:pPr>
              <w:jc w:val="right"/>
              <w:rPr>
                <w:sz w:val="22"/>
                <w:szCs w:val="18"/>
              </w:rPr>
            </w:pPr>
            <w:r w:rsidRPr="00AC1CDE">
              <w:rPr>
                <w:sz w:val="22"/>
                <w:szCs w:val="18"/>
              </w:rPr>
              <w:t>(14)</w:t>
            </w:r>
          </w:p>
        </w:tc>
      </w:tr>
      <w:tr w:rsidR="003B4C68" w:rsidRPr="00286C0E" w:rsidTr="009B313D">
        <w:trPr>
          <w:trHeight w:val="268"/>
        </w:trPr>
        <w:tc>
          <w:tcPr>
            <w:tcW w:w="4021" w:type="dxa"/>
            <w:tcBorders>
              <w:top w:val="single" w:sz="4" w:space="0" w:color="auto"/>
              <w:left w:val="single" w:sz="4" w:space="0" w:color="auto"/>
              <w:bottom w:val="double" w:sz="6" w:space="0" w:color="auto"/>
              <w:right w:val="nil"/>
            </w:tcBorders>
            <w:shd w:val="clear" w:color="auto" w:fill="auto"/>
            <w:noWrap/>
            <w:vAlign w:val="bottom"/>
            <w:hideMark/>
          </w:tcPr>
          <w:p w:rsidR="003B4C68" w:rsidRPr="00AC1CDE" w:rsidRDefault="003B4C68" w:rsidP="00975DE4">
            <w:pPr>
              <w:rPr>
                <w:b/>
                <w:bCs/>
                <w:sz w:val="22"/>
                <w:szCs w:val="18"/>
              </w:rPr>
            </w:pPr>
            <w:r w:rsidRPr="00AC1CDE">
              <w:rPr>
                <w:b/>
                <w:bCs/>
                <w:sz w:val="22"/>
                <w:szCs w:val="18"/>
              </w:rPr>
              <w:t>Balance at end of year:</w:t>
            </w:r>
          </w:p>
        </w:tc>
        <w:tc>
          <w:tcPr>
            <w:tcW w:w="2053" w:type="dxa"/>
            <w:tcBorders>
              <w:top w:val="nil"/>
              <w:left w:val="single" w:sz="4" w:space="0" w:color="auto"/>
              <w:bottom w:val="double" w:sz="6" w:space="0" w:color="auto"/>
              <w:right w:val="single" w:sz="4" w:space="0" w:color="auto"/>
            </w:tcBorders>
            <w:shd w:val="clear" w:color="auto" w:fill="auto"/>
            <w:noWrap/>
            <w:vAlign w:val="bottom"/>
            <w:hideMark/>
          </w:tcPr>
          <w:p w:rsidR="003B4C68" w:rsidRPr="00AC1CDE" w:rsidRDefault="00AC1CDE" w:rsidP="003856D5">
            <w:pPr>
              <w:jc w:val="right"/>
              <w:rPr>
                <w:b/>
                <w:sz w:val="22"/>
                <w:szCs w:val="18"/>
              </w:rPr>
            </w:pPr>
            <w:r w:rsidRPr="00AC1CDE">
              <w:rPr>
                <w:b/>
                <w:sz w:val="22"/>
                <w:szCs w:val="18"/>
              </w:rPr>
              <w:t>5,482</w:t>
            </w:r>
          </w:p>
        </w:tc>
        <w:tc>
          <w:tcPr>
            <w:tcW w:w="1984" w:type="dxa"/>
            <w:tcBorders>
              <w:top w:val="nil"/>
              <w:left w:val="nil"/>
              <w:bottom w:val="double" w:sz="6" w:space="0" w:color="auto"/>
              <w:right w:val="single" w:sz="4" w:space="0" w:color="auto"/>
            </w:tcBorders>
            <w:shd w:val="clear" w:color="auto" w:fill="auto"/>
            <w:noWrap/>
            <w:vAlign w:val="bottom"/>
            <w:hideMark/>
          </w:tcPr>
          <w:p w:rsidR="003B4C68" w:rsidRPr="00AC1CDE" w:rsidRDefault="003B4C68" w:rsidP="003B4C68">
            <w:pPr>
              <w:jc w:val="right"/>
              <w:rPr>
                <w:b/>
                <w:sz w:val="22"/>
                <w:szCs w:val="18"/>
              </w:rPr>
            </w:pPr>
            <w:r w:rsidRPr="00AC1CDE">
              <w:rPr>
                <w:b/>
                <w:sz w:val="22"/>
                <w:szCs w:val="18"/>
              </w:rPr>
              <w:t>5,451</w:t>
            </w:r>
          </w:p>
        </w:tc>
      </w:tr>
    </w:tbl>
    <w:p w:rsidR="003D305C" w:rsidRPr="00286C0E" w:rsidRDefault="003D305C" w:rsidP="003D305C">
      <w:pPr>
        <w:tabs>
          <w:tab w:val="left" w:pos="1480"/>
        </w:tabs>
        <w:ind w:left="720"/>
        <w:rPr>
          <w:b/>
          <w:highlight w:val="yellow"/>
        </w:rPr>
      </w:pPr>
    </w:p>
    <w:p w:rsidR="000F31B4" w:rsidRPr="00286C0E" w:rsidRDefault="000F31B4" w:rsidP="003D305C">
      <w:pPr>
        <w:tabs>
          <w:tab w:val="left" w:pos="1480"/>
        </w:tabs>
        <w:ind w:left="720"/>
        <w:rPr>
          <w:b/>
          <w:highlight w:val="yellow"/>
        </w:rPr>
      </w:pPr>
    </w:p>
    <w:p w:rsidR="003D305C" w:rsidRPr="00286C0E" w:rsidRDefault="003D305C" w:rsidP="003D305C">
      <w:pPr>
        <w:tabs>
          <w:tab w:val="left" w:pos="1480"/>
        </w:tabs>
        <w:ind w:left="720"/>
        <w:rPr>
          <w:b/>
          <w:highlight w:val="yellow"/>
        </w:rPr>
      </w:pPr>
    </w:p>
    <w:p w:rsidR="00BD34DC" w:rsidRPr="00537C3C" w:rsidRDefault="00BD34DC" w:rsidP="00BD07E4">
      <w:pPr>
        <w:numPr>
          <w:ilvl w:val="0"/>
          <w:numId w:val="21"/>
        </w:numPr>
        <w:tabs>
          <w:tab w:val="left" w:pos="1480"/>
        </w:tabs>
        <w:rPr>
          <w:b/>
        </w:rPr>
      </w:pPr>
      <w:r w:rsidRPr="00537C3C">
        <w:rPr>
          <w:b/>
        </w:rPr>
        <w:t>Intangible Assets</w:t>
      </w:r>
    </w:p>
    <w:p w:rsidR="00BD34DC" w:rsidRPr="00537C3C" w:rsidRDefault="00BD34DC" w:rsidP="00BD34DC">
      <w:pPr>
        <w:ind w:left="720"/>
        <w:rPr>
          <w:b/>
          <w:color w:val="FF0000"/>
        </w:rPr>
      </w:pPr>
    </w:p>
    <w:p w:rsidR="00BD34DC" w:rsidRPr="00537C3C" w:rsidRDefault="00BD34DC" w:rsidP="00BD34DC">
      <w:pPr>
        <w:ind w:left="720"/>
        <w:jc w:val="both"/>
      </w:pPr>
      <w:r w:rsidRPr="00537C3C">
        <w:t>The authority accounts for its software as intangible assets, to the extent that the software is not an integral part of a particular IT system and accounted for as part of the hardware item of property, plant and equipment.  The intangible assets include both purchased licenses and internally generated software.</w:t>
      </w:r>
    </w:p>
    <w:p w:rsidR="00BD34DC" w:rsidRPr="00537C3C" w:rsidRDefault="00BD34DC" w:rsidP="00BD34DC">
      <w:pPr>
        <w:ind w:left="720"/>
        <w:jc w:val="both"/>
      </w:pPr>
    </w:p>
    <w:p w:rsidR="00BD34DC" w:rsidRPr="00537C3C" w:rsidRDefault="00BD34DC" w:rsidP="00BD34DC">
      <w:pPr>
        <w:ind w:left="720"/>
        <w:jc w:val="both"/>
      </w:pPr>
      <w:r w:rsidRPr="00537C3C">
        <w:t>All software is given a finite useful life, based on assessments of the period that the software is expected to be of use to the authority.  The useful lives assigned to the major software suites are:</w:t>
      </w:r>
    </w:p>
    <w:p w:rsidR="003444A1" w:rsidRPr="00537C3C" w:rsidRDefault="003444A1" w:rsidP="00BD34DC">
      <w:pPr>
        <w:ind w:left="720"/>
        <w:jc w:val="both"/>
      </w:pPr>
    </w:p>
    <w:p w:rsidR="003444A1" w:rsidRPr="00537C3C" w:rsidRDefault="003444A1" w:rsidP="00BD34DC">
      <w:pPr>
        <w:ind w:left="720"/>
        <w:jc w:val="both"/>
      </w:pPr>
    </w:p>
    <w:p w:rsidR="00BD34DC" w:rsidRPr="00537C3C" w:rsidRDefault="00BD34DC" w:rsidP="00BD34DC">
      <w:pPr>
        <w:ind w:left="720"/>
        <w:rPr>
          <w:sz w:val="22"/>
          <w:szCs w:val="22"/>
        </w:rPr>
      </w:pPr>
    </w:p>
    <w:tbl>
      <w:tblPr>
        <w:tblW w:w="9394" w:type="dxa"/>
        <w:tblInd w:w="855" w:type="dxa"/>
        <w:tblLook w:val="04A0"/>
      </w:tblPr>
      <w:tblGrid>
        <w:gridCol w:w="4195"/>
        <w:gridCol w:w="2586"/>
        <w:gridCol w:w="2613"/>
      </w:tblGrid>
      <w:tr w:rsidR="00BD34DC" w:rsidRPr="00537C3C" w:rsidTr="00975DE4">
        <w:trPr>
          <w:trHeight w:val="274"/>
        </w:trPr>
        <w:tc>
          <w:tcPr>
            <w:tcW w:w="4195" w:type="dxa"/>
            <w:tcBorders>
              <w:top w:val="nil"/>
              <w:left w:val="nil"/>
              <w:bottom w:val="single" w:sz="4" w:space="0" w:color="auto"/>
              <w:right w:val="nil"/>
            </w:tcBorders>
            <w:shd w:val="clear" w:color="auto" w:fill="auto"/>
            <w:noWrap/>
            <w:vAlign w:val="bottom"/>
            <w:hideMark/>
          </w:tcPr>
          <w:p w:rsidR="00BD34DC" w:rsidRPr="00537C3C" w:rsidRDefault="00BD34DC" w:rsidP="00975DE4">
            <w:pPr>
              <w:rPr>
                <w:b/>
                <w:bCs/>
                <w:color w:val="FF0000"/>
                <w:sz w:val="22"/>
                <w:szCs w:val="22"/>
              </w:rPr>
            </w:pPr>
          </w:p>
        </w:tc>
        <w:tc>
          <w:tcPr>
            <w:tcW w:w="2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4DC" w:rsidRPr="00537C3C" w:rsidRDefault="00BD34DC" w:rsidP="007A0BA3">
            <w:pPr>
              <w:jc w:val="right"/>
              <w:rPr>
                <w:b/>
                <w:bCs/>
                <w:sz w:val="22"/>
                <w:szCs w:val="22"/>
              </w:rPr>
            </w:pPr>
            <w:r w:rsidRPr="00537C3C">
              <w:rPr>
                <w:b/>
                <w:bCs/>
                <w:sz w:val="22"/>
                <w:szCs w:val="22"/>
              </w:rPr>
              <w:t>Internally Generated</w:t>
            </w:r>
          </w:p>
          <w:p w:rsidR="0088186B" w:rsidRPr="00537C3C" w:rsidRDefault="0088186B" w:rsidP="007A0BA3">
            <w:pPr>
              <w:jc w:val="right"/>
              <w:rPr>
                <w:b/>
                <w:bCs/>
                <w:sz w:val="22"/>
                <w:szCs w:val="22"/>
              </w:rPr>
            </w:pPr>
            <w:r w:rsidRPr="00537C3C">
              <w:rPr>
                <w:b/>
                <w:bCs/>
                <w:sz w:val="22"/>
                <w:szCs w:val="22"/>
              </w:rPr>
              <w:t>£000</w:t>
            </w:r>
          </w:p>
        </w:tc>
        <w:tc>
          <w:tcPr>
            <w:tcW w:w="2613" w:type="dxa"/>
            <w:tcBorders>
              <w:top w:val="single" w:sz="4" w:space="0" w:color="auto"/>
              <w:left w:val="nil"/>
              <w:bottom w:val="single" w:sz="4" w:space="0" w:color="auto"/>
              <w:right w:val="single" w:sz="4" w:space="0" w:color="auto"/>
            </w:tcBorders>
            <w:shd w:val="clear" w:color="auto" w:fill="auto"/>
            <w:noWrap/>
            <w:vAlign w:val="bottom"/>
            <w:hideMark/>
          </w:tcPr>
          <w:p w:rsidR="00BD34DC" w:rsidRPr="00537C3C" w:rsidRDefault="00BD34DC" w:rsidP="007A0BA3">
            <w:pPr>
              <w:jc w:val="right"/>
              <w:rPr>
                <w:b/>
                <w:bCs/>
                <w:sz w:val="22"/>
                <w:szCs w:val="22"/>
              </w:rPr>
            </w:pPr>
            <w:r w:rsidRPr="00537C3C">
              <w:rPr>
                <w:b/>
                <w:bCs/>
                <w:sz w:val="22"/>
                <w:szCs w:val="22"/>
              </w:rPr>
              <w:t>Other</w:t>
            </w:r>
          </w:p>
          <w:p w:rsidR="0088186B" w:rsidRPr="00537C3C" w:rsidRDefault="0088186B" w:rsidP="007A0BA3">
            <w:pPr>
              <w:jc w:val="right"/>
              <w:rPr>
                <w:b/>
                <w:bCs/>
                <w:sz w:val="22"/>
                <w:szCs w:val="22"/>
              </w:rPr>
            </w:pPr>
            <w:r w:rsidRPr="00537C3C">
              <w:rPr>
                <w:b/>
                <w:bCs/>
                <w:sz w:val="22"/>
                <w:szCs w:val="22"/>
              </w:rPr>
              <w:t>£000</w:t>
            </w:r>
          </w:p>
        </w:tc>
      </w:tr>
      <w:tr w:rsidR="00BD34DC" w:rsidRPr="00537C3C" w:rsidTr="00975DE4">
        <w:trPr>
          <w:trHeight w:val="274"/>
        </w:trPr>
        <w:tc>
          <w:tcPr>
            <w:tcW w:w="4195" w:type="dxa"/>
            <w:tcBorders>
              <w:top w:val="single" w:sz="4" w:space="0" w:color="auto"/>
              <w:left w:val="single" w:sz="4" w:space="0" w:color="auto"/>
              <w:bottom w:val="nil"/>
              <w:right w:val="nil"/>
            </w:tcBorders>
            <w:shd w:val="clear" w:color="000000" w:fill="auto"/>
            <w:noWrap/>
            <w:vAlign w:val="bottom"/>
            <w:hideMark/>
          </w:tcPr>
          <w:p w:rsidR="00BD34DC" w:rsidRPr="00537C3C" w:rsidRDefault="00BD34DC" w:rsidP="00975DE4">
            <w:pPr>
              <w:rPr>
                <w:sz w:val="22"/>
                <w:szCs w:val="22"/>
              </w:rPr>
            </w:pPr>
            <w:r w:rsidRPr="00537C3C">
              <w:rPr>
                <w:sz w:val="22"/>
                <w:szCs w:val="22"/>
              </w:rPr>
              <w:t>3 years</w:t>
            </w:r>
          </w:p>
        </w:tc>
        <w:tc>
          <w:tcPr>
            <w:tcW w:w="2586" w:type="dxa"/>
            <w:tcBorders>
              <w:top w:val="single" w:sz="4" w:space="0" w:color="auto"/>
              <w:left w:val="single" w:sz="4" w:space="0" w:color="auto"/>
              <w:bottom w:val="nil"/>
              <w:right w:val="single" w:sz="4" w:space="0" w:color="auto"/>
            </w:tcBorders>
            <w:shd w:val="clear" w:color="auto" w:fill="auto"/>
            <w:noWrap/>
            <w:vAlign w:val="bottom"/>
            <w:hideMark/>
          </w:tcPr>
          <w:p w:rsidR="00BD34DC" w:rsidRPr="00537C3C" w:rsidRDefault="007A0BA3" w:rsidP="007A0BA3">
            <w:pPr>
              <w:jc w:val="right"/>
              <w:rPr>
                <w:sz w:val="22"/>
                <w:szCs w:val="22"/>
              </w:rPr>
            </w:pPr>
            <w:r w:rsidRPr="00537C3C">
              <w:rPr>
                <w:sz w:val="22"/>
                <w:szCs w:val="22"/>
              </w:rPr>
              <w:t>-</w:t>
            </w:r>
          </w:p>
        </w:tc>
        <w:tc>
          <w:tcPr>
            <w:tcW w:w="2613" w:type="dxa"/>
            <w:tcBorders>
              <w:top w:val="nil"/>
              <w:left w:val="nil"/>
              <w:bottom w:val="nil"/>
              <w:right w:val="single" w:sz="4" w:space="0" w:color="auto"/>
            </w:tcBorders>
            <w:shd w:val="clear" w:color="auto" w:fill="auto"/>
            <w:noWrap/>
            <w:vAlign w:val="bottom"/>
            <w:hideMark/>
          </w:tcPr>
          <w:p w:rsidR="00BD34DC" w:rsidRPr="00537C3C" w:rsidRDefault="00CC3B63" w:rsidP="007A0BA3">
            <w:pPr>
              <w:jc w:val="right"/>
              <w:rPr>
                <w:sz w:val="22"/>
                <w:szCs w:val="22"/>
              </w:rPr>
            </w:pPr>
            <w:r>
              <w:rPr>
                <w:sz w:val="22"/>
                <w:szCs w:val="22"/>
              </w:rPr>
              <w:t>-</w:t>
            </w:r>
          </w:p>
        </w:tc>
      </w:tr>
      <w:tr w:rsidR="00BD34DC" w:rsidRPr="00537C3C" w:rsidTr="00975DE4">
        <w:trPr>
          <w:trHeight w:val="274"/>
        </w:trPr>
        <w:tc>
          <w:tcPr>
            <w:tcW w:w="4195" w:type="dxa"/>
            <w:tcBorders>
              <w:top w:val="nil"/>
              <w:left w:val="single" w:sz="4" w:space="0" w:color="auto"/>
              <w:bottom w:val="nil"/>
              <w:right w:val="nil"/>
            </w:tcBorders>
            <w:shd w:val="clear" w:color="000000" w:fill="auto"/>
            <w:noWrap/>
            <w:vAlign w:val="bottom"/>
            <w:hideMark/>
          </w:tcPr>
          <w:p w:rsidR="00BD34DC" w:rsidRPr="00537C3C" w:rsidRDefault="00BD34DC" w:rsidP="00975DE4">
            <w:pPr>
              <w:rPr>
                <w:sz w:val="22"/>
                <w:szCs w:val="22"/>
              </w:rPr>
            </w:pPr>
            <w:r w:rsidRPr="00537C3C">
              <w:rPr>
                <w:sz w:val="22"/>
                <w:szCs w:val="22"/>
              </w:rPr>
              <w:t>5 years</w:t>
            </w:r>
          </w:p>
        </w:tc>
        <w:tc>
          <w:tcPr>
            <w:tcW w:w="2586" w:type="dxa"/>
            <w:tcBorders>
              <w:top w:val="nil"/>
              <w:left w:val="single" w:sz="4" w:space="0" w:color="auto"/>
              <w:bottom w:val="nil"/>
              <w:right w:val="single" w:sz="4" w:space="0" w:color="auto"/>
            </w:tcBorders>
            <w:shd w:val="clear" w:color="auto" w:fill="auto"/>
            <w:noWrap/>
            <w:vAlign w:val="bottom"/>
            <w:hideMark/>
          </w:tcPr>
          <w:p w:rsidR="00BD34DC" w:rsidRPr="00537C3C" w:rsidRDefault="007A0BA3" w:rsidP="007A0BA3">
            <w:pPr>
              <w:jc w:val="right"/>
              <w:rPr>
                <w:sz w:val="22"/>
                <w:szCs w:val="22"/>
              </w:rPr>
            </w:pPr>
            <w:r w:rsidRPr="00537C3C">
              <w:rPr>
                <w:sz w:val="22"/>
                <w:szCs w:val="22"/>
              </w:rPr>
              <w:t>-</w:t>
            </w:r>
          </w:p>
        </w:tc>
        <w:tc>
          <w:tcPr>
            <w:tcW w:w="2613" w:type="dxa"/>
            <w:tcBorders>
              <w:top w:val="nil"/>
              <w:left w:val="nil"/>
              <w:bottom w:val="nil"/>
              <w:right w:val="single" w:sz="4" w:space="0" w:color="auto"/>
            </w:tcBorders>
            <w:shd w:val="clear" w:color="auto" w:fill="auto"/>
            <w:noWrap/>
            <w:vAlign w:val="bottom"/>
            <w:hideMark/>
          </w:tcPr>
          <w:p w:rsidR="00BD34DC" w:rsidRPr="00537C3C" w:rsidRDefault="00CC3B63" w:rsidP="007A0BA3">
            <w:pPr>
              <w:jc w:val="right"/>
              <w:rPr>
                <w:sz w:val="22"/>
                <w:szCs w:val="22"/>
              </w:rPr>
            </w:pPr>
            <w:r>
              <w:rPr>
                <w:sz w:val="22"/>
                <w:szCs w:val="22"/>
              </w:rPr>
              <w:t>-</w:t>
            </w:r>
          </w:p>
        </w:tc>
      </w:tr>
      <w:tr w:rsidR="0088186B" w:rsidRPr="00537C3C" w:rsidTr="00975DE4">
        <w:trPr>
          <w:trHeight w:val="274"/>
        </w:trPr>
        <w:tc>
          <w:tcPr>
            <w:tcW w:w="4195" w:type="dxa"/>
            <w:tcBorders>
              <w:top w:val="nil"/>
              <w:left w:val="single" w:sz="4" w:space="0" w:color="auto"/>
              <w:bottom w:val="nil"/>
              <w:right w:val="nil"/>
            </w:tcBorders>
            <w:shd w:val="clear" w:color="000000" w:fill="auto"/>
            <w:noWrap/>
            <w:vAlign w:val="bottom"/>
            <w:hideMark/>
          </w:tcPr>
          <w:p w:rsidR="0088186B" w:rsidRPr="00537C3C" w:rsidRDefault="0088186B" w:rsidP="00975DE4">
            <w:pPr>
              <w:rPr>
                <w:sz w:val="22"/>
                <w:szCs w:val="22"/>
              </w:rPr>
            </w:pPr>
            <w:r w:rsidRPr="00537C3C">
              <w:rPr>
                <w:sz w:val="22"/>
                <w:szCs w:val="22"/>
              </w:rPr>
              <w:t>7 years</w:t>
            </w:r>
          </w:p>
        </w:tc>
        <w:tc>
          <w:tcPr>
            <w:tcW w:w="2586" w:type="dxa"/>
            <w:tcBorders>
              <w:top w:val="nil"/>
              <w:left w:val="single" w:sz="4" w:space="0" w:color="auto"/>
              <w:bottom w:val="nil"/>
              <w:right w:val="single" w:sz="4" w:space="0" w:color="auto"/>
            </w:tcBorders>
            <w:shd w:val="clear" w:color="auto" w:fill="auto"/>
            <w:noWrap/>
            <w:vAlign w:val="bottom"/>
            <w:hideMark/>
          </w:tcPr>
          <w:p w:rsidR="0088186B" w:rsidRPr="00537C3C" w:rsidRDefault="007D39BA" w:rsidP="007A0BA3">
            <w:pPr>
              <w:jc w:val="right"/>
              <w:rPr>
                <w:sz w:val="22"/>
                <w:szCs w:val="22"/>
              </w:rPr>
            </w:pPr>
            <w:r>
              <w:rPr>
                <w:sz w:val="22"/>
                <w:szCs w:val="22"/>
              </w:rPr>
              <w:t>12,721</w:t>
            </w:r>
          </w:p>
        </w:tc>
        <w:tc>
          <w:tcPr>
            <w:tcW w:w="2613" w:type="dxa"/>
            <w:tcBorders>
              <w:top w:val="nil"/>
              <w:left w:val="nil"/>
              <w:bottom w:val="nil"/>
              <w:right w:val="single" w:sz="4" w:space="0" w:color="auto"/>
            </w:tcBorders>
            <w:shd w:val="clear" w:color="auto" w:fill="auto"/>
            <w:noWrap/>
            <w:vAlign w:val="bottom"/>
            <w:hideMark/>
          </w:tcPr>
          <w:p w:rsidR="0088186B" w:rsidRPr="00537C3C" w:rsidRDefault="00CC3B63" w:rsidP="007A0BA3">
            <w:pPr>
              <w:jc w:val="right"/>
              <w:rPr>
                <w:sz w:val="22"/>
                <w:szCs w:val="22"/>
              </w:rPr>
            </w:pPr>
            <w:r>
              <w:rPr>
                <w:sz w:val="22"/>
                <w:szCs w:val="22"/>
              </w:rPr>
              <w:t>2,172</w:t>
            </w:r>
          </w:p>
        </w:tc>
      </w:tr>
      <w:tr w:rsidR="00BD34DC" w:rsidRPr="00286C0E" w:rsidTr="00975DE4">
        <w:trPr>
          <w:trHeight w:val="274"/>
        </w:trPr>
        <w:tc>
          <w:tcPr>
            <w:tcW w:w="4195" w:type="dxa"/>
            <w:tcBorders>
              <w:top w:val="nil"/>
              <w:left w:val="single" w:sz="4" w:space="0" w:color="auto"/>
              <w:bottom w:val="single" w:sz="4" w:space="0" w:color="auto"/>
              <w:right w:val="nil"/>
            </w:tcBorders>
            <w:shd w:val="clear" w:color="000000" w:fill="auto"/>
            <w:noWrap/>
            <w:vAlign w:val="bottom"/>
            <w:hideMark/>
          </w:tcPr>
          <w:p w:rsidR="00BD34DC" w:rsidRPr="00537C3C" w:rsidRDefault="00BD34DC" w:rsidP="00975DE4">
            <w:pPr>
              <w:rPr>
                <w:sz w:val="22"/>
                <w:szCs w:val="22"/>
              </w:rPr>
            </w:pPr>
            <w:r w:rsidRPr="00537C3C">
              <w:rPr>
                <w:sz w:val="22"/>
                <w:szCs w:val="22"/>
              </w:rPr>
              <w:t>10 years</w:t>
            </w:r>
          </w:p>
        </w:tc>
        <w:tc>
          <w:tcPr>
            <w:tcW w:w="2586" w:type="dxa"/>
            <w:tcBorders>
              <w:top w:val="nil"/>
              <w:left w:val="single" w:sz="4" w:space="0" w:color="auto"/>
              <w:bottom w:val="single" w:sz="4" w:space="0" w:color="auto"/>
              <w:right w:val="single" w:sz="4" w:space="0" w:color="auto"/>
            </w:tcBorders>
            <w:shd w:val="clear" w:color="auto" w:fill="auto"/>
            <w:noWrap/>
            <w:vAlign w:val="bottom"/>
            <w:hideMark/>
          </w:tcPr>
          <w:p w:rsidR="00BD34DC" w:rsidRPr="00537C3C" w:rsidRDefault="007A0BA3" w:rsidP="007A0BA3">
            <w:pPr>
              <w:jc w:val="right"/>
              <w:rPr>
                <w:sz w:val="22"/>
                <w:szCs w:val="22"/>
              </w:rPr>
            </w:pPr>
            <w:r w:rsidRPr="00537C3C">
              <w:rPr>
                <w:sz w:val="22"/>
                <w:szCs w:val="22"/>
              </w:rPr>
              <w:t>-</w:t>
            </w:r>
          </w:p>
        </w:tc>
        <w:tc>
          <w:tcPr>
            <w:tcW w:w="2613" w:type="dxa"/>
            <w:tcBorders>
              <w:top w:val="nil"/>
              <w:left w:val="nil"/>
              <w:bottom w:val="single" w:sz="4" w:space="0" w:color="auto"/>
              <w:right w:val="single" w:sz="4" w:space="0" w:color="auto"/>
            </w:tcBorders>
            <w:shd w:val="clear" w:color="auto" w:fill="auto"/>
            <w:noWrap/>
            <w:vAlign w:val="bottom"/>
            <w:hideMark/>
          </w:tcPr>
          <w:p w:rsidR="00BD34DC" w:rsidRPr="00537C3C" w:rsidRDefault="00CC3B63" w:rsidP="007A0BA3">
            <w:pPr>
              <w:jc w:val="right"/>
              <w:rPr>
                <w:sz w:val="22"/>
                <w:szCs w:val="22"/>
              </w:rPr>
            </w:pPr>
            <w:r>
              <w:rPr>
                <w:sz w:val="22"/>
                <w:szCs w:val="22"/>
              </w:rPr>
              <w:t>-</w:t>
            </w:r>
          </w:p>
        </w:tc>
      </w:tr>
    </w:tbl>
    <w:p w:rsidR="00BD34DC" w:rsidRPr="00DC3EB0" w:rsidRDefault="00BD34DC" w:rsidP="00BD34DC">
      <w:pPr>
        <w:ind w:left="720"/>
      </w:pPr>
    </w:p>
    <w:p w:rsidR="00BD34DC" w:rsidRPr="00DC3EB0" w:rsidRDefault="00BD34DC" w:rsidP="00BD34DC">
      <w:pPr>
        <w:ind w:left="720"/>
      </w:pPr>
      <w:r w:rsidRPr="00DC3EB0">
        <w:t>The movement on Intangible Asset balances during the year is as follows:</w:t>
      </w:r>
    </w:p>
    <w:p w:rsidR="00BD34DC" w:rsidRPr="00DC3EB0" w:rsidRDefault="00BD34DC" w:rsidP="00BD34DC">
      <w:pPr>
        <w:ind w:left="720"/>
      </w:pPr>
    </w:p>
    <w:tbl>
      <w:tblPr>
        <w:tblW w:w="11366" w:type="dxa"/>
        <w:tblLayout w:type="fixed"/>
        <w:tblLook w:val="04A0"/>
      </w:tblPr>
      <w:tblGrid>
        <w:gridCol w:w="3936"/>
        <w:gridCol w:w="1417"/>
        <w:gridCol w:w="992"/>
        <w:gridCol w:w="993"/>
        <w:gridCol w:w="1417"/>
        <w:gridCol w:w="992"/>
        <w:gridCol w:w="851"/>
        <w:gridCol w:w="56"/>
        <w:gridCol w:w="712"/>
      </w:tblGrid>
      <w:tr w:rsidR="00E668EB" w:rsidRPr="00DC3EB0" w:rsidTr="00090A03">
        <w:trPr>
          <w:gridAfter w:val="2"/>
          <w:wAfter w:w="768" w:type="dxa"/>
          <w:trHeight w:val="915"/>
        </w:trPr>
        <w:tc>
          <w:tcPr>
            <w:tcW w:w="3936" w:type="dxa"/>
            <w:tcBorders>
              <w:top w:val="nil"/>
              <w:left w:val="nil"/>
              <w:bottom w:val="nil"/>
              <w:right w:val="nil"/>
            </w:tcBorders>
            <w:shd w:val="clear" w:color="auto" w:fill="auto"/>
            <w:noWrap/>
            <w:vAlign w:val="bottom"/>
            <w:hideMark/>
          </w:tcPr>
          <w:p w:rsidR="00E668EB" w:rsidRPr="00DC3EB0" w:rsidRDefault="00E668EB" w:rsidP="00E668EB">
            <w:pPr>
              <w:rPr>
                <w:color w:val="000000"/>
              </w:rPr>
            </w:pPr>
          </w:p>
        </w:tc>
        <w:tc>
          <w:tcPr>
            <w:tcW w:w="3402" w:type="dxa"/>
            <w:gridSpan w:val="3"/>
            <w:tcBorders>
              <w:top w:val="nil"/>
              <w:left w:val="nil"/>
              <w:bottom w:val="single" w:sz="8" w:space="0" w:color="auto"/>
              <w:right w:val="nil"/>
            </w:tcBorders>
            <w:shd w:val="clear" w:color="auto" w:fill="auto"/>
            <w:vAlign w:val="center"/>
            <w:hideMark/>
          </w:tcPr>
          <w:p w:rsidR="00E668EB" w:rsidRPr="00DC3EB0" w:rsidRDefault="003B4C68" w:rsidP="003B4C68">
            <w:pPr>
              <w:jc w:val="center"/>
              <w:rPr>
                <w:b/>
                <w:bCs/>
                <w:color w:val="000000"/>
              </w:rPr>
            </w:pPr>
            <w:r w:rsidRPr="00DC3EB0">
              <w:rPr>
                <w:b/>
                <w:bCs/>
                <w:color w:val="000000"/>
              </w:rPr>
              <w:t>2011</w:t>
            </w:r>
            <w:r w:rsidR="00E668EB" w:rsidRPr="00DC3EB0">
              <w:rPr>
                <w:b/>
                <w:bCs/>
                <w:color w:val="000000"/>
              </w:rPr>
              <w:t>/1</w:t>
            </w:r>
            <w:r w:rsidRPr="00DC3EB0">
              <w:rPr>
                <w:b/>
                <w:bCs/>
                <w:color w:val="000000"/>
              </w:rPr>
              <w:t>2</w:t>
            </w:r>
          </w:p>
        </w:tc>
        <w:tc>
          <w:tcPr>
            <w:tcW w:w="3260" w:type="dxa"/>
            <w:gridSpan w:val="3"/>
            <w:tcBorders>
              <w:top w:val="nil"/>
              <w:left w:val="nil"/>
              <w:bottom w:val="single" w:sz="8" w:space="0" w:color="auto"/>
              <w:right w:val="nil"/>
            </w:tcBorders>
          </w:tcPr>
          <w:p w:rsidR="00E668EB" w:rsidRPr="00DC3EB0" w:rsidRDefault="00E668EB" w:rsidP="00E668EB">
            <w:pPr>
              <w:jc w:val="center"/>
              <w:rPr>
                <w:b/>
                <w:bCs/>
                <w:color w:val="000000"/>
              </w:rPr>
            </w:pPr>
          </w:p>
          <w:p w:rsidR="00E668EB" w:rsidRPr="00DC3EB0" w:rsidRDefault="003B4C68" w:rsidP="003B4C68">
            <w:pPr>
              <w:jc w:val="center"/>
              <w:rPr>
                <w:b/>
                <w:bCs/>
                <w:color w:val="000000"/>
              </w:rPr>
            </w:pPr>
            <w:r w:rsidRPr="00DC3EB0">
              <w:rPr>
                <w:b/>
                <w:bCs/>
                <w:color w:val="000000"/>
              </w:rPr>
              <w:t>2010</w:t>
            </w:r>
            <w:r w:rsidR="00E668EB" w:rsidRPr="00DC3EB0">
              <w:rPr>
                <w:b/>
                <w:bCs/>
                <w:color w:val="000000"/>
              </w:rPr>
              <w:t>/1</w:t>
            </w:r>
            <w:r w:rsidRPr="00DC3EB0">
              <w:rPr>
                <w:b/>
                <w:bCs/>
                <w:color w:val="000000"/>
              </w:rPr>
              <w:t>1</w:t>
            </w:r>
          </w:p>
        </w:tc>
      </w:tr>
      <w:tr w:rsidR="00E668EB" w:rsidRPr="00DC3EB0" w:rsidTr="00090A03">
        <w:trPr>
          <w:trHeight w:val="915"/>
        </w:trPr>
        <w:tc>
          <w:tcPr>
            <w:tcW w:w="3936" w:type="dxa"/>
            <w:tcBorders>
              <w:top w:val="nil"/>
              <w:left w:val="nil"/>
              <w:bottom w:val="nil"/>
              <w:right w:val="nil"/>
            </w:tcBorders>
            <w:shd w:val="clear" w:color="auto" w:fill="auto"/>
            <w:noWrap/>
            <w:vAlign w:val="bottom"/>
            <w:hideMark/>
          </w:tcPr>
          <w:p w:rsidR="00E668EB" w:rsidRPr="00DC3EB0" w:rsidRDefault="00E668EB" w:rsidP="00E668EB">
            <w:pPr>
              <w:rPr>
                <w:color w:val="000000"/>
              </w:rPr>
            </w:pPr>
          </w:p>
        </w:tc>
        <w:tc>
          <w:tcPr>
            <w:tcW w:w="1417" w:type="dxa"/>
            <w:tcBorders>
              <w:top w:val="nil"/>
              <w:left w:val="nil"/>
              <w:bottom w:val="single" w:sz="8" w:space="0" w:color="auto"/>
              <w:right w:val="nil"/>
            </w:tcBorders>
            <w:shd w:val="clear" w:color="auto" w:fill="auto"/>
            <w:vAlign w:val="center"/>
            <w:hideMark/>
          </w:tcPr>
          <w:p w:rsidR="00E668EB" w:rsidRPr="00DC3EB0" w:rsidRDefault="00E668EB" w:rsidP="003856D5">
            <w:pPr>
              <w:jc w:val="right"/>
              <w:rPr>
                <w:color w:val="000000"/>
              </w:rPr>
            </w:pPr>
            <w:r w:rsidRPr="00DC3EB0">
              <w:rPr>
                <w:color w:val="000000"/>
              </w:rPr>
              <w:t xml:space="preserve"> Internally Generated Assets </w:t>
            </w:r>
          </w:p>
        </w:tc>
        <w:tc>
          <w:tcPr>
            <w:tcW w:w="992" w:type="dxa"/>
            <w:tcBorders>
              <w:top w:val="nil"/>
              <w:left w:val="nil"/>
              <w:bottom w:val="single" w:sz="8" w:space="0" w:color="auto"/>
              <w:right w:val="nil"/>
            </w:tcBorders>
            <w:shd w:val="clear" w:color="auto" w:fill="auto"/>
            <w:vAlign w:val="center"/>
            <w:hideMark/>
          </w:tcPr>
          <w:p w:rsidR="00E668EB" w:rsidRPr="00DC3EB0" w:rsidRDefault="00E668EB" w:rsidP="003856D5">
            <w:pPr>
              <w:jc w:val="right"/>
              <w:rPr>
                <w:color w:val="000000"/>
              </w:rPr>
            </w:pPr>
            <w:r w:rsidRPr="00DC3EB0">
              <w:rPr>
                <w:color w:val="000000"/>
              </w:rPr>
              <w:t xml:space="preserve"> Other Assets </w:t>
            </w:r>
          </w:p>
        </w:tc>
        <w:tc>
          <w:tcPr>
            <w:tcW w:w="993" w:type="dxa"/>
            <w:tcBorders>
              <w:top w:val="nil"/>
              <w:left w:val="nil"/>
              <w:bottom w:val="single" w:sz="8" w:space="0" w:color="auto"/>
              <w:right w:val="single" w:sz="4" w:space="0" w:color="auto"/>
            </w:tcBorders>
            <w:shd w:val="clear" w:color="auto" w:fill="auto"/>
            <w:vAlign w:val="center"/>
            <w:hideMark/>
          </w:tcPr>
          <w:p w:rsidR="00E668EB" w:rsidRPr="00DC3EB0" w:rsidRDefault="00E668EB" w:rsidP="003856D5">
            <w:pPr>
              <w:jc w:val="right"/>
              <w:rPr>
                <w:b/>
                <w:bCs/>
                <w:color w:val="000000"/>
              </w:rPr>
            </w:pPr>
            <w:r w:rsidRPr="00DC3EB0">
              <w:rPr>
                <w:b/>
                <w:bCs/>
                <w:color w:val="000000"/>
              </w:rPr>
              <w:t xml:space="preserve"> Total </w:t>
            </w:r>
          </w:p>
        </w:tc>
        <w:tc>
          <w:tcPr>
            <w:tcW w:w="1417" w:type="dxa"/>
            <w:tcBorders>
              <w:top w:val="nil"/>
              <w:left w:val="single" w:sz="4" w:space="0" w:color="auto"/>
              <w:bottom w:val="single" w:sz="8" w:space="0" w:color="auto"/>
              <w:right w:val="nil"/>
            </w:tcBorders>
          </w:tcPr>
          <w:p w:rsidR="00E668EB" w:rsidRPr="00DC3EB0" w:rsidRDefault="00E668EB" w:rsidP="003856D5">
            <w:pPr>
              <w:jc w:val="right"/>
              <w:rPr>
                <w:b/>
                <w:bCs/>
                <w:color w:val="000000"/>
              </w:rPr>
            </w:pPr>
            <w:r w:rsidRPr="00DC3EB0">
              <w:rPr>
                <w:color w:val="000000"/>
              </w:rPr>
              <w:t>Internally Generated Assets</w:t>
            </w:r>
          </w:p>
        </w:tc>
        <w:tc>
          <w:tcPr>
            <w:tcW w:w="992" w:type="dxa"/>
            <w:tcBorders>
              <w:top w:val="nil"/>
              <w:left w:val="nil"/>
              <w:bottom w:val="single" w:sz="8" w:space="0" w:color="auto"/>
              <w:right w:val="nil"/>
            </w:tcBorders>
            <w:vAlign w:val="center"/>
          </w:tcPr>
          <w:p w:rsidR="00E668EB" w:rsidRPr="00DC3EB0" w:rsidRDefault="00E668EB" w:rsidP="00AC0E9A">
            <w:pPr>
              <w:jc w:val="right"/>
              <w:rPr>
                <w:color w:val="000000"/>
              </w:rPr>
            </w:pPr>
            <w:r w:rsidRPr="00DC3EB0">
              <w:rPr>
                <w:color w:val="000000"/>
              </w:rPr>
              <w:t>Other Assets</w:t>
            </w:r>
          </w:p>
        </w:tc>
        <w:tc>
          <w:tcPr>
            <w:tcW w:w="907" w:type="dxa"/>
            <w:gridSpan w:val="2"/>
            <w:tcBorders>
              <w:top w:val="nil"/>
              <w:left w:val="nil"/>
              <w:bottom w:val="single" w:sz="8" w:space="0" w:color="auto"/>
              <w:right w:val="nil"/>
            </w:tcBorders>
            <w:vAlign w:val="center"/>
          </w:tcPr>
          <w:p w:rsidR="00E668EB" w:rsidRPr="00DC3EB0" w:rsidRDefault="00E668EB" w:rsidP="003856D5">
            <w:pPr>
              <w:jc w:val="right"/>
              <w:rPr>
                <w:b/>
                <w:bCs/>
                <w:color w:val="000000"/>
              </w:rPr>
            </w:pPr>
            <w:r w:rsidRPr="00DC3EB0">
              <w:rPr>
                <w:b/>
                <w:bCs/>
                <w:color w:val="000000"/>
              </w:rPr>
              <w:t xml:space="preserve"> Total </w:t>
            </w:r>
          </w:p>
        </w:tc>
        <w:tc>
          <w:tcPr>
            <w:tcW w:w="712" w:type="dxa"/>
          </w:tcPr>
          <w:p w:rsidR="00E668EB" w:rsidRPr="00DC3EB0" w:rsidRDefault="00E668EB" w:rsidP="00F55F6D">
            <w:pPr>
              <w:jc w:val="center"/>
              <w:rPr>
                <w:b/>
                <w:bCs/>
                <w:color w:val="000000"/>
              </w:rPr>
            </w:pPr>
          </w:p>
        </w:tc>
      </w:tr>
      <w:tr w:rsidR="009B313D" w:rsidRPr="00DC3EB0" w:rsidTr="00090A03">
        <w:trPr>
          <w:gridAfter w:val="1"/>
          <w:wAfter w:w="712" w:type="dxa"/>
          <w:trHeight w:val="315"/>
        </w:trPr>
        <w:tc>
          <w:tcPr>
            <w:tcW w:w="3936" w:type="dxa"/>
            <w:tcBorders>
              <w:top w:val="nil"/>
              <w:left w:val="nil"/>
              <w:bottom w:val="nil"/>
              <w:right w:val="nil"/>
            </w:tcBorders>
            <w:shd w:val="clear" w:color="auto" w:fill="auto"/>
            <w:noWrap/>
            <w:vAlign w:val="bottom"/>
            <w:hideMark/>
          </w:tcPr>
          <w:p w:rsidR="009B313D" w:rsidRPr="00DC3EB0" w:rsidRDefault="009B313D" w:rsidP="00E668EB">
            <w:pPr>
              <w:rPr>
                <w:b/>
                <w:bCs/>
                <w:color w:val="000000"/>
              </w:rPr>
            </w:pPr>
          </w:p>
        </w:tc>
        <w:tc>
          <w:tcPr>
            <w:tcW w:w="1417" w:type="dxa"/>
            <w:tcBorders>
              <w:top w:val="nil"/>
              <w:left w:val="nil"/>
              <w:bottom w:val="nil"/>
              <w:right w:val="nil"/>
            </w:tcBorders>
            <w:shd w:val="clear" w:color="auto" w:fill="auto"/>
            <w:noWrap/>
            <w:vAlign w:val="center"/>
            <w:hideMark/>
          </w:tcPr>
          <w:p w:rsidR="009B313D" w:rsidRPr="00DC3EB0" w:rsidRDefault="009B313D" w:rsidP="003856D5">
            <w:pPr>
              <w:jc w:val="right"/>
              <w:rPr>
                <w:color w:val="000000"/>
              </w:rPr>
            </w:pPr>
            <w:r w:rsidRPr="00DC3EB0">
              <w:rPr>
                <w:color w:val="000000"/>
              </w:rPr>
              <w:t>£000</w:t>
            </w:r>
          </w:p>
        </w:tc>
        <w:tc>
          <w:tcPr>
            <w:tcW w:w="992" w:type="dxa"/>
            <w:tcBorders>
              <w:top w:val="nil"/>
              <w:left w:val="nil"/>
              <w:bottom w:val="nil"/>
              <w:right w:val="nil"/>
            </w:tcBorders>
            <w:shd w:val="clear" w:color="auto" w:fill="auto"/>
            <w:noWrap/>
            <w:vAlign w:val="center"/>
            <w:hideMark/>
          </w:tcPr>
          <w:p w:rsidR="009B313D" w:rsidRPr="00DC3EB0" w:rsidRDefault="009B313D" w:rsidP="003856D5">
            <w:pPr>
              <w:jc w:val="right"/>
              <w:rPr>
                <w:color w:val="000000"/>
              </w:rPr>
            </w:pPr>
            <w:r w:rsidRPr="00DC3EB0">
              <w:rPr>
                <w:color w:val="000000"/>
              </w:rPr>
              <w:t>£000</w:t>
            </w:r>
          </w:p>
        </w:tc>
        <w:tc>
          <w:tcPr>
            <w:tcW w:w="993" w:type="dxa"/>
            <w:tcBorders>
              <w:top w:val="nil"/>
              <w:left w:val="nil"/>
              <w:bottom w:val="nil"/>
              <w:right w:val="single" w:sz="4" w:space="0" w:color="auto"/>
            </w:tcBorders>
            <w:shd w:val="clear" w:color="auto" w:fill="auto"/>
            <w:noWrap/>
            <w:vAlign w:val="center"/>
            <w:hideMark/>
          </w:tcPr>
          <w:p w:rsidR="009B313D" w:rsidRPr="00DC3EB0" w:rsidRDefault="009B313D" w:rsidP="003856D5">
            <w:pPr>
              <w:jc w:val="right"/>
              <w:rPr>
                <w:color w:val="000000"/>
              </w:rPr>
            </w:pPr>
            <w:r w:rsidRPr="00DC3EB0">
              <w:rPr>
                <w:color w:val="000000"/>
              </w:rPr>
              <w:t>£000</w:t>
            </w:r>
          </w:p>
        </w:tc>
        <w:tc>
          <w:tcPr>
            <w:tcW w:w="1417" w:type="dxa"/>
            <w:tcBorders>
              <w:top w:val="nil"/>
              <w:left w:val="single" w:sz="4" w:space="0" w:color="auto"/>
              <w:bottom w:val="nil"/>
              <w:right w:val="nil"/>
            </w:tcBorders>
            <w:vAlign w:val="center"/>
          </w:tcPr>
          <w:p w:rsidR="009B313D" w:rsidRPr="00DC3EB0" w:rsidRDefault="009B313D" w:rsidP="003856D5">
            <w:pPr>
              <w:jc w:val="right"/>
              <w:rPr>
                <w:color w:val="000000"/>
              </w:rPr>
            </w:pPr>
            <w:r w:rsidRPr="00DC3EB0">
              <w:rPr>
                <w:color w:val="000000"/>
              </w:rPr>
              <w:t>£000</w:t>
            </w:r>
          </w:p>
        </w:tc>
        <w:tc>
          <w:tcPr>
            <w:tcW w:w="992" w:type="dxa"/>
            <w:tcBorders>
              <w:top w:val="nil"/>
              <w:left w:val="nil"/>
              <w:bottom w:val="nil"/>
              <w:right w:val="nil"/>
            </w:tcBorders>
            <w:vAlign w:val="center"/>
          </w:tcPr>
          <w:p w:rsidR="009B313D" w:rsidRPr="00DC3EB0" w:rsidRDefault="009B313D" w:rsidP="003856D5">
            <w:pPr>
              <w:jc w:val="right"/>
              <w:rPr>
                <w:color w:val="000000"/>
              </w:rPr>
            </w:pPr>
            <w:r w:rsidRPr="00DC3EB0">
              <w:rPr>
                <w:color w:val="000000"/>
              </w:rPr>
              <w:t>£000</w:t>
            </w:r>
          </w:p>
        </w:tc>
        <w:tc>
          <w:tcPr>
            <w:tcW w:w="907" w:type="dxa"/>
            <w:gridSpan w:val="2"/>
            <w:tcBorders>
              <w:top w:val="nil"/>
              <w:left w:val="nil"/>
              <w:bottom w:val="nil"/>
              <w:right w:val="nil"/>
            </w:tcBorders>
            <w:vAlign w:val="center"/>
          </w:tcPr>
          <w:p w:rsidR="009B313D" w:rsidRPr="00DC3EB0" w:rsidRDefault="009B313D" w:rsidP="003856D5">
            <w:pPr>
              <w:jc w:val="right"/>
              <w:rPr>
                <w:color w:val="000000"/>
              </w:rPr>
            </w:pPr>
            <w:r w:rsidRPr="00DC3EB0">
              <w:rPr>
                <w:color w:val="000000"/>
              </w:rPr>
              <w:t>£000</w:t>
            </w:r>
          </w:p>
        </w:tc>
      </w:tr>
      <w:tr w:rsidR="003B4C68" w:rsidRPr="00DC3EB0" w:rsidTr="00090A03">
        <w:trPr>
          <w:gridAfter w:val="1"/>
          <w:wAfter w:w="712" w:type="dxa"/>
          <w:trHeight w:val="315"/>
        </w:trPr>
        <w:tc>
          <w:tcPr>
            <w:tcW w:w="3936" w:type="dxa"/>
            <w:tcBorders>
              <w:top w:val="nil"/>
              <w:left w:val="nil"/>
              <w:bottom w:val="nil"/>
              <w:right w:val="nil"/>
            </w:tcBorders>
            <w:shd w:val="clear" w:color="auto" w:fill="auto"/>
            <w:noWrap/>
            <w:vAlign w:val="bottom"/>
            <w:hideMark/>
          </w:tcPr>
          <w:p w:rsidR="003B4C68" w:rsidRPr="00DC3EB0" w:rsidRDefault="00876D20" w:rsidP="00E668EB">
            <w:pPr>
              <w:rPr>
                <w:b/>
                <w:bCs/>
                <w:color w:val="000000"/>
              </w:rPr>
            </w:pPr>
            <w:r>
              <w:rPr>
                <w:b/>
                <w:bCs/>
                <w:color w:val="000000"/>
              </w:rPr>
              <w:t>Balance at 1</w:t>
            </w:r>
            <w:r w:rsidR="00286808" w:rsidRPr="00DC3EB0">
              <w:rPr>
                <w:b/>
                <w:bCs/>
                <w:color w:val="000000"/>
              </w:rPr>
              <w:t xml:space="preserve"> April 2011</w:t>
            </w:r>
            <w:r w:rsidR="003B4C68" w:rsidRPr="00DC3EB0">
              <w:rPr>
                <w:b/>
                <w:bCs/>
                <w:color w:val="000000"/>
              </w:rPr>
              <w:t>:</w:t>
            </w:r>
          </w:p>
        </w:tc>
        <w:tc>
          <w:tcPr>
            <w:tcW w:w="1417" w:type="dxa"/>
            <w:tcBorders>
              <w:top w:val="nil"/>
              <w:left w:val="nil"/>
              <w:bottom w:val="nil"/>
              <w:right w:val="nil"/>
            </w:tcBorders>
            <w:shd w:val="clear" w:color="auto" w:fill="auto"/>
            <w:noWrap/>
            <w:vAlign w:val="center"/>
            <w:hideMark/>
          </w:tcPr>
          <w:p w:rsidR="003B4C68" w:rsidRPr="00DC3EB0" w:rsidRDefault="003B4C68" w:rsidP="009B313D">
            <w:pPr>
              <w:jc w:val="right"/>
              <w:rPr>
                <w:color w:val="000000"/>
              </w:rPr>
            </w:pPr>
          </w:p>
        </w:tc>
        <w:tc>
          <w:tcPr>
            <w:tcW w:w="992" w:type="dxa"/>
            <w:tcBorders>
              <w:top w:val="nil"/>
              <w:left w:val="nil"/>
              <w:bottom w:val="nil"/>
              <w:right w:val="nil"/>
            </w:tcBorders>
            <w:shd w:val="clear" w:color="auto" w:fill="auto"/>
            <w:noWrap/>
            <w:vAlign w:val="center"/>
            <w:hideMark/>
          </w:tcPr>
          <w:p w:rsidR="003B4C68" w:rsidRPr="00DC3EB0" w:rsidRDefault="003B4C68" w:rsidP="009B313D">
            <w:pPr>
              <w:jc w:val="right"/>
              <w:rPr>
                <w:color w:val="000000"/>
              </w:rPr>
            </w:pPr>
          </w:p>
        </w:tc>
        <w:tc>
          <w:tcPr>
            <w:tcW w:w="993" w:type="dxa"/>
            <w:tcBorders>
              <w:top w:val="nil"/>
              <w:left w:val="nil"/>
              <w:bottom w:val="nil"/>
              <w:right w:val="single" w:sz="4" w:space="0" w:color="auto"/>
            </w:tcBorders>
            <w:shd w:val="clear" w:color="auto" w:fill="auto"/>
            <w:noWrap/>
            <w:vAlign w:val="center"/>
            <w:hideMark/>
          </w:tcPr>
          <w:p w:rsidR="003B4C68" w:rsidRPr="00DC3EB0" w:rsidRDefault="003B4C68" w:rsidP="009B313D">
            <w:pPr>
              <w:jc w:val="right"/>
              <w:rPr>
                <w:color w:val="000000"/>
              </w:rPr>
            </w:pPr>
          </w:p>
        </w:tc>
        <w:tc>
          <w:tcPr>
            <w:tcW w:w="1417" w:type="dxa"/>
            <w:tcBorders>
              <w:top w:val="nil"/>
              <w:left w:val="single" w:sz="4" w:space="0" w:color="auto"/>
              <w:bottom w:val="nil"/>
              <w:right w:val="nil"/>
            </w:tcBorders>
            <w:vAlign w:val="center"/>
          </w:tcPr>
          <w:p w:rsidR="003B4C68" w:rsidRPr="00DC3EB0" w:rsidRDefault="003B4C68" w:rsidP="009B313D">
            <w:pPr>
              <w:jc w:val="right"/>
              <w:rPr>
                <w:color w:val="000000"/>
              </w:rPr>
            </w:pPr>
          </w:p>
        </w:tc>
        <w:tc>
          <w:tcPr>
            <w:tcW w:w="992" w:type="dxa"/>
            <w:tcBorders>
              <w:top w:val="nil"/>
              <w:left w:val="nil"/>
              <w:bottom w:val="nil"/>
              <w:right w:val="nil"/>
            </w:tcBorders>
            <w:vAlign w:val="center"/>
          </w:tcPr>
          <w:p w:rsidR="003B4C68" w:rsidRPr="00DC3EB0" w:rsidRDefault="007535D9" w:rsidP="003B4C68">
            <w:pPr>
              <w:jc w:val="right"/>
              <w:rPr>
                <w:color w:val="000000"/>
              </w:rPr>
            </w:pPr>
            <w:r>
              <w:rPr>
                <w:color w:val="000000"/>
              </w:rPr>
              <w:t>237</w:t>
            </w:r>
          </w:p>
        </w:tc>
        <w:tc>
          <w:tcPr>
            <w:tcW w:w="907" w:type="dxa"/>
            <w:gridSpan w:val="2"/>
            <w:tcBorders>
              <w:top w:val="nil"/>
              <w:left w:val="nil"/>
              <w:bottom w:val="nil"/>
              <w:right w:val="nil"/>
            </w:tcBorders>
            <w:vAlign w:val="center"/>
          </w:tcPr>
          <w:p w:rsidR="003B4C68" w:rsidRPr="00DC3EB0" w:rsidRDefault="003B4C68" w:rsidP="003B4C68">
            <w:pPr>
              <w:jc w:val="right"/>
              <w:rPr>
                <w:color w:val="000000"/>
              </w:rPr>
            </w:pPr>
            <w:r w:rsidRPr="00DC3EB0">
              <w:rPr>
                <w:color w:val="000000"/>
              </w:rPr>
              <w:t>237</w:t>
            </w:r>
          </w:p>
        </w:tc>
      </w:tr>
      <w:tr w:rsidR="00D85330" w:rsidRPr="00DC3EB0" w:rsidTr="00090A03">
        <w:trPr>
          <w:gridAfter w:val="1"/>
          <w:wAfter w:w="712" w:type="dxa"/>
          <w:trHeight w:val="300"/>
        </w:trPr>
        <w:tc>
          <w:tcPr>
            <w:tcW w:w="3936" w:type="dxa"/>
            <w:tcBorders>
              <w:top w:val="nil"/>
              <w:left w:val="nil"/>
              <w:bottom w:val="nil"/>
              <w:right w:val="nil"/>
            </w:tcBorders>
            <w:shd w:val="clear" w:color="auto" w:fill="auto"/>
            <w:noWrap/>
            <w:vAlign w:val="bottom"/>
            <w:hideMark/>
          </w:tcPr>
          <w:p w:rsidR="00D85330" w:rsidRPr="00DC3EB0" w:rsidRDefault="00D85330" w:rsidP="00E668EB">
            <w:pPr>
              <w:ind w:firstLineChars="300" w:firstLine="720"/>
              <w:rPr>
                <w:color w:val="000000"/>
              </w:rPr>
            </w:pPr>
            <w:r w:rsidRPr="00DC3EB0">
              <w:rPr>
                <w:color w:val="000000"/>
              </w:rPr>
              <w:t>Gross Carrying Amount</w:t>
            </w:r>
          </w:p>
        </w:tc>
        <w:tc>
          <w:tcPr>
            <w:tcW w:w="1417" w:type="dxa"/>
            <w:tcBorders>
              <w:top w:val="nil"/>
              <w:left w:val="nil"/>
              <w:bottom w:val="nil"/>
              <w:right w:val="nil"/>
            </w:tcBorders>
            <w:shd w:val="clear" w:color="auto" w:fill="auto"/>
            <w:noWrap/>
            <w:vAlign w:val="center"/>
            <w:hideMark/>
          </w:tcPr>
          <w:p w:rsidR="00D85330" w:rsidRPr="00DC3EB0" w:rsidRDefault="00D85330" w:rsidP="009B313D">
            <w:pPr>
              <w:jc w:val="right"/>
              <w:rPr>
                <w:color w:val="000000"/>
              </w:rPr>
            </w:pPr>
          </w:p>
        </w:tc>
        <w:tc>
          <w:tcPr>
            <w:tcW w:w="992" w:type="dxa"/>
            <w:tcBorders>
              <w:top w:val="nil"/>
              <w:left w:val="nil"/>
              <w:bottom w:val="nil"/>
              <w:right w:val="nil"/>
            </w:tcBorders>
            <w:shd w:val="clear" w:color="auto" w:fill="auto"/>
            <w:noWrap/>
            <w:vAlign w:val="center"/>
            <w:hideMark/>
          </w:tcPr>
          <w:p w:rsidR="00D85330" w:rsidRPr="00DC3EB0" w:rsidRDefault="00090A03" w:rsidP="009B313D">
            <w:pPr>
              <w:jc w:val="right"/>
              <w:rPr>
                <w:color w:val="000000"/>
              </w:rPr>
            </w:pPr>
            <w:r w:rsidRPr="00DC3EB0">
              <w:rPr>
                <w:color w:val="000000"/>
              </w:rPr>
              <w:t>2,172</w:t>
            </w:r>
          </w:p>
        </w:tc>
        <w:tc>
          <w:tcPr>
            <w:tcW w:w="993" w:type="dxa"/>
            <w:tcBorders>
              <w:top w:val="nil"/>
              <w:left w:val="nil"/>
              <w:bottom w:val="nil"/>
              <w:right w:val="single" w:sz="4" w:space="0" w:color="auto"/>
            </w:tcBorders>
            <w:shd w:val="clear" w:color="auto" w:fill="auto"/>
            <w:noWrap/>
            <w:vAlign w:val="center"/>
            <w:hideMark/>
          </w:tcPr>
          <w:p w:rsidR="00D85330" w:rsidRPr="00DC3EB0" w:rsidRDefault="00286808" w:rsidP="00D85330">
            <w:pPr>
              <w:jc w:val="right"/>
              <w:rPr>
                <w:color w:val="000000"/>
              </w:rPr>
            </w:pPr>
            <w:r w:rsidRPr="00DC3EB0">
              <w:rPr>
                <w:color w:val="000000"/>
              </w:rPr>
              <w:t>2,172</w:t>
            </w:r>
          </w:p>
        </w:tc>
        <w:tc>
          <w:tcPr>
            <w:tcW w:w="1417" w:type="dxa"/>
            <w:tcBorders>
              <w:top w:val="nil"/>
              <w:left w:val="single" w:sz="4" w:space="0" w:color="auto"/>
              <w:bottom w:val="nil"/>
              <w:right w:val="nil"/>
            </w:tcBorders>
            <w:vAlign w:val="center"/>
          </w:tcPr>
          <w:p w:rsidR="00D85330" w:rsidRPr="00DC3EB0" w:rsidRDefault="00D85330" w:rsidP="009B313D">
            <w:pPr>
              <w:jc w:val="right"/>
              <w:rPr>
                <w:color w:val="000000"/>
              </w:rPr>
            </w:pPr>
          </w:p>
        </w:tc>
        <w:tc>
          <w:tcPr>
            <w:tcW w:w="992" w:type="dxa"/>
            <w:tcBorders>
              <w:top w:val="nil"/>
              <w:left w:val="nil"/>
              <w:bottom w:val="nil"/>
              <w:right w:val="nil"/>
            </w:tcBorders>
            <w:vAlign w:val="center"/>
          </w:tcPr>
          <w:p w:rsidR="00D85330" w:rsidRPr="00DC3EB0" w:rsidRDefault="00D85330" w:rsidP="003B4C68">
            <w:pPr>
              <w:jc w:val="right"/>
              <w:rPr>
                <w:color w:val="000000"/>
              </w:rPr>
            </w:pPr>
          </w:p>
        </w:tc>
        <w:tc>
          <w:tcPr>
            <w:tcW w:w="907" w:type="dxa"/>
            <w:gridSpan w:val="2"/>
            <w:tcBorders>
              <w:top w:val="nil"/>
              <w:left w:val="nil"/>
              <w:bottom w:val="nil"/>
              <w:right w:val="nil"/>
            </w:tcBorders>
            <w:vAlign w:val="center"/>
          </w:tcPr>
          <w:p w:rsidR="00D85330" w:rsidRPr="00DC3EB0" w:rsidRDefault="00D85330" w:rsidP="003B4C68">
            <w:pPr>
              <w:jc w:val="right"/>
              <w:rPr>
                <w:color w:val="000000"/>
              </w:rPr>
            </w:pPr>
          </w:p>
        </w:tc>
      </w:tr>
      <w:tr w:rsidR="00D85330" w:rsidRPr="00DC3EB0" w:rsidTr="00090A03">
        <w:trPr>
          <w:gridAfter w:val="1"/>
          <w:wAfter w:w="712" w:type="dxa"/>
          <w:trHeight w:val="300"/>
        </w:trPr>
        <w:tc>
          <w:tcPr>
            <w:tcW w:w="3936" w:type="dxa"/>
            <w:tcBorders>
              <w:top w:val="nil"/>
              <w:left w:val="nil"/>
              <w:bottom w:val="nil"/>
              <w:right w:val="nil"/>
            </w:tcBorders>
            <w:shd w:val="clear" w:color="auto" w:fill="auto"/>
            <w:noWrap/>
            <w:vAlign w:val="bottom"/>
            <w:hideMark/>
          </w:tcPr>
          <w:p w:rsidR="00D85330" w:rsidRPr="00DC3EB0" w:rsidRDefault="00D85330" w:rsidP="00E668EB">
            <w:pPr>
              <w:ind w:firstLineChars="300" w:firstLine="720"/>
              <w:rPr>
                <w:color w:val="000000"/>
              </w:rPr>
            </w:pPr>
            <w:r w:rsidRPr="00DC3EB0">
              <w:rPr>
                <w:color w:val="000000"/>
              </w:rPr>
              <w:t>Accumulated Amortisation</w:t>
            </w:r>
          </w:p>
        </w:tc>
        <w:tc>
          <w:tcPr>
            <w:tcW w:w="1417" w:type="dxa"/>
            <w:tcBorders>
              <w:top w:val="nil"/>
              <w:left w:val="nil"/>
              <w:bottom w:val="nil"/>
              <w:right w:val="nil"/>
            </w:tcBorders>
            <w:shd w:val="clear" w:color="auto" w:fill="auto"/>
            <w:noWrap/>
            <w:vAlign w:val="center"/>
            <w:hideMark/>
          </w:tcPr>
          <w:p w:rsidR="00D85330" w:rsidRPr="00DC3EB0" w:rsidRDefault="00D85330" w:rsidP="009B313D">
            <w:pPr>
              <w:jc w:val="right"/>
              <w:rPr>
                <w:color w:val="000000"/>
              </w:rPr>
            </w:pPr>
          </w:p>
        </w:tc>
        <w:tc>
          <w:tcPr>
            <w:tcW w:w="992" w:type="dxa"/>
            <w:tcBorders>
              <w:top w:val="nil"/>
              <w:left w:val="nil"/>
              <w:bottom w:val="nil"/>
              <w:right w:val="nil"/>
            </w:tcBorders>
            <w:shd w:val="clear" w:color="auto" w:fill="auto"/>
            <w:noWrap/>
            <w:vAlign w:val="center"/>
            <w:hideMark/>
          </w:tcPr>
          <w:p w:rsidR="00D85330" w:rsidRPr="00DC3EB0" w:rsidRDefault="00090A03" w:rsidP="009B313D">
            <w:pPr>
              <w:jc w:val="right"/>
              <w:rPr>
                <w:color w:val="000000"/>
              </w:rPr>
            </w:pPr>
            <w:r w:rsidRPr="00DC3EB0">
              <w:rPr>
                <w:color w:val="000000"/>
              </w:rPr>
              <w:t>559</w:t>
            </w:r>
          </w:p>
        </w:tc>
        <w:tc>
          <w:tcPr>
            <w:tcW w:w="993" w:type="dxa"/>
            <w:tcBorders>
              <w:top w:val="nil"/>
              <w:left w:val="nil"/>
              <w:bottom w:val="nil"/>
              <w:right w:val="single" w:sz="4" w:space="0" w:color="auto"/>
            </w:tcBorders>
            <w:shd w:val="clear" w:color="auto" w:fill="auto"/>
            <w:noWrap/>
            <w:vAlign w:val="center"/>
            <w:hideMark/>
          </w:tcPr>
          <w:p w:rsidR="00D85330" w:rsidRPr="00DC3EB0" w:rsidRDefault="00286808" w:rsidP="00D85330">
            <w:pPr>
              <w:jc w:val="right"/>
              <w:rPr>
                <w:color w:val="000000"/>
              </w:rPr>
            </w:pPr>
            <w:r w:rsidRPr="00DC3EB0">
              <w:rPr>
                <w:color w:val="000000"/>
              </w:rPr>
              <w:t>559</w:t>
            </w:r>
          </w:p>
        </w:tc>
        <w:tc>
          <w:tcPr>
            <w:tcW w:w="1417" w:type="dxa"/>
            <w:tcBorders>
              <w:top w:val="nil"/>
              <w:left w:val="single" w:sz="4" w:space="0" w:color="auto"/>
              <w:bottom w:val="nil"/>
              <w:right w:val="nil"/>
            </w:tcBorders>
            <w:vAlign w:val="center"/>
          </w:tcPr>
          <w:p w:rsidR="00D85330" w:rsidRPr="00DC3EB0" w:rsidRDefault="00D85330" w:rsidP="009B313D">
            <w:pPr>
              <w:jc w:val="right"/>
              <w:rPr>
                <w:color w:val="000000"/>
              </w:rPr>
            </w:pPr>
            <w:r w:rsidRPr="00DC3EB0">
              <w:rPr>
                <w:color w:val="000000"/>
              </w:rPr>
              <w:t>-</w:t>
            </w:r>
          </w:p>
        </w:tc>
        <w:tc>
          <w:tcPr>
            <w:tcW w:w="992" w:type="dxa"/>
            <w:tcBorders>
              <w:top w:val="nil"/>
              <w:left w:val="nil"/>
              <w:bottom w:val="nil"/>
              <w:right w:val="nil"/>
            </w:tcBorders>
            <w:vAlign w:val="center"/>
          </w:tcPr>
          <w:p w:rsidR="00D85330" w:rsidRPr="00DC3EB0" w:rsidRDefault="007535D9" w:rsidP="00FF065C">
            <w:pPr>
              <w:jc w:val="right"/>
              <w:rPr>
                <w:color w:val="000000"/>
              </w:rPr>
            </w:pPr>
            <w:r>
              <w:rPr>
                <w:color w:val="000000"/>
              </w:rPr>
              <w:t>-</w:t>
            </w:r>
          </w:p>
        </w:tc>
        <w:tc>
          <w:tcPr>
            <w:tcW w:w="907" w:type="dxa"/>
            <w:gridSpan w:val="2"/>
            <w:tcBorders>
              <w:top w:val="nil"/>
              <w:left w:val="nil"/>
              <w:bottom w:val="nil"/>
              <w:right w:val="nil"/>
            </w:tcBorders>
            <w:vAlign w:val="center"/>
          </w:tcPr>
          <w:p w:rsidR="00D85330" w:rsidRPr="00DC3EB0" w:rsidRDefault="007535D9" w:rsidP="00FF065C">
            <w:pPr>
              <w:jc w:val="right"/>
              <w:rPr>
                <w:color w:val="000000"/>
              </w:rPr>
            </w:pPr>
            <w:r>
              <w:rPr>
                <w:color w:val="000000"/>
              </w:rPr>
              <w:t>-</w:t>
            </w:r>
          </w:p>
        </w:tc>
      </w:tr>
      <w:tr w:rsidR="00D85330" w:rsidRPr="00DC3EB0" w:rsidTr="00090A03">
        <w:trPr>
          <w:gridAfter w:val="1"/>
          <w:wAfter w:w="712" w:type="dxa"/>
          <w:trHeight w:val="300"/>
        </w:trPr>
        <w:tc>
          <w:tcPr>
            <w:tcW w:w="3936" w:type="dxa"/>
            <w:tcBorders>
              <w:top w:val="nil"/>
              <w:left w:val="nil"/>
              <w:bottom w:val="nil"/>
              <w:right w:val="nil"/>
            </w:tcBorders>
            <w:shd w:val="clear" w:color="auto" w:fill="auto"/>
            <w:noWrap/>
            <w:vAlign w:val="bottom"/>
            <w:hideMark/>
          </w:tcPr>
          <w:p w:rsidR="00D85330" w:rsidRPr="00DC3EB0" w:rsidRDefault="00D85330" w:rsidP="00E668EB">
            <w:pPr>
              <w:rPr>
                <w:color w:val="000000"/>
              </w:rPr>
            </w:pPr>
          </w:p>
        </w:tc>
        <w:tc>
          <w:tcPr>
            <w:tcW w:w="1417" w:type="dxa"/>
            <w:tcBorders>
              <w:top w:val="nil"/>
              <w:left w:val="nil"/>
              <w:bottom w:val="nil"/>
              <w:right w:val="nil"/>
            </w:tcBorders>
            <w:shd w:val="clear" w:color="auto" w:fill="auto"/>
            <w:noWrap/>
            <w:vAlign w:val="center"/>
            <w:hideMark/>
          </w:tcPr>
          <w:p w:rsidR="00D85330" w:rsidRPr="00DC3EB0" w:rsidRDefault="00D85330" w:rsidP="009B313D">
            <w:pPr>
              <w:jc w:val="right"/>
              <w:rPr>
                <w:color w:val="000000"/>
              </w:rPr>
            </w:pPr>
          </w:p>
        </w:tc>
        <w:tc>
          <w:tcPr>
            <w:tcW w:w="992" w:type="dxa"/>
            <w:tcBorders>
              <w:top w:val="nil"/>
              <w:left w:val="nil"/>
              <w:bottom w:val="nil"/>
              <w:right w:val="nil"/>
            </w:tcBorders>
            <w:shd w:val="clear" w:color="auto" w:fill="auto"/>
            <w:noWrap/>
            <w:vAlign w:val="center"/>
            <w:hideMark/>
          </w:tcPr>
          <w:p w:rsidR="00D85330" w:rsidRPr="00DC3EB0" w:rsidRDefault="00D85330" w:rsidP="009B313D">
            <w:pPr>
              <w:jc w:val="right"/>
              <w:rPr>
                <w:color w:val="000000"/>
              </w:rPr>
            </w:pPr>
          </w:p>
        </w:tc>
        <w:tc>
          <w:tcPr>
            <w:tcW w:w="993" w:type="dxa"/>
            <w:tcBorders>
              <w:top w:val="nil"/>
              <w:left w:val="nil"/>
              <w:bottom w:val="nil"/>
              <w:right w:val="single" w:sz="4" w:space="0" w:color="auto"/>
            </w:tcBorders>
            <w:shd w:val="clear" w:color="auto" w:fill="auto"/>
            <w:noWrap/>
            <w:vAlign w:val="center"/>
            <w:hideMark/>
          </w:tcPr>
          <w:p w:rsidR="00D85330" w:rsidRPr="00DC3EB0" w:rsidRDefault="00D85330" w:rsidP="00D85330">
            <w:pPr>
              <w:jc w:val="right"/>
              <w:rPr>
                <w:color w:val="000000"/>
              </w:rPr>
            </w:pPr>
          </w:p>
        </w:tc>
        <w:tc>
          <w:tcPr>
            <w:tcW w:w="1417" w:type="dxa"/>
            <w:tcBorders>
              <w:top w:val="nil"/>
              <w:left w:val="single" w:sz="4" w:space="0" w:color="auto"/>
              <w:bottom w:val="nil"/>
              <w:right w:val="nil"/>
            </w:tcBorders>
            <w:vAlign w:val="center"/>
          </w:tcPr>
          <w:p w:rsidR="00D85330" w:rsidRPr="00DC3EB0" w:rsidRDefault="00D85330" w:rsidP="009B313D">
            <w:pPr>
              <w:jc w:val="right"/>
              <w:rPr>
                <w:color w:val="000000"/>
              </w:rPr>
            </w:pPr>
          </w:p>
        </w:tc>
        <w:tc>
          <w:tcPr>
            <w:tcW w:w="992" w:type="dxa"/>
            <w:tcBorders>
              <w:top w:val="nil"/>
              <w:left w:val="nil"/>
              <w:bottom w:val="nil"/>
              <w:right w:val="nil"/>
            </w:tcBorders>
            <w:vAlign w:val="center"/>
          </w:tcPr>
          <w:p w:rsidR="00D85330" w:rsidRPr="00DC3EB0" w:rsidRDefault="00D85330" w:rsidP="003B4C68">
            <w:pPr>
              <w:jc w:val="right"/>
              <w:rPr>
                <w:color w:val="000000"/>
              </w:rPr>
            </w:pPr>
          </w:p>
        </w:tc>
        <w:tc>
          <w:tcPr>
            <w:tcW w:w="907" w:type="dxa"/>
            <w:gridSpan w:val="2"/>
            <w:tcBorders>
              <w:top w:val="nil"/>
              <w:left w:val="nil"/>
              <w:bottom w:val="nil"/>
              <w:right w:val="nil"/>
            </w:tcBorders>
            <w:vAlign w:val="center"/>
          </w:tcPr>
          <w:p w:rsidR="00D85330" w:rsidRPr="00DC3EB0" w:rsidRDefault="00D85330" w:rsidP="003B4C68">
            <w:pPr>
              <w:jc w:val="right"/>
              <w:rPr>
                <w:color w:val="000000"/>
              </w:rPr>
            </w:pPr>
          </w:p>
        </w:tc>
      </w:tr>
      <w:tr w:rsidR="00D85330" w:rsidRPr="00DC3EB0" w:rsidTr="00090A03">
        <w:trPr>
          <w:gridAfter w:val="1"/>
          <w:wAfter w:w="712" w:type="dxa"/>
          <w:trHeight w:val="300"/>
        </w:trPr>
        <w:tc>
          <w:tcPr>
            <w:tcW w:w="3936" w:type="dxa"/>
            <w:tcBorders>
              <w:top w:val="nil"/>
              <w:left w:val="nil"/>
              <w:bottom w:val="nil"/>
              <w:right w:val="nil"/>
            </w:tcBorders>
            <w:shd w:val="clear" w:color="auto" w:fill="auto"/>
            <w:noWrap/>
            <w:vAlign w:val="bottom"/>
            <w:hideMark/>
          </w:tcPr>
          <w:p w:rsidR="00D85330" w:rsidRPr="00DC3EB0" w:rsidRDefault="00D85330" w:rsidP="00E668EB">
            <w:pPr>
              <w:rPr>
                <w:color w:val="000000"/>
              </w:rPr>
            </w:pPr>
            <w:r w:rsidRPr="00DC3EB0">
              <w:rPr>
                <w:color w:val="000000"/>
              </w:rPr>
              <w:t>Net Carrying Amount at 1st April</w:t>
            </w:r>
          </w:p>
        </w:tc>
        <w:tc>
          <w:tcPr>
            <w:tcW w:w="1417" w:type="dxa"/>
            <w:tcBorders>
              <w:top w:val="single" w:sz="4" w:space="0" w:color="auto"/>
              <w:left w:val="nil"/>
              <w:bottom w:val="single" w:sz="4" w:space="0" w:color="auto"/>
              <w:right w:val="nil"/>
            </w:tcBorders>
            <w:shd w:val="clear" w:color="auto" w:fill="auto"/>
            <w:noWrap/>
            <w:vAlign w:val="center"/>
            <w:hideMark/>
          </w:tcPr>
          <w:p w:rsidR="00D85330" w:rsidRPr="00DC3EB0" w:rsidRDefault="00D85330" w:rsidP="009B313D">
            <w:pPr>
              <w:jc w:val="right"/>
              <w:rPr>
                <w:color w:val="000000"/>
              </w:rPr>
            </w:pPr>
          </w:p>
        </w:tc>
        <w:tc>
          <w:tcPr>
            <w:tcW w:w="992" w:type="dxa"/>
            <w:tcBorders>
              <w:top w:val="single" w:sz="4" w:space="0" w:color="auto"/>
              <w:left w:val="nil"/>
              <w:bottom w:val="single" w:sz="4" w:space="0" w:color="auto"/>
              <w:right w:val="nil"/>
            </w:tcBorders>
            <w:shd w:val="clear" w:color="auto" w:fill="auto"/>
            <w:noWrap/>
            <w:vAlign w:val="center"/>
            <w:hideMark/>
          </w:tcPr>
          <w:p w:rsidR="00D85330" w:rsidRPr="00DC3EB0" w:rsidRDefault="00090A03" w:rsidP="009B313D">
            <w:pPr>
              <w:jc w:val="right"/>
              <w:rPr>
                <w:color w:val="000000"/>
              </w:rPr>
            </w:pPr>
            <w:r w:rsidRPr="00DC3EB0">
              <w:rPr>
                <w:color w:val="000000"/>
              </w:rPr>
              <w:t>1,613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85330" w:rsidRPr="00DC3EB0" w:rsidRDefault="00286808" w:rsidP="00D85330">
            <w:pPr>
              <w:jc w:val="right"/>
              <w:rPr>
                <w:color w:val="000000"/>
              </w:rPr>
            </w:pPr>
            <w:r w:rsidRPr="00DC3EB0">
              <w:rPr>
                <w:color w:val="000000"/>
              </w:rPr>
              <w:t>1,613</w:t>
            </w:r>
          </w:p>
        </w:tc>
        <w:tc>
          <w:tcPr>
            <w:tcW w:w="1417" w:type="dxa"/>
            <w:tcBorders>
              <w:top w:val="single" w:sz="4" w:space="0" w:color="auto"/>
              <w:left w:val="single" w:sz="4" w:space="0" w:color="auto"/>
              <w:bottom w:val="single" w:sz="4" w:space="0" w:color="auto"/>
              <w:right w:val="nil"/>
            </w:tcBorders>
            <w:vAlign w:val="center"/>
          </w:tcPr>
          <w:p w:rsidR="00D85330" w:rsidRPr="00DC3EB0" w:rsidRDefault="00D85330" w:rsidP="009B313D">
            <w:pPr>
              <w:jc w:val="right"/>
              <w:rPr>
                <w:color w:val="000000"/>
              </w:rPr>
            </w:pPr>
          </w:p>
        </w:tc>
        <w:tc>
          <w:tcPr>
            <w:tcW w:w="992" w:type="dxa"/>
            <w:tcBorders>
              <w:top w:val="single" w:sz="4" w:space="0" w:color="auto"/>
              <w:left w:val="nil"/>
              <w:bottom w:val="single" w:sz="4" w:space="0" w:color="auto"/>
              <w:right w:val="nil"/>
            </w:tcBorders>
            <w:vAlign w:val="center"/>
          </w:tcPr>
          <w:p w:rsidR="00D85330" w:rsidRPr="00DC3EB0" w:rsidRDefault="00D85330" w:rsidP="003B4C68">
            <w:pPr>
              <w:jc w:val="right"/>
              <w:rPr>
                <w:color w:val="000000"/>
              </w:rPr>
            </w:pPr>
            <w:r w:rsidRPr="00DC3EB0">
              <w:rPr>
                <w:color w:val="000000"/>
              </w:rPr>
              <w:t>237</w:t>
            </w:r>
          </w:p>
        </w:tc>
        <w:tc>
          <w:tcPr>
            <w:tcW w:w="907" w:type="dxa"/>
            <w:gridSpan w:val="2"/>
            <w:tcBorders>
              <w:top w:val="single" w:sz="4" w:space="0" w:color="auto"/>
              <w:left w:val="nil"/>
              <w:bottom w:val="single" w:sz="4" w:space="0" w:color="auto"/>
              <w:right w:val="nil"/>
            </w:tcBorders>
            <w:vAlign w:val="center"/>
          </w:tcPr>
          <w:p w:rsidR="00D85330" w:rsidRPr="00DC3EB0" w:rsidRDefault="00D85330" w:rsidP="003B4C68">
            <w:pPr>
              <w:jc w:val="right"/>
              <w:rPr>
                <w:color w:val="000000"/>
              </w:rPr>
            </w:pPr>
            <w:r w:rsidRPr="00DC3EB0">
              <w:rPr>
                <w:color w:val="000000"/>
              </w:rPr>
              <w:t>237</w:t>
            </w:r>
          </w:p>
        </w:tc>
      </w:tr>
      <w:tr w:rsidR="00D85330" w:rsidRPr="00DC3EB0" w:rsidTr="00090A03">
        <w:trPr>
          <w:gridAfter w:val="1"/>
          <w:wAfter w:w="712" w:type="dxa"/>
          <w:trHeight w:val="300"/>
        </w:trPr>
        <w:tc>
          <w:tcPr>
            <w:tcW w:w="3936" w:type="dxa"/>
            <w:tcBorders>
              <w:top w:val="nil"/>
              <w:left w:val="nil"/>
              <w:bottom w:val="nil"/>
              <w:right w:val="nil"/>
            </w:tcBorders>
            <w:shd w:val="clear" w:color="auto" w:fill="auto"/>
            <w:noWrap/>
            <w:vAlign w:val="bottom"/>
            <w:hideMark/>
          </w:tcPr>
          <w:p w:rsidR="00D85330" w:rsidRPr="00DC3EB0" w:rsidRDefault="00D85330" w:rsidP="00E668EB">
            <w:pPr>
              <w:rPr>
                <w:color w:val="000000"/>
              </w:rPr>
            </w:pPr>
          </w:p>
        </w:tc>
        <w:tc>
          <w:tcPr>
            <w:tcW w:w="1417" w:type="dxa"/>
            <w:tcBorders>
              <w:top w:val="nil"/>
              <w:left w:val="nil"/>
              <w:bottom w:val="nil"/>
              <w:right w:val="nil"/>
            </w:tcBorders>
            <w:shd w:val="clear" w:color="auto" w:fill="auto"/>
            <w:noWrap/>
            <w:vAlign w:val="center"/>
            <w:hideMark/>
          </w:tcPr>
          <w:p w:rsidR="00D85330" w:rsidRPr="00DC3EB0" w:rsidRDefault="00D85330" w:rsidP="009B313D">
            <w:pPr>
              <w:jc w:val="right"/>
              <w:rPr>
                <w:color w:val="000000"/>
              </w:rPr>
            </w:pPr>
          </w:p>
        </w:tc>
        <w:tc>
          <w:tcPr>
            <w:tcW w:w="992" w:type="dxa"/>
            <w:tcBorders>
              <w:top w:val="nil"/>
              <w:left w:val="nil"/>
              <w:bottom w:val="nil"/>
              <w:right w:val="nil"/>
            </w:tcBorders>
            <w:shd w:val="clear" w:color="auto" w:fill="auto"/>
            <w:noWrap/>
            <w:vAlign w:val="center"/>
            <w:hideMark/>
          </w:tcPr>
          <w:p w:rsidR="00D85330" w:rsidRPr="00DC3EB0" w:rsidRDefault="00D85330" w:rsidP="009B313D">
            <w:pPr>
              <w:jc w:val="right"/>
              <w:rPr>
                <w:color w:val="000000"/>
              </w:rPr>
            </w:pPr>
          </w:p>
        </w:tc>
        <w:tc>
          <w:tcPr>
            <w:tcW w:w="993" w:type="dxa"/>
            <w:tcBorders>
              <w:top w:val="nil"/>
              <w:left w:val="nil"/>
              <w:bottom w:val="nil"/>
              <w:right w:val="single" w:sz="4" w:space="0" w:color="auto"/>
            </w:tcBorders>
            <w:shd w:val="clear" w:color="auto" w:fill="auto"/>
            <w:noWrap/>
            <w:vAlign w:val="center"/>
            <w:hideMark/>
          </w:tcPr>
          <w:p w:rsidR="00D85330" w:rsidRPr="00DC3EB0" w:rsidRDefault="00D85330" w:rsidP="009B313D">
            <w:pPr>
              <w:jc w:val="right"/>
              <w:rPr>
                <w:color w:val="000000"/>
              </w:rPr>
            </w:pPr>
          </w:p>
        </w:tc>
        <w:tc>
          <w:tcPr>
            <w:tcW w:w="1417" w:type="dxa"/>
            <w:tcBorders>
              <w:top w:val="nil"/>
              <w:left w:val="single" w:sz="4" w:space="0" w:color="auto"/>
              <w:bottom w:val="nil"/>
              <w:right w:val="nil"/>
            </w:tcBorders>
            <w:vAlign w:val="center"/>
          </w:tcPr>
          <w:p w:rsidR="00D85330" w:rsidRPr="00DC3EB0" w:rsidRDefault="00D85330" w:rsidP="009B313D">
            <w:pPr>
              <w:jc w:val="right"/>
              <w:rPr>
                <w:color w:val="000000"/>
              </w:rPr>
            </w:pPr>
          </w:p>
        </w:tc>
        <w:tc>
          <w:tcPr>
            <w:tcW w:w="992" w:type="dxa"/>
            <w:tcBorders>
              <w:top w:val="nil"/>
              <w:left w:val="nil"/>
              <w:bottom w:val="nil"/>
              <w:right w:val="nil"/>
            </w:tcBorders>
            <w:vAlign w:val="center"/>
          </w:tcPr>
          <w:p w:rsidR="00D85330" w:rsidRPr="00DC3EB0" w:rsidRDefault="00D85330" w:rsidP="003B4C68">
            <w:pPr>
              <w:jc w:val="right"/>
              <w:rPr>
                <w:color w:val="000000"/>
              </w:rPr>
            </w:pPr>
          </w:p>
        </w:tc>
        <w:tc>
          <w:tcPr>
            <w:tcW w:w="907" w:type="dxa"/>
            <w:gridSpan w:val="2"/>
            <w:tcBorders>
              <w:top w:val="nil"/>
              <w:left w:val="nil"/>
              <w:bottom w:val="nil"/>
              <w:right w:val="nil"/>
            </w:tcBorders>
            <w:vAlign w:val="center"/>
          </w:tcPr>
          <w:p w:rsidR="00D85330" w:rsidRPr="00DC3EB0" w:rsidRDefault="00D85330" w:rsidP="003B4C68">
            <w:pPr>
              <w:jc w:val="right"/>
              <w:rPr>
                <w:color w:val="000000"/>
              </w:rPr>
            </w:pPr>
          </w:p>
        </w:tc>
      </w:tr>
      <w:tr w:rsidR="00D85330" w:rsidRPr="00DC3EB0" w:rsidTr="00090A03">
        <w:trPr>
          <w:gridAfter w:val="1"/>
          <w:wAfter w:w="712" w:type="dxa"/>
          <w:trHeight w:val="315"/>
        </w:trPr>
        <w:tc>
          <w:tcPr>
            <w:tcW w:w="3936" w:type="dxa"/>
            <w:tcBorders>
              <w:top w:val="nil"/>
              <w:left w:val="nil"/>
              <w:bottom w:val="nil"/>
              <w:right w:val="nil"/>
            </w:tcBorders>
            <w:shd w:val="clear" w:color="auto" w:fill="auto"/>
            <w:noWrap/>
            <w:vAlign w:val="bottom"/>
            <w:hideMark/>
          </w:tcPr>
          <w:p w:rsidR="00D85330" w:rsidRPr="00DC3EB0" w:rsidRDefault="00D85330" w:rsidP="00E668EB">
            <w:pPr>
              <w:rPr>
                <w:b/>
                <w:bCs/>
                <w:color w:val="000000"/>
              </w:rPr>
            </w:pPr>
            <w:r w:rsidRPr="00DC3EB0">
              <w:rPr>
                <w:b/>
                <w:bCs/>
                <w:color w:val="000000"/>
              </w:rPr>
              <w:t>Additions:</w:t>
            </w:r>
          </w:p>
        </w:tc>
        <w:tc>
          <w:tcPr>
            <w:tcW w:w="1417" w:type="dxa"/>
            <w:tcBorders>
              <w:top w:val="nil"/>
              <w:left w:val="nil"/>
              <w:bottom w:val="nil"/>
              <w:right w:val="nil"/>
            </w:tcBorders>
            <w:shd w:val="clear" w:color="auto" w:fill="auto"/>
            <w:noWrap/>
            <w:vAlign w:val="center"/>
            <w:hideMark/>
          </w:tcPr>
          <w:p w:rsidR="00D85330" w:rsidRPr="00DC3EB0" w:rsidRDefault="00D85330" w:rsidP="009B313D">
            <w:pPr>
              <w:jc w:val="right"/>
              <w:rPr>
                <w:color w:val="000000"/>
              </w:rPr>
            </w:pPr>
          </w:p>
        </w:tc>
        <w:tc>
          <w:tcPr>
            <w:tcW w:w="992" w:type="dxa"/>
            <w:tcBorders>
              <w:top w:val="nil"/>
              <w:left w:val="nil"/>
              <w:bottom w:val="nil"/>
              <w:right w:val="nil"/>
            </w:tcBorders>
            <w:shd w:val="clear" w:color="auto" w:fill="auto"/>
            <w:noWrap/>
            <w:vAlign w:val="center"/>
            <w:hideMark/>
          </w:tcPr>
          <w:p w:rsidR="00D85330" w:rsidRPr="00DC3EB0" w:rsidRDefault="00D85330" w:rsidP="009B313D">
            <w:pPr>
              <w:jc w:val="right"/>
              <w:rPr>
                <w:color w:val="000000"/>
              </w:rPr>
            </w:pPr>
          </w:p>
        </w:tc>
        <w:tc>
          <w:tcPr>
            <w:tcW w:w="993" w:type="dxa"/>
            <w:tcBorders>
              <w:top w:val="nil"/>
              <w:left w:val="nil"/>
              <w:bottom w:val="nil"/>
              <w:right w:val="single" w:sz="4" w:space="0" w:color="auto"/>
            </w:tcBorders>
            <w:shd w:val="clear" w:color="auto" w:fill="auto"/>
            <w:noWrap/>
            <w:vAlign w:val="center"/>
            <w:hideMark/>
          </w:tcPr>
          <w:p w:rsidR="00D85330" w:rsidRPr="00DC3EB0" w:rsidRDefault="00D85330" w:rsidP="00830E7E">
            <w:pPr>
              <w:rPr>
                <w:color w:val="000000"/>
              </w:rPr>
            </w:pPr>
          </w:p>
        </w:tc>
        <w:tc>
          <w:tcPr>
            <w:tcW w:w="1417" w:type="dxa"/>
            <w:tcBorders>
              <w:top w:val="nil"/>
              <w:left w:val="single" w:sz="4" w:space="0" w:color="auto"/>
              <w:bottom w:val="nil"/>
              <w:right w:val="nil"/>
            </w:tcBorders>
            <w:vAlign w:val="center"/>
          </w:tcPr>
          <w:p w:rsidR="00D85330" w:rsidRPr="00DC3EB0" w:rsidRDefault="00D85330" w:rsidP="009B313D">
            <w:pPr>
              <w:jc w:val="right"/>
              <w:rPr>
                <w:color w:val="000000"/>
              </w:rPr>
            </w:pPr>
          </w:p>
        </w:tc>
        <w:tc>
          <w:tcPr>
            <w:tcW w:w="992" w:type="dxa"/>
            <w:tcBorders>
              <w:top w:val="nil"/>
              <w:left w:val="nil"/>
              <w:bottom w:val="nil"/>
              <w:right w:val="nil"/>
            </w:tcBorders>
            <w:vAlign w:val="center"/>
          </w:tcPr>
          <w:p w:rsidR="00D85330" w:rsidRPr="00DC3EB0" w:rsidRDefault="00D85330" w:rsidP="003B4C68">
            <w:pPr>
              <w:jc w:val="right"/>
              <w:rPr>
                <w:color w:val="000000"/>
              </w:rPr>
            </w:pPr>
          </w:p>
        </w:tc>
        <w:tc>
          <w:tcPr>
            <w:tcW w:w="907" w:type="dxa"/>
            <w:gridSpan w:val="2"/>
            <w:tcBorders>
              <w:top w:val="nil"/>
              <w:left w:val="nil"/>
              <w:bottom w:val="nil"/>
              <w:right w:val="nil"/>
            </w:tcBorders>
            <w:vAlign w:val="center"/>
          </w:tcPr>
          <w:p w:rsidR="00D85330" w:rsidRPr="00DC3EB0" w:rsidRDefault="00D85330" w:rsidP="003B4C68">
            <w:pPr>
              <w:rPr>
                <w:color w:val="000000"/>
              </w:rPr>
            </w:pPr>
          </w:p>
        </w:tc>
      </w:tr>
      <w:tr w:rsidR="00D85330" w:rsidRPr="00DC3EB0" w:rsidTr="00090A03">
        <w:trPr>
          <w:gridAfter w:val="1"/>
          <w:wAfter w:w="712" w:type="dxa"/>
          <w:trHeight w:val="300"/>
        </w:trPr>
        <w:tc>
          <w:tcPr>
            <w:tcW w:w="3936" w:type="dxa"/>
            <w:tcBorders>
              <w:top w:val="nil"/>
              <w:left w:val="nil"/>
              <w:bottom w:val="nil"/>
              <w:right w:val="nil"/>
            </w:tcBorders>
            <w:shd w:val="clear" w:color="auto" w:fill="auto"/>
            <w:noWrap/>
            <w:vAlign w:val="bottom"/>
            <w:hideMark/>
          </w:tcPr>
          <w:p w:rsidR="00D85330" w:rsidRPr="00DC3EB0" w:rsidRDefault="00D85330" w:rsidP="00E668EB">
            <w:pPr>
              <w:ind w:firstLineChars="300" w:firstLine="720"/>
              <w:rPr>
                <w:color w:val="000000"/>
              </w:rPr>
            </w:pPr>
            <w:r w:rsidRPr="00DC3EB0">
              <w:rPr>
                <w:color w:val="000000"/>
              </w:rPr>
              <w:t>Internal Development</w:t>
            </w:r>
          </w:p>
        </w:tc>
        <w:tc>
          <w:tcPr>
            <w:tcW w:w="1417" w:type="dxa"/>
            <w:tcBorders>
              <w:top w:val="nil"/>
              <w:left w:val="nil"/>
              <w:bottom w:val="nil"/>
              <w:right w:val="nil"/>
            </w:tcBorders>
            <w:shd w:val="clear" w:color="auto" w:fill="auto"/>
            <w:noWrap/>
            <w:vAlign w:val="center"/>
            <w:hideMark/>
          </w:tcPr>
          <w:p w:rsidR="00D85330" w:rsidRPr="00DC3EB0" w:rsidRDefault="00D85330" w:rsidP="009B313D">
            <w:pPr>
              <w:jc w:val="right"/>
              <w:rPr>
                <w:color w:val="000000"/>
              </w:rPr>
            </w:pPr>
            <w:r w:rsidRPr="00DC3EB0">
              <w:rPr>
                <w:color w:val="000000"/>
              </w:rPr>
              <w:t>-</w:t>
            </w:r>
          </w:p>
        </w:tc>
        <w:tc>
          <w:tcPr>
            <w:tcW w:w="992" w:type="dxa"/>
            <w:tcBorders>
              <w:top w:val="nil"/>
              <w:left w:val="nil"/>
              <w:bottom w:val="nil"/>
              <w:right w:val="nil"/>
            </w:tcBorders>
            <w:shd w:val="clear" w:color="auto" w:fill="auto"/>
            <w:noWrap/>
            <w:vAlign w:val="center"/>
            <w:hideMark/>
          </w:tcPr>
          <w:p w:rsidR="00D85330" w:rsidRPr="00DC3EB0" w:rsidRDefault="00090A03" w:rsidP="009B313D">
            <w:pPr>
              <w:jc w:val="right"/>
              <w:rPr>
                <w:color w:val="000000"/>
              </w:rPr>
            </w:pPr>
            <w:r w:rsidRPr="00DC3EB0">
              <w:rPr>
                <w:color w:val="000000"/>
              </w:rPr>
              <w:t>-</w:t>
            </w:r>
          </w:p>
        </w:tc>
        <w:tc>
          <w:tcPr>
            <w:tcW w:w="993" w:type="dxa"/>
            <w:tcBorders>
              <w:top w:val="nil"/>
              <w:left w:val="nil"/>
              <w:bottom w:val="nil"/>
              <w:right w:val="single" w:sz="4" w:space="0" w:color="auto"/>
            </w:tcBorders>
            <w:shd w:val="clear" w:color="auto" w:fill="auto"/>
            <w:noWrap/>
            <w:vAlign w:val="center"/>
            <w:hideMark/>
          </w:tcPr>
          <w:p w:rsidR="00D85330" w:rsidRPr="00DC3EB0" w:rsidRDefault="00090A03" w:rsidP="009B313D">
            <w:pPr>
              <w:jc w:val="right"/>
              <w:rPr>
                <w:color w:val="000000"/>
              </w:rPr>
            </w:pPr>
            <w:r w:rsidRPr="00DC3EB0">
              <w:rPr>
                <w:color w:val="000000"/>
              </w:rPr>
              <w:t>-</w:t>
            </w:r>
          </w:p>
        </w:tc>
        <w:tc>
          <w:tcPr>
            <w:tcW w:w="1417" w:type="dxa"/>
            <w:tcBorders>
              <w:top w:val="nil"/>
              <w:left w:val="single" w:sz="4" w:space="0" w:color="auto"/>
              <w:bottom w:val="nil"/>
              <w:right w:val="nil"/>
            </w:tcBorders>
            <w:vAlign w:val="center"/>
          </w:tcPr>
          <w:p w:rsidR="00D85330" w:rsidRPr="00DC3EB0" w:rsidRDefault="00D85330" w:rsidP="009B313D">
            <w:pPr>
              <w:jc w:val="right"/>
              <w:rPr>
                <w:color w:val="000000"/>
              </w:rPr>
            </w:pPr>
            <w:r w:rsidRPr="00DC3EB0">
              <w:rPr>
                <w:color w:val="000000"/>
              </w:rPr>
              <w:t>-</w:t>
            </w:r>
          </w:p>
        </w:tc>
        <w:tc>
          <w:tcPr>
            <w:tcW w:w="992" w:type="dxa"/>
            <w:tcBorders>
              <w:top w:val="nil"/>
              <w:left w:val="nil"/>
              <w:bottom w:val="nil"/>
              <w:right w:val="nil"/>
            </w:tcBorders>
            <w:vAlign w:val="center"/>
          </w:tcPr>
          <w:p w:rsidR="00D85330" w:rsidRPr="00DC3EB0" w:rsidRDefault="00D85330" w:rsidP="003B4C68">
            <w:pPr>
              <w:jc w:val="right"/>
              <w:rPr>
                <w:color w:val="000000"/>
              </w:rPr>
            </w:pPr>
            <w:r w:rsidRPr="00DC3EB0">
              <w:rPr>
                <w:color w:val="000000"/>
              </w:rPr>
              <w:t>-</w:t>
            </w:r>
          </w:p>
        </w:tc>
        <w:tc>
          <w:tcPr>
            <w:tcW w:w="907" w:type="dxa"/>
            <w:gridSpan w:val="2"/>
            <w:tcBorders>
              <w:top w:val="nil"/>
              <w:left w:val="nil"/>
              <w:bottom w:val="nil"/>
              <w:right w:val="nil"/>
            </w:tcBorders>
            <w:vAlign w:val="center"/>
          </w:tcPr>
          <w:p w:rsidR="00D85330" w:rsidRPr="00DC3EB0" w:rsidRDefault="00D85330" w:rsidP="003B4C68">
            <w:pPr>
              <w:jc w:val="right"/>
              <w:rPr>
                <w:color w:val="000000"/>
              </w:rPr>
            </w:pPr>
            <w:r w:rsidRPr="00DC3EB0">
              <w:rPr>
                <w:color w:val="000000"/>
              </w:rPr>
              <w:t>-</w:t>
            </w:r>
          </w:p>
        </w:tc>
      </w:tr>
      <w:tr w:rsidR="00D85330" w:rsidRPr="00DC3EB0" w:rsidTr="00090A03">
        <w:trPr>
          <w:gridAfter w:val="1"/>
          <w:wAfter w:w="712" w:type="dxa"/>
          <w:trHeight w:val="300"/>
        </w:trPr>
        <w:tc>
          <w:tcPr>
            <w:tcW w:w="3936" w:type="dxa"/>
            <w:tcBorders>
              <w:top w:val="nil"/>
              <w:left w:val="nil"/>
              <w:bottom w:val="nil"/>
              <w:right w:val="nil"/>
            </w:tcBorders>
            <w:shd w:val="clear" w:color="auto" w:fill="auto"/>
            <w:noWrap/>
            <w:vAlign w:val="bottom"/>
            <w:hideMark/>
          </w:tcPr>
          <w:p w:rsidR="00D85330" w:rsidRPr="00DC3EB0" w:rsidRDefault="00D85330" w:rsidP="00E668EB">
            <w:pPr>
              <w:ind w:firstLineChars="300" w:firstLine="720"/>
              <w:rPr>
                <w:color w:val="000000"/>
              </w:rPr>
            </w:pPr>
            <w:r w:rsidRPr="00DC3EB0">
              <w:rPr>
                <w:color w:val="000000"/>
              </w:rPr>
              <w:t>Purchases</w:t>
            </w:r>
          </w:p>
        </w:tc>
        <w:tc>
          <w:tcPr>
            <w:tcW w:w="1417" w:type="dxa"/>
            <w:tcBorders>
              <w:top w:val="nil"/>
              <w:left w:val="nil"/>
              <w:bottom w:val="nil"/>
              <w:right w:val="nil"/>
            </w:tcBorders>
            <w:shd w:val="clear" w:color="auto" w:fill="auto"/>
            <w:noWrap/>
            <w:vAlign w:val="center"/>
            <w:hideMark/>
          </w:tcPr>
          <w:p w:rsidR="00D85330" w:rsidRPr="00DC3EB0" w:rsidRDefault="00D85330" w:rsidP="009B313D">
            <w:pPr>
              <w:jc w:val="right"/>
              <w:rPr>
                <w:color w:val="000000"/>
              </w:rPr>
            </w:pPr>
            <w:r w:rsidRPr="00DC3EB0">
              <w:rPr>
                <w:color w:val="000000"/>
              </w:rPr>
              <w:t>-</w:t>
            </w:r>
          </w:p>
        </w:tc>
        <w:tc>
          <w:tcPr>
            <w:tcW w:w="992" w:type="dxa"/>
            <w:tcBorders>
              <w:top w:val="nil"/>
              <w:left w:val="nil"/>
              <w:bottom w:val="nil"/>
              <w:right w:val="nil"/>
            </w:tcBorders>
            <w:shd w:val="clear" w:color="auto" w:fill="auto"/>
            <w:noWrap/>
            <w:vAlign w:val="center"/>
            <w:hideMark/>
          </w:tcPr>
          <w:p w:rsidR="00D85330" w:rsidRPr="00DC3EB0" w:rsidRDefault="00090A03" w:rsidP="009B313D">
            <w:pPr>
              <w:jc w:val="right"/>
              <w:rPr>
                <w:color w:val="000000"/>
              </w:rPr>
            </w:pPr>
            <w:r w:rsidRPr="00DC3EB0">
              <w:rPr>
                <w:color w:val="000000"/>
              </w:rPr>
              <w:t>-</w:t>
            </w:r>
          </w:p>
        </w:tc>
        <w:tc>
          <w:tcPr>
            <w:tcW w:w="993" w:type="dxa"/>
            <w:tcBorders>
              <w:top w:val="nil"/>
              <w:left w:val="nil"/>
              <w:bottom w:val="nil"/>
              <w:right w:val="single" w:sz="4" w:space="0" w:color="auto"/>
            </w:tcBorders>
            <w:shd w:val="clear" w:color="auto" w:fill="auto"/>
            <w:noWrap/>
            <w:vAlign w:val="center"/>
            <w:hideMark/>
          </w:tcPr>
          <w:p w:rsidR="00D85330" w:rsidRPr="00DC3EB0" w:rsidRDefault="00090A03" w:rsidP="009B313D">
            <w:pPr>
              <w:jc w:val="right"/>
              <w:rPr>
                <w:color w:val="000000"/>
              </w:rPr>
            </w:pPr>
            <w:r w:rsidRPr="00DC3EB0">
              <w:rPr>
                <w:color w:val="000000"/>
              </w:rPr>
              <w:t>-</w:t>
            </w:r>
          </w:p>
        </w:tc>
        <w:tc>
          <w:tcPr>
            <w:tcW w:w="1417" w:type="dxa"/>
            <w:tcBorders>
              <w:top w:val="nil"/>
              <w:left w:val="single" w:sz="4" w:space="0" w:color="auto"/>
              <w:bottom w:val="nil"/>
              <w:right w:val="nil"/>
            </w:tcBorders>
            <w:vAlign w:val="center"/>
          </w:tcPr>
          <w:p w:rsidR="00D85330" w:rsidRPr="00DC3EB0" w:rsidRDefault="00D85330" w:rsidP="009B313D">
            <w:pPr>
              <w:jc w:val="right"/>
              <w:rPr>
                <w:color w:val="000000"/>
              </w:rPr>
            </w:pPr>
            <w:r w:rsidRPr="00DC3EB0">
              <w:rPr>
                <w:color w:val="000000"/>
              </w:rPr>
              <w:t>-</w:t>
            </w:r>
          </w:p>
        </w:tc>
        <w:tc>
          <w:tcPr>
            <w:tcW w:w="992" w:type="dxa"/>
            <w:tcBorders>
              <w:top w:val="nil"/>
              <w:left w:val="nil"/>
              <w:bottom w:val="nil"/>
              <w:right w:val="nil"/>
            </w:tcBorders>
            <w:vAlign w:val="center"/>
          </w:tcPr>
          <w:p w:rsidR="00D85330" w:rsidRPr="00DC3EB0" w:rsidRDefault="00D85330" w:rsidP="003B4C68">
            <w:pPr>
              <w:jc w:val="right"/>
              <w:rPr>
                <w:color w:val="000000"/>
              </w:rPr>
            </w:pPr>
            <w:r w:rsidRPr="00DC3EB0">
              <w:rPr>
                <w:color w:val="000000"/>
              </w:rPr>
              <w:t>-</w:t>
            </w:r>
          </w:p>
        </w:tc>
        <w:tc>
          <w:tcPr>
            <w:tcW w:w="907" w:type="dxa"/>
            <w:gridSpan w:val="2"/>
            <w:tcBorders>
              <w:top w:val="nil"/>
              <w:left w:val="nil"/>
              <w:bottom w:val="nil"/>
              <w:right w:val="nil"/>
            </w:tcBorders>
            <w:vAlign w:val="center"/>
          </w:tcPr>
          <w:p w:rsidR="00D85330" w:rsidRPr="00DC3EB0" w:rsidRDefault="00D85330" w:rsidP="003B4C68">
            <w:pPr>
              <w:jc w:val="right"/>
              <w:rPr>
                <w:color w:val="000000"/>
              </w:rPr>
            </w:pPr>
            <w:r w:rsidRPr="00DC3EB0">
              <w:rPr>
                <w:color w:val="000000"/>
              </w:rPr>
              <w:t>-</w:t>
            </w:r>
          </w:p>
        </w:tc>
      </w:tr>
      <w:tr w:rsidR="00D85330" w:rsidRPr="00DC3EB0" w:rsidTr="00090A03">
        <w:trPr>
          <w:gridAfter w:val="1"/>
          <w:wAfter w:w="712" w:type="dxa"/>
          <w:trHeight w:val="300"/>
        </w:trPr>
        <w:tc>
          <w:tcPr>
            <w:tcW w:w="3936" w:type="dxa"/>
            <w:tcBorders>
              <w:top w:val="nil"/>
              <w:left w:val="nil"/>
              <w:bottom w:val="nil"/>
              <w:right w:val="nil"/>
            </w:tcBorders>
            <w:shd w:val="clear" w:color="auto" w:fill="auto"/>
            <w:noWrap/>
            <w:vAlign w:val="bottom"/>
            <w:hideMark/>
          </w:tcPr>
          <w:p w:rsidR="00D85330" w:rsidRPr="00DC3EB0" w:rsidRDefault="00D85330" w:rsidP="00E668EB">
            <w:pPr>
              <w:ind w:firstLineChars="300" w:firstLine="720"/>
              <w:rPr>
                <w:color w:val="000000"/>
              </w:rPr>
            </w:pPr>
            <w:r w:rsidRPr="00DC3EB0">
              <w:rPr>
                <w:color w:val="000000"/>
              </w:rPr>
              <w:t xml:space="preserve">Acquired through Business </w:t>
            </w:r>
            <w:r w:rsidR="00933A46">
              <w:rPr>
                <w:color w:val="000000"/>
              </w:rPr>
              <w:t xml:space="preserve">  </w:t>
            </w:r>
            <w:r w:rsidRPr="00DC3EB0">
              <w:rPr>
                <w:color w:val="000000"/>
              </w:rPr>
              <w:t>Combinations</w:t>
            </w:r>
          </w:p>
        </w:tc>
        <w:tc>
          <w:tcPr>
            <w:tcW w:w="1417" w:type="dxa"/>
            <w:tcBorders>
              <w:top w:val="nil"/>
              <w:left w:val="nil"/>
              <w:bottom w:val="nil"/>
              <w:right w:val="nil"/>
            </w:tcBorders>
            <w:shd w:val="clear" w:color="auto" w:fill="auto"/>
            <w:noWrap/>
            <w:vAlign w:val="center"/>
            <w:hideMark/>
          </w:tcPr>
          <w:p w:rsidR="00D85330" w:rsidRPr="00DC3EB0" w:rsidRDefault="00D85330" w:rsidP="009B313D">
            <w:pPr>
              <w:jc w:val="right"/>
              <w:rPr>
                <w:color w:val="000000"/>
              </w:rPr>
            </w:pPr>
            <w:r w:rsidRPr="00DC3EB0">
              <w:rPr>
                <w:color w:val="000000"/>
              </w:rPr>
              <w:t>-</w:t>
            </w:r>
          </w:p>
        </w:tc>
        <w:tc>
          <w:tcPr>
            <w:tcW w:w="992" w:type="dxa"/>
            <w:tcBorders>
              <w:top w:val="nil"/>
              <w:left w:val="nil"/>
              <w:bottom w:val="nil"/>
              <w:right w:val="nil"/>
            </w:tcBorders>
            <w:shd w:val="clear" w:color="auto" w:fill="auto"/>
            <w:noWrap/>
            <w:vAlign w:val="center"/>
            <w:hideMark/>
          </w:tcPr>
          <w:p w:rsidR="00D85330" w:rsidRPr="00DC3EB0" w:rsidRDefault="00090A03" w:rsidP="009B313D">
            <w:pPr>
              <w:jc w:val="right"/>
              <w:rPr>
                <w:color w:val="000000"/>
              </w:rPr>
            </w:pPr>
            <w:r w:rsidRPr="00DC3EB0">
              <w:rPr>
                <w:color w:val="000000"/>
              </w:rPr>
              <w:t>10,549</w:t>
            </w:r>
          </w:p>
        </w:tc>
        <w:tc>
          <w:tcPr>
            <w:tcW w:w="993" w:type="dxa"/>
            <w:tcBorders>
              <w:top w:val="nil"/>
              <w:left w:val="nil"/>
              <w:bottom w:val="nil"/>
              <w:right w:val="single" w:sz="4" w:space="0" w:color="auto"/>
            </w:tcBorders>
            <w:shd w:val="clear" w:color="auto" w:fill="auto"/>
            <w:noWrap/>
            <w:vAlign w:val="center"/>
            <w:hideMark/>
          </w:tcPr>
          <w:p w:rsidR="00D85330" w:rsidRPr="00DC3EB0" w:rsidRDefault="00090A03" w:rsidP="009B313D">
            <w:pPr>
              <w:jc w:val="right"/>
              <w:rPr>
                <w:color w:val="000000"/>
              </w:rPr>
            </w:pPr>
            <w:r w:rsidRPr="00DC3EB0">
              <w:rPr>
                <w:color w:val="000000"/>
              </w:rPr>
              <w:t>10,549</w:t>
            </w:r>
          </w:p>
        </w:tc>
        <w:tc>
          <w:tcPr>
            <w:tcW w:w="1417" w:type="dxa"/>
            <w:tcBorders>
              <w:top w:val="nil"/>
              <w:left w:val="single" w:sz="4" w:space="0" w:color="auto"/>
              <w:bottom w:val="nil"/>
              <w:right w:val="nil"/>
            </w:tcBorders>
            <w:vAlign w:val="center"/>
          </w:tcPr>
          <w:p w:rsidR="00D85330" w:rsidRPr="00DC3EB0" w:rsidRDefault="00D85330" w:rsidP="009B313D">
            <w:pPr>
              <w:jc w:val="right"/>
              <w:rPr>
                <w:color w:val="000000"/>
              </w:rPr>
            </w:pPr>
            <w:r w:rsidRPr="00DC3EB0">
              <w:rPr>
                <w:color w:val="000000"/>
              </w:rPr>
              <w:t>-</w:t>
            </w:r>
          </w:p>
        </w:tc>
        <w:tc>
          <w:tcPr>
            <w:tcW w:w="992" w:type="dxa"/>
            <w:tcBorders>
              <w:top w:val="nil"/>
              <w:left w:val="nil"/>
              <w:bottom w:val="nil"/>
              <w:right w:val="nil"/>
            </w:tcBorders>
            <w:vAlign w:val="center"/>
          </w:tcPr>
          <w:p w:rsidR="00D85330" w:rsidRPr="00DC3EB0" w:rsidRDefault="00D85330" w:rsidP="003B4C68">
            <w:pPr>
              <w:jc w:val="right"/>
              <w:rPr>
                <w:color w:val="000000"/>
              </w:rPr>
            </w:pPr>
            <w:r w:rsidRPr="00DC3EB0">
              <w:rPr>
                <w:color w:val="000000"/>
              </w:rPr>
              <w:t>1,475</w:t>
            </w:r>
          </w:p>
        </w:tc>
        <w:tc>
          <w:tcPr>
            <w:tcW w:w="907" w:type="dxa"/>
            <w:gridSpan w:val="2"/>
            <w:tcBorders>
              <w:top w:val="nil"/>
              <w:left w:val="nil"/>
              <w:bottom w:val="nil"/>
              <w:right w:val="nil"/>
            </w:tcBorders>
            <w:vAlign w:val="center"/>
          </w:tcPr>
          <w:p w:rsidR="00D85330" w:rsidRPr="00DC3EB0" w:rsidRDefault="00D85330" w:rsidP="003B4C68">
            <w:pPr>
              <w:jc w:val="right"/>
              <w:rPr>
                <w:color w:val="000000"/>
              </w:rPr>
            </w:pPr>
            <w:r w:rsidRPr="00DC3EB0">
              <w:rPr>
                <w:color w:val="000000"/>
              </w:rPr>
              <w:t>1,475</w:t>
            </w:r>
          </w:p>
        </w:tc>
      </w:tr>
      <w:tr w:rsidR="00D85330" w:rsidRPr="00DC3EB0" w:rsidTr="00090A03">
        <w:trPr>
          <w:gridAfter w:val="1"/>
          <w:wAfter w:w="712" w:type="dxa"/>
          <w:trHeight w:val="300"/>
        </w:trPr>
        <w:tc>
          <w:tcPr>
            <w:tcW w:w="3936" w:type="dxa"/>
            <w:tcBorders>
              <w:top w:val="nil"/>
              <w:left w:val="nil"/>
              <w:bottom w:val="nil"/>
              <w:right w:val="nil"/>
            </w:tcBorders>
            <w:shd w:val="clear" w:color="auto" w:fill="auto"/>
            <w:noWrap/>
            <w:vAlign w:val="bottom"/>
            <w:hideMark/>
          </w:tcPr>
          <w:p w:rsidR="00D85330" w:rsidRPr="00DC3EB0" w:rsidRDefault="00D85330" w:rsidP="00E668EB">
            <w:pPr>
              <w:rPr>
                <w:color w:val="000000"/>
              </w:rPr>
            </w:pPr>
          </w:p>
        </w:tc>
        <w:tc>
          <w:tcPr>
            <w:tcW w:w="1417" w:type="dxa"/>
            <w:tcBorders>
              <w:top w:val="nil"/>
              <w:left w:val="nil"/>
              <w:bottom w:val="nil"/>
              <w:right w:val="nil"/>
            </w:tcBorders>
            <w:shd w:val="clear" w:color="auto" w:fill="auto"/>
            <w:noWrap/>
            <w:vAlign w:val="center"/>
            <w:hideMark/>
          </w:tcPr>
          <w:p w:rsidR="00D85330" w:rsidRPr="00DC3EB0" w:rsidRDefault="00D85330" w:rsidP="009B313D">
            <w:pPr>
              <w:jc w:val="right"/>
              <w:rPr>
                <w:color w:val="000000"/>
              </w:rPr>
            </w:pPr>
          </w:p>
        </w:tc>
        <w:tc>
          <w:tcPr>
            <w:tcW w:w="992" w:type="dxa"/>
            <w:tcBorders>
              <w:top w:val="nil"/>
              <w:left w:val="nil"/>
              <w:bottom w:val="nil"/>
              <w:right w:val="nil"/>
            </w:tcBorders>
            <w:shd w:val="clear" w:color="auto" w:fill="auto"/>
            <w:noWrap/>
            <w:vAlign w:val="center"/>
            <w:hideMark/>
          </w:tcPr>
          <w:p w:rsidR="00D85330" w:rsidRPr="00DC3EB0" w:rsidRDefault="00D85330" w:rsidP="009B313D">
            <w:pPr>
              <w:jc w:val="right"/>
              <w:rPr>
                <w:color w:val="000000"/>
              </w:rPr>
            </w:pPr>
          </w:p>
        </w:tc>
        <w:tc>
          <w:tcPr>
            <w:tcW w:w="993" w:type="dxa"/>
            <w:tcBorders>
              <w:top w:val="nil"/>
              <w:left w:val="nil"/>
              <w:bottom w:val="nil"/>
              <w:right w:val="single" w:sz="4" w:space="0" w:color="auto"/>
            </w:tcBorders>
            <w:shd w:val="clear" w:color="auto" w:fill="auto"/>
            <w:noWrap/>
            <w:vAlign w:val="center"/>
            <w:hideMark/>
          </w:tcPr>
          <w:p w:rsidR="00D85330" w:rsidRPr="00DC3EB0" w:rsidRDefault="00D85330" w:rsidP="009B313D">
            <w:pPr>
              <w:jc w:val="right"/>
              <w:rPr>
                <w:color w:val="000000"/>
              </w:rPr>
            </w:pPr>
          </w:p>
        </w:tc>
        <w:tc>
          <w:tcPr>
            <w:tcW w:w="1417" w:type="dxa"/>
            <w:tcBorders>
              <w:top w:val="nil"/>
              <w:left w:val="single" w:sz="4" w:space="0" w:color="auto"/>
              <w:bottom w:val="nil"/>
              <w:right w:val="nil"/>
            </w:tcBorders>
            <w:vAlign w:val="center"/>
          </w:tcPr>
          <w:p w:rsidR="00D85330" w:rsidRPr="00DC3EB0" w:rsidRDefault="00D85330" w:rsidP="009B313D">
            <w:pPr>
              <w:jc w:val="right"/>
              <w:rPr>
                <w:color w:val="000000"/>
              </w:rPr>
            </w:pPr>
          </w:p>
        </w:tc>
        <w:tc>
          <w:tcPr>
            <w:tcW w:w="992" w:type="dxa"/>
            <w:tcBorders>
              <w:top w:val="nil"/>
              <w:left w:val="nil"/>
              <w:bottom w:val="nil"/>
              <w:right w:val="nil"/>
            </w:tcBorders>
            <w:vAlign w:val="center"/>
          </w:tcPr>
          <w:p w:rsidR="00D85330" w:rsidRPr="00DC3EB0" w:rsidRDefault="00D85330" w:rsidP="003B4C68">
            <w:pPr>
              <w:jc w:val="right"/>
              <w:rPr>
                <w:color w:val="000000"/>
              </w:rPr>
            </w:pPr>
          </w:p>
        </w:tc>
        <w:tc>
          <w:tcPr>
            <w:tcW w:w="907" w:type="dxa"/>
            <w:gridSpan w:val="2"/>
            <w:tcBorders>
              <w:top w:val="nil"/>
              <w:left w:val="nil"/>
              <w:bottom w:val="nil"/>
              <w:right w:val="nil"/>
            </w:tcBorders>
            <w:vAlign w:val="center"/>
          </w:tcPr>
          <w:p w:rsidR="00D85330" w:rsidRPr="00DC3EB0" w:rsidRDefault="00D85330" w:rsidP="003B4C68">
            <w:pPr>
              <w:jc w:val="right"/>
              <w:rPr>
                <w:color w:val="000000"/>
              </w:rPr>
            </w:pPr>
          </w:p>
        </w:tc>
      </w:tr>
      <w:tr w:rsidR="00933A46" w:rsidRPr="00DC3EB0" w:rsidTr="00933A46">
        <w:trPr>
          <w:gridAfter w:val="1"/>
          <w:wAfter w:w="712" w:type="dxa"/>
          <w:trHeight w:val="283"/>
        </w:trPr>
        <w:tc>
          <w:tcPr>
            <w:tcW w:w="3936" w:type="dxa"/>
            <w:tcBorders>
              <w:top w:val="nil"/>
              <w:left w:val="nil"/>
              <w:bottom w:val="nil"/>
              <w:right w:val="nil"/>
            </w:tcBorders>
            <w:shd w:val="clear" w:color="auto" w:fill="auto"/>
            <w:noWrap/>
            <w:vAlign w:val="bottom"/>
            <w:hideMark/>
          </w:tcPr>
          <w:p w:rsidR="00933A46" w:rsidRPr="00DC3EB0" w:rsidRDefault="00933A46" w:rsidP="00933A46">
            <w:pPr>
              <w:rPr>
                <w:color w:val="000000"/>
              </w:rPr>
            </w:pPr>
            <w:r w:rsidRPr="00DC3EB0">
              <w:rPr>
                <w:color w:val="000000"/>
              </w:rPr>
              <w:t>Amortisation for the period</w:t>
            </w:r>
          </w:p>
        </w:tc>
        <w:tc>
          <w:tcPr>
            <w:tcW w:w="1417" w:type="dxa"/>
            <w:tcBorders>
              <w:top w:val="nil"/>
              <w:left w:val="nil"/>
              <w:bottom w:val="nil"/>
              <w:right w:val="nil"/>
            </w:tcBorders>
            <w:shd w:val="clear" w:color="auto" w:fill="auto"/>
            <w:noWrap/>
            <w:vAlign w:val="bottom"/>
            <w:hideMark/>
          </w:tcPr>
          <w:p w:rsidR="00933A46" w:rsidRPr="00DC3EB0" w:rsidRDefault="00933A46" w:rsidP="00933A46">
            <w:pPr>
              <w:jc w:val="right"/>
              <w:rPr>
                <w:color w:val="000000"/>
              </w:rPr>
            </w:pPr>
            <w:r w:rsidRPr="00DC3EB0">
              <w:rPr>
                <w:color w:val="000000"/>
              </w:rPr>
              <w:t>-</w:t>
            </w:r>
          </w:p>
        </w:tc>
        <w:tc>
          <w:tcPr>
            <w:tcW w:w="992" w:type="dxa"/>
            <w:tcBorders>
              <w:top w:val="nil"/>
              <w:left w:val="nil"/>
              <w:bottom w:val="nil"/>
              <w:right w:val="nil"/>
            </w:tcBorders>
            <w:shd w:val="clear" w:color="auto" w:fill="auto"/>
            <w:noWrap/>
            <w:vAlign w:val="bottom"/>
            <w:hideMark/>
          </w:tcPr>
          <w:p w:rsidR="00933A46" w:rsidRDefault="00933A46" w:rsidP="00933A46">
            <w:pPr>
              <w:jc w:val="right"/>
              <w:rPr>
                <w:color w:val="000000"/>
              </w:rPr>
            </w:pPr>
          </w:p>
          <w:p w:rsidR="00933A46" w:rsidRPr="00DC3EB0" w:rsidRDefault="00933A46" w:rsidP="00933A46">
            <w:pPr>
              <w:jc w:val="right"/>
              <w:rPr>
                <w:color w:val="000000"/>
              </w:rPr>
            </w:pPr>
            <w:r>
              <w:rPr>
                <w:color w:val="000000"/>
              </w:rPr>
              <w:t>(308)</w:t>
            </w:r>
          </w:p>
        </w:tc>
        <w:tc>
          <w:tcPr>
            <w:tcW w:w="993" w:type="dxa"/>
            <w:tcBorders>
              <w:top w:val="nil"/>
              <w:left w:val="nil"/>
              <w:bottom w:val="nil"/>
              <w:right w:val="single" w:sz="4" w:space="0" w:color="auto"/>
            </w:tcBorders>
            <w:shd w:val="clear" w:color="auto" w:fill="auto"/>
            <w:noWrap/>
            <w:vAlign w:val="bottom"/>
            <w:hideMark/>
          </w:tcPr>
          <w:p w:rsidR="00933A46" w:rsidRPr="00DC3EB0" w:rsidRDefault="00933A46" w:rsidP="00933A46">
            <w:pPr>
              <w:jc w:val="right"/>
              <w:rPr>
                <w:color w:val="000000"/>
              </w:rPr>
            </w:pPr>
            <w:r w:rsidRPr="00DC3EB0">
              <w:rPr>
                <w:color w:val="000000"/>
              </w:rPr>
              <w:t>(308)</w:t>
            </w:r>
          </w:p>
        </w:tc>
        <w:tc>
          <w:tcPr>
            <w:tcW w:w="1417" w:type="dxa"/>
            <w:tcBorders>
              <w:top w:val="nil"/>
              <w:left w:val="single" w:sz="4" w:space="0" w:color="auto"/>
              <w:bottom w:val="nil"/>
              <w:right w:val="nil"/>
            </w:tcBorders>
            <w:vAlign w:val="bottom"/>
          </w:tcPr>
          <w:p w:rsidR="00933A46" w:rsidRPr="00DC3EB0" w:rsidRDefault="00933A46" w:rsidP="00933A46">
            <w:pPr>
              <w:jc w:val="right"/>
              <w:rPr>
                <w:color w:val="000000"/>
              </w:rPr>
            </w:pPr>
            <w:r w:rsidRPr="00DC3EB0">
              <w:rPr>
                <w:color w:val="000000"/>
              </w:rPr>
              <w:t>-</w:t>
            </w:r>
          </w:p>
        </w:tc>
        <w:tc>
          <w:tcPr>
            <w:tcW w:w="992" w:type="dxa"/>
            <w:tcBorders>
              <w:top w:val="nil"/>
              <w:left w:val="nil"/>
              <w:bottom w:val="nil"/>
              <w:right w:val="nil"/>
            </w:tcBorders>
            <w:vAlign w:val="bottom"/>
          </w:tcPr>
          <w:p w:rsidR="00933A46" w:rsidRPr="00DC3EB0" w:rsidRDefault="00933A46" w:rsidP="00933A46">
            <w:pPr>
              <w:jc w:val="right"/>
              <w:rPr>
                <w:color w:val="000000"/>
              </w:rPr>
            </w:pPr>
            <w:r w:rsidRPr="00DC3EB0">
              <w:rPr>
                <w:color w:val="000000"/>
              </w:rPr>
              <w:t>(99)</w:t>
            </w:r>
          </w:p>
        </w:tc>
        <w:tc>
          <w:tcPr>
            <w:tcW w:w="907" w:type="dxa"/>
            <w:gridSpan w:val="2"/>
            <w:tcBorders>
              <w:top w:val="nil"/>
              <w:left w:val="nil"/>
              <w:bottom w:val="nil"/>
              <w:right w:val="nil"/>
            </w:tcBorders>
            <w:vAlign w:val="bottom"/>
          </w:tcPr>
          <w:p w:rsidR="00933A46" w:rsidRPr="00DC3EB0" w:rsidRDefault="00933A46" w:rsidP="00933A46">
            <w:pPr>
              <w:jc w:val="right"/>
              <w:rPr>
                <w:color w:val="000000"/>
              </w:rPr>
            </w:pPr>
            <w:r w:rsidRPr="00DC3EB0">
              <w:rPr>
                <w:color w:val="000000"/>
              </w:rPr>
              <w:t>(99)</w:t>
            </w:r>
          </w:p>
        </w:tc>
      </w:tr>
      <w:tr w:rsidR="00933A46" w:rsidRPr="00DC3EB0" w:rsidTr="00090A03">
        <w:trPr>
          <w:gridAfter w:val="1"/>
          <w:wAfter w:w="712" w:type="dxa"/>
          <w:trHeight w:val="300"/>
        </w:trPr>
        <w:tc>
          <w:tcPr>
            <w:tcW w:w="3936" w:type="dxa"/>
            <w:tcBorders>
              <w:top w:val="nil"/>
              <w:left w:val="nil"/>
              <w:bottom w:val="nil"/>
              <w:right w:val="nil"/>
            </w:tcBorders>
            <w:shd w:val="clear" w:color="auto" w:fill="auto"/>
            <w:noWrap/>
            <w:vAlign w:val="bottom"/>
            <w:hideMark/>
          </w:tcPr>
          <w:p w:rsidR="00933A46" w:rsidRPr="00DC3EB0" w:rsidRDefault="00933A46" w:rsidP="00E668EB">
            <w:pPr>
              <w:rPr>
                <w:color w:val="000000"/>
              </w:rPr>
            </w:pPr>
          </w:p>
        </w:tc>
        <w:tc>
          <w:tcPr>
            <w:tcW w:w="1417" w:type="dxa"/>
            <w:tcBorders>
              <w:top w:val="nil"/>
              <w:left w:val="nil"/>
              <w:bottom w:val="nil"/>
              <w:right w:val="nil"/>
            </w:tcBorders>
            <w:shd w:val="clear" w:color="auto" w:fill="auto"/>
            <w:noWrap/>
            <w:vAlign w:val="center"/>
            <w:hideMark/>
          </w:tcPr>
          <w:p w:rsidR="00933A46" w:rsidRPr="00DC3EB0" w:rsidRDefault="00933A46" w:rsidP="009B313D">
            <w:pPr>
              <w:jc w:val="right"/>
              <w:rPr>
                <w:color w:val="000000"/>
              </w:rPr>
            </w:pPr>
          </w:p>
        </w:tc>
        <w:tc>
          <w:tcPr>
            <w:tcW w:w="992" w:type="dxa"/>
            <w:tcBorders>
              <w:top w:val="nil"/>
              <w:left w:val="nil"/>
              <w:bottom w:val="nil"/>
              <w:right w:val="nil"/>
            </w:tcBorders>
            <w:shd w:val="clear" w:color="auto" w:fill="auto"/>
            <w:noWrap/>
            <w:vAlign w:val="center"/>
            <w:hideMark/>
          </w:tcPr>
          <w:p w:rsidR="00933A46" w:rsidRPr="00DC3EB0" w:rsidRDefault="00933A46" w:rsidP="009B313D">
            <w:pPr>
              <w:jc w:val="right"/>
              <w:rPr>
                <w:color w:val="000000"/>
              </w:rPr>
            </w:pPr>
          </w:p>
        </w:tc>
        <w:tc>
          <w:tcPr>
            <w:tcW w:w="993" w:type="dxa"/>
            <w:tcBorders>
              <w:top w:val="nil"/>
              <w:left w:val="nil"/>
              <w:bottom w:val="nil"/>
              <w:right w:val="single" w:sz="4" w:space="0" w:color="auto"/>
            </w:tcBorders>
            <w:shd w:val="clear" w:color="auto" w:fill="auto"/>
            <w:noWrap/>
            <w:vAlign w:val="center"/>
            <w:hideMark/>
          </w:tcPr>
          <w:p w:rsidR="00933A46" w:rsidRPr="00DC3EB0" w:rsidRDefault="00933A46" w:rsidP="009B313D">
            <w:pPr>
              <w:jc w:val="right"/>
              <w:rPr>
                <w:color w:val="000000"/>
              </w:rPr>
            </w:pPr>
          </w:p>
        </w:tc>
        <w:tc>
          <w:tcPr>
            <w:tcW w:w="1417" w:type="dxa"/>
            <w:tcBorders>
              <w:top w:val="nil"/>
              <w:left w:val="single" w:sz="4" w:space="0" w:color="auto"/>
              <w:bottom w:val="nil"/>
              <w:right w:val="nil"/>
            </w:tcBorders>
            <w:vAlign w:val="center"/>
          </w:tcPr>
          <w:p w:rsidR="00933A46" w:rsidRPr="00DC3EB0" w:rsidRDefault="00933A46" w:rsidP="009B313D">
            <w:pPr>
              <w:jc w:val="right"/>
              <w:rPr>
                <w:color w:val="000000"/>
              </w:rPr>
            </w:pPr>
          </w:p>
        </w:tc>
        <w:tc>
          <w:tcPr>
            <w:tcW w:w="992" w:type="dxa"/>
            <w:tcBorders>
              <w:top w:val="nil"/>
              <w:left w:val="nil"/>
              <w:bottom w:val="nil"/>
              <w:right w:val="nil"/>
            </w:tcBorders>
            <w:vAlign w:val="center"/>
          </w:tcPr>
          <w:p w:rsidR="00933A46" w:rsidRPr="00DC3EB0" w:rsidRDefault="00933A46" w:rsidP="003B4C68">
            <w:pPr>
              <w:jc w:val="right"/>
              <w:rPr>
                <w:color w:val="000000"/>
              </w:rPr>
            </w:pPr>
          </w:p>
        </w:tc>
        <w:tc>
          <w:tcPr>
            <w:tcW w:w="907" w:type="dxa"/>
            <w:gridSpan w:val="2"/>
            <w:tcBorders>
              <w:top w:val="nil"/>
              <w:left w:val="nil"/>
              <w:bottom w:val="nil"/>
              <w:right w:val="nil"/>
            </w:tcBorders>
            <w:vAlign w:val="center"/>
          </w:tcPr>
          <w:p w:rsidR="00933A46" w:rsidRPr="00DC3EB0" w:rsidRDefault="00933A46" w:rsidP="003B4C68">
            <w:pPr>
              <w:jc w:val="right"/>
              <w:rPr>
                <w:color w:val="000000"/>
              </w:rPr>
            </w:pPr>
          </w:p>
        </w:tc>
      </w:tr>
      <w:tr w:rsidR="00933A46" w:rsidRPr="00DC3EB0" w:rsidTr="00090A03">
        <w:trPr>
          <w:gridAfter w:val="1"/>
          <w:wAfter w:w="712" w:type="dxa"/>
          <w:trHeight w:val="300"/>
        </w:trPr>
        <w:tc>
          <w:tcPr>
            <w:tcW w:w="3936" w:type="dxa"/>
            <w:tcBorders>
              <w:top w:val="nil"/>
              <w:left w:val="nil"/>
              <w:bottom w:val="nil"/>
              <w:right w:val="nil"/>
            </w:tcBorders>
            <w:shd w:val="clear" w:color="auto" w:fill="auto"/>
            <w:noWrap/>
            <w:vAlign w:val="bottom"/>
            <w:hideMark/>
          </w:tcPr>
          <w:p w:rsidR="00933A46" w:rsidRPr="00DC3EB0" w:rsidRDefault="00933A46" w:rsidP="00E668EB">
            <w:pPr>
              <w:rPr>
                <w:color w:val="000000"/>
              </w:rPr>
            </w:pPr>
            <w:r w:rsidRPr="00DC3EB0">
              <w:rPr>
                <w:color w:val="000000"/>
              </w:rPr>
              <w:t>Other changes</w:t>
            </w:r>
          </w:p>
        </w:tc>
        <w:tc>
          <w:tcPr>
            <w:tcW w:w="1417" w:type="dxa"/>
            <w:tcBorders>
              <w:top w:val="nil"/>
              <w:left w:val="nil"/>
              <w:bottom w:val="nil"/>
              <w:right w:val="nil"/>
            </w:tcBorders>
            <w:shd w:val="clear" w:color="auto" w:fill="auto"/>
            <w:noWrap/>
            <w:vAlign w:val="center"/>
            <w:hideMark/>
          </w:tcPr>
          <w:p w:rsidR="00933A46" w:rsidRPr="00DC3EB0" w:rsidRDefault="00933A46" w:rsidP="009B313D">
            <w:pPr>
              <w:jc w:val="right"/>
              <w:rPr>
                <w:color w:val="000000"/>
              </w:rPr>
            </w:pPr>
            <w:r w:rsidRPr="00DC3EB0">
              <w:rPr>
                <w:color w:val="000000"/>
              </w:rPr>
              <w:t>-</w:t>
            </w:r>
          </w:p>
        </w:tc>
        <w:tc>
          <w:tcPr>
            <w:tcW w:w="992" w:type="dxa"/>
            <w:tcBorders>
              <w:top w:val="nil"/>
              <w:left w:val="nil"/>
              <w:bottom w:val="nil"/>
              <w:right w:val="nil"/>
            </w:tcBorders>
            <w:shd w:val="clear" w:color="auto" w:fill="auto"/>
            <w:noWrap/>
            <w:vAlign w:val="center"/>
            <w:hideMark/>
          </w:tcPr>
          <w:p w:rsidR="00933A46" w:rsidRPr="00DC3EB0" w:rsidRDefault="00933A46" w:rsidP="009B313D">
            <w:pPr>
              <w:jc w:val="right"/>
              <w:rPr>
                <w:color w:val="000000"/>
              </w:rPr>
            </w:pPr>
            <w:r w:rsidRPr="00DC3EB0">
              <w:rPr>
                <w:color w:val="000000"/>
              </w:rPr>
              <w:t>-</w:t>
            </w:r>
          </w:p>
        </w:tc>
        <w:tc>
          <w:tcPr>
            <w:tcW w:w="993" w:type="dxa"/>
            <w:tcBorders>
              <w:top w:val="nil"/>
              <w:left w:val="nil"/>
              <w:bottom w:val="nil"/>
              <w:right w:val="single" w:sz="4" w:space="0" w:color="auto"/>
            </w:tcBorders>
            <w:shd w:val="clear" w:color="auto" w:fill="auto"/>
            <w:noWrap/>
            <w:vAlign w:val="center"/>
            <w:hideMark/>
          </w:tcPr>
          <w:p w:rsidR="00933A46" w:rsidRPr="00DC3EB0" w:rsidRDefault="00933A46" w:rsidP="009B313D">
            <w:pPr>
              <w:jc w:val="right"/>
              <w:rPr>
                <w:color w:val="000000"/>
              </w:rPr>
            </w:pPr>
            <w:r w:rsidRPr="00DC3EB0">
              <w:rPr>
                <w:color w:val="000000"/>
              </w:rPr>
              <w:t>-</w:t>
            </w:r>
          </w:p>
        </w:tc>
        <w:tc>
          <w:tcPr>
            <w:tcW w:w="1417" w:type="dxa"/>
            <w:tcBorders>
              <w:top w:val="nil"/>
              <w:left w:val="single" w:sz="4" w:space="0" w:color="auto"/>
              <w:bottom w:val="nil"/>
              <w:right w:val="nil"/>
            </w:tcBorders>
            <w:vAlign w:val="center"/>
          </w:tcPr>
          <w:p w:rsidR="00933A46" w:rsidRPr="00DC3EB0" w:rsidRDefault="00933A46" w:rsidP="009B313D">
            <w:pPr>
              <w:jc w:val="right"/>
              <w:rPr>
                <w:color w:val="000000"/>
              </w:rPr>
            </w:pPr>
            <w:r w:rsidRPr="00DC3EB0">
              <w:rPr>
                <w:color w:val="000000"/>
              </w:rPr>
              <w:t>-</w:t>
            </w:r>
          </w:p>
        </w:tc>
        <w:tc>
          <w:tcPr>
            <w:tcW w:w="992" w:type="dxa"/>
            <w:tcBorders>
              <w:top w:val="nil"/>
              <w:left w:val="nil"/>
              <w:bottom w:val="nil"/>
              <w:right w:val="nil"/>
            </w:tcBorders>
            <w:vAlign w:val="center"/>
          </w:tcPr>
          <w:p w:rsidR="00933A46" w:rsidRPr="00DC3EB0" w:rsidRDefault="00933A46" w:rsidP="003B4C68">
            <w:pPr>
              <w:jc w:val="right"/>
              <w:rPr>
                <w:color w:val="000000"/>
              </w:rPr>
            </w:pPr>
            <w:r w:rsidRPr="00DC3EB0">
              <w:rPr>
                <w:color w:val="000000"/>
              </w:rPr>
              <w:t>-</w:t>
            </w:r>
          </w:p>
        </w:tc>
        <w:tc>
          <w:tcPr>
            <w:tcW w:w="907" w:type="dxa"/>
            <w:gridSpan w:val="2"/>
            <w:tcBorders>
              <w:top w:val="nil"/>
              <w:left w:val="nil"/>
              <w:bottom w:val="nil"/>
              <w:right w:val="nil"/>
            </w:tcBorders>
            <w:vAlign w:val="center"/>
          </w:tcPr>
          <w:p w:rsidR="00933A46" w:rsidRPr="00DC3EB0" w:rsidRDefault="00933A46" w:rsidP="003B4C68">
            <w:pPr>
              <w:jc w:val="right"/>
              <w:rPr>
                <w:color w:val="000000"/>
              </w:rPr>
            </w:pPr>
            <w:r w:rsidRPr="00DC3EB0">
              <w:rPr>
                <w:color w:val="000000"/>
              </w:rPr>
              <w:t>-</w:t>
            </w:r>
          </w:p>
        </w:tc>
      </w:tr>
      <w:tr w:rsidR="00933A46" w:rsidRPr="00DC3EB0" w:rsidTr="00090A03">
        <w:trPr>
          <w:gridAfter w:val="1"/>
          <w:wAfter w:w="712" w:type="dxa"/>
          <w:trHeight w:val="300"/>
        </w:trPr>
        <w:tc>
          <w:tcPr>
            <w:tcW w:w="3936" w:type="dxa"/>
            <w:tcBorders>
              <w:top w:val="nil"/>
              <w:left w:val="nil"/>
              <w:bottom w:val="nil"/>
              <w:right w:val="nil"/>
            </w:tcBorders>
            <w:shd w:val="clear" w:color="auto" w:fill="auto"/>
            <w:noWrap/>
            <w:vAlign w:val="bottom"/>
            <w:hideMark/>
          </w:tcPr>
          <w:p w:rsidR="00933A46" w:rsidRPr="00DC3EB0" w:rsidRDefault="00933A46" w:rsidP="00E668EB">
            <w:pPr>
              <w:rPr>
                <w:color w:val="000000"/>
              </w:rPr>
            </w:pPr>
          </w:p>
        </w:tc>
        <w:tc>
          <w:tcPr>
            <w:tcW w:w="1417" w:type="dxa"/>
            <w:tcBorders>
              <w:top w:val="nil"/>
              <w:left w:val="nil"/>
              <w:bottom w:val="nil"/>
              <w:right w:val="nil"/>
            </w:tcBorders>
            <w:shd w:val="clear" w:color="auto" w:fill="auto"/>
            <w:noWrap/>
            <w:vAlign w:val="center"/>
            <w:hideMark/>
          </w:tcPr>
          <w:p w:rsidR="00933A46" w:rsidRPr="00DC3EB0" w:rsidRDefault="00933A46" w:rsidP="009B313D">
            <w:pPr>
              <w:jc w:val="right"/>
              <w:rPr>
                <w:color w:val="000000"/>
              </w:rPr>
            </w:pPr>
          </w:p>
        </w:tc>
        <w:tc>
          <w:tcPr>
            <w:tcW w:w="992" w:type="dxa"/>
            <w:tcBorders>
              <w:top w:val="nil"/>
              <w:left w:val="nil"/>
              <w:bottom w:val="nil"/>
              <w:right w:val="nil"/>
            </w:tcBorders>
            <w:shd w:val="clear" w:color="auto" w:fill="auto"/>
            <w:noWrap/>
            <w:vAlign w:val="center"/>
            <w:hideMark/>
          </w:tcPr>
          <w:p w:rsidR="00933A46" w:rsidRPr="00DC3EB0" w:rsidRDefault="00933A46" w:rsidP="009B313D">
            <w:pPr>
              <w:jc w:val="right"/>
              <w:rPr>
                <w:color w:val="000000"/>
              </w:rPr>
            </w:pPr>
          </w:p>
        </w:tc>
        <w:tc>
          <w:tcPr>
            <w:tcW w:w="993" w:type="dxa"/>
            <w:tcBorders>
              <w:top w:val="nil"/>
              <w:left w:val="nil"/>
              <w:bottom w:val="nil"/>
              <w:right w:val="single" w:sz="4" w:space="0" w:color="auto"/>
            </w:tcBorders>
            <w:shd w:val="clear" w:color="auto" w:fill="auto"/>
            <w:noWrap/>
            <w:vAlign w:val="center"/>
            <w:hideMark/>
          </w:tcPr>
          <w:p w:rsidR="00933A46" w:rsidRPr="00DC3EB0" w:rsidRDefault="00933A46" w:rsidP="009B313D">
            <w:pPr>
              <w:jc w:val="right"/>
              <w:rPr>
                <w:color w:val="000000"/>
              </w:rPr>
            </w:pPr>
          </w:p>
        </w:tc>
        <w:tc>
          <w:tcPr>
            <w:tcW w:w="1417" w:type="dxa"/>
            <w:tcBorders>
              <w:top w:val="nil"/>
              <w:left w:val="single" w:sz="4" w:space="0" w:color="auto"/>
              <w:bottom w:val="nil"/>
              <w:right w:val="nil"/>
            </w:tcBorders>
            <w:vAlign w:val="center"/>
          </w:tcPr>
          <w:p w:rsidR="00933A46" w:rsidRPr="00DC3EB0" w:rsidRDefault="00933A46" w:rsidP="009B313D">
            <w:pPr>
              <w:jc w:val="right"/>
              <w:rPr>
                <w:color w:val="000000"/>
              </w:rPr>
            </w:pPr>
          </w:p>
        </w:tc>
        <w:tc>
          <w:tcPr>
            <w:tcW w:w="992" w:type="dxa"/>
            <w:tcBorders>
              <w:top w:val="nil"/>
              <w:left w:val="nil"/>
              <w:bottom w:val="nil"/>
              <w:right w:val="nil"/>
            </w:tcBorders>
            <w:vAlign w:val="center"/>
          </w:tcPr>
          <w:p w:rsidR="00933A46" w:rsidRPr="00DC3EB0" w:rsidRDefault="00933A46" w:rsidP="003B4C68">
            <w:pPr>
              <w:jc w:val="right"/>
              <w:rPr>
                <w:color w:val="000000"/>
              </w:rPr>
            </w:pPr>
          </w:p>
        </w:tc>
        <w:tc>
          <w:tcPr>
            <w:tcW w:w="907" w:type="dxa"/>
            <w:gridSpan w:val="2"/>
            <w:tcBorders>
              <w:top w:val="nil"/>
              <w:left w:val="nil"/>
              <w:bottom w:val="nil"/>
              <w:right w:val="nil"/>
            </w:tcBorders>
            <w:vAlign w:val="center"/>
          </w:tcPr>
          <w:p w:rsidR="00933A46" w:rsidRPr="00DC3EB0" w:rsidRDefault="00933A46" w:rsidP="003B4C68">
            <w:pPr>
              <w:jc w:val="right"/>
              <w:rPr>
                <w:color w:val="000000"/>
              </w:rPr>
            </w:pPr>
          </w:p>
        </w:tc>
      </w:tr>
      <w:tr w:rsidR="00933A46" w:rsidRPr="00DC3EB0" w:rsidTr="00090A03">
        <w:trPr>
          <w:gridAfter w:val="1"/>
          <w:wAfter w:w="712" w:type="dxa"/>
          <w:trHeight w:val="300"/>
        </w:trPr>
        <w:tc>
          <w:tcPr>
            <w:tcW w:w="3936" w:type="dxa"/>
            <w:tcBorders>
              <w:top w:val="nil"/>
              <w:left w:val="nil"/>
              <w:bottom w:val="nil"/>
              <w:right w:val="nil"/>
            </w:tcBorders>
            <w:shd w:val="clear" w:color="auto" w:fill="auto"/>
            <w:noWrap/>
            <w:vAlign w:val="bottom"/>
            <w:hideMark/>
          </w:tcPr>
          <w:p w:rsidR="00933A46" w:rsidRPr="00DC3EB0" w:rsidRDefault="00933A46" w:rsidP="00E668EB">
            <w:pPr>
              <w:rPr>
                <w:color w:val="000000"/>
              </w:rPr>
            </w:pPr>
            <w:r w:rsidRPr="00DC3EB0">
              <w:rPr>
                <w:color w:val="000000"/>
              </w:rPr>
              <w:t>Net Carrying Amount at end of year</w:t>
            </w:r>
          </w:p>
        </w:tc>
        <w:tc>
          <w:tcPr>
            <w:tcW w:w="1417" w:type="dxa"/>
            <w:tcBorders>
              <w:top w:val="single" w:sz="4" w:space="0" w:color="auto"/>
              <w:left w:val="nil"/>
              <w:bottom w:val="single" w:sz="4" w:space="0" w:color="auto"/>
              <w:right w:val="nil"/>
            </w:tcBorders>
            <w:shd w:val="clear" w:color="auto" w:fill="auto"/>
            <w:noWrap/>
            <w:vAlign w:val="center"/>
            <w:hideMark/>
          </w:tcPr>
          <w:p w:rsidR="00933A46" w:rsidRPr="00DC3EB0" w:rsidRDefault="00933A46" w:rsidP="009B313D">
            <w:pPr>
              <w:jc w:val="right"/>
              <w:rPr>
                <w:color w:val="000000"/>
              </w:rPr>
            </w:pPr>
            <w:r w:rsidRPr="00DC3EB0">
              <w:rPr>
                <w:color w:val="000000"/>
              </w:rPr>
              <w:t>-</w:t>
            </w:r>
          </w:p>
        </w:tc>
        <w:tc>
          <w:tcPr>
            <w:tcW w:w="992" w:type="dxa"/>
            <w:tcBorders>
              <w:top w:val="single" w:sz="4" w:space="0" w:color="auto"/>
              <w:left w:val="nil"/>
              <w:bottom w:val="single" w:sz="4" w:space="0" w:color="auto"/>
              <w:right w:val="nil"/>
            </w:tcBorders>
            <w:shd w:val="clear" w:color="auto" w:fill="auto"/>
            <w:noWrap/>
            <w:vAlign w:val="center"/>
            <w:hideMark/>
          </w:tcPr>
          <w:p w:rsidR="00933A46" w:rsidRPr="00DC3EB0" w:rsidRDefault="00933A46" w:rsidP="009B313D">
            <w:pPr>
              <w:jc w:val="right"/>
              <w:rPr>
                <w:color w:val="000000"/>
              </w:rPr>
            </w:pPr>
            <w:r w:rsidRPr="00DC3EB0">
              <w:rPr>
                <w:color w:val="000000"/>
              </w:rPr>
              <w:t>11,854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33A46" w:rsidRPr="00DC3EB0" w:rsidRDefault="00933A46" w:rsidP="009B313D">
            <w:pPr>
              <w:jc w:val="right"/>
              <w:rPr>
                <w:color w:val="000000"/>
              </w:rPr>
            </w:pPr>
            <w:r w:rsidRPr="00DC3EB0">
              <w:rPr>
                <w:color w:val="000000"/>
              </w:rPr>
              <w:t>11,854</w:t>
            </w:r>
          </w:p>
        </w:tc>
        <w:tc>
          <w:tcPr>
            <w:tcW w:w="1417" w:type="dxa"/>
            <w:tcBorders>
              <w:top w:val="single" w:sz="4" w:space="0" w:color="auto"/>
              <w:left w:val="single" w:sz="4" w:space="0" w:color="auto"/>
              <w:bottom w:val="single" w:sz="4" w:space="0" w:color="auto"/>
              <w:right w:val="nil"/>
            </w:tcBorders>
            <w:vAlign w:val="center"/>
          </w:tcPr>
          <w:p w:rsidR="00933A46" w:rsidRPr="00DC3EB0" w:rsidRDefault="00933A46" w:rsidP="009B313D">
            <w:pPr>
              <w:jc w:val="right"/>
              <w:rPr>
                <w:color w:val="000000"/>
              </w:rPr>
            </w:pPr>
            <w:r w:rsidRPr="00DC3EB0">
              <w:rPr>
                <w:color w:val="000000"/>
              </w:rPr>
              <w:t>-</w:t>
            </w:r>
          </w:p>
        </w:tc>
        <w:tc>
          <w:tcPr>
            <w:tcW w:w="992" w:type="dxa"/>
            <w:tcBorders>
              <w:top w:val="single" w:sz="4" w:space="0" w:color="auto"/>
              <w:left w:val="nil"/>
              <w:bottom w:val="single" w:sz="4" w:space="0" w:color="auto"/>
              <w:right w:val="nil"/>
            </w:tcBorders>
            <w:vAlign w:val="center"/>
          </w:tcPr>
          <w:p w:rsidR="00933A46" w:rsidRPr="00DC3EB0" w:rsidRDefault="00933A46" w:rsidP="003B4C68">
            <w:pPr>
              <w:jc w:val="right"/>
              <w:rPr>
                <w:color w:val="000000"/>
              </w:rPr>
            </w:pPr>
            <w:r w:rsidRPr="00DC3EB0">
              <w:rPr>
                <w:color w:val="000000"/>
              </w:rPr>
              <w:t>1,613</w:t>
            </w:r>
          </w:p>
        </w:tc>
        <w:tc>
          <w:tcPr>
            <w:tcW w:w="907" w:type="dxa"/>
            <w:gridSpan w:val="2"/>
            <w:tcBorders>
              <w:top w:val="single" w:sz="4" w:space="0" w:color="auto"/>
              <w:left w:val="nil"/>
              <w:bottom w:val="single" w:sz="4" w:space="0" w:color="auto"/>
              <w:right w:val="nil"/>
            </w:tcBorders>
            <w:vAlign w:val="center"/>
          </w:tcPr>
          <w:p w:rsidR="00933A46" w:rsidRPr="00DC3EB0" w:rsidRDefault="00933A46" w:rsidP="003B4C68">
            <w:pPr>
              <w:jc w:val="right"/>
              <w:rPr>
                <w:color w:val="000000"/>
              </w:rPr>
            </w:pPr>
            <w:r w:rsidRPr="00DC3EB0">
              <w:rPr>
                <w:color w:val="000000"/>
              </w:rPr>
              <w:t>1,613</w:t>
            </w:r>
          </w:p>
        </w:tc>
      </w:tr>
      <w:tr w:rsidR="00933A46" w:rsidRPr="00DC3EB0" w:rsidTr="00090A03">
        <w:trPr>
          <w:gridAfter w:val="1"/>
          <w:wAfter w:w="712" w:type="dxa"/>
          <w:trHeight w:val="300"/>
        </w:trPr>
        <w:tc>
          <w:tcPr>
            <w:tcW w:w="3936" w:type="dxa"/>
            <w:tcBorders>
              <w:top w:val="nil"/>
              <w:left w:val="nil"/>
              <w:bottom w:val="nil"/>
              <w:right w:val="nil"/>
            </w:tcBorders>
            <w:shd w:val="clear" w:color="auto" w:fill="auto"/>
            <w:noWrap/>
            <w:vAlign w:val="bottom"/>
            <w:hideMark/>
          </w:tcPr>
          <w:p w:rsidR="00933A46" w:rsidRPr="00DC3EB0" w:rsidRDefault="00933A46" w:rsidP="00E668EB">
            <w:pPr>
              <w:rPr>
                <w:color w:val="000000"/>
              </w:rPr>
            </w:pPr>
          </w:p>
        </w:tc>
        <w:tc>
          <w:tcPr>
            <w:tcW w:w="1417" w:type="dxa"/>
            <w:tcBorders>
              <w:top w:val="nil"/>
              <w:left w:val="nil"/>
              <w:bottom w:val="nil"/>
              <w:right w:val="nil"/>
            </w:tcBorders>
            <w:shd w:val="clear" w:color="auto" w:fill="auto"/>
            <w:noWrap/>
            <w:vAlign w:val="center"/>
            <w:hideMark/>
          </w:tcPr>
          <w:p w:rsidR="00933A46" w:rsidRPr="00DC3EB0" w:rsidRDefault="00933A46" w:rsidP="009B313D">
            <w:pPr>
              <w:jc w:val="right"/>
              <w:rPr>
                <w:color w:val="000000"/>
              </w:rPr>
            </w:pPr>
          </w:p>
        </w:tc>
        <w:tc>
          <w:tcPr>
            <w:tcW w:w="992" w:type="dxa"/>
            <w:tcBorders>
              <w:top w:val="nil"/>
              <w:left w:val="nil"/>
              <w:bottom w:val="nil"/>
              <w:right w:val="nil"/>
            </w:tcBorders>
            <w:shd w:val="clear" w:color="auto" w:fill="auto"/>
            <w:noWrap/>
            <w:vAlign w:val="center"/>
            <w:hideMark/>
          </w:tcPr>
          <w:p w:rsidR="00933A46" w:rsidRPr="00DC3EB0" w:rsidRDefault="00933A46" w:rsidP="009B313D">
            <w:pPr>
              <w:jc w:val="right"/>
              <w:rPr>
                <w:color w:val="000000"/>
              </w:rPr>
            </w:pPr>
          </w:p>
        </w:tc>
        <w:tc>
          <w:tcPr>
            <w:tcW w:w="993" w:type="dxa"/>
            <w:tcBorders>
              <w:top w:val="nil"/>
              <w:left w:val="nil"/>
              <w:bottom w:val="nil"/>
              <w:right w:val="single" w:sz="4" w:space="0" w:color="auto"/>
            </w:tcBorders>
            <w:shd w:val="clear" w:color="auto" w:fill="auto"/>
            <w:noWrap/>
            <w:vAlign w:val="center"/>
            <w:hideMark/>
          </w:tcPr>
          <w:p w:rsidR="00933A46" w:rsidRPr="00DC3EB0" w:rsidRDefault="00933A46" w:rsidP="009B313D">
            <w:pPr>
              <w:jc w:val="right"/>
              <w:rPr>
                <w:color w:val="000000"/>
              </w:rPr>
            </w:pPr>
          </w:p>
        </w:tc>
        <w:tc>
          <w:tcPr>
            <w:tcW w:w="1417" w:type="dxa"/>
            <w:tcBorders>
              <w:top w:val="nil"/>
              <w:left w:val="single" w:sz="4" w:space="0" w:color="auto"/>
              <w:bottom w:val="nil"/>
              <w:right w:val="nil"/>
            </w:tcBorders>
            <w:vAlign w:val="center"/>
          </w:tcPr>
          <w:p w:rsidR="00933A46" w:rsidRPr="00DC3EB0" w:rsidRDefault="00933A46" w:rsidP="009B313D">
            <w:pPr>
              <w:jc w:val="right"/>
              <w:rPr>
                <w:color w:val="000000"/>
              </w:rPr>
            </w:pPr>
          </w:p>
        </w:tc>
        <w:tc>
          <w:tcPr>
            <w:tcW w:w="992" w:type="dxa"/>
            <w:tcBorders>
              <w:top w:val="nil"/>
              <w:left w:val="nil"/>
              <w:bottom w:val="nil"/>
              <w:right w:val="nil"/>
            </w:tcBorders>
            <w:vAlign w:val="center"/>
          </w:tcPr>
          <w:p w:rsidR="00933A46" w:rsidRPr="00DC3EB0" w:rsidRDefault="00933A46" w:rsidP="003B4C68">
            <w:pPr>
              <w:jc w:val="right"/>
              <w:rPr>
                <w:color w:val="000000"/>
              </w:rPr>
            </w:pPr>
          </w:p>
        </w:tc>
        <w:tc>
          <w:tcPr>
            <w:tcW w:w="907" w:type="dxa"/>
            <w:gridSpan w:val="2"/>
            <w:tcBorders>
              <w:top w:val="nil"/>
              <w:left w:val="nil"/>
              <w:bottom w:val="nil"/>
              <w:right w:val="nil"/>
            </w:tcBorders>
            <w:vAlign w:val="center"/>
          </w:tcPr>
          <w:p w:rsidR="00933A46" w:rsidRPr="00DC3EB0" w:rsidRDefault="00933A46" w:rsidP="003B4C68">
            <w:pPr>
              <w:jc w:val="right"/>
              <w:rPr>
                <w:color w:val="000000"/>
              </w:rPr>
            </w:pPr>
          </w:p>
        </w:tc>
      </w:tr>
      <w:tr w:rsidR="00933A46" w:rsidRPr="00DC3EB0" w:rsidTr="00090A03">
        <w:trPr>
          <w:gridAfter w:val="1"/>
          <w:wAfter w:w="712" w:type="dxa"/>
          <w:trHeight w:val="315"/>
        </w:trPr>
        <w:tc>
          <w:tcPr>
            <w:tcW w:w="3936" w:type="dxa"/>
            <w:tcBorders>
              <w:top w:val="nil"/>
              <w:left w:val="nil"/>
              <w:bottom w:val="nil"/>
              <w:right w:val="nil"/>
            </w:tcBorders>
            <w:shd w:val="clear" w:color="auto" w:fill="auto"/>
            <w:noWrap/>
            <w:vAlign w:val="bottom"/>
            <w:hideMark/>
          </w:tcPr>
          <w:p w:rsidR="00933A46" w:rsidRPr="00DC3EB0" w:rsidRDefault="00933A46" w:rsidP="00E668EB">
            <w:pPr>
              <w:rPr>
                <w:b/>
                <w:bCs/>
                <w:color w:val="000000"/>
              </w:rPr>
            </w:pPr>
            <w:r w:rsidRPr="00DC3EB0">
              <w:rPr>
                <w:b/>
                <w:bCs/>
                <w:color w:val="000000"/>
              </w:rPr>
              <w:t>Comprising:</w:t>
            </w:r>
          </w:p>
        </w:tc>
        <w:tc>
          <w:tcPr>
            <w:tcW w:w="1417" w:type="dxa"/>
            <w:tcBorders>
              <w:top w:val="nil"/>
              <w:left w:val="nil"/>
              <w:bottom w:val="nil"/>
              <w:right w:val="nil"/>
            </w:tcBorders>
            <w:shd w:val="clear" w:color="auto" w:fill="auto"/>
            <w:noWrap/>
            <w:vAlign w:val="center"/>
            <w:hideMark/>
          </w:tcPr>
          <w:p w:rsidR="00933A46" w:rsidRPr="00DC3EB0" w:rsidRDefault="00933A46" w:rsidP="009B313D">
            <w:pPr>
              <w:jc w:val="right"/>
              <w:rPr>
                <w:color w:val="000000"/>
              </w:rPr>
            </w:pPr>
          </w:p>
        </w:tc>
        <w:tc>
          <w:tcPr>
            <w:tcW w:w="992" w:type="dxa"/>
            <w:tcBorders>
              <w:top w:val="nil"/>
              <w:left w:val="nil"/>
              <w:bottom w:val="nil"/>
              <w:right w:val="nil"/>
            </w:tcBorders>
            <w:shd w:val="clear" w:color="auto" w:fill="auto"/>
            <w:noWrap/>
            <w:vAlign w:val="center"/>
            <w:hideMark/>
          </w:tcPr>
          <w:p w:rsidR="00933A46" w:rsidRPr="00DC3EB0" w:rsidRDefault="00933A46" w:rsidP="009B313D">
            <w:pPr>
              <w:jc w:val="right"/>
              <w:rPr>
                <w:color w:val="000000"/>
              </w:rPr>
            </w:pPr>
          </w:p>
        </w:tc>
        <w:tc>
          <w:tcPr>
            <w:tcW w:w="993" w:type="dxa"/>
            <w:tcBorders>
              <w:top w:val="nil"/>
              <w:left w:val="nil"/>
              <w:bottom w:val="nil"/>
              <w:right w:val="single" w:sz="4" w:space="0" w:color="auto"/>
            </w:tcBorders>
            <w:shd w:val="clear" w:color="auto" w:fill="auto"/>
            <w:noWrap/>
            <w:vAlign w:val="center"/>
            <w:hideMark/>
          </w:tcPr>
          <w:p w:rsidR="00933A46" w:rsidRPr="00DC3EB0" w:rsidRDefault="00933A46" w:rsidP="009B313D">
            <w:pPr>
              <w:jc w:val="right"/>
              <w:rPr>
                <w:color w:val="000000"/>
              </w:rPr>
            </w:pPr>
          </w:p>
        </w:tc>
        <w:tc>
          <w:tcPr>
            <w:tcW w:w="1417" w:type="dxa"/>
            <w:tcBorders>
              <w:top w:val="nil"/>
              <w:left w:val="single" w:sz="4" w:space="0" w:color="auto"/>
              <w:bottom w:val="nil"/>
              <w:right w:val="nil"/>
            </w:tcBorders>
            <w:vAlign w:val="center"/>
          </w:tcPr>
          <w:p w:rsidR="00933A46" w:rsidRPr="00DC3EB0" w:rsidRDefault="00933A46" w:rsidP="009B313D">
            <w:pPr>
              <w:jc w:val="right"/>
              <w:rPr>
                <w:color w:val="000000"/>
              </w:rPr>
            </w:pPr>
          </w:p>
        </w:tc>
        <w:tc>
          <w:tcPr>
            <w:tcW w:w="992" w:type="dxa"/>
            <w:tcBorders>
              <w:top w:val="nil"/>
              <w:left w:val="nil"/>
              <w:bottom w:val="nil"/>
              <w:right w:val="nil"/>
            </w:tcBorders>
            <w:vAlign w:val="center"/>
          </w:tcPr>
          <w:p w:rsidR="00933A46" w:rsidRPr="00DC3EB0" w:rsidRDefault="00933A46" w:rsidP="003B4C68">
            <w:pPr>
              <w:jc w:val="right"/>
              <w:rPr>
                <w:color w:val="000000"/>
              </w:rPr>
            </w:pPr>
          </w:p>
        </w:tc>
        <w:tc>
          <w:tcPr>
            <w:tcW w:w="907" w:type="dxa"/>
            <w:gridSpan w:val="2"/>
            <w:tcBorders>
              <w:top w:val="nil"/>
              <w:left w:val="nil"/>
              <w:bottom w:val="nil"/>
              <w:right w:val="nil"/>
            </w:tcBorders>
            <w:vAlign w:val="center"/>
          </w:tcPr>
          <w:p w:rsidR="00933A46" w:rsidRPr="00DC3EB0" w:rsidRDefault="00933A46" w:rsidP="003B4C68">
            <w:pPr>
              <w:jc w:val="right"/>
              <w:rPr>
                <w:color w:val="000000"/>
              </w:rPr>
            </w:pPr>
          </w:p>
        </w:tc>
      </w:tr>
      <w:tr w:rsidR="00933A46" w:rsidRPr="00DC3EB0" w:rsidTr="00090A03">
        <w:trPr>
          <w:gridAfter w:val="1"/>
          <w:wAfter w:w="712" w:type="dxa"/>
          <w:trHeight w:val="300"/>
        </w:trPr>
        <w:tc>
          <w:tcPr>
            <w:tcW w:w="3936" w:type="dxa"/>
            <w:tcBorders>
              <w:top w:val="nil"/>
              <w:left w:val="nil"/>
              <w:bottom w:val="nil"/>
              <w:right w:val="nil"/>
            </w:tcBorders>
            <w:shd w:val="clear" w:color="auto" w:fill="auto"/>
            <w:noWrap/>
            <w:vAlign w:val="bottom"/>
            <w:hideMark/>
          </w:tcPr>
          <w:p w:rsidR="00933A46" w:rsidRPr="00DC3EB0" w:rsidRDefault="00933A46" w:rsidP="00E668EB">
            <w:pPr>
              <w:ind w:firstLineChars="300" w:firstLine="720"/>
              <w:rPr>
                <w:color w:val="000000"/>
              </w:rPr>
            </w:pPr>
            <w:r w:rsidRPr="00DC3EB0">
              <w:rPr>
                <w:color w:val="000000"/>
              </w:rPr>
              <w:t>Gross carrying amounts</w:t>
            </w:r>
          </w:p>
        </w:tc>
        <w:tc>
          <w:tcPr>
            <w:tcW w:w="1417" w:type="dxa"/>
            <w:tcBorders>
              <w:top w:val="single" w:sz="4" w:space="0" w:color="auto"/>
              <w:left w:val="nil"/>
              <w:bottom w:val="nil"/>
              <w:right w:val="nil"/>
            </w:tcBorders>
            <w:shd w:val="clear" w:color="auto" w:fill="auto"/>
            <w:noWrap/>
            <w:vAlign w:val="center"/>
            <w:hideMark/>
          </w:tcPr>
          <w:p w:rsidR="00933A46" w:rsidRPr="00DC3EB0" w:rsidRDefault="00933A46" w:rsidP="009B313D">
            <w:pPr>
              <w:jc w:val="right"/>
              <w:rPr>
                <w:color w:val="000000"/>
              </w:rPr>
            </w:pPr>
            <w:r w:rsidRPr="00DC3EB0">
              <w:rPr>
                <w:color w:val="000000"/>
              </w:rPr>
              <w:t>- </w:t>
            </w:r>
          </w:p>
        </w:tc>
        <w:tc>
          <w:tcPr>
            <w:tcW w:w="992" w:type="dxa"/>
            <w:tcBorders>
              <w:top w:val="single" w:sz="4" w:space="0" w:color="auto"/>
              <w:left w:val="nil"/>
              <w:bottom w:val="nil"/>
              <w:right w:val="nil"/>
            </w:tcBorders>
            <w:shd w:val="clear" w:color="auto" w:fill="auto"/>
            <w:noWrap/>
            <w:vAlign w:val="center"/>
            <w:hideMark/>
          </w:tcPr>
          <w:p w:rsidR="00933A46" w:rsidRPr="00DC3EB0" w:rsidRDefault="00933A46" w:rsidP="009B313D">
            <w:pPr>
              <w:jc w:val="right"/>
              <w:rPr>
                <w:color w:val="000000"/>
              </w:rPr>
            </w:pPr>
            <w:r w:rsidRPr="00DC3EB0">
              <w:rPr>
                <w:color w:val="000000"/>
              </w:rPr>
              <w:t>12,721</w:t>
            </w:r>
          </w:p>
        </w:tc>
        <w:tc>
          <w:tcPr>
            <w:tcW w:w="993" w:type="dxa"/>
            <w:tcBorders>
              <w:top w:val="single" w:sz="4" w:space="0" w:color="auto"/>
              <w:left w:val="nil"/>
              <w:bottom w:val="nil"/>
              <w:right w:val="single" w:sz="4" w:space="0" w:color="auto"/>
            </w:tcBorders>
            <w:shd w:val="clear" w:color="auto" w:fill="auto"/>
            <w:noWrap/>
            <w:vAlign w:val="center"/>
            <w:hideMark/>
          </w:tcPr>
          <w:p w:rsidR="00933A46" w:rsidRPr="00DC3EB0" w:rsidRDefault="00933A46" w:rsidP="009B313D">
            <w:pPr>
              <w:jc w:val="right"/>
              <w:rPr>
                <w:color w:val="000000"/>
              </w:rPr>
            </w:pPr>
            <w:r w:rsidRPr="00DC3EB0">
              <w:rPr>
                <w:color w:val="000000"/>
              </w:rPr>
              <w:t>12,721</w:t>
            </w:r>
          </w:p>
        </w:tc>
        <w:tc>
          <w:tcPr>
            <w:tcW w:w="1417" w:type="dxa"/>
            <w:tcBorders>
              <w:top w:val="single" w:sz="4" w:space="0" w:color="auto"/>
              <w:left w:val="single" w:sz="4" w:space="0" w:color="auto"/>
              <w:bottom w:val="nil"/>
              <w:right w:val="nil"/>
            </w:tcBorders>
            <w:vAlign w:val="center"/>
          </w:tcPr>
          <w:p w:rsidR="00933A46" w:rsidRPr="00DC3EB0" w:rsidRDefault="00933A46" w:rsidP="009B313D">
            <w:pPr>
              <w:jc w:val="right"/>
              <w:rPr>
                <w:color w:val="000000"/>
              </w:rPr>
            </w:pPr>
            <w:r w:rsidRPr="00DC3EB0">
              <w:rPr>
                <w:color w:val="000000"/>
              </w:rPr>
              <w:t>-</w:t>
            </w:r>
          </w:p>
        </w:tc>
        <w:tc>
          <w:tcPr>
            <w:tcW w:w="992" w:type="dxa"/>
            <w:tcBorders>
              <w:top w:val="single" w:sz="4" w:space="0" w:color="auto"/>
              <w:left w:val="nil"/>
              <w:bottom w:val="nil"/>
              <w:right w:val="nil"/>
            </w:tcBorders>
            <w:vAlign w:val="center"/>
          </w:tcPr>
          <w:p w:rsidR="00933A46" w:rsidRPr="00DC3EB0" w:rsidRDefault="00933A46" w:rsidP="003B4C68">
            <w:pPr>
              <w:jc w:val="right"/>
              <w:rPr>
                <w:color w:val="000000"/>
              </w:rPr>
            </w:pPr>
            <w:r w:rsidRPr="00DC3EB0">
              <w:rPr>
                <w:color w:val="000000"/>
              </w:rPr>
              <w:t> 2,172</w:t>
            </w:r>
          </w:p>
        </w:tc>
        <w:tc>
          <w:tcPr>
            <w:tcW w:w="907" w:type="dxa"/>
            <w:gridSpan w:val="2"/>
            <w:tcBorders>
              <w:top w:val="single" w:sz="4" w:space="0" w:color="auto"/>
              <w:left w:val="nil"/>
              <w:bottom w:val="nil"/>
              <w:right w:val="nil"/>
            </w:tcBorders>
            <w:vAlign w:val="center"/>
          </w:tcPr>
          <w:p w:rsidR="00933A46" w:rsidRPr="00DC3EB0" w:rsidRDefault="00933A46" w:rsidP="00090A03">
            <w:pPr>
              <w:rPr>
                <w:color w:val="000000"/>
              </w:rPr>
            </w:pPr>
            <w:r w:rsidRPr="00DC3EB0">
              <w:rPr>
                <w:color w:val="000000"/>
              </w:rPr>
              <w:t> 2,172</w:t>
            </w:r>
          </w:p>
        </w:tc>
      </w:tr>
      <w:tr w:rsidR="00933A46" w:rsidRPr="00DC3EB0" w:rsidTr="00090A03">
        <w:trPr>
          <w:gridAfter w:val="1"/>
          <w:wAfter w:w="712" w:type="dxa"/>
          <w:trHeight w:val="300"/>
        </w:trPr>
        <w:tc>
          <w:tcPr>
            <w:tcW w:w="3936" w:type="dxa"/>
            <w:tcBorders>
              <w:top w:val="nil"/>
              <w:left w:val="nil"/>
              <w:bottom w:val="nil"/>
              <w:right w:val="nil"/>
            </w:tcBorders>
            <w:shd w:val="clear" w:color="auto" w:fill="auto"/>
            <w:noWrap/>
            <w:vAlign w:val="bottom"/>
            <w:hideMark/>
          </w:tcPr>
          <w:p w:rsidR="00933A46" w:rsidRPr="00DC3EB0" w:rsidRDefault="00933A46" w:rsidP="00E668EB">
            <w:pPr>
              <w:ind w:firstLineChars="300" w:firstLine="720"/>
              <w:rPr>
                <w:color w:val="000000"/>
              </w:rPr>
            </w:pPr>
            <w:r w:rsidRPr="00DC3EB0">
              <w:rPr>
                <w:color w:val="000000"/>
              </w:rPr>
              <w:t>Accumulated amortisation</w:t>
            </w:r>
          </w:p>
        </w:tc>
        <w:tc>
          <w:tcPr>
            <w:tcW w:w="1417" w:type="dxa"/>
            <w:tcBorders>
              <w:top w:val="single" w:sz="4" w:space="0" w:color="auto"/>
              <w:left w:val="nil"/>
              <w:bottom w:val="single" w:sz="4" w:space="0" w:color="auto"/>
              <w:right w:val="nil"/>
            </w:tcBorders>
            <w:shd w:val="clear" w:color="auto" w:fill="auto"/>
            <w:noWrap/>
            <w:vAlign w:val="center"/>
            <w:hideMark/>
          </w:tcPr>
          <w:p w:rsidR="00933A46" w:rsidRPr="00DC3EB0" w:rsidRDefault="00933A46" w:rsidP="009B313D">
            <w:pPr>
              <w:jc w:val="right"/>
              <w:rPr>
                <w:color w:val="000000"/>
              </w:rPr>
            </w:pPr>
            <w:r w:rsidRPr="00DC3EB0">
              <w:rPr>
                <w:color w:val="000000"/>
              </w:rPr>
              <w:t>- </w:t>
            </w:r>
          </w:p>
        </w:tc>
        <w:tc>
          <w:tcPr>
            <w:tcW w:w="992" w:type="dxa"/>
            <w:tcBorders>
              <w:top w:val="single" w:sz="4" w:space="0" w:color="auto"/>
              <w:left w:val="nil"/>
              <w:bottom w:val="single" w:sz="4" w:space="0" w:color="auto"/>
              <w:right w:val="nil"/>
            </w:tcBorders>
            <w:shd w:val="clear" w:color="auto" w:fill="auto"/>
            <w:noWrap/>
            <w:vAlign w:val="center"/>
            <w:hideMark/>
          </w:tcPr>
          <w:p w:rsidR="00933A46" w:rsidRPr="00DC3EB0" w:rsidRDefault="00933A46" w:rsidP="009B313D">
            <w:pPr>
              <w:jc w:val="right"/>
              <w:rPr>
                <w:color w:val="000000"/>
              </w:rPr>
            </w:pPr>
            <w:r w:rsidRPr="00DC3EB0">
              <w:rPr>
                <w:color w:val="000000"/>
              </w:rPr>
              <w:t>(867)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33A46" w:rsidRPr="00DC3EB0" w:rsidRDefault="00933A46" w:rsidP="009B313D">
            <w:pPr>
              <w:jc w:val="right"/>
              <w:rPr>
                <w:color w:val="000000"/>
              </w:rPr>
            </w:pPr>
            <w:r w:rsidRPr="00DC3EB0">
              <w:rPr>
                <w:color w:val="000000"/>
              </w:rPr>
              <w:t>(867)</w:t>
            </w:r>
          </w:p>
        </w:tc>
        <w:tc>
          <w:tcPr>
            <w:tcW w:w="1417" w:type="dxa"/>
            <w:tcBorders>
              <w:top w:val="single" w:sz="4" w:space="0" w:color="auto"/>
              <w:left w:val="single" w:sz="4" w:space="0" w:color="auto"/>
              <w:bottom w:val="single" w:sz="4" w:space="0" w:color="auto"/>
              <w:right w:val="nil"/>
            </w:tcBorders>
            <w:vAlign w:val="center"/>
          </w:tcPr>
          <w:p w:rsidR="00933A46" w:rsidRPr="00DC3EB0" w:rsidRDefault="00933A46" w:rsidP="009B313D">
            <w:pPr>
              <w:jc w:val="right"/>
              <w:rPr>
                <w:color w:val="000000"/>
              </w:rPr>
            </w:pPr>
            <w:r w:rsidRPr="00DC3EB0">
              <w:rPr>
                <w:color w:val="000000"/>
              </w:rPr>
              <w:t>-</w:t>
            </w:r>
          </w:p>
        </w:tc>
        <w:tc>
          <w:tcPr>
            <w:tcW w:w="992" w:type="dxa"/>
            <w:tcBorders>
              <w:top w:val="single" w:sz="4" w:space="0" w:color="auto"/>
              <w:left w:val="nil"/>
              <w:bottom w:val="single" w:sz="4" w:space="0" w:color="auto"/>
              <w:right w:val="nil"/>
            </w:tcBorders>
            <w:vAlign w:val="center"/>
          </w:tcPr>
          <w:p w:rsidR="00933A46" w:rsidRPr="00DC3EB0" w:rsidRDefault="00933A46" w:rsidP="003B4C68">
            <w:pPr>
              <w:jc w:val="right"/>
              <w:rPr>
                <w:color w:val="000000"/>
              </w:rPr>
            </w:pPr>
            <w:r w:rsidRPr="00DC3EB0">
              <w:rPr>
                <w:color w:val="000000"/>
              </w:rPr>
              <w:t> (559)</w:t>
            </w:r>
          </w:p>
        </w:tc>
        <w:tc>
          <w:tcPr>
            <w:tcW w:w="907" w:type="dxa"/>
            <w:gridSpan w:val="2"/>
            <w:tcBorders>
              <w:top w:val="single" w:sz="4" w:space="0" w:color="auto"/>
              <w:left w:val="nil"/>
              <w:bottom w:val="single" w:sz="4" w:space="0" w:color="auto"/>
              <w:right w:val="nil"/>
            </w:tcBorders>
            <w:vAlign w:val="center"/>
          </w:tcPr>
          <w:p w:rsidR="00933A46" w:rsidRPr="00DC3EB0" w:rsidRDefault="00933A46" w:rsidP="003B4C68">
            <w:pPr>
              <w:jc w:val="right"/>
              <w:rPr>
                <w:color w:val="000000"/>
              </w:rPr>
            </w:pPr>
            <w:r w:rsidRPr="00DC3EB0">
              <w:rPr>
                <w:color w:val="000000"/>
              </w:rPr>
              <w:t>(559) </w:t>
            </w:r>
          </w:p>
        </w:tc>
      </w:tr>
    </w:tbl>
    <w:p w:rsidR="00BD34DC" w:rsidRDefault="00BD34DC" w:rsidP="00BD34DC">
      <w:pPr>
        <w:ind w:left="720"/>
      </w:pPr>
    </w:p>
    <w:p w:rsidR="008D7031" w:rsidRDefault="008D7031" w:rsidP="00BD34DC">
      <w:pPr>
        <w:ind w:left="720"/>
      </w:pPr>
    </w:p>
    <w:p w:rsidR="008D7031" w:rsidRDefault="008D7031" w:rsidP="00BD34DC">
      <w:pPr>
        <w:ind w:left="720"/>
      </w:pPr>
    </w:p>
    <w:p w:rsidR="008D7031" w:rsidRDefault="008D7031" w:rsidP="00BD34DC">
      <w:pPr>
        <w:ind w:left="720"/>
      </w:pPr>
    </w:p>
    <w:p w:rsidR="008D7031" w:rsidRDefault="008D7031" w:rsidP="00BD34DC">
      <w:pPr>
        <w:ind w:left="720"/>
      </w:pPr>
    </w:p>
    <w:p w:rsidR="008D7031" w:rsidRPr="00DC3EB0" w:rsidRDefault="008D7031" w:rsidP="00BD34DC">
      <w:pPr>
        <w:ind w:left="720"/>
      </w:pPr>
    </w:p>
    <w:p w:rsidR="00E668EB" w:rsidRPr="00DC3EB0" w:rsidRDefault="00E668EB" w:rsidP="00BD34DC">
      <w:pPr>
        <w:ind w:left="720"/>
        <w:rPr>
          <w:b/>
          <w:u w:val="single"/>
        </w:rPr>
      </w:pPr>
    </w:p>
    <w:p w:rsidR="006C467D" w:rsidRPr="00DC3EB0" w:rsidRDefault="00E668EB" w:rsidP="00E668EB">
      <w:pPr>
        <w:rPr>
          <w:b/>
          <w:u w:val="single"/>
        </w:rPr>
      </w:pPr>
      <w:r w:rsidRPr="00DC3EB0">
        <w:rPr>
          <w:b/>
          <w:u w:val="single"/>
        </w:rPr>
        <w:lastRenderedPageBreak/>
        <w:t>Individual Items of Material Capitalised Software</w:t>
      </w:r>
    </w:p>
    <w:p w:rsidR="00E668EB" w:rsidRPr="00DC3EB0" w:rsidRDefault="00E668EB" w:rsidP="00BD34DC">
      <w:pPr>
        <w:ind w:left="720"/>
      </w:pPr>
    </w:p>
    <w:tbl>
      <w:tblPr>
        <w:tblW w:w="9850" w:type="dxa"/>
        <w:tblInd w:w="88" w:type="dxa"/>
        <w:tblLook w:val="04A0"/>
      </w:tblPr>
      <w:tblGrid>
        <w:gridCol w:w="5780"/>
        <w:gridCol w:w="1260"/>
        <w:gridCol w:w="1260"/>
        <w:gridCol w:w="1550"/>
      </w:tblGrid>
      <w:tr w:rsidR="00E668EB" w:rsidRPr="00DC3EB0" w:rsidTr="00CC5483">
        <w:trPr>
          <w:trHeight w:val="315"/>
        </w:trPr>
        <w:tc>
          <w:tcPr>
            <w:tcW w:w="5780" w:type="dxa"/>
            <w:tcBorders>
              <w:top w:val="nil"/>
              <w:left w:val="nil"/>
              <w:bottom w:val="nil"/>
              <w:right w:val="nil"/>
            </w:tcBorders>
            <w:shd w:val="clear" w:color="auto" w:fill="auto"/>
            <w:noWrap/>
            <w:vAlign w:val="bottom"/>
            <w:hideMark/>
          </w:tcPr>
          <w:p w:rsidR="00E668EB" w:rsidRPr="00DC3EB0" w:rsidRDefault="00E668EB" w:rsidP="00E668EB">
            <w:pPr>
              <w:rPr>
                <w:color w:val="000000"/>
              </w:rPr>
            </w:pPr>
          </w:p>
        </w:tc>
        <w:tc>
          <w:tcPr>
            <w:tcW w:w="2520" w:type="dxa"/>
            <w:gridSpan w:val="2"/>
            <w:tcBorders>
              <w:top w:val="nil"/>
              <w:left w:val="nil"/>
              <w:bottom w:val="single" w:sz="4" w:space="0" w:color="auto"/>
              <w:right w:val="nil"/>
            </w:tcBorders>
            <w:shd w:val="clear" w:color="auto" w:fill="auto"/>
            <w:noWrap/>
            <w:vAlign w:val="bottom"/>
            <w:hideMark/>
          </w:tcPr>
          <w:p w:rsidR="00E668EB" w:rsidRPr="00DC3EB0" w:rsidRDefault="00E668EB" w:rsidP="00E668EB">
            <w:pPr>
              <w:jc w:val="center"/>
              <w:rPr>
                <w:b/>
                <w:bCs/>
                <w:color w:val="000000"/>
              </w:rPr>
            </w:pPr>
            <w:r w:rsidRPr="00DC3EB0">
              <w:rPr>
                <w:b/>
                <w:bCs/>
                <w:color w:val="000000"/>
              </w:rPr>
              <w:t>Carrying Amount</w:t>
            </w:r>
          </w:p>
        </w:tc>
        <w:tc>
          <w:tcPr>
            <w:tcW w:w="1550" w:type="dxa"/>
            <w:tcBorders>
              <w:top w:val="nil"/>
              <w:left w:val="nil"/>
              <w:bottom w:val="nil"/>
              <w:right w:val="nil"/>
            </w:tcBorders>
            <w:shd w:val="clear" w:color="auto" w:fill="auto"/>
            <w:noWrap/>
            <w:vAlign w:val="bottom"/>
            <w:hideMark/>
          </w:tcPr>
          <w:p w:rsidR="00E668EB" w:rsidRPr="00DC3EB0" w:rsidRDefault="00E668EB" w:rsidP="00E668EB">
            <w:pPr>
              <w:rPr>
                <w:color w:val="000000"/>
              </w:rPr>
            </w:pPr>
          </w:p>
        </w:tc>
      </w:tr>
      <w:tr w:rsidR="00E668EB" w:rsidRPr="00DC3EB0" w:rsidTr="00CC5483">
        <w:trPr>
          <w:trHeight w:val="900"/>
        </w:trPr>
        <w:tc>
          <w:tcPr>
            <w:tcW w:w="5780" w:type="dxa"/>
            <w:tcBorders>
              <w:top w:val="nil"/>
              <w:left w:val="nil"/>
              <w:bottom w:val="nil"/>
              <w:right w:val="nil"/>
            </w:tcBorders>
            <w:shd w:val="clear" w:color="auto" w:fill="auto"/>
            <w:noWrap/>
            <w:vAlign w:val="bottom"/>
            <w:hideMark/>
          </w:tcPr>
          <w:p w:rsidR="00E668EB" w:rsidRPr="00DC3EB0" w:rsidRDefault="00E668EB" w:rsidP="00E668EB">
            <w:pPr>
              <w:rPr>
                <w:color w:val="000000"/>
              </w:rPr>
            </w:pPr>
          </w:p>
        </w:tc>
        <w:tc>
          <w:tcPr>
            <w:tcW w:w="1260" w:type="dxa"/>
            <w:tcBorders>
              <w:top w:val="nil"/>
              <w:left w:val="nil"/>
              <w:bottom w:val="single" w:sz="4" w:space="0" w:color="auto"/>
              <w:right w:val="nil"/>
            </w:tcBorders>
            <w:shd w:val="clear" w:color="auto" w:fill="auto"/>
            <w:noWrap/>
            <w:vAlign w:val="center"/>
            <w:hideMark/>
          </w:tcPr>
          <w:p w:rsidR="0088186B" w:rsidRPr="00DC3EB0" w:rsidRDefault="00E668EB" w:rsidP="0088186B">
            <w:pPr>
              <w:jc w:val="center"/>
              <w:rPr>
                <w:color w:val="000000"/>
              </w:rPr>
            </w:pPr>
            <w:r w:rsidRPr="00DC3EB0">
              <w:rPr>
                <w:color w:val="000000"/>
              </w:rPr>
              <w:t>31</w:t>
            </w:r>
            <w:r w:rsidR="00CC5483" w:rsidRPr="00DC3EB0">
              <w:rPr>
                <w:color w:val="000000"/>
              </w:rPr>
              <w:t xml:space="preserve"> March 2012</w:t>
            </w:r>
          </w:p>
          <w:p w:rsidR="0088186B" w:rsidRPr="00DC3EB0" w:rsidRDefault="0088186B" w:rsidP="0088186B">
            <w:pPr>
              <w:jc w:val="center"/>
              <w:rPr>
                <w:color w:val="000000"/>
              </w:rPr>
            </w:pPr>
            <w:r w:rsidRPr="00DC3EB0">
              <w:rPr>
                <w:color w:val="000000"/>
              </w:rPr>
              <w:t>£000</w:t>
            </w:r>
          </w:p>
        </w:tc>
        <w:tc>
          <w:tcPr>
            <w:tcW w:w="1260" w:type="dxa"/>
            <w:tcBorders>
              <w:top w:val="nil"/>
              <w:left w:val="nil"/>
              <w:bottom w:val="single" w:sz="4" w:space="0" w:color="auto"/>
              <w:right w:val="nil"/>
            </w:tcBorders>
            <w:shd w:val="clear" w:color="auto" w:fill="auto"/>
            <w:noWrap/>
            <w:vAlign w:val="center"/>
            <w:hideMark/>
          </w:tcPr>
          <w:p w:rsidR="00E668EB" w:rsidRPr="00DC3EB0" w:rsidRDefault="00E668EB" w:rsidP="00E668EB">
            <w:pPr>
              <w:jc w:val="center"/>
              <w:rPr>
                <w:color w:val="000000"/>
              </w:rPr>
            </w:pPr>
            <w:r w:rsidRPr="00DC3EB0">
              <w:rPr>
                <w:color w:val="000000"/>
              </w:rPr>
              <w:t xml:space="preserve">31March </w:t>
            </w:r>
            <w:r w:rsidR="00CC5483" w:rsidRPr="00DC3EB0">
              <w:rPr>
                <w:color w:val="000000"/>
              </w:rPr>
              <w:t>2011</w:t>
            </w:r>
          </w:p>
          <w:p w:rsidR="0088186B" w:rsidRPr="00DC3EB0" w:rsidRDefault="0088186B" w:rsidP="00E668EB">
            <w:pPr>
              <w:jc w:val="center"/>
              <w:rPr>
                <w:color w:val="000000"/>
              </w:rPr>
            </w:pPr>
            <w:r w:rsidRPr="00DC3EB0">
              <w:rPr>
                <w:color w:val="000000"/>
              </w:rPr>
              <w:t>£000</w:t>
            </w:r>
          </w:p>
        </w:tc>
        <w:tc>
          <w:tcPr>
            <w:tcW w:w="1550" w:type="dxa"/>
            <w:tcBorders>
              <w:top w:val="nil"/>
              <w:left w:val="nil"/>
              <w:bottom w:val="single" w:sz="4" w:space="0" w:color="auto"/>
              <w:right w:val="nil"/>
            </w:tcBorders>
            <w:shd w:val="clear" w:color="auto" w:fill="auto"/>
            <w:vAlign w:val="center"/>
            <w:hideMark/>
          </w:tcPr>
          <w:p w:rsidR="00E668EB" w:rsidRPr="00DC3EB0" w:rsidRDefault="00E668EB" w:rsidP="00E668EB">
            <w:pPr>
              <w:jc w:val="center"/>
              <w:rPr>
                <w:color w:val="000000"/>
              </w:rPr>
            </w:pPr>
            <w:r w:rsidRPr="00DC3EB0">
              <w:rPr>
                <w:color w:val="000000"/>
              </w:rPr>
              <w:t>Remaining Amortisation Period</w:t>
            </w:r>
            <w:r w:rsidR="003444A1" w:rsidRPr="00DC3EB0">
              <w:rPr>
                <w:color w:val="000000"/>
              </w:rPr>
              <w:t xml:space="preserve"> in</w:t>
            </w:r>
          </w:p>
          <w:p w:rsidR="0088186B" w:rsidRPr="00DC3EB0" w:rsidRDefault="0088186B" w:rsidP="00E668EB">
            <w:pPr>
              <w:jc w:val="center"/>
              <w:rPr>
                <w:color w:val="000000"/>
              </w:rPr>
            </w:pPr>
            <w:r w:rsidRPr="00DC3EB0">
              <w:rPr>
                <w:color w:val="000000"/>
              </w:rPr>
              <w:t>years</w:t>
            </w:r>
          </w:p>
        </w:tc>
      </w:tr>
      <w:tr w:rsidR="00CC5483" w:rsidRPr="00DC3EB0" w:rsidTr="00CC5483">
        <w:trPr>
          <w:trHeight w:val="300"/>
        </w:trPr>
        <w:tc>
          <w:tcPr>
            <w:tcW w:w="5780" w:type="dxa"/>
            <w:tcBorders>
              <w:top w:val="nil"/>
              <w:left w:val="nil"/>
              <w:bottom w:val="nil"/>
              <w:right w:val="nil"/>
            </w:tcBorders>
            <w:shd w:val="clear" w:color="auto" w:fill="auto"/>
            <w:noWrap/>
            <w:vAlign w:val="bottom"/>
            <w:hideMark/>
          </w:tcPr>
          <w:p w:rsidR="00CC5483" w:rsidRPr="00DC3EB0" w:rsidRDefault="00CC5483" w:rsidP="00E668EB">
            <w:pPr>
              <w:rPr>
                <w:i/>
                <w:iCs/>
                <w:color w:val="000000"/>
              </w:rPr>
            </w:pPr>
            <w:r w:rsidRPr="00DC3EB0">
              <w:rPr>
                <w:i/>
                <w:iCs/>
                <w:color w:val="000000"/>
              </w:rPr>
              <w:t>Pension Administration Software</w:t>
            </w:r>
          </w:p>
        </w:tc>
        <w:tc>
          <w:tcPr>
            <w:tcW w:w="1260" w:type="dxa"/>
            <w:tcBorders>
              <w:top w:val="nil"/>
              <w:left w:val="nil"/>
              <w:bottom w:val="nil"/>
              <w:right w:val="nil"/>
            </w:tcBorders>
            <w:shd w:val="clear" w:color="auto" w:fill="auto"/>
            <w:noWrap/>
            <w:vAlign w:val="bottom"/>
            <w:hideMark/>
          </w:tcPr>
          <w:p w:rsidR="00CC5483" w:rsidRPr="00DC3EB0" w:rsidRDefault="00F16E65" w:rsidP="0088186B">
            <w:pPr>
              <w:jc w:val="center"/>
              <w:rPr>
                <w:color w:val="000000"/>
              </w:rPr>
            </w:pPr>
            <w:r w:rsidRPr="00DC3EB0">
              <w:rPr>
                <w:color w:val="000000"/>
              </w:rPr>
              <w:t>648</w:t>
            </w:r>
          </w:p>
        </w:tc>
        <w:tc>
          <w:tcPr>
            <w:tcW w:w="1260" w:type="dxa"/>
            <w:tcBorders>
              <w:top w:val="nil"/>
              <w:left w:val="nil"/>
              <w:bottom w:val="nil"/>
              <w:right w:val="nil"/>
            </w:tcBorders>
            <w:shd w:val="clear" w:color="auto" w:fill="auto"/>
            <w:noWrap/>
            <w:vAlign w:val="bottom"/>
            <w:hideMark/>
          </w:tcPr>
          <w:p w:rsidR="00CC5483" w:rsidRPr="00DC3EB0" w:rsidRDefault="00CC5483" w:rsidP="00B90C7C">
            <w:pPr>
              <w:jc w:val="center"/>
              <w:rPr>
                <w:color w:val="000000"/>
              </w:rPr>
            </w:pPr>
            <w:r w:rsidRPr="00DC3EB0">
              <w:rPr>
                <w:color w:val="000000"/>
              </w:rPr>
              <w:t>755</w:t>
            </w:r>
          </w:p>
        </w:tc>
        <w:tc>
          <w:tcPr>
            <w:tcW w:w="1550" w:type="dxa"/>
            <w:tcBorders>
              <w:top w:val="nil"/>
              <w:left w:val="nil"/>
              <w:bottom w:val="nil"/>
              <w:right w:val="nil"/>
            </w:tcBorders>
            <w:shd w:val="clear" w:color="auto" w:fill="auto"/>
            <w:noWrap/>
            <w:vAlign w:val="bottom"/>
            <w:hideMark/>
          </w:tcPr>
          <w:p w:rsidR="00CC5483" w:rsidRPr="00DC3EB0" w:rsidRDefault="00F16E65" w:rsidP="0088186B">
            <w:pPr>
              <w:jc w:val="center"/>
              <w:rPr>
                <w:color w:val="000000"/>
              </w:rPr>
            </w:pPr>
            <w:r w:rsidRPr="00DC3EB0">
              <w:rPr>
                <w:color w:val="000000"/>
              </w:rPr>
              <w:t>6</w:t>
            </w:r>
          </w:p>
        </w:tc>
      </w:tr>
      <w:tr w:rsidR="00CC5483" w:rsidRPr="00DC3EB0" w:rsidTr="00CC5483">
        <w:trPr>
          <w:trHeight w:val="300"/>
        </w:trPr>
        <w:tc>
          <w:tcPr>
            <w:tcW w:w="5780" w:type="dxa"/>
            <w:tcBorders>
              <w:top w:val="nil"/>
              <w:left w:val="nil"/>
              <w:bottom w:val="nil"/>
              <w:right w:val="nil"/>
            </w:tcBorders>
            <w:shd w:val="clear" w:color="auto" w:fill="auto"/>
            <w:noWrap/>
            <w:vAlign w:val="bottom"/>
            <w:hideMark/>
          </w:tcPr>
          <w:p w:rsidR="00CC5483" w:rsidRPr="00DC3EB0" w:rsidRDefault="00CC5483" w:rsidP="00E668EB">
            <w:pPr>
              <w:rPr>
                <w:i/>
                <w:iCs/>
                <w:color w:val="000000"/>
              </w:rPr>
            </w:pPr>
            <w:r w:rsidRPr="00DC3EB0">
              <w:rPr>
                <w:i/>
                <w:iCs/>
                <w:color w:val="000000"/>
              </w:rPr>
              <w:t>Schools Network Infrastructure</w:t>
            </w:r>
          </w:p>
        </w:tc>
        <w:tc>
          <w:tcPr>
            <w:tcW w:w="1260" w:type="dxa"/>
            <w:tcBorders>
              <w:top w:val="nil"/>
              <w:left w:val="nil"/>
              <w:bottom w:val="nil"/>
              <w:right w:val="nil"/>
            </w:tcBorders>
            <w:shd w:val="clear" w:color="auto" w:fill="auto"/>
            <w:noWrap/>
            <w:vAlign w:val="bottom"/>
            <w:hideMark/>
          </w:tcPr>
          <w:p w:rsidR="00CC5483" w:rsidRPr="00DC3EB0" w:rsidRDefault="00F16E65" w:rsidP="0088186B">
            <w:pPr>
              <w:jc w:val="center"/>
              <w:rPr>
                <w:color w:val="000000"/>
              </w:rPr>
            </w:pPr>
            <w:r w:rsidRPr="00DC3EB0">
              <w:rPr>
                <w:color w:val="000000"/>
              </w:rPr>
              <w:t>617</w:t>
            </w:r>
          </w:p>
        </w:tc>
        <w:tc>
          <w:tcPr>
            <w:tcW w:w="1260" w:type="dxa"/>
            <w:tcBorders>
              <w:top w:val="nil"/>
              <w:left w:val="nil"/>
              <w:bottom w:val="nil"/>
              <w:right w:val="nil"/>
            </w:tcBorders>
            <w:shd w:val="clear" w:color="auto" w:fill="auto"/>
            <w:noWrap/>
            <w:vAlign w:val="bottom"/>
            <w:hideMark/>
          </w:tcPr>
          <w:p w:rsidR="00CC5483" w:rsidRPr="00DC3EB0" w:rsidRDefault="00CC5483" w:rsidP="00B90C7C">
            <w:pPr>
              <w:jc w:val="center"/>
              <w:rPr>
                <w:color w:val="000000"/>
              </w:rPr>
            </w:pPr>
            <w:r w:rsidRPr="00DC3EB0">
              <w:rPr>
                <w:color w:val="000000"/>
              </w:rPr>
              <w:t>720</w:t>
            </w:r>
          </w:p>
        </w:tc>
        <w:tc>
          <w:tcPr>
            <w:tcW w:w="1550" w:type="dxa"/>
            <w:tcBorders>
              <w:top w:val="nil"/>
              <w:left w:val="nil"/>
              <w:bottom w:val="nil"/>
              <w:right w:val="nil"/>
            </w:tcBorders>
            <w:shd w:val="clear" w:color="auto" w:fill="auto"/>
            <w:noWrap/>
            <w:vAlign w:val="bottom"/>
            <w:hideMark/>
          </w:tcPr>
          <w:p w:rsidR="00CC5483" w:rsidRPr="00DC3EB0" w:rsidRDefault="00F16E65" w:rsidP="0088186B">
            <w:pPr>
              <w:jc w:val="center"/>
              <w:rPr>
                <w:color w:val="000000"/>
              </w:rPr>
            </w:pPr>
            <w:r w:rsidRPr="00DC3EB0">
              <w:rPr>
                <w:color w:val="000000"/>
              </w:rPr>
              <w:t>6</w:t>
            </w:r>
          </w:p>
        </w:tc>
      </w:tr>
      <w:tr w:rsidR="00F16E65" w:rsidRPr="00DC3EB0" w:rsidTr="00CC5483">
        <w:trPr>
          <w:trHeight w:val="300"/>
        </w:trPr>
        <w:tc>
          <w:tcPr>
            <w:tcW w:w="5780" w:type="dxa"/>
            <w:tcBorders>
              <w:top w:val="nil"/>
              <w:left w:val="nil"/>
              <w:bottom w:val="nil"/>
              <w:right w:val="nil"/>
            </w:tcBorders>
            <w:shd w:val="clear" w:color="auto" w:fill="auto"/>
            <w:noWrap/>
            <w:vAlign w:val="bottom"/>
            <w:hideMark/>
          </w:tcPr>
          <w:p w:rsidR="00F16E65" w:rsidRPr="00DC3EB0" w:rsidRDefault="00F16E65" w:rsidP="00E668EB">
            <w:pPr>
              <w:rPr>
                <w:i/>
                <w:iCs/>
                <w:color w:val="000000"/>
              </w:rPr>
            </w:pPr>
            <w:r w:rsidRPr="00DC3EB0">
              <w:rPr>
                <w:i/>
                <w:iCs/>
                <w:color w:val="000000"/>
              </w:rPr>
              <w:t>Contact Centre</w:t>
            </w:r>
          </w:p>
        </w:tc>
        <w:tc>
          <w:tcPr>
            <w:tcW w:w="1260" w:type="dxa"/>
            <w:tcBorders>
              <w:top w:val="nil"/>
              <w:left w:val="nil"/>
              <w:bottom w:val="nil"/>
              <w:right w:val="nil"/>
            </w:tcBorders>
            <w:shd w:val="clear" w:color="auto" w:fill="auto"/>
            <w:noWrap/>
            <w:vAlign w:val="bottom"/>
            <w:hideMark/>
          </w:tcPr>
          <w:p w:rsidR="00F16E65" w:rsidRPr="00DC3EB0" w:rsidRDefault="00F16E65" w:rsidP="0088186B">
            <w:pPr>
              <w:jc w:val="center"/>
              <w:rPr>
                <w:color w:val="000000"/>
              </w:rPr>
            </w:pPr>
            <w:r w:rsidRPr="00DC3EB0">
              <w:rPr>
                <w:color w:val="000000"/>
              </w:rPr>
              <w:t>39</w:t>
            </w:r>
          </w:p>
        </w:tc>
        <w:tc>
          <w:tcPr>
            <w:tcW w:w="1260" w:type="dxa"/>
            <w:tcBorders>
              <w:top w:val="nil"/>
              <w:left w:val="nil"/>
              <w:bottom w:val="nil"/>
              <w:right w:val="nil"/>
            </w:tcBorders>
            <w:shd w:val="clear" w:color="auto" w:fill="auto"/>
            <w:noWrap/>
            <w:vAlign w:val="bottom"/>
            <w:hideMark/>
          </w:tcPr>
          <w:p w:rsidR="00F16E65" w:rsidRPr="00DC3EB0" w:rsidRDefault="00F16E65" w:rsidP="00B90C7C">
            <w:pPr>
              <w:jc w:val="center"/>
              <w:rPr>
                <w:color w:val="000000"/>
              </w:rPr>
            </w:pPr>
            <w:r w:rsidRPr="00DC3EB0">
              <w:rPr>
                <w:color w:val="000000"/>
              </w:rPr>
              <w:t>-</w:t>
            </w:r>
          </w:p>
        </w:tc>
        <w:tc>
          <w:tcPr>
            <w:tcW w:w="1550" w:type="dxa"/>
            <w:tcBorders>
              <w:top w:val="nil"/>
              <w:left w:val="nil"/>
              <w:bottom w:val="nil"/>
              <w:right w:val="nil"/>
            </w:tcBorders>
            <w:shd w:val="clear" w:color="auto" w:fill="auto"/>
            <w:noWrap/>
            <w:vAlign w:val="bottom"/>
            <w:hideMark/>
          </w:tcPr>
          <w:p w:rsidR="00F16E65" w:rsidRPr="00DC3EB0" w:rsidRDefault="00F16E65" w:rsidP="0088186B">
            <w:pPr>
              <w:jc w:val="center"/>
              <w:rPr>
                <w:color w:val="000000"/>
              </w:rPr>
            </w:pPr>
            <w:r w:rsidRPr="00DC3EB0">
              <w:rPr>
                <w:color w:val="000000"/>
              </w:rPr>
              <w:t>1</w:t>
            </w:r>
          </w:p>
        </w:tc>
      </w:tr>
      <w:tr w:rsidR="00F16E65" w:rsidRPr="00286C0E" w:rsidTr="00CC5483">
        <w:trPr>
          <w:trHeight w:val="300"/>
        </w:trPr>
        <w:tc>
          <w:tcPr>
            <w:tcW w:w="5780" w:type="dxa"/>
            <w:tcBorders>
              <w:top w:val="nil"/>
              <w:left w:val="nil"/>
              <w:bottom w:val="nil"/>
              <w:right w:val="nil"/>
            </w:tcBorders>
            <w:shd w:val="clear" w:color="auto" w:fill="auto"/>
            <w:noWrap/>
            <w:vAlign w:val="bottom"/>
            <w:hideMark/>
          </w:tcPr>
          <w:p w:rsidR="00F16E65" w:rsidRPr="00DC3EB0" w:rsidRDefault="008D7031" w:rsidP="00206358">
            <w:pPr>
              <w:rPr>
                <w:i/>
                <w:iCs/>
                <w:color w:val="000000"/>
              </w:rPr>
            </w:pPr>
            <w:r>
              <w:rPr>
                <w:i/>
                <w:iCs/>
                <w:color w:val="000000"/>
              </w:rPr>
              <w:t xml:space="preserve">Enterprise </w:t>
            </w:r>
            <w:r w:rsidR="00206358">
              <w:rPr>
                <w:i/>
                <w:iCs/>
                <w:color w:val="000000"/>
              </w:rPr>
              <w:t>Resources Planning</w:t>
            </w:r>
            <w:r>
              <w:rPr>
                <w:i/>
                <w:iCs/>
                <w:color w:val="000000"/>
              </w:rPr>
              <w:t xml:space="preserve"> System</w:t>
            </w:r>
          </w:p>
        </w:tc>
        <w:tc>
          <w:tcPr>
            <w:tcW w:w="1260" w:type="dxa"/>
            <w:tcBorders>
              <w:top w:val="nil"/>
              <w:left w:val="nil"/>
              <w:bottom w:val="nil"/>
              <w:right w:val="nil"/>
            </w:tcBorders>
            <w:shd w:val="clear" w:color="auto" w:fill="auto"/>
            <w:noWrap/>
            <w:vAlign w:val="bottom"/>
            <w:hideMark/>
          </w:tcPr>
          <w:p w:rsidR="00F16E65" w:rsidRPr="00DC3EB0" w:rsidRDefault="00F16E65" w:rsidP="0088186B">
            <w:pPr>
              <w:jc w:val="center"/>
              <w:rPr>
                <w:color w:val="000000"/>
              </w:rPr>
            </w:pPr>
            <w:r w:rsidRPr="00DC3EB0">
              <w:rPr>
                <w:color w:val="000000"/>
              </w:rPr>
              <w:t>10,549</w:t>
            </w:r>
          </w:p>
        </w:tc>
        <w:tc>
          <w:tcPr>
            <w:tcW w:w="1260" w:type="dxa"/>
            <w:tcBorders>
              <w:top w:val="nil"/>
              <w:left w:val="nil"/>
              <w:bottom w:val="nil"/>
              <w:right w:val="nil"/>
            </w:tcBorders>
            <w:shd w:val="clear" w:color="auto" w:fill="auto"/>
            <w:noWrap/>
            <w:vAlign w:val="bottom"/>
            <w:hideMark/>
          </w:tcPr>
          <w:p w:rsidR="00F16E65" w:rsidRPr="00DC3EB0" w:rsidRDefault="00F16E65" w:rsidP="00B90C7C">
            <w:pPr>
              <w:jc w:val="center"/>
              <w:rPr>
                <w:color w:val="000000"/>
              </w:rPr>
            </w:pPr>
            <w:r w:rsidRPr="00DC3EB0">
              <w:rPr>
                <w:color w:val="000000"/>
              </w:rPr>
              <w:t>-</w:t>
            </w:r>
          </w:p>
        </w:tc>
        <w:tc>
          <w:tcPr>
            <w:tcW w:w="1550" w:type="dxa"/>
            <w:tcBorders>
              <w:top w:val="nil"/>
              <w:left w:val="nil"/>
              <w:bottom w:val="nil"/>
              <w:right w:val="nil"/>
            </w:tcBorders>
            <w:shd w:val="clear" w:color="auto" w:fill="auto"/>
            <w:noWrap/>
            <w:vAlign w:val="bottom"/>
            <w:hideMark/>
          </w:tcPr>
          <w:p w:rsidR="00F16E65" w:rsidRPr="00DC3EB0" w:rsidRDefault="00F16E65" w:rsidP="0088186B">
            <w:pPr>
              <w:jc w:val="center"/>
              <w:rPr>
                <w:color w:val="000000"/>
              </w:rPr>
            </w:pPr>
            <w:r w:rsidRPr="00DC3EB0">
              <w:rPr>
                <w:color w:val="000000"/>
              </w:rPr>
              <w:t>7</w:t>
            </w:r>
          </w:p>
        </w:tc>
      </w:tr>
    </w:tbl>
    <w:p w:rsidR="00E668EB" w:rsidRPr="00286C0E" w:rsidRDefault="00E668EB" w:rsidP="00BD34DC">
      <w:pPr>
        <w:ind w:left="720"/>
        <w:rPr>
          <w:highlight w:val="yellow"/>
        </w:rPr>
      </w:pPr>
    </w:p>
    <w:p w:rsidR="00E668EB" w:rsidRPr="00286C0E" w:rsidRDefault="00E668EB" w:rsidP="00BD34DC">
      <w:pPr>
        <w:ind w:left="720"/>
        <w:rPr>
          <w:highlight w:val="yellow"/>
        </w:rPr>
      </w:pPr>
    </w:p>
    <w:p w:rsidR="006C467D" w:rsidRPr="009011E5" w:rsidRDefault="006C467D" w:rsidP="00BD07E4">
      <w:pPr>
        <w:numPr>
          <w:ilvl w:val="0"/>
          <w:numId w:val="21"/>
        </w:numPr>
        <w:rPr>
          <w:b/>
        </w:rPr>
      </w:pPr>
      <w:r w:rsidRPr="009011E5">
        <w:rPr>
          <w:b/>
        </w:rPr>
        <w:t xml:space="preserve">Financial instruments </w:t>
      </w:r>
    </w:p>
    <w:p w:rsidR="006C467D" w:rsidRPr="00286C0E" w:rsidRDefault="006C467D" w:rsidP="006C467D">
      <w:pPr>
        <w:rPr>
          <w:b/>
          <w:highlight w:val="yellow"/>
        </w:rPr>
      </w:pPr>
    </w:p>
    <w:p w:rsidR="002E1515" w:rsidRDefault="002E1515" w:rsidP="002E1515">
      <w:pPr>
        <w:jc w:val="both"/>
      </w:pPr>
      <w:r w:rsidRPr="00442EEE">
        <w:t xml:space="preserve">The following categories of financial instruments are carried in the balance sheet. The instruments have been valued in accordance with International Financial Reporting Standards (IFRS) using the accounting policies explained within our accounting policies section. </w:t>
      </w:r>
    </w:p>
    <w:tbl>
      <w:tblPr>
        <w:tblW w:w="10205" w:type="dxa"/>
        <w:tblInd w:w="-34" w:type="dxa"/>
        <w:tblLayout w:type="fixed"/>
        <w:tblLook w:val="04A0"/>
      </w:tblPr>
      <w:tblGrid>
        <w:gridCol w:w="1617"/>
        <w:gridCol w:w="2353"/>
        <w:gridCol w:w="283"/>
        <w:gridCol w:w="284"/>
        <w:gridCol w:w="1418"/>
        <w:gridCol w:w="1418"/>
        <w:gridCol w:w="1416"/>
        <w:gridCol w:w="1416"/>
      </w:tblGrid>
      <w:tr w:rsidR="002E1515" w:rsidRPr="00D9005B" w:rsidTr="002E1515">
        <w:trPr>
          <w:trHeight w:val="300"/>
        </w:trPr>
        <w:tc>
          <w:tcPr>
            <w:tcW w:w="1617" w:type="dxa"/>
            <w:tcBorders>
              <w:top w:val="nil"/>
              <w:left w:val="nil"/>
              <w:bottom w:val="nil"/>
              <w:right w:val="nil"/>
            </w:tcBorders>
            <w:shd w:val="clear" w:color="auto" w:fill="auto"/>
            <w:noWrap/>
            <w:hideMark/>
          </w:tcPr>
          <w:p w:rsidR="002E1515" w:rsidRPr="00D9005B" w:rsidRDefault="002E1515" w:rsidP="002E1515">
            <w:pPr>
              <w:jc w:val="center"/>
              <w:rPr>
                <w:rFonts w:ascii="Calibri" w:hAnsi="Calibri"/>
                <w:b/>
                <w:bCs/>
                <w:u w:val="single"/>
              </w:rPr>
            </w:pPr>
          </w:p>
        </w:tc>
        <w:tc>
          <w:tcPr>
            <w:tcW w:w="2636" w:type="dxa"/>
            <w:gridSpan w:val="2"/>
            <w:tcBorders>
              <w:top w:val="nil"/>
              <w:left w:val="nil"/>
              <w:bottom w:val="nil"/>
              <w:right w:val="nil"/>
            </w:tcBorders>
            <w:shd w:val="clear" w:color="auto" w:fill="auto"/>
            <w:noWrap/>
            <w:hideMark/>
          </w:tcPr>
          <w:p w:rsidR="002E1515" w:rsidRPr="00D9005B" w:rsidRDefault="002E1515" w:rsidP="002E1515">
            <w:pPr>
              <w:jc w:val="center"/>
              <w:rPr>
                <w:rFonts w:ascii="Calibri" w:hAnsi="Calibri"/>
              </w:rPr>
            </w:pPr>
          </w:p>
        </w:tc>
        <w:tc>
          <w:tcPr>
            <w:tcW w:w="284" w:type="dxa"/>
            <w:tcBorders>
              <w:top w:val="nil"/>
              <w:left w:val="nil"/>
              <w:bottom w:val="nil"/>
              <w:right w:val="nil"/>
            </w:tcBorders>
            <w:shd w:val="clear" w:color="auto" w:fill="auto"/>
            <w:noWrap/>
            <w:hideMark/>
          </w:tcPr>
          <w:p w:rsidR="002E1515" w:rsidRPr="00D9005B" w:rsidRDefault="002E1515" w:rsidP="002E1515">
            <w:pPr>
              <w:jc w:val="center"/>
              <w:rPr>
                <w:rFonts w:ascii="Calibri" w:hAnsi="Calibri"/>
              </w:rPr>
            </w:pPr>
          </w:p>
        </w:tc>
        <w:tc>
          <w:tcPr>
            <w:tcW w:w="283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2E1515" w:rsidRPr="00D9005B" w:rsidRDefault="002E1515" w:rsidP="002E1515">
            <w:pPr>
              <w:jc w:val="center"/>
              <w:rPr>
                <w:b/>
                <w:bCs/>
              </w:rPr>
            </w:pPr>
            <w:r w:rsidRPr="00D9005B">
              <w:rPr>
                <w:b/>
                <w:bCs/>
              </w:rPr>
              <w:t>Long-term</w:t>
            </w:r>
          </w:p>
        </w:tc>
        <w:tc>
          <w:tcPr>
            <w:tcW w:w="2832" w:type="dxa"/>
            <w:gridSpan w:val="2"/>
            <w:tcBorders>
              <w:top w:val="single" w:sz="4" w:space="0" w:color="auto"/>
              <w:left w:val="nil"/>
              <w:bottom w:val="single" w:sz="4" w:space="0" w:color="000000"/>
              <w:right w:val="single" w:sz="4" w:space="0" w:color="000000"/>
            </w:tcBorders>
            <w:shd w:val="clear" w:color="auto" w:fill="auto"/>
            <w:noWrap/>
            <w:hideMark/>
          </w:tcPr>
          <w:p w:rsidR="002E1515" w:rsidRPr="00D9005B" w:rsidRDefault="002E1515" w:rsidP="002E1515">
            <w:pPr>
              <w:jc w:val="center"/>
              <w:rPr>
                <w:b/>
                <w:bCs/>
              </w:rPr>
            </w:pPr>
            <w:r w:rsidRPr="00D9005B">
              <w:rPr>
                <w:b/>
                <w:bCs/>
              </w:rPr>
              <w:t>Short-term</w:t>
            </w:r>
          </w:p>
        </w:tc>
      </w:tr>
      <w:tr w:rsidR="002E1515" w:rsidRPr="00D9005B" w:rsidTr="002E1515">
        <w:trPr>
          <w:trHeight w:val="300"/>
        </w:trPr>
        <w:tc>
          <w:tcPr>
            <w:tcW w:w="1617" w:type="dxa"/>
            <w:tcBorders>
              <w:top w:val="nil"/>
              <w:left w:val="nil"/>
              <w:bottom w:val="nil"/>
              <w:right w:val="nil"/>
            </w:tcBorders>
            <w:shd w:val="clear" w:color="auto" w:fill="auto"/>
            <w:noWrap/>
            <w:hideMark/>
          </w:tcPr>
          <w:p w:rsidR="002E1515" w:rsidRPr="00D9005B" w:rsidRDefault="002E1515" w:rsidP="002E1515">
            <w:pPr>
              <w:jc w:val="center"/>
              <w:rPr>
                <w:rFonts w:ascii="Calibri" w:hAnsi="Calibri"/>
                <w:b/>
                <w:bCs/>
                <w:u w:val="single"/>
              </w:rPr>
            </w:pPr>
          </w:p>
        </w:tc>
        <w:tc>
          <w:tcPr>
            <w:tcW w:w="2636" w:type="dxa"/>
            <w:gridSpan w:val="2"/>
            <w:tcBorders>
              <w:top w:val="nil"/>
              <w:left w:val="nil"/>
              <w:bottom w:val="nil"/>
              <w:right w:val="nil"/>
            </w:tcBorders>
            <w:shd w:val="clear" w:color="auto" w:fill="auto"/>
            <w:noWrap/>
            <w:hideMark/>
          </w:tcPr>
          <w:p w:rsidR="002E1515" w:rsidRPr="00D9005B" w:rsidRDefault="002E1515" w:rsidP="002E1515">
            <w:pPr>
              <w:jc w:val="center"/>
              <w:rPr>
                <w:rFonts w:ascii="Calibri" w:hAnsi="Calibri"/>
              </w:rPr>
            </w:pPr>
          </w:p>
        </w:tc>
        <w:tc>
          <w:tcPr>
            <w:tcW w:w="284" w:type="dxa"/>
            <w:tcBorders>
              <w:top w:val="nil"/>
              <w:left w:val="nil"/>
              <w:bottom w:val="nil"/>
              <w:right w:val="nil"/>
            </w:tcBorders>
            <w:shd w:val="clear" w:color="auto" w:fill="auto"/>
            <w:noWrap/>
            <w:hideMark/>
          </w:tcPr>
          <w:p w:rsidR="002E1515" w:rsidRPr="00D9005B" w:rsidRDefault="002E1515" w:rsidP="002E1515">
            <w:pPr>
              <w:jc w:val="center"/>
              <w:rPr>
                <w:rFonts w:ascii="Calibri" w:hAnsi="Calibri"/>
              </w:rPr>
            </w:pPr>
          </w:p>
        </w:tc>
        <w:tc>
          <w:tcPr>
            <w:tcW w:w="1418" w:type="dxa"/>
            <w:tcBorders>
              <w:top w:val="nil"/>
              <w:left w:val="single" w:sz="4" w:space="0" w:color="auto"/>
              <w:bottom w:val="single" w:sz="4" w:space="0" w:color="auto"/>
              <w:right w:val="nil"/>
            </w:tcBorders>
            <w:shd w:val="clear" w:color="auto" w:fill="auto"/>
            <w:noWrap/>
            <w:hideMark/>
          </w:tcPr>
          <w:p w:rsidR="002E1515" w:rsidRPr="00D9005B" w:rsidRDefault="002E1515" w:rsidP="002E1515">
            <w:pPr>
              <w:jc w:val="center"/>
              <w:rPr>
                <w:b/>
                <w:bCs/>
              </w:rPr>
            </w:pPr>
            <w:r w:rsidRPr="00D9005B">
              <w:rPr>
                <w:b/>
                <w:bCs/>
              </w:rPr>
              <w:t>2011-12</w:t>
            </w:r>
          </w:p>
        </w:tc>
        <w:tc>
          <w:tcPr>
            <w:tcW w:w="1418" w:type="dxa"/>
            <w:tcBorders>
              <w:top w:val="nil"/>
              <w:left w:val="nil"/>
              <w:bottom w:val="nil"/>
              <w:right w:val="single" w:sz="4" w:space="0" w:color="auto"/>
            </w:tcBorders>
            <w:shd w:val="clear" w:color="auto" w:fill="auto"/>
            <w:noWrap/>
            <w:hideMark/>
          </w:tcPr>
          <w:p w:rsidR="002E1515" w:rsidRPr="00D9005B" w:rsidRDefault="002E1515" w:rsidP="002E1515">
            <w:pPr>
              <w:jc w:val="center"/>
              <w:rPr>
                <w:b/>
                <w:bCs/>
              </w:rPr>
            </w:pPr>
            <w:r w:rsidRPr="00D9005B">
              <w:rPr>
                <w:b/>
                <w:bCs/>
              </w:rPr>
              <w:t>2010-11</w:t>
            </w:r>
          </w:p>
        </w:tc>
        <w:tc>
          <w:tcPr>
            <w:tcW w:w="1416" w:type="dxa"/>
            <w:tcBorders>
              <w:top w:val="nil"/>
              <w:left w:val="nil"/>
              <w:bottom w:val="single" w:sz="4" w:space="0" w:color="auto"/>
              <w:right w:val="nil"/>
            </w:tcBorders>
            <w:shd w:val="clear" w:color="auto" w:fill="auto"/>
            <w:noWrap/>
            <w:hideMark/>
          </w:tcPr>
          <w:p w:rsidR="002E1515" w:rsidRPr="00D9005B" w:rsidRDefault="002E1515" w:rsidP="002E1515">
            <w:pPr>
              <w:jc w:val="center"/>
              <w:rPr>
                <w:b/>
                <w:bCs/>
              </w:rPr>
            </w:pPr>
            <w:r w:rsidRPr="00D9005B">
              <w:rPr>
                <w:b/>
                <w:bCs/>
              </w:rPr>
              <w:t>2011-12</w:t>
            </w:r>
          </w:p>
        </w:tc>
        <w:tc>
          <w:tcPr>
            <w:tcW w:w="1416" w:type="dxa"/>
            <w:tcBorders>
              <w:top w:val="nil"/>
              <w:left w:val="nil"/>
              <w:bottom w:val="single" w:sz="4" w:space="0" w:color="auto"/>
              <w:right w:val="single" w:sz="4" w:space="0" w:color="auto"/>
            </w:tcBorders>
            <w:shd w:val="clear" w:color="auto" w:fill="auto"/>
            <w:noWrap/>
            <w:hideMark/>
          </w:tcPr>
          <w:p w:rsidR="002E1515" w:rsidRPr="00D9005B" w:rsidRDefault="002E1515" w:rsidP="002E1515">
            <w:pPr>
              <w:jc w:val="center"/>
              <w:rPr>
                <w:b/>
                <w:bCs/>
              </w:rPr>
            </w:pPr>
            <w:r w:rsidRPr="00D9005B">
              <w:rPr>
                <w:b/>
                <w:bCs/>
              </w:rPr>
              <w:t>2010-11</w:t>
            </w:r>
          </w:p>
        </w:tc>
      </w:tr>
      <w:tr w:rsidR="002E1515" w:rsidRPr="00D9005B" w:rsidTr="002E1515">
        <w:trPr>
          <w:trHeight w:val="300"/>
        </w:trPr>
        <w:tc>
          <w:tcPr>
            <w:tcW w:w="1617" w:type="dxa"/>
            <w:tcBorders>
              <w:top w:val="nil"/>
              <w:left w:val="nil"/>
              <w:bottom w:val="nil"/>
              <w:right w:val="nil"/>
            </w:tcBorders>
            <w:shd w:val="clear" w:color="auto" w:fill="auto"/>
            <w:noWrap/>
            <w:hideMark/>
          </w:tcPr>
          <w:p w:rsidR="002E1515" w:rsidRPr="00D9005B" w:rsidRDefault="002E1515" w:rsidP="002E1515">
            <w:pPr>
              <w:jc w:val="center"/>
              <w:rPr>
                <w:rFonts w:ascii="Calibri" w:hAnsi="Calibri"/>
              </w:rPr>
            </w:pPr>
          </w:p>
        </w:tc>
        <w:tc>
          <w:tcPr>
            <w:tcW w:w="2636" w:type="dxa"/>
            <w:gridSpan w:val="2"/>
            <w:tcBorders>
              <w:top w:val="nil"/>
              <w:left w:val="nil"/>
              <w:bottom w:val="nil"/>
              <w:right w:val="nil"/>
            </w:tcBorders>
            <w:shd w:val="clear" w:color="auto" w:fill="auto"/>
            <w:noWrap/>
            <w:hideMark/>
          </w:tcPr>
          <w:p w:rsidR="002E1515" w:rsidRPr="00D9005B" w:rsidRDefault="002E1515" w:rsidP="002E1515">
            <w:pPr>
              <w:jc w:val="center"/>
              <w:rPr>
                <w:rFonts w:ascii="Calibri" w:hAnsi="Calibri"/>
              </w:rPr>
            </w:pPr>
          </w:p>
        </w:tc>
        <w:tc>
          <w:tcPr>
            <w:tcW w:w="284" w:type="dxa"/>
            <w:tcBorders>
              <w:top w:val="nil"/>
              <w:left w:val="nil"/>
              <w:bottom w:val="nil"/>
              <w:right w:val="nil"/>
            </w:tcBorders>
            <w:shd w:val="clear" w:color="auto" w:fill="auto"/>
            <w:noWrap/>
            <w:hideMark/>
          </w:tcPr>
          <w:p w:rsidR="002E1515" w:rsidRPr="00D9005B" w:rsidRDefault="002E1515" w:rsidP="002E1515">
            <w:pPr>
              <w:jc w:val="center"/>
              <w:rPr>
                <w:rFonts w:ascii="Calibri" w:hAnsi="Calibri"/>
              </w:rPr>
            </w:pPr>
          </w:p>
        </w:tc>
        <w:tc>
          <w:tcPr>
            <w:tcW w:w="1418" w:type="dxa"/>
            <w:tcBorders>
              <w:top w:val="nil"/>
              <w:left w:val="single" w:sz="4" w:space="0" w:color="auto"/>
              <w:bottom w:val="nil"/>
              <w:right w:val="nil"/>
            </w:tcBorders>
            <w:shd w:val="clear" w:color="auto" w:fill="auto"/>
            <w:hideMark/>
          </w:tcPr>
          <w:p w:rsidR="002E1515" w:rsidRPr="00D9005B" w:rsidRDefault="002E1515" w:rsidP="002E1515">
            <w:pPr>
              <w:jc w:val="center"/>
              <w:rPr>
                <w:b/>
                <w:bCs/>
              </w:rPr>
            </w:pPr>
            <w:r w:rsidRPr="00D9005B">
              <w:rPr>
                <w:b/>
                <w:bCs/>
              </w:rPr>
              <w:t>31-Mar-12</w:t>
            </w:r>
          </w:p>
        </w:tc>
        <w:tc>
          <w:tcPr>
            <w:tcW w:w="1418" w:type="dxa"/>
            <w:tcBorders>
              <w:top w:val="single" w:sz="4" w:space="0" w:color="auto"/>
              <w:left w:val="nil"/>
              <w:bottom w:val="nil"/>
              <w:right w:val="single" w:sz="4" w:space="0" w:color="auto"/>
            </w:tcBorders>
            <w:shd w:val="clear" w:color="auto" w:fill="auto"/>
            <w:hideMark/>
          </w:tcPr>
          <w:p w:rsidR="002E1515" w:rsidRPr="00D9005B" w:rsidRDefault="002E1515" w:rsidP="002E1515">
            <w:pPr>
              <w:jc w:val="center"/>
              <w:rPr>
                <w:b/>
                <w:bCs/>
              </w:rPr>
            </w:pPr>
            <w:r w:rsidRPr="00D9005B">
              <w:rPr>
                <w:b/>
                <w:bCs/>
              </w:rPr>
              <w:t>31-Mar-11</w:t>
            </w:r>
          </w:p>
        </w:tc>
        <w:tc>
          <w:tcPr>
            <w:tcW w:w="1416" w:type="dxa"/>
            <w:tcBorders>
              <w:top w:val="nil"/>
              <w:left w:val="nil"/>
              <w:bottom w:val="nil"/>
              <w:right w:val="nil"/>
            </w:tcBorders>
            <w:shd w:val="clear" w:color="auto" w:fill="auto"/>
            <w:hideMark/>
          </w:tcPr>
          <w:p w:rsidR="002E1515" w:rsidRPr="00D9005B" w:rsidRDefault="002E1515" w:rsidP="002E1515">
            <w:pPr>
              <w:jc w:val="center"/>
              <w:rPr>
                <w:b/>
                <w:bCs/>
              </w:rPr>
            </w:pPr>
            <w:r w:rsidRPr="00D9005B">
              <w:rPr>
                <w:b/>
                <w:bCs/>
              </w:rPr>
              <w:t>31-Mar-12</w:t>
            </w:r>
          </w:p>
        </w:tc>
        <w:tc>
          <w:tcPr>
            <w:tcW w:w="1416" w:type="dxa"/>
            <w:tcBorders>
              <w:top w:val="nil"/>
              <w:left w:val="nil"/>
              <w:bottom w:val="nil"/>
              <w:right w:val="single" w:sz="4" w:space="0" w:color="auto"/>
            </w:tcBorders>
            <w:shd w:val="clear" w:color="auto" w:fill="auto"/>
            <w:hideMark/>
          </w:tcPr>
          <w:p w:rsidR="002E1515" w:rsidRPr="00D9005B" w:rsidRDefault="002E1515" w:rsidP="002E1515">
            <w:pPr>
              <w:jc w:val="center"/>
              <w:rPr>
                <w:b/>
                <w:bCs/>
              </w:rPr>
            </w:pPr>
            <w:r w:rsidRPr="00D9005B">
              <w:rPr>
                <w:b/>
                <w:bCs/>
              </w:rPr>
              <w:t>31-Mar-11</w:t>
            </w:r>
          </w:p>
        </w:tc>
      </w:tr>
      <w:tr w:rsidR="002E1515" w:rsidRPr="00D9005B" w:rsidTr="002E1515">
        <w:trPr>
          <w:trHeight w:val="300"/>
        </w:trPr>
        <w:tc>
          <w:tcPr>
            <w:tcW w:w="1617" w:type="dxa"/>
            <w:tcBorders>
              <w:top w:val="nil"/>
              <w:left w:val="nil"/>
              <w:bottom w:val="nil"/>
              <w:right w:val="nil"/>
            </w:tcBorders>
            <w:shd w:val="clear" w:color="auto" w:fill="auto"/>
            <w:noWrap/>
            <w:hideMark/>
          </w:tcPr>
          <w:p w:rsidR="002E1515" w:rsidRPr="00D9005B" w:rsidRDefault="002E1515" w:rsidP="002E1515">
            <w:pPr>
              <w:jc w:val="center"/>
              <w:rPr>
                <w:rFonts w:ascii="Calibri" w:hAnsi="Calibri"/>
              </w:rPr>
            </w:pPr>
          </w:p>
        </w:tc>
        <w:tc>
          <w:tcPr>
            <w:tcW w:w="2636" w:type="dxa"/>
            <w:gridSpan w:val="2"/>
            <w:tcBorders>
              <w:top w:val="nil"/>
              <w:left w:val="nil"/>
              <w:bottom w:val="nil"/>
              <w:right w:val="nil"/>
            </w:tcBorders>
            <w:shd w:val="clear" w:color="auto" w:fill="auto"/>
            <w:noWrap/>
            <w:hideMark/>
          </w:tcPr>
          <w:p w:rsidR="002E1515" w:rsidRPr="00D9005B" w:rsidRDefault="002E1515" w:rsidP="002E1515">
            <w:pPr>
              <w:jc w:val="center"/>
              <w:rPr>
                <w:rFonts w:ascii="Calibri" w:hAnsi="Calibri"/>
              </w:rPr>
            </w:pPr>
          </w:p>
        </w:tc>
        <w:tc>
          <w:tcPr>
            <w:tcW w:w="284" w:type="dxa"/>
            <w:tcBorders>
              <w:top w:val="nil"/>
              <w:left w:val="nil"/>
              <w:bottom w:val="nil"/>
              <w:right w:val="nil"/>
            </w:tcBorders>
            <w:shd w:val="clear" w:color="auto" w:fill="auto"/>
            <w:noWrap/>
            <w:hideMark/>
          </w:tcPr>
          <w:p w:rsidR="002E1515" w:rsidRPr="00D9005B" w:rsidRDefault="002E1515" w:rsidP="002E1515">
            <w:pPr>
              <w:jc w:val="center"/>
              <w:rPr>
                <w:rFonts w:ascii="Calibri" w:hAnsi="Calibri"/>
              </w:rPr>
            </w:pPr>
          </w:p>
        </w:tc>
        <w:tc>
          <w:tcPr>
            <w:tcW w:w="1418" w:type="dxa"/>
            <w:tcBorders>
              <w:top w:val="nil"/>
              <w:left w:val="single" w:sz="4" w:space="0" w:color="auto"/>
              <w:bottom w:val="single" w:sz="4" w:space="0" w:color="auto"/>
              <w:right w:val="nil"/>
            </w:tcBorders>
            <w:shd w:val="clear" w:color="auto" w:fill="auto"/>
            <w:hideMark/>
          </w:tcPr>
          <w:p w:rsidR="002E1515" w:rsidRPr="00D9005B" w:rsidRDefault="002E1515" w:rsidP="002E1515">
            <w:pPr>
              <w:jc w:val="center"/>
              <w:rPr>
                <w:b/>
                <w:bCs/>
              </w:rPr>
            </w:pPr>
            <w:r w:rsidRPr="00D9005B">
              <w:rPr>
                <w:b/>
                <w:bCs/>
              </w:rPr>
              <w:t>£000</w:t>
            </w:r>
          </w:p>
        </w:tc>
        <w:tc>
          <w:tcPr>
            <w:tcW w:w="1418" w:type="dxa"/>
            <w:tcBorders>
              <w:top w:val="nil"/>
              <w:left w:val="nil"/>
              <w:bottom w:val="single" w:sz="4" w:space="0" w:color="auto"/>
              <w:right w:val="single" w:sz="4" w:space="0" w:color="auto"/>
            </w:tcBorders>
            <w:shd w:val="clear" w:color="auto" w:fill="auto"/>
            <w:hideMark/>
          </w:tcPr>
          <w:p w:rsidR="002E1515" w:rsidRPr="00D9005B" w:rsidRDefault="002E1515" w:rsidP="002E1515">
            <w:pPr>
              <w:jc w:val="center"/>
              <w:rPr>
                <w:b/>
                <w:bCs/>
              </w:rPr>
            </w:pPr>
            <w:r w:rsidRPr="00D9005B">
              <w:rPr>
                <w:b/>
                <w:bCs/>
              </w:rPr>
              <w:t>£000</w:t>
            </w:r>
          </w:p>
        </w:tc>
        <w:tc>
          <w:tcPr>
            <w:tcW w:w="1416" w:type="dxa"/>
            <w:tcBorders>
              <w:top w:val="nil"/>
              <w:left w:val="nil"/>
              <w:bottom w:val="single" w:sz="4" w:space="0" w:color="auto"/>
              <w:right w:val="nil"/>
            </w:tcBorders>
            <w:shd w:val="clear" w:color="auto" w:fill="auto"/>
            <w:hideMark/>
          </w:tcPr>
          <w:p w:rsidR="002E1515" w:rsidRPr="00D9005B" w:rsidRDefault="002E1515" w:rsidP="002E1515">
            <w:pPr>
              <w:jc w:val="center"/>
              <w:rPr>
                <w:b/>
                <w:bCs/>
              </w:rPr>
            </w:pPr>
            <w:r w:rsidRPr="00D9005B">
              <w:rPr>
                <w:b/>
                <w:bCs/>
              </w:rPr>
              <w:t>£000</w:t>
            </w:r>
          </w:p>
        </w:tc>
        <w:tc>
          <w:tcPr>
            <w:tcW w:w="1416" w:type="dxa"/>
            <w:tcBorders>
              <w:top w:val="nil"/>
              <w:left w:val="nil"/>
              <w:bottom w:val="single" w:sz="4" w:space="0" w:color="auto"/>
              <w:right w:val="single" w:sz="4" w:space="0" w:color="auto"/>
            </w:tcBorders>
            <w:shd w:val="clear" w:color="auto" w:fill="auto"/>
            <w:hideMark/>
          </w:tcPr>
          <w:p w:rsidR="002E1515" w:rsidRPr="00D9005B" w:rsidRDefault="002E1515" w:rsidP="002E1515">
            <w:pPr>
              <w:jc w:val="center"/>
              <w:rPr>
                <w:b/>
                <w:bCs/>
              </w:rPr>
            </w:pPr>
            <w:r w:rsidRPr="00D9005B">
              <w:rPr>
                <w:b/>
                <w:bCs/>
              </w:rPr>
              <w:t>£000</w:t>
            </w:r>
          </w:p>
        </w:tc>
      </w:tr>
      <w:tr w:rsidR="002E1515" w:rsidRPr="00D9005B" w:rsidTr="002E1515">
        <w:trPr>
          <w:trHeight w:val="300"/>
        </w:trPr>
        <w:tc>
          <w:tcPr>
            <w:tcW w:w="1617" w:type="dxa"/>
            <w:tcBorders>
              <w:top w:val="single" w:sz="4" w:space="0" w:color="auto"/>
              <w:left w:val="single" w:sz="4" w:space="0" w:color="auto"/>
              <w:bottom w:val="nil"/>
              <w:right w:val="nil"/>
            </w:tcBorders>
            <w:shd w:val="clear" w:color="auto" w:fill="auto"/>
            <w:noWrap/>
            <w:hideMark/>
          </w:tcPr>
          <w:p w:rsidR="002E1515" w:rsidRPr="00D9005B" w:rsidRDefault="002E1515" w:rsidP="002E1515">
            <w:pPr>
              <w:rPr>
                <w:b/>
                <w:bCs/>
              </w:rPr>
            </w:pPr>
            <w:r w:rsidRPr="00D9005B">
              <w:rPr>
                <w:b/>
                <w:bCs/>
              </w:rPr>
              <w:t>Investments</w:t>
            </w:r>
          </w:p>
        </w:tc>
        <w:tc>
          <w:tcPr>
            <w:tcW w:w="2636" w:type="dxa"/>
            <w:gridSpan w:val="2"/>
            <w:tcBorders>
              <w:top w:val="single" w:sz="4" w:space="0" w:color="auto"/>
              <w:left w:val="nil"/>
              <w:bottom w:val="nil"/>
              <w:right w:val="nil"/>
            </w:tcBorders>
            <w:shd w:val="clear" w:color="auto" w:fill="auto"/>
            <w:noWrap/>
            <w:hideMark/>
          </w:tcPr>
          <w:p w:rsidR="002E1515" w:rsidRPr="00D9005B" w:rsidRDefault="002E1515" w:rsidP="002E1515"/>
        </w:tc>
        <w:tc>
          <w:tcPr>
            <w:tcW w:w="284" w:type="dxa"/>
            <w:tcBorders>
              <w:top w:val="single" w:sz="4" w:space="0" w:color="auto"/>
              <w:left w:val="nil"/>
              <w:bottom w:val="nil"/>
              <w:right w:val="nil"/>
            </w:tcBorders>
            <w:shd w:val="clear" w:color="auto" w:fill="auto"/>
            <w:noWrap/>
            <w:hideMark/>
          </w:tcPr>
          <w:p w:rsidR="002E1515" w:rsidRPr="00D9005B" w:rsidRDefault="002E1515" w:rsidP="002E1515"/>
        </w:tc>
        <w:tc>
          <w:tcPr>
            <w:tcW w:w="1418" w:type="dxa"/>
            <w:tcBorders>
              <w:top w:val="nil"/>
              <w:left w:val="single" w:sz="4" w:space="0" w:color="auto"/>
              <w:bottom w:val="nil"/>
              <w:right w:val="nil"/>
            </w:tcBorders>
            <w:shd w:val="clear" w:color="auto" w:fill="auto"/>
            <w:hideMark/>
          </w:tcPr>
          <w:p w:rsidR="002E1515" w:rsidRPr="00D9005B" w:rsidRDefault="002E1515" w:rsidP="002E1515">
            <w:pPr>
              <w:jc w:val="center"/>
              <w:rPr>
                <w:b/>
                <w:bCs/>
              </w:rPr>
            </w:pPr>
          </w:p>
        </w:tc>
        <w:tc>
          <w:tcPr>
            <w:tcW w:w="1418" w:type="dxa"/>
            <w:tcBorders>
              <w:top w:val="nil"/>
              <w:left w:val="nil"/>
              <w:bottom w:val="nil"/>
              <w:right w:val="single" w:sz="4" w:space="0" w:color="auto"/>
            </w:tcBorders>
            <w:shd w:val="clear" w:color="auto" w:fill="auto"/>
            <w:hideMark/>
          </w:tcPr>
          <w:p w:rsidR="002E1515" w:rsidRPr="00D9005B" w:rsidRDefault="002E1515" w:rsidP="002E1515">
            <w:pPr>
              <w:jc w:val="center"/>
              <w:rPr>
                <w:b/>
                <w:bCs/>
              </w:rPr>
            </w:pPr>
          </w:p>
        </w:tc>
        <w:tc>
          <w:tcPr>
            <w:tcW w:w="1416" w:type="dxa"/>
            <w:tcBorders>
              <w:top w:val="nil"/>
              <w:left w:val="nil"/>
              <w:bottom w:val="nil"/>
              <w:right w:val="nil"/>
            </w:tcBorders>
            <w:shd w:val="clear" w:color="auto" w:fill="auto"/>
            <w:hideMark/>
          </w:tcPr>
          <w:p w:rsidR="002E1515" w:rsidRPr="00D9005B" w:rsidRDefault="002E1515" w:rsidP="002E1515">
            <w:pPr>
              <w:jc w:val="center"/>
              <w:rPr>
                <w:b/>
                <w:bCs/>
              </w:rPr>
            </w:pPr>
          </w:p>
        </w:tc>
        <w:tc>
          <w:tcPr>
            <w:tcW w:w="1416" w:type="dxa"/>
            <w:tcBorders>
              <w:top w:val="nil"/>
              <w:left w:val="nil"/>
              <w:bottom w:val="nil"/>
              <w:right w:val="single" w:sz="4" w:space="0" w:color="auto"/>
            </w:tcBorders>
            <w:shd w:val="clear" w:color="auto" w:fill="auto"/>
            <w:hideMark/>
          </w:tcPr>
          <w:p w:rsidR="002E1515" w:rsidRPr="00D9005B" w:rsidRDefault="002E1515" w:rsidP="002E1515">
            <w:pPr>
              <w:jc w:val="center"/>
              <w:rPr>
                <w:b/>
                <w:bCs/>
              </w:rPr>
            </w:pPr>
          </w:p>
        </w:tc>
      </w:tr>
      <w:tr w:rsidR="002E1515" w:rsidRPr="00D9005B" w:rsidTr="002E1515">
        <w:trPr>
          <w:trHeight w:val="300"/>
        </w:trPr>
        <w:tc>
          <w:tcPr>
            <w:tcW w:w="4253" w:type="dxa"/>
            <w:gridSpan w:val="3"/>
            <w:tcBorders>
              <w:top w:val="nil"/>
              <w:left w:val="single" w:sz="4" w:space="0" w:color="auto"/>
              <w:bottom w:val="nil"/>
              <w:right w:val="nil"/>
            </w:tcBorders>
            <w:shd w:val="clear" w:color="auto" w:fill="auto"/>
            <w:noWrap/>
            <w:hideMark/>
          </w:tcPr>
          <w:p w:rsidR="002E1515" w:rsidRPr="00D9005B" w:rsidRDefault="002E1515" w:rsidP="002E1515">
            <w:pPr>
              <w:rPr>
                <w:b/>
                <w:bCs/>
              </w:rPr>
            </w:pPr>
            <w:r w:rsidRPr="00D9005B">
              <w:rPr>
                <w:b/>
                <w:bCs/>
              </w:rPr>
              <w:t>Loans and Receivables</w:t>
            </w:r>
          </w:p>
        </w:tc>
        <w:tc>
          <w:tcPr>
            <w:tcW w:w="284" w:type="dxa"/>
            <w:tcBorders>
              <w:top w:val="nil"/>
              <w:left w:val="nil"/>
              <w:bottom w:val="nil"/>
              <w:right w:val="nil"/>
            </w:tcBorders>
            <w:shd w:val="clear" w:color="auto" w:fill="auto"/>
            <w:noWrap/>
            <w:hideMark/>
          </w:tcPr>
          <w:p w:rsidR="002E1515" w:rsidRPr="00D9005B" w:rsidRDefault="002E1515" w:rsidP="002E1515"/>
        </w:tc>
        <w:tc>
          <w:tcPr>
            <w:tcW w:w="1418" w:type="dxa"/>
            <w:tcBorders>
              <w:top w:val="nil"/>
              <w:left w:val="single" w:sz="4" w:space="0" w:color="auto"/>
              <w:bottom w:val="nil"/>
              <w:right w:val="nil"/>
            </w:tcBorders>
            <w:shd w:val="clear" w:color="auto" w:fill="auto"/>
            <w:hideMark/>
          </w:tcPr>
          <w:p w:rsidR="002E1515" w:rsidRPr="00D9005B" w:rsidRDefault="002E1515" w:rsidP="002E1515">
            <w:pPr>
              <w:jc w:val="center"/>
              <w:rPr>
                <w:b/>
                <w:bCs/>
              </w:rPr>
            </w:pPr>
          </w:p>
        </w:tc>
        <w:tc>
          <w:tcPr>
            <w:tcW w:w="1418" w:type="dxa"/>
            <w:tcBorders>
              <w:top w:val="nil"/>
              <w:left w:val="nil"/>
              <w:bottom w:val="nil"/>
              <w:right w:val="single" w:sz="4" w:space="0" w:color="auto"/>
            </w:tcBorders>
            <w:shd w:val="clear" w:color="auto" w:fill="auto"/>
            <w:hideMark/>
          </w:tcPr>
          <w:p w:rsidR="002E1515" w:rsidRPr="00D9005B" w:rsidRDefault="002E1515" w:rsidP="002E1515">
            <w:pPr>
              <w:jc w:val="center"/>
              <w:rPr>
                <w:b/>
                <w:bCs/>
              </w:rPr>
            </w:pPr>
          </w:p>
        </w:tc>
        <w:tc>
          <w:tcPr>
            <w:tcW w:w="1416" w:type="dxa"/>
            <w:tcBorders>
              <w:top w:val="nil"/>
              <w:left w:val="nil"/>
              <w:bottom w:val="nil"/>
              <w:right w:val="nil"/>
            </w:tcBorders>
            <w:shd w:val="clear" w:color="auto" w:fill="auto"/>
            <w:hideMark/>
          </w:tcPr>
          <w:p w:rsidR="002E1515" w:rsidRPr="00D9005B" w:rsidRDefault="002E1515" w:rsidP="002E1515">
            <w:pPr>
              <w:jc w:val="center"/>
              <w:rPr>
                <w:b/>
                <w:bCs/>
              </w:rPr>
            </w:pPr>
          </w:p>
        </w:tc>
        <w:tc>
          <w:tcPr>
            <w:tcW w:w="1416" w:type="dxa"/>
            <w:tcBorders>
              <w:top w:val="nil"/>
              <w:left w:val="nil"/>
              <w:bottom w:val="nil"/>
              <w:right w:val="single" w:sz="4" w:space="0" w:color="auto"/>
            </w:tcBorders>
            <w:shd w:val="clear" w:color="auto" w:fill="auto"/>
            <w:hideMark/>
          </w:tcPr>
          <w:p w:rsidR="002E1515" w:rsidRPr="00D9005B" w:rsidRDefault="002E1515" w:rsidP="002E1515">
            <w:pPr>
              <w:jc w:val="center"/>
              <w:rPr>
                <w:b/>
                <w:bCs/>
              </w:rPr>
            </w:pPr>
          </w:p>
        </w:tc>
      </w:tr>
      <w:tr w:rsidR="002E1515" w:rsidRPr="00D9005B" w:rsidTr="002E1515">
        <w:trPr>
          <w:trHeight w:val="486"/>
        </w:trPr>
        <w:tc>
          <w:tcPr>
            <w:tcW w:w="1617" w:type="dxa"/>
            <w:tcBorders>
              <w:top w:val="nil"/>
              <w:left w:val="single" w:sz="4" w:space="0" w:color="auto"/>
              <w:bottom w:val="nil"/>
              <w:right w:val="nil"/>
            </w:tcBorders>
            <w:shd w:val="clear" w:color="auto" w:fill="auto"/>
            <w:noWrap/>
            <w:hideMark/>
          </w:tcPr>
          <w:p w:rsidR="002E1515" w:rsidRPr="00D9005B" w:rsidRDefault="002E1515" w:rsidP="002E1515"/>
        </w:tc>
        <w:tc>
          <w:tcPr>
            <w:tcW w:w="2636" w:type="dxa"/>
            <w:gridSpan w:val="2"/>
            <w:tcBorders>
              <w:top w:val="nil"/>
              <w:left w:val="nil"/>
              <w:bottom w:val="nil"/>
              <w:right w:val="nil"/>
            </w:tcBorders>
            <w:shd w:val="clear" w:color="auto" w:fill="auto"/>
            <w:noWrap/>
            <w:hideMark/>
          </w:tcPr>
          <w:p w:rsidR="002E1515" w:rsidRPr="00D9005B" w:rsidRDefault="002E1515" w:rsidP="002E1515">
            <w:r w:rsidRPr="00D9005B">
              <w:t>Cash Deposits</w:t>
            </w:r>
          </w:p>
        </w:tc>
        <w:tc>
          <w:tcPr>
            <w:tcW w:w="284" w:type="dxa"/>
            <w:tcBorders>
              <w:top w:val="nil"/>
              <w:left w:val="nil"/>
              <w:bottom w:val="nil"/>
              <w:right w:val="nil"/>
            </w:tcBorders>
            <w:shd w:val="clear" w:color="auto" w:fill="auto"/>
            <w:noWrap/>
            <w:hideMark/>
          </w:tcPr>
          <w:p w:rsidR="002E1515" w:rsidRPr="00D9005B" w:rsidRDefault="002E1515" w:rsidP="002E1515"/>
        </w:tc>
        <w:tc>
          <w:tcPr>
            <w:tcW w:w="1418" w:type="dxa"/>
            <w:tcBorders>
              <w:top w:val="nil"/>
              <w:left w:val="single" w:sz="4" w:space="0" w:color="auto"/>
              <w:bottom w:val="nil"/>
              <w:right w:val="nil"/>
            </w:tcBorders>
            <w:shd w:val="clear" w:color="auto" w:fill="auto"/>
            <w:hideMark/>
          </w:tcPr>
          <w:p w:rsidR="002E1515" w:rsidRPr="00D9005B" w:rsidRDefault="002E1515" w:rsidP="002E1515">
            <w:pPr>
              <w:jc w:val="center"/>
            </w:pPr>
            <w:r w:rsidRPr="00D9005B">
              <w:t>202,092</w:t>
            </w:r>
          </w:p>
        </w:tc>
        <w:tc>
          <w:tcPr>
            <w:tcW w:w="1418" w:type="dxa"/>
            <w:tcBorders>
              <w:top w:val="nil"/>
              <w:left w:val="nil"/>
              <w:bottom w:val="nil"/>
              <w:right w:val="single" w:sz="4" w:space="0" w:color="auto"/>
            </w:tcBorders>
            <w:shd w:val="clear" w:color="auto" w:fill="auto"/>
            <w:hideMark/>
          </w:tcPr>
          <w:p w:rsidR="002E1515" w:rsidRPr="00D9005B" w:rsidRDefault="002E1515" w:rsidP="002E1515">
            <w:pPr>
              <w:jc w:val="center"/>
            </w:pPr>
            <w:r w:rsidRPr="00D9005B">
              <w:t>249,405</w:t>
            </w:r>
          </w:p>
        </w:tc>
        <w:tc>
          <w:tcPr>
            <w:tcW w:w="1416" w:type="dxa"/>
            <w:tcBorders>
              <w:top w:val="nil"/>
              <w:left w:val="nil"/>
              <w:bottom w:val="nil"/>
              <w:right w:val="nil"/>
            </w:tcBorders>
            <w:shd w:val="clear" w:color="auto" w:fill="auto"/>
            <w:hideMark/>
          </w:tcPr>
          <w:p w:rsidR="002E1515" w:rsidRPr="00D9005B" w:rsidRDefault="002E1515" w:rsidP="002E1515">
            <w:pPr>
              <w:jc w:val="center"/>
            </w:pPr>
            <w:r w:rsidRPr="00D9005B">
              <w:t>66,438</w:t>
            </w:r>
          </w:p>
        </w:tc>
        <w:tc>
          <w:tcPr>
            <w:tcW w:w="1416" w:type="dxa"/>
            <w:tcBorders>
              <w:top w:val="nil"/>
              <w:left w:val="nil"/>
              <w:bottom w:val="nil"/>
              <w:right w:val="single" w:sz="4" w:space="0" w:color="auto"/>
            </w:tcBorders>
            <w:shd w:val="clear" w:color="auto" w:fill="auto"/>
            <w:hideMark/>
          </w:tcPr>
          <w:p w:rsidR="002E1515" w:rsidRPr="00D9005B" w:rsidRDefault="002E1515" w:rsidP="002E1515">
            <w:pPr>
              <w:jc w:val="center"/>
            </w:pPr>
            <w:r w:rsidRPr="00D9005B">
              <w:t>40,686</w:t>
            </w:r>
          </w:p>
        </w:tc>
      </w:tr>
      <w:tr w:rsidR="002E1515" w:rsidRPr="00D9005B" w:rsidTr="002E1515">
        <w:trPr>
          <w:trHeight w:val="352"/>
        </w:trPr>
        <w:tc>
          <w:tcPr>
            <w:tcW w:w="1617" w:type="dxa"/>
            <w:tcBorders>
              <w:top w:val="nil"/>
              <w:left w:val="single" w:sz="4" w:space="0" w:color="auto"/>
              <w:bottom w:val="nil"/>
              <w:right w:val="nil"/>
            </w:tcBorders>
            <w:shd w:val="clear" w:color="auto" w:fill="auto"/>
            <w:noWrap/>
            <w:hideMark/>
          </w:tcPr>
          <w:p w:rsidR="002E1515" w:rsidRPr="00D9005B" w:rsidRDefault="002E1515" w:rsidP="002E1515"/>
        </w:tc>
        <w:tc>
          <w:tcPr>
            <w:tcW w:w="2920" w:type="dxa"/>
            <w:gridSpan w:val="3"/>
            <w:tcBorders>
              <w:top w:val="nil"/>
              <w:left w:val="nil"/>
              <w:bottom w:val="nil"/>
              <w:right w:val="nil"/>
            </w:tcBorders>
            <w:shd w:val="clear" w:color="auto" w:fill="auto"/>
            <w:noWrap/>
            <w:hideMark/>
          </w:tcPr>
          <w:p w:rsidR="002E1515" w:rsidRPr="00D9005B" w:rsidRDefault="002E1515" w:rsidP="002E1515">
            <w:r w:rsidRPr="00D9005B">
              <w:t>Impaired Investments</w:t>
            </w:r>
          </w:p>
        </w:tc>
        <w:tc>
          <w:tcPr>
            <w:tcW w:w="1418" w:type="dxa"/>
            <w:tcBorders>
              <w:top w:val="nil"/>
              <w:left w:val="single" w:sz="4" w:space="0" w:color="auto"/>
              <w:bottom w:val="nil"/>
              <w:right w:val="nil"/>
            </w:tcBorders>
            <w:shd w:val="clear" w:color="auto" w:fill="auto"/>
            <w:hideMark/>
          </w:tcPr>
          <w:p w:rsidR="002E1515" w:rsidRPr="00D9005B" w:rsidRDefault="002E1515" w:rsidP="002E1515">
            <w:pPr>
              <w:jc w:val="center"/>
            </w:pPr>
          </w:p>
        </w:tc>
        <w:tc>
          <w:tcPr>
            <w:tcW w:w="1418" w:type="dxa"/>
            <w:tcBorders>
              <w:top w:val="nil"/>
              <w:left w:val="nil"/>
              <w:bottom w:val="nil"/>
              <w:right w:val="single" w:sz="4" w:space="0" w:color="auto"/>
            </w:tcBorders>
            <w:shd w:val="clear" w:color="auto" w:fill="auto"/>
            <w:hideMark/>
          </w:tcPr>
          <w:p w:rsidR="002E1515" w:rsidRPr="00D9005B" w:rsidRDefault="002E1515" w:rsidP="002E1515">
            <w:pPr>
              <w:jc w:val="center"/>
            </w:pPr>
          </w:p>
        </w:tc>
        <w:tc>
          <w:tcPr>
            <w:tcW w:w="1416" w:type="dxa"/>
            <w:tcBorders>
              <w:top w:val="nil"/>
              <w:left w:val="nil"/>
              <w:bottom w:val="nil"/>
              <w:right w:val="nil"/>
            </w:tcBorders>
            <w:shd w:val="clear" w:color="auto" w:fill="auto"/>
            <w:hideMark/>
          </w:tcPr>
          <w:p w:rsidR="002E1515" w:rsidRPr="00D9005B" w:rsidRDefault="002E1515" w:rsidP="002E1515">
            <w:pPr>
              <w:jc w:val="center"/>
            </w:pPr>
            <w:r w:rsidRPr="00D9005B">
              <w:t>4,545</w:t>
            </w:r>
          </w:p>
        </w:tc>
        <w:tc>
          <w:tcPr>
            <w:tcW w:w="1416" w:type="dxa"/>
            <w:tcBorders>
              <w:top w:val="nil"/>
              <w:left w:val="nil"/>
              <w:bottom w:val="nil"/>
              <w:right w:val="single" w:sz="4" w:space="0" w:color="auto"/>
            </w:tcBorders>
            <w:shd w:val="clear" w:color="auto" w:fill="auto"/>
            <w:hideMark/>
          </w:tcPr>
          <w:p w:rsidR="002E1515" w:rsidRPr="00D9005B" w:rsidRDefault="002E1515" w:rsidP="002E1515">
            <w:pPr>
              <w:jc w:val="center"/>
            </w:pPr>
            <w:r w:rsidRPr="00D9005B">
              <w:t>6,373</w:t>
            </w:r>
          </w:p>
        </w:tc>
      </w:tr>
      <w:tr w:rsidR="002E1515" w:rsidRPr="00D9005B" w:rsidTr="002E1515">
        <w:trPr>
          <w:trHeight w:val="232"/>
        </w:trPr>
        <w:tc>
          <w:tcPr>
            <w:tcW w:w="1617" w:type="dxa"/>
            <w:tcBorders>
              <w:top w:val="nil"/>
              <w:left w:val="single" w:sz="4" w:space="0" w:color="auto"/>
              <w:bottom w:val="nil"/>
              <w:right w:val="nil"/>
            </w:tcBorders>
            <w:shd w:val="clear" w:color="auto" w:fill="auto"/>
            <w:noWrap/>
            <w:hideMark/>
          </w:tcPr>
          <w:p w:rsidR="002E1515" w:rsidRPr="00D9005B" w:rsidRDefault="002E1515" w:rsidP="002E1515"/>
        </w:tc>
        <w:tc>
          <w:tcPr>
            <w:tcW w:w="2636" w:type="dxa"/>
            <w:gridSpan w:val="2"/>
            <w:tcBorders>
              <w:top w:val="nil"/>
              <w:left w:val="nil"/>
              <w:bottom w:val="nil"/>
              <w:right w:val="nil"/>
            </w:tcBorders>
            <w:shd w:val="clear" w:color="auto" w:fill="auto"/>
            <w:noWrap/>
            <w:hideMark/>
          </w:tcPr>
          <w:p w:rsidR="002E1515" w:rsidRPr="00D9005B" w:rsidRDefault="002E1515" w:rsidP="002E1515">
            <w:r w:rsidRPr="00D9005B">
              <w:t>Other Loans</w:t>
            </w:r>
          </w:p>
        </w:tc>
        <w:tc>
          <w:tcPr>
            <w:tcW w:w="284" w:type="dxa"/>
            <w:tcBorders>
              <w:top w:val="nil"/>
              <w:left w:val="nil"/>
              <w:bottom w:val="nil"/>
              <w:right w:val="nil"/>
            </w:tcBorders>
            <w:shd w:val="clear" w:color="auto" w:fill="auto"/>
            <w:noWrap/>
            <w:hideMark/>
          </w:tcPr>
          <w:p w:rsidR="002E1515" w:rsidRPr="00D9005B" w:rsidRDefault="002E1515" w:rsidP="002E1515"/>
        </w:tc>
        <w:tc>
          <w:tcPr>
            <w:tcW w:w="1418" w:type="dxa"/>
            <w:tcBorders>
              <w:top w:val="nil"/>
              <w:left w:val="single" w:sz="4" w:space="0" w:color="auto"/>
              <w:bottom w:val="nil"/>
              <w:right w:val="nil"/>
            </w:tcBorders>
            <w:shd w:val="clear" w:color="auto" w:fill="auto"/>
            <w:hideMark/>
          </w:tcPr>
          <w:p w:rsidR="002E1515" w:rsidRPr="00D9005B" w:rsidRDefault="002E1515" w:rsidP="002E1515">
            <w:pPr>
              <w:jc w:val="center"/>
            </w:pPr>
            <w:r w:rsidRPr="00D9005B">
              <w:t>5,880</w:t>
            </w:r>
          </w:p>
        </w:tc>
        <w:tc>
          <w:tcPr>
            <w:tcW w:w="1418" w:type="dxa"/>
            <w:tcBorders>
              <w:top w:val="nil"/>
              <w:left w:val="nil"/>
              <w:bottom w:val="nil"/>
              <w:right w:val="single" w:sz="4" w:space="0" w:color="auto"/>
            </w:tcBorders>
            <w:shd w:val="clear" w:color="auto" w:fill="auto"/>
            <w:hideMark/>
          </w:tcPr>
          <w:p w:rsidR="002E1515" w:rsidRPr="00D9005B" w:rsidRDefault="002E1515" w:rsidP="002E1515">
            <w:pPr>
              <w:jc w:val="center"/>
            </w:pPr>
            <w:r w:rsidRPr="00D9005B">
              <w:t>5,888</w:t>
            </w:r>
          </w:p>
        </w:tc>
        <w:tc>
          <w:tcPr>
            <w:tcW w:w="1416" w:type="dxa"/>
            <w:tcBorders>
              <w:top w:val="nil"/>
              <w:left w:val="nil"/>
              <w:bottom w:val="nil"/>
              <w:right w:val="nil"/>
            </w:tcBorders>
            <w:shd w:val="clear" w:color="auto" w:fill="auto"/>
            <w:hideMark/>
          </w:tcPr>
          <w:p w:rsidR="002E1515" w:rsidRPr="00D9005B" w:rsidRDefault="002E1515" w:rsidP="002E1515">
            <w:pPr>
              <w:jc w:val="center"/>
            </w:pPr>
          </w:p>
        </w:tc>
        <w:tc>
          <w:tcPr>
            <w:tcW w:w="1416" w:type="dxa"/>
            <w:tcBorders>
              <w:top w:val="nil"/>
              <w:left w:val="nil"/>
              <w:bottom w:val="nil"/>
              <w:right w:val="single" w:sz="4" w:space="0" w:color="auto"/>
            </w:tcBorders>
            <w:shd w:val="clear" w:color="auto" w:fill="auto"/>
            <w:noWrap/>
            <w:hideMark/>
          </w:tcPr>
          <w:p w:rsidR="002E1515" w:rsidRPr="00D9005B" w:rsidRDefault="002E1515" w:rsidP="002E1515">
            <w:pPr>
              <w:jc w:val="center"/>
            </w:pPr>
          </w:p>
        </w:tc>
      </w:tr>
      <w:tr w:rsidR="002E1515" w:rsidRPr="00D9005B" w:rsidTr="002E1515">
        <w:trPr>
          <w:trHeight w:val="300"/>
        </w:trPr>
        <w:tc>
          <w:tcPr>
            <w:tcW w:w="4253" w:type="dxa"/>
            <w:gridSpan w:val="3"/>
            <w:tcBorders>
              <w:top w:val="nil"/>
              <w:left w:val="single" w:sz="4" w:space="0" w:color="auto"/>
              <w:bottom w:val="nil"/>
              <w:right w:val="nil"/>
            </w:tcBorders>
            <w:shd w:val="clear" w:color="auto" w:fill="auto"/>
            <w:noWrap/>
            <w:hideMark/>
          </w:tcPr>
          <w:p w:rsidR="00F37B5D" w:rsidRDefault="00F37B5D" w:rsidP="002E1515"/>
          <w:p w:rsidR="002E1515" w:rsidRDefault="002E1515" w:rsidP="002E1515">
            <w:r w:rsidRPr="00D9005B">
              <w:t>Cash and Cash Equivalents</w:t>
            </w:r>
          </w:p>
          <w:p w:rsidR="00F37B5D" w:rsidRPr="00D9005B" w:rsidRDefault="00745042" w:rsidP="002E1515">
            <w:r>
              <w:t>(see Note 48</w:t>
            </w:r>
            <w:r w:rsidR="00F37B5D">
              <w:t xml:space="preserve"> for breakdown)</w:t>
            </w:r>
          </w:p>
        </w:tc>
        <w:tc>
          <w:tcPr>
            <w:tcW w:w="284" w:type="dxa"/>
            <w:tcBorders>
              <w:top w:val="nil"/>
              <w:left w:val="nil"/>
              <w:bottom w:val="nil"/>
              <w:right w:val="nil"/>
            </w:tcBorders>
            <w:shd w:val="clear" w:color="auto" w:fill="auto"/>
            <w:noWrap/>
            <w:hideMark/>
          </w:tcPr>
          <w:p w:rsidR="002E1515" w:rsidRPr="00D9005B" w:rsidRDefault="002E1515" w:rsidP="002E1515"/>
        </w:tc>
        <w:tc>
          <w:tcPr>
            <w:tcW w:w="1418" w:type="dxa"/>
            <w:tcBorders>
              <w:top w:val="nil"/>
              <w:left w:val="single" w:sz="4" w:space="0" w:color="auto"/>
              <w:bottom w:val="nil"/>
              <w:right w:val="nil"/>
            </w:tcBorders>
            <w:shd w:val="clear" w:color="auto" w:fill="auto"/>
            <w:hideMark/>
          </w:tcPr>
          <w:p w:rsidR="002E1515" w:rsidRPr="00D9005B" w:rsidRDefault="002E1515" w:rsidP="002E1515">
            <w:pPr>
              <w:jc w:val="center"/>
              <w:rPr>
                <w:b/>
                <w:bCs/>
              </w:rPr>
            </w:pPr>
          </w:p>
        </w:tc>
        <w:tc>
          <w:tcPr>
            <w:tcW w:w="1418" w:type="dxa"/>
            <w:tcBorders>
              <w:top w:val="nil"/>
              <w:left w:val="nil"/>
              <w:bottom w:val="nil"/>
              <w:right w:val="single" w:sz="4" w:space="0" w:color="auto"/>
            </w:tcBorders>
            <w:shd w:val="clear" w:color="auto" w:fill="auto"/>
            <w:hideMark/>
          </w:tcPr>
          <w:p w:rsidR="002E1515" w:rsidRPr="00D9005B" w:rsidRDefault="002E1515" w:rsidP="002E1515">
            <w:pPr>
              <w:jc w:val="center"/>
              <w:rPr>
                <w:b/>
                <w:bCs/>
              </w:rPr>
            </w:pPr>
          </w:p>
        </w:tc>
        <w:tc>
          <w:tcPr>
            <w:tcW w:w="1416" w:type="dxa"/>
            <w:tcBorders>
              <w:top w:val="nil"/>
              <w:left w:val="nil"/>
              <w:bottom w:val="nil"/>
              <w:right w:val="nil"/>
            </w:tcBorders>
            <w:shd w:val="clear" w:color="auto" w:fill="auto"/>
            <w:hideMark/>
          </w:tcPr>
          <w:p w:rsidR="00F37B5D" w:rsidRDefault="00F37B5D" w:rsidP="002E1515">
            <w:pPr>
              <w:jc w:val="center"/>
              <w:rPr>
                <w:bCs/>
              </w:rPr>
            </w:pPr>
          </w:p>
          <w:p w:rsidR="002E1515" w:rsidRPr="003D68B2" w:rsidRDefault="00F37B5D" w:rsidP="00F37B5D">
            <w:pPr>
              <w:jc w:val="center"/>
              <w:rPr>
                <w:bCs/>
              </w:rPr>
            </w:pPr>
            <w:r>
              <w:rPr>
                <w:bCs/>
              </w:rPr>
              <w:t>47,896</w:t>
            </w:r>
          </w:p>
        </w:tc>
        <w:tc>
          <w:tcPr>
            <w:tcW w:w="1416" w:type="dxa"/>
            <w:tcBorders>
              <w:top w:val="nil"/>
              <w:left w:val="nil"/>
              <w:bottom w:val="nil"/>
              <w:right w:val="single" w:sz="4" w:space="0" w:color="auto"/>
            </w:tcBorders>
            <w:shd w:val="clear" w:color="auto" w:fill="auto"/>
            <w:noWrap/>
            <w:hideMark/>
          </w:tcPr>
          <w:p w:rsidR="00F37B5D" w:rsidRDefault="00F37B5D" w:rsidP="00F37B5D">
            <w:pPr>
              <w:jc w:val="center"/>
              <w:rPr>
                <w:bCs/>
              </w:rPr>
            </w:pPr>
          </w:p>
          <w:p w:rsidR="002E1515" w:rsidRPr="003D68B2" w:rsidRDefault="00F37B5D" w:rsidP="00F37B5D">
            <w:pPr>
              <w:jc w:val="center"/>
              <w:rPr>
                <w:bCs/>
              </w:rPr>
            </w:pPr>
            <w:r>
              <w:rPr>
                <w:bCs/>
              </w:rPr>
              <w:t>71,356</w:t>
            </w:r>
          </w:p>
        </w:tc>
      </w:tr>
      <w:tr w:rsidR="002E1515" w:rsidRPr="00D9005B" w:rsidTr="002E1515">
        <w:trPr>
          <w:trHeight w:val="300"/>
        </w:trPr>
        <w:tc>
          <w:tcPr>
            <w:tcW w:w="1617" w:type="dxa"/>
            <w:tcBorders>
              <w:top w:val="nil"/>
              <w:left w:val="single" w:sz="4" w:space="0" w:color="auto"/>
              <w:bottom w:val="nil"/>
              <w:right w:val="nil"/>
            </w:tcBorders>
            <w:shd w:val="clear" w:color="auto" w:fill="auto"/>
            <w:noWrap/>
            <w:hideMark/>
          </w:tcPr>
          <w:p w:rsidR="002E1515" w:rsidRPr="00D9005B" w:rsidRDefault="002E1515" w:rsidP="002E1515"/>
        </w:tc>
        <w:tc>
          <w:tcPr>
            <w:tcW w:w="2920" w:type="dxa"/>
            <w:gridSpan w:val="3"/>
            <w:tcBorders>
              <w:top w:val="nil"/>
              <w:left w:val="nil"/>
              <w:bottom w:val="nil"/>
              <w:right w:val="nil"/>
            </w:tcBorders>
            <w:shd w:val="clear" w:color="auto" w:fill="auto"/>
            <w:noWrap/>
            <w:hideMark/>
          </w:tcPr>
          <w:p w:rsidR="002E1515" w:rsidRPr="00D9005B" w:rsidRDefault="002E1515" w:rsidP="002E1515"/>
        </w:tc>
        <w:tc>
          <w:tcPr>
            <w:tcW w:w="1418" w:type="dxa"/>
            <w:tcBorders>
              <w:top w:val="nil"/>
              <w:left w:val="single" w:sz="4" w:space="0" w:color="auto"/>
              <w:bottom w:val="single" w:sz="4" w:space="0" w:color="auto"/>
              <w:right w:val="nil"/>
            </w:tcBorders>
            <w:shd w:val="clear" w:color="auto" w:fill="auto"/>
            <w:hideMark/>
          </w:tcPr>
          <w:p w:rsidR="002E1515" w:rsidRPr="00D9005B" w:rsidRDefault="002E1515" w:rsidP="002E1515">
            <w:pPr>
              <w:jc w:val="center"/>
              <w:rPr>
                <w:b/>
                <w:bCs/>
              </w:rPr>
            </w:pPr>
            <w:r w:rsidRPr="00D9005B">
              <w:rPr>
                <w:b/>
                <w:bCs/>
              </w:rPr>
              <w:t>-</w:t>
            </w:r>
          </w:p>
        </w:tc>
        <w:tc>
          <w:tcPr>
            <w:tcW w:w="1418" w:type="dxa"/>
            <w:tcBorders>
              <w:top w:val="nil"/>
              <w:left w:val="nil"/>
              <w:bottom w:val="single" w:sz="4" w:space="0" w:color="auto"/>
              <w:right w:val="single" w:sz="4" w:space="0" w:color="auto"/>
            </w:tcBorders>
            <w:shd w:val="clear" w:color="auto" w:fill="auto"/>
            <w:hideMark/>
          </w:tcPr>
          <w:p w:rsidR="002E1515" w:rsidRPr="00D9005B" w:rsidRDefault="00933A46" w:rsidP="002E1515">
            <w:pPr>
              <w:jc w:val="center"/>
              <w:rPr>
                <w:b/>
                <w:bCs/>
              </w:rPr>
            </w:pPr>
            <w:r>
              <w:rPr>
                <w:b/>
                <w:bCs/>
              </w:rPr>
              <w:t>-</w:t>
            </w:r>
          </w:p>
        </w:tc>
        <w:tc>
          <w:tcPr>
            <w:tcW w:w="1416" w:type="dxa"/>
            <w:tcBorders>
              <w:top w:val="nil"/>
              <w:left w:val="nil"/>
              <w:bottom w:val="single" w:sz="4" w:space="0" w:color="auto"/>
              <w:right w:val="nil"/>
            </w:tcBorders>
            <w:shd w:val="clear" w:color="auto" w:fill="auto"/>
            <w:hideMark/>
          </w:tcPr>
          <w:p w:rsidR="002E1515" w:rsidRPr="00D9005B" w:rsidRDefault="002E1515" w:rsidP="002E1515">
            <w:pPr>
              <w:jc w:val="center"/>
            </w:pPr>
          </w:p>
        </w:tc>
        <w:tc>
          <w:tcPr>
            <w:tcW w:w="1416" w:type="dxa"/>
            <w:tcBorders>
              <w:top w:val="nil"/>
              <w:left w:val="nil"/>
              <w:bottom w:val="single" w:sz="4" w:space="0" w:color="auto"/>
              <w:right w:val="single" w:sz="4" w:space="0" w:color="auto"/>
            </w:tcBorders>
            <w:shd w:val="clear" w:color="auto" w:fill="auto"/>
            <w:noWrap/>
            <w:hideMark/>
          </w:tcPr>
          <w:p w:rsidR="002E1515" w:rsidRPr="00D9005B" w:rsidRDefault="002E1515" w:rsidP="00F37B5D">
            <w:pPr>
              <w:jc w:val="center"/>
            </w:pPr>
          </w:p>
        </w:tc>
      </w:tr>
      <w:tr w:rsidR="002E1515" w:rsidRPr="00D9005B" w:rsidTr="002E1515">
        <w:trPr>
          <w:trHeight w:val="300"/>
        </w:trPr>
        <w:tc>
          <w:tcPr>
            <w:tcW w:w="4537" w:type="dxa"/>
            <w:gridSpan w:val="4"/>
            <w:tcBorders>
              <w:top w:val="nil"/>
              <w:left w:val="single" w:sz="4" w:space="0" w:color="auto"/>
              <w:bottom w:val="nil"/>
              <w:right w:val="nil"/>
            </w:tcBorders>
            <w:shd w:val="clear" w:color="auto" w:fill="auto"/>
            <w:noWrap/>
            <w:hideMark/>
          </w:tcPr>
          <w:p w:rsidR="002E1515" w:rsidRPr="00D9005B" w:rsidRDefault="002E1515" w:rsidP="002E1515">
            <w:pPr>
              <w:rPr>
                <w:b/>
              </w:rPr>
            </w:pPr>
            <w:r w:rsidRPr="00D9005B">
              <w:rPr>
                <w:b/>
              </w:rPr>
              <w:t>Total Loans and Receivables</w:t>
            </w:r>
          </w:p>
        </w:tc>
        <w:tc>
          <w:tcPr>
            <w:tcW w:w="1418" w:type="dxa"/>
            <w:tcBorders>
              <w:top w:val="nil"/>
              <w:left w:val="single" w:sz="4" w:space="0" w:color="auto"/>
              <w:bottom w:val="nil"/>
              <w:right w:val="nil"/>
            </w:tcBorders>
            <w:shd w:val="clear" w:color="auto" w:fill="auto"/>
            <w:hideMark/>
          </w:tcPr>
          <w:p w:rsidR="002E1515" w:rsidRPr="00D9005B" w:rsidRDefault="002E1515" w:rsidP="002E1515">
            <w:pPr>
              <w:jc w:val="center"/>
              <w:rPr>
                <w:b/>
                <w:bCs/>
              </w:rPr>
            </w:pPr>
            <w:r w:rsidRPr="00D9005B">
              <w:rPr>
                <w:b/>
                <w:bCs/>
              </w:rPr>
              <w:t>207,972</w:t>
            </w:r>
          </w:p>
        </w:tc>
        <w:tc>
          <w:tcPr>
            <w:tcW w:w="1418" w:type="dxa"/>
            <w:tcBorders>
              <w:top w:val="nil"/>
              <w:left w:val="nil"/>
              <w:bottom w:val="nil"/>
              <w:right w:val="single" w:sz="4" w:space="0" w:color="auto"/>
            </w:tcBorders>
            <w:shd w:val="clear" w:color="auto" w:fill="auto"/>
            <w:hideMark/>
          </w:tcPr>
          <w:p w:rsidR="002E1515" w:rsidRPr="00D9005B" w:rsidRDefault="002E1515" w:rsidP="002E1515">
            <w:pPr>
              <w:jc w:val="center"/>
              <w:rPr>
                <w:b/>
                <w:bCs/>
              </w:rPr>
            </w:pPr>
            <w:r w:rsidRPr="00D9005B">
              <w:rPr>
                <w:b/>
                <w:bCs/>
              </w:rPr>
              <w:t>255,293</w:t>
            </w:r>
          </w:p>
        </w:tc>
        <w:tc>
          <w:tcPr>
            <w:tcW w:w="1416" w:type="dxa"/>
            <w:tcBorders>
              <w:top w:val="nil"/>
              <w:left w:val="nil"/>
              <w:bottom w:val="nil"/>
              <w:right w:val="nil"/>
            </w:tcBorders>
            <w:shd w:val="clear" w:color="auto" w:fill="auto"/>
            <w:hideMark/>
          </w:tcPr>
          <w:p w:rsidR="002E1515" w:rsidRPr="00D9005B" w:rsidRDefault="003D68B2" w:rsidP="002E1515">
            <w:pPr>
              <w:jc w:val="center"/>
              <w:rPr>
                <w:b/>
                <w:bCs/>
              </w:rPr>
            </w:pPr>
            <w:r>
              <w:rPr>
                <w:b/>
                <w:bCs/>
              </w:rPr>
              <w:t>118,879</w:t>
            </w:r>
          </w:p>
        </w:tc>
        <w:tc>
          <w:tcPr>
            <w:tcW w:w="1416" w:type="dxa"/>
            <w:tcBorders>
              <w:top w:val="nil"/>
              <w:left w:val="nil"/>
              <w:bottom w:val="nil"/>
              <w:right w:val="single" w:sz="4" w:space="0" w:color="auto"/>
            </w:tcBorders>
            <w:shd w:val="clear" w:color="auto" w:fill="auto"/>
            <w:noWrap/>
            <w:hideMark/>
          </w:tcPr>
          <w:p w:rsidR="002E1515" w:rsidRPr="00D9005B" w:rsidRDefault="003D68B2" w:rsidP="002E1515">
            <w:pPr>
              <w:jc w:val="center"/>
              <w:rPr>
                <w:b/>
                <w:bCs/>
              </w:rPr>
            </w:pPr>
            <w:r>
              <w:rPr>
                <w:b/>
                <w:bCs/>
              </w:rPr>
              <w:t>118,415</w:t>
            </w:r>
          </w:p>
        </w:tc>
      </w:tr>
      <w:tr w:rsidR="002E1515" w:rsidRPr="00D9005B" w:rsidTr="002E1515">
        <w:trPr>
          <w:trHeight w:val="300"/>
        </w:trPr>
        <w:tc>
          <w:tcPr>
            <w:tcW w:w="1617" w:type="dxa"/>
            <w:tcBorders>
              <w:top w:val="nil"/>
              <w:left w:val="single" w:sz="4" w:space="0" w:color="auto"/>
              <w:bottom w:val="nil"/>
              <w:right w:val="nil"/>
            </w:tcBorders>
            <w:shd w:val="clear" w:color="auto" w:fill="auto"/>
            <w:noWrap/>
            <w:hideMark/>
          </w:tcPr>
          <w:p w:rsidR="002E1515" w:rsidRPr="00D9005B" w:rsidRDefault="002E1515" w:rsidP="002E1515"/>
        </w:tc>
        <w:tc>
          <w:tcPr>
            <w:tcW w:w="2636" w:type="dxa"/>
            <w:gridSpan w:val="2"/>
            <w:tcBorders>
              <w:top w:val="nil"/>
              <w:left w:val="nil"/>
              <w:bottom w:val="nil"/>
              <w:right w:val="nil"/>
            </w:tcBorders>
            <w:shd w:val="clear" w:color="auto" w:fill="auto"/>
            <w:noWrap/>
            <w:hideMark/>
          </w:tcPr>
          <w:p w:rsidR="002E1515" w:rsidRPr="00D9005B" w:rsidRDefault="002E1515" w:rsidP="002E1515"/>
        </w:tc>
        <w:tc>
          <w:tcPr>
            <w:tcW w:w="284" w:type="dxa"/>
            <w:tcBorders>
              <w:top w:val="nil"/>
              <w:left w:val="nil"/>
              <w:bottom w:val="nil"/>
              <w:right w:val="nil"/>
            </w:tcBorders>
            <w:shd w:val="clear" w:color="auto" w:fill="auto"/>
            <w:noWrap/>
            <w:hideMark/>
          </w:tcPr>
          <w:p w:rsidR="002E1515" w:rsidRPr="00D9005B" w:rsidRDefault="002E1515" w:rsidP="002E1515"/>
        </w:tc>
        <w:tc>
          <w:tcPr>
            <w:tcW w:w="1418" w:type="dxa"/>
            <w:tcBorders>
              <w:top w:val="nil"/>
              <w:left w:val="single" w:sz="4" w:space="0" w:color="auto"/>
              <w:bottom w:val="nil"/>
              <w:right w:val="nil"/>
            </w:tcBorders>
            <w:shd w:val="clear" w:color="auto" w:fill="auto"/>
            <w:hideMark/>
          </w:tcPr>
          <w:p w:rsidR="002E1515" w:rsidRPr="00D9005B" w:rsidRDefault="002E1515" w:rsidP="002E1515">
            <w:pPr>
              <w:jc w:val="center"/>
              <w:rPr>
                <w:b/>
                <w:bCs/>
              </w:rPr>
            </w:pPr>
          </w:p>
        </w:tc>
        <w:tc>
          <w:tcPr>
            <w:tcW w:w="1418" w:type="dxa"/>
            <w:tcBorders>
              <w:top w:val="nil"/>
              <w:left w:val="nil"/>
              <w:bottom w:val="nil"/>
              <w:right w:val="single" w:sz="4" w:space="0" w:color="auto"/>
            </w:tcBorders>
            <w:shd w:val="clear" w:color="auto" w:fill="auto"/>
            <w:hideMark/>
          </w:tcPr>
          <w:p w:rsidR="002E1515" w:rsidRPr="00D9005B" w:rsidRDefault="002E1515" w:rsidP="002E1515">
            <w:pPr>
              <w:jc w:val="center"/>
              <w:rPr>
                <w:b/>
                <w:bCs/>
              </w:rPr>
            </w:pPr>
          </w:p>
        </w:tc>
        <w:tc>
          <w:tcPr>
            <w:tcW w:w="1416" w:type="dxa"/>
            <w:tcBorders>
              <w:top w:val="nil"/>
              <w:left w:val="nil"/>
              <w:bottom w:val="nil"/>
              <w:right w:val="nil"/>
            </w:tcBorders>
            <w:shd w:val="clear" w:color="auto" w:fill="auto"/>
            <w:hideMark/>
          </w:tcPr>
          <w:p w:rsidR="002E1515" w:rsidRPr="00D9005B" w:rsidRDefault="002E1515" w:rsidP="002E1515">
            <w:pPr>
              <w:jc w:val="center"/>
              <w:rPr>
                <w:b/>
                <w:bCs/>
              </w:rPr>
            </w:pPr>
          </w:p>
        </w:tc>
        <w:tc>
          <w:tcPr>
            <w:tcW w:w="1416" w:type="dxa"/>
            <w:tcBorders>
              <w:top w:val="nil"/>
              <w:left w:val="nil"/>
              <w:bottom w:val="nil"/>
              <w:right w:val="single" w:sz="4" w:space="0" w:color="auto"/>
            </w:tcBorders>
            <w:shd w:val="clear" w:color="auto" w:fill="auto"/>
            <w:noWrap/>
            <w:hideMark/>
          </w:tcPr>
          <w:p w:rsidR="002E1515" w:rsidRPr="00D9005B" w:rsidRDefault="002E1515" w:rsidP="002E1515">
            <w:pPr>
              <w:jc w:val="center"/>
              <w:rPr>
                <w:b/>
                <w:bCs/>
              </w:rPr>
            </w:pPr>
          </w:p>
        </w:tc>
      </w:tr>
      <w:tr w:rsidR="002E1515" w:rsidRPr="00D9005B" w:rsidTr="002E1515">
        <w:trPr>
          <w:trHeight w:val="300"/>
        </w:trPr>
        <w:tc>
          <w:tcPr>
            <w:tcW w:w="4537" w:type="dxa"/>
            <w:gridSpan w:val="4"/>
            <w:tcBorders>
              <w:top w:val="nil"/>
              <w:left w:val="single" w:sz="4" w:space="0" w:color="auto"/>
              <w:bottom w:val="nil"/>
              <w:right w:val="nil"/>
            </w:tcBorders>
            <w:shd w:val="clear" w:color="auto" w:fill="auto"/>
            <w:noWrap/>
            <w:hideMark/>
          </w:tcPr>
          <w:p w:rsidR="002E1515" w:rsidRPr="00DB5F30" w:rsidRDefault="00687D2A" w:rsidP="002E1515">
            <w:pPr>
              <w:rPr>
                <w:b/>
                <w:bCs/>
              </w:rPr>
            </w:pPr>
            <w:r w:rsidRPr="00687D2A">
              <w:rPr>
                <w:b/>
                <w:bCs/>
              </w:rPr>
              <w:t>Available-for-Sale financial assets</w:t>
            </w:r>
          </w:p>
        </w:tc>
        <w:tc>
          <w:tcPr>
            <w:tcW w:w="1418" w:type="dxa"/>
            <w:tcBorders>
              <w:top w:val="nil"/>
              <w:left w:val="single" w:sz="4" w:space="0" w:color="auto"/>
              <w:bottom w:val="nil"/>
              <w:right w:val="nil"/>
            </w:tcBorders>
            <w:shd w:val="clear" w:color="auto" w:fill="auto"/>
            <w:hideMark/>
          </w:tcPr>
          <w:p w:rsidR="002E1515" w:rsidRPr="00D9005B" w:rsidRDefault="002E1515" w:rsidP="002E1515">
            <w:pPr>
              <w:jc w:val="center"/>
              <w:rPr>
                <w:b/>
                <w:bCs/>
              </w:rPr>
            </w:pPr>
          </w:p>
        </w:tc>
        <w:tc>
          <w:tcPr>
            <w:tcW w:w="1418" w:type="dxa"/>
            <w:tcBorders>
              <w:top w:val="nil"/>
              <w:left w:val="nil"/>
              <w:bottom w:val="nil"/>
              <w:right w:val="single" w:sz="4" w:space="0" w:color="auto"/>
            </w:tcBorders>
            <w:shd w:val="clear" w:color="auto" w:fill="auto"/>
            <w:noWrap/>
            <w:hideMark/>
          </w:tcPr>
          <w:p w:rsidR="002E1515" w:rsidRPr="00D9005B" w:rsidRDefault="002E1515" w:rsidP="002E1515">
            <w:pPr>
              <w:jc w:val="center"/>
              <w:rPr>
                <w:b/>
                <w:bCs/>
              </w:rPr>
            </w:pPr>
          </w:p>
        </w:tc>
        <w:tc>
          <w:tcPr>
            <w:tcW w:w="1416" w:type="dxa"/>
            <w:tcBorders>
              <w:top w:val="nil"/>
              <w:left w:val="nil"/>
              <w:bottom w:val="nil"/>
              <w:right w:val="nil"/>
            </w:tcBorders>
            <w:shd w:val="clear" w:color="auto" w:fill="auto"/>
            <w:hideMark/>
          </w:tcPr>
          <w:p w:rsidR="002E1515" w:rsidRPr="00D9005B" w:rsidRDefault="002E1515" w:rsidP="002E1515">
            <w:pPr>
              <w:jc w:val="center"/>
              <w:rPr>
                <w:b/>
                <w:bCs/>
              </w:rPr>
            </w:pPr>
          </w:p>
        </w:tc>
        <w:tc>
          <w:tcPr>
            <w:tcW w:w="1416" w:type="dxa"/>
            <w:tcBorders>
              <w:top w:val="nil"/>
              <w:left w:val="nil"/>
              <w:bottom w:val="nil"/>
              <w:right w:val="single" w:sz="4" w:space="0" w:color="auto"/>
            </w:tcBorders>
            <w:shd w:val="clear" w:color="auto" w:fill="auto"/>
            <w:noWrap/>
            <w:hideMark/>
          </w:tcPr>
          <w:p w:rsidR="002E1515" w:rsidRPr="00D9005B" w:rsidRDefault="002E1515" w:rsidP="002E1515">
            <w:pPr>
              <w:jc w:val="center"/>
              <w:rPr>
                <w:b/>
                <w:bCs/>
              </w:rPr>
            </w:pPr>
          </w:p>
        </w:tc>
      </w:tr>
      <w:tr w:rsidR="002E1515" w:rsidRPr="00D9005B" w:rsidTr="002E1515">
        <w:trPr>
          <w:trHeight w:val="300"/>
        </w:trPr>
        <w:tc>
          <w:tcPr>
            <w:tcW w:w="1617" w:type="dxa"/>
            <w:tcBorders>
              <w:top w:val="nil"/>
              <w:left w:val="single" w:sz="4" w:space="0" w:color="auto"/>
              <w:bottom w:val="nil"/>
              <w:right w:val="nil"/>
            </w:tcBorders>
            <w:shd w:val="clear" w:color="auto" w:fill="auto"/>
            <w:noWrap/>
            <w:hideMark/>
          </w:tcPr>
          <w:p w:rsidR="002E1515" w:rsidRPr="00D9005B" w:rsidRDefault="002E1515" w:rsidP="002E1515">
            <w:pPr>
              <w:rPr>
                <w:b/>
                <w:bCs/>
              </w:rPr>
            </w:pPr>
          </w:p>
        </w:tc>
        <w:tc>
          <w:tcPr>
            <w:tcW w:w="2636" w:type="dxa"/>
            <w:gridSpan w:val="2"/>
            <w:tcBorders>
              <w:top w:val="nil"/>
              <w:left w:val="nil"/>
              <w:bottom w:val="nil"/>
              <w:right w:val="nil"/>
            </w:tcBorders>
            <w:shd w:val="clear" w:color="auto" w:fill="auto"/>
            <w:noWrap/>
            <w:hideMark/>
          </w:tcPr>
          <w:p w:rsidR="002E1515" w:rsidRPr="00D9005B" w:rsidRDefault="002E1515" w:rsidP="002E1515">
            <w:r w:rsidRPr="00D9005B">
              <w:t>Bonds</w:t>
            </w:r>
          </w:p>
        </w:tc>
        <w:tc>
          <w:tcPr>
            <w:tcW w:w="284" w:type="dxa"/>
            <w:tcBorders>
              <w:top w:val="nil"/>
              <w:left w:val="nil"/>
              <w:bottom w:val="nil"/>
              <w:right w:val="nil"/>
            </w:tcBorders>
            <w:shd w:val="clear" w:color="auto" w:fill="auto"/>
            <w:noWrap/>
            <w:hideMark/>
          </w:tcPr>
          <w:p w:rsidR="002E1515" w:rsidRPr="00D9005B" w:rsidRDefault="002E1515" w:rsidP="002E1515"/>
        </w:tc>
        <w:tc>
          <w:tcPr>
            <w:tcW w:w="1418" w:type="dxa"/>
            <w:tcBorders>
              <w:top w:val="nil"/>
              <w:left w:val="single" w:sz="4" w:space="0" w:color="auto"/>
              <w:bottom w:val="nil"/>
              <w:right w:val="nil"/>
            </w:tcBorders>
            <w:shd w:val="clear" w:color="auto" w:fill="auto"/>
            <w:hideMark/>
          </w:tcPr>
          <w:p w:rsidR="002E1515" w:rsidRPr="00D9005B" w:rsidRDefault="002E1515" w:rsidP="002E1515">
            <w:pPr>
              <w:jc w:val="center"/>
            </w:pPr>
            <w:r w:rsidRPr="00D9005B">
              <w:t>27,706</w:t>
            </w:r>
          </w:p>
        </w:tc>
        <w:tc>
          <w:tcPr>
            <w:tcW w:w="1418" w:type="dxa"/>
            <w:tcBorders>
              <w:top w:val="nil"/>
              <w:left w:val="nil"/>
              <w:bottom w:val="nil"/>
              <w:right w:val="single" w:sz="4" w:space="0" w:color="auto"/>
            </w:tcBorders>
            <w:shd w:val="clear" w:color="auto" w:fill="auto"/>
            <w:hideMark/>
          </w:tcPr>
          <w:p w:rsidR="002E1515" w:rsidRPr="00D9005B" w:rsidRDefault="002E1515" w:rsidP="002E1515">
            <w:pPr>
              <w:jc w:val="center"/>
            </w:pPr>
            <w:r w:rsidRPr="00D9005B">
              <w:t>20,795</w:t>
            </w:r>
          </w:p>
        </w:tc>
        <w:tc>
          <w:tcPr>
            <w:tcW w:w="1416" w:type="dxa"/>
            <w:tcBorders>
              <w:top w:val="nil"/>
              <w:left w:val="nil"/>
              <w:bottom w:val="nil"/>
              <w:right w:val="nil"/>
            </w:tcBorders>
            <w:shd w:val="clear" w:color="auto" w:fill="auto"/>
            <w:hideMark/>
          </w:tcPr>
          <w:p w:rsidR="002E1515" w:rsidRPr="00D9005B" w:rsidRDefault="002E1515" w:rsidP="002E1515">
            <w:pPr>
              <w:jc w:val="center"/>
            </w:pPr>
            <w:r w:rsidRPr="00D9005B">
              <w:t>-</w:t>
            </w:r>
          </w:p>
        </w:tc>
        <w:tc>
          <w:tcPr>
            <w:tcW w:w="1416" w:type="dxa"/>
            <w:tcBorders>
              <w:top w:val="nil"/>
              <w:left w:val="nil"/>
              <w:bottom w:val="nil"/>
              <w:right w:val="single" w:sz="4" w:space="0" w:color="auto"/>
            </w:tcBorders>
            <w:shd w:val="clear" w:color="auto" w:fill="auto"/>
            <w:hideMark/>
          </w:tcPr>
          <w:p w:rsidR="002E1515" w:rsidRPr="00D9005B" w:rsidRDefault="002E1515" w:rsidP="002E1515">
            <w:pPr>
              <w:jc w:val="center"/>
            </w:pPr>
            <w:r w:rsidRPr="00D9005B">
              <w:t>122,312</w:t>
            </w:r>
          </w:p>
        </w:tc>
      </w:tr>
      <w:tr w:rsidR="002E1515" w:rsidRPr="00D9005B" w:rsidTr="002E1515">
        <w:trPr>
          <w:trHeight w:val="300"/>
        </w:trPr>
        <w:tc>
          <w:tcPr>
            <w:tcW w:w="4537" w:type="dxa"/>
            <w:gridSpan w:val="4"/>
            <w:tcBorders>
              <w:top w:val="nil"/>
              <w:left w:val="single" w:sz="4" w:space="0" w:color="auto"/>
              <w:bottom w:val="nil"/>
              <w:right w:val="nil"/>
            </w:tcBorders>
            <w:shd w:val="clear" w:color="auto" w:fill="auto"/>
            <w:noWrap/>
            <w:hideMark/>
          </w:tcPr>
          <w:p w:rsidR="002E1515" w:rsidRDefault="002E1515" w:rsidP="002E1515">
            <w:pPr>
              <w:rPr>
                <w:b/>
              </w:rPr>
            </w:pPr>
            <w:r w:rsidRPr="00D9005B">
              <w:rPr>
                <w:b/>
              </w:rPr>
              <w:t>Total Available for Sale Financial Assets</w:t>
            </w:r>
          </w:p>
          <w:p w:rsidR="00DB5F30" w:rsidRPr="00D9005B" w:rsidRDefault="00DB5F30" w:rsidP="002E1515">
            <w:pPr>
              <w:rPr>
                <w:b/>
              </w:rPr>
            </w:pPr>
          </w:p>
        </w:tc>
        <w:tc>
          <w:tcPr>
            <w:tcW w:w="1418" w:type="dxa"/>
            <w:tcBorders>
              <w:top w:val="single" w:sz="4" w:space="0" w:color="auto"/>
              <w:left w:val="single" w:sz="4" w:space="0" w:color="auto"/>
              <w:bottom w:val="nil"/>
              <w:right w:val="nil"/>
            </w:tcBorders>
            <w:shd w:val="clear" w:color="auto" w:fill="auto"/>
            <w:hideMark/>
          </w:tcPr>
          <w:p w:rsidR="002E1515" w:rsidRPr="00D9005B" w:rsidRDefault="002E1515" w:rsidP="002E1515">
            <w:pPr>
              <w:jc w:val="center"/>
              <w:rPr>
                <w:b/>
                <w:bCs/>
              </w:rPr>
            </w:pPr>
            <w:r w:rsidRPr="00D9005B">
              <w:rPr>
                <w:b/>
                <w:bCs/>
              </w:rPr>
              <w:t>27,706</w:t>
            </w:r>
          </w:p>
        </w:tc>
        <w:tc>
          <w:tcPr>
            <w:tcW w:w="1418" w:type="dxa"/>
            <w:tcBorders>
              <w:top w:val="single" w:sz="4" w:space="0" w:color="auto"/>
              <w:left w:val="nil"/>
              <w:bottom w:val="nil"/>
              <w:right w:val="single" w:sz="4" w:space="0" w:color="auto"/>
            </w:tcBorders>
            <w:shd w:val="clear" w:color="auto" w:fill="auto"/>
            <w:hideMark/>
          </w:tcPr>
          <w:p w:rsidR="002E1515" w:rsidRPr="00D9005B" w:rsidRDefault="002E1515" w:rsidP="002E1515">
            <w:pPr>
              <w:jc w:val="center"/>
              <w:rPr>
                <w:b/>
                <w:bCs/>
              </w:rPr>
            </w:pPr>
            <w:r w:rsidRPr="00D9005B">
              <w:rPr>
                <w:b/>
                <w:bCs/>
              </w:rPr>
              <w:t>20,795</w:t>
            </w:r>
          </w:p>
        </w:tc>
        <w:tc>
          <w:tcPr>
            <w:tcW w:w="1416" w:type="dxa"/>
            <w:tcBorders>
              <w:top w:val="single" w:sz="4" w:space="0" w:color="auto"/>
              <w:left w:val="nil"/>
              <w:bottom w:val="nil"/>
              <w:right w:val="nil"/>
            </w:tcBorders>
            <w:shd w:val="clear" w:color="auto" w:fill="auto"/>
            <w:hideMark/>
          </w:tcPr>
          <w:p w:rsidR="002E1515" w:rsidRPr="00D9005B" w:rsidRDefault="002E1515" w:rsidP="002E1515">
            <w:pPr>
              <w:jc w:val="center"/>
              <w:rPr>
                <w:b/>
                <w:bCs/>
              </w:rPr>
            </w:pPr>
            <w:r w:rsidRPr="00D9005B">
              <w:rPr>
                <w:b/>
                <w:bCs/>
              </w:rPr>
              <w:t>-</w:t>
            </w:r>
          </w:p>
        </w:tc>
        <w:tc>
          <w:tcPr>
            <w:tcW w:w="1416" w:type="dxa"/>
            <w:tcBorders>
              <w:top w:val="single" w:sz="4" w:space="0" w:color="auto"/>
              <w:left w:val="nil"/>
              <w:bottom w:val="nil"/>
              <w:right w:val="single" w:sz="4" w:space="0" w:color="auto"/>
            </w:tcBorders>
            <w:shd w:val="clear" w:color="auto" w:fill="auto"/>
            <w:hideMark/>
          </w:tcPr>
          <w:p w:rsidR="002E1515" w:rsidRPr="00D9005B" w:rsidRDefault="002E1515" w:rsidP="002E1515">
            <w:pPr>
              <w:jc w:val="center"/>
              <w:rPr>
                <w:b/>
                <w:bCs/>
              </w:rPr>
            </w:pPr>
            <w:r w:rsidRPr="00D9005B">
              <w:rPr>
                <w:b/>
                <w:bCs/>
              </w:rPr>
              <w:t>122,312</w:t>
            </w:r>
          </w:p>
        </w:tc>
      </w:tr>
      <w:tr w:rsidR="002E1515" w:rsidRPr="00D9005B" w:rsidTr="002E1515">
        <w:trPr>
          <w:trHeight w:val="300"/>
        </w:trPr>
        <w:tc>
          <w:tcPr>
            <w:tcW w:w="4537" w:type="dxa"/>
            <w:gridSpan w:val="4"/>
            <w:tcBorders>
              <w:top w:val="nil"/>
              <w:left w:val="single" w:sz="4" w:space="0" w:color="auto"/>
              <w:bottom w:val="nil"/>
              <w:right w:val="nil"/>
            </w:tcBorders>
            <w:shd w:val="clear" w:color="auto" w:fill="auto"/>
            <w:noWrap/>
            <w:hideMark/>
          </w:tcPr>
          <w:p w:rsidR="002E1515" w:rsidRPr="00DB5F30" w:rsidRDefault="00DB5F30" w:rsidP="002E1515">
            <w:pPr>
              <w:rPr>
                <w:b/>
                <w:bCs/>
              </w:rPr>
            </w:pPr>
            <w:r>
              <w:rPr>
                <w:b/>
                <w:bCs/>
              </w:rPr>
              <w:t xml:space="preserve">Financial Assets at </w:t>
            </w:r>
            <w:r w:rsidR="00687D2A" w:rsidRPr="00687D2A">
              <w:rPr>
                <w:b/>
                <w:bCs/>
              </w:rPr>
              <w:t>Fair Value through P&amp;L</w:t>
            </w:r>
          </w:p>
        </w:tc>
        <w:tc>
          <w:tcPr>
            <w:tcW w:w="1418" w:type="dxa"/>
            <w:tcBorders>
              <w:top w:val="nil"/>
              <w:left w:val="single" w:sz="4" w:space="0" w:color="auto"/>
              <w:bottom w:val="nil"/>
              <w:right w:val="nil"/>
            </w:tcBorders>
            <w:shd w:val="clear" w:color="auto" w:fill="auto"/>
            <w:hideMark/>
          </w:tcPr>
          <w:p w:rsidR="002E1515" w:rsidRPr="00D9005B" w:rsidRDefault="002E1515" w:rsidP="002E1515">
            <w:pPr>
              <w:jc w:val="center"/>
            </w:pPr>
          </w:p>
        </w:tc>
        <w:tc>
          <w:tcPr>
            <w:tcW w:w="1418" w:type="dxa"/>
            <w:tcBorders>
              <w:top w:val="nil"/>
              <w:left w:val="nil"/>
              <w:bottom w:val="nil"/>
              <w:right w:val="single" w:sz="4" w:space="0" w:color="auto"/>
            </w:tcBorders>
            <w:shd w:val="clear" w:color="auto" w:fill="auto"/>
            <w:noWrap/>
            <w:hideMark/>
          </w:tcPr>
          <w:p w:rsidR="002E1515" w:rsidRPr="00D9005B" w:rsidRDefault="002E1515" w:rsidP="002E1515">
            <w:pPr>
              <w:jc w:val="center"/>
            </w:pPr>
          </w:p>
        </w:tc>
        <w:tc>
          <w:tcPr>
            <w:tcW w:w="1416" w:type="dxa"/>
            <w:tcBorders>
              <w:top w:val="nil"/>
              <w:left w:val="nil"/>
              <w:bottom w:val="nil"/>
              <w:right w:val="nil"/>
            </w:tcBorders>
            <w:shd w:val="clear" w:color="auto" w:fill="auto"/>
            <w:hideMark/>
          </w:tcPr>
          <w:p w:rsidR="002E1515" w:rsidRPr="00D9005B" w:rsidRDefault="002E1515" w:rsidP="002E1515">
            <w:pPr>
              <w:jc w:val="center"/>
            </w:pPr>
          </w:p>
        </w:tc>
        <w:tc>
          <w:tcPr>
            <w:tcW w:w="1416" w:type="dxa"/>
            <w:tcBorders>
              <w:top w:val="nil"/>
              <w:left w:val="nil"/>
              <w:bottom w:val="nil"/>
              <w:right w:val="single" w:sz="4" w:space="0" w:color="auto"/>
            </w:tcBorders>
            <w:shd w:val="clear" w:color="auto" w:fill="auto"/>
            <w:noWrap/>
            <w:hideMark/>
          </w:tcPr>
          <w:p w:rsidR="002E1515" w:rsidRPr="00D9005B" w:rsidRDefault="002E1515" w:rsidP="002E1515">
            <w:pPr>
              <w:jc w:val="center"/>
            </w:pPr>
          </w:p>
        </w:tc>
      </w:tr>
      <w:tr w:rsidR="002E1515" w:rsidRPr="00D9005B" w:rsidTr="002E1515">
        <w:trPr>
          <w:trHeight w:val="300"/>
        </w:trPr>
        <w:tc>
          <w:tcPr>
            <w:tcW w:w="1617" w:type="dxa"/>
            <w:tcBorders>
              <w:top w:val="nil"/>
              <w:left w:val="single" w:sz="4" w:space="0" w:color="auto"/>
              <w:bottom w:val="nil"/>
              <w:right w:val="nil"/>
            </w:tcBorders>
            <w:shd w:val="clear" w:color="auto" w:fill="auto"/>
            <w:noWrap/>
            <w:hideMark/>
          </w:tcPr>
          <w:p w:rsidR="002E1515" w:rsidRPr="00D9005B" w:rsidRDefault="002E1515" w:rsidP="002E1515">
            <w:pPr>
              <w:rPr>
                <w:b/>
                <w:bCs/>
              </w:rPr>
            </w:pPr>
          </w:p>
        </w:tc>
        <w:tc>
          <w:tcPr>
            <w:tcW w:w="2636" w:type="dxa"/>
            <w:gridSpan w:val="2"/>
            <w:tcBorders>
              <w:top w:val="nil"/>
              <w:left w:val="nil"/>
              <w:bottom w:val="nil"/>
              <w:right w:val="nil"/>
            </w:tcBorders>
            <w:shd w:val="clear" w:color="auto" w:fill="auto"/>
            <w:noWrap/>
            <w:hideMark/>
          </w:tcPr>
          <w:p w:rsidR="002E1515" w:rsidRPr="00D9005B" w:rsidRDefault="002E1515" w:rsidP="002E1515">
            <w:r w:rsidRPr="00D9005B">
              <w:t>Bonds</w:t>
            </w:r>
          </w:p>
        </w:tc>
        <w:tc>
          <w:tcPr>
            <w:tcW w:w="284" w:type="dxa"/>
            <w:tcBorders>
              <w:top w:val="nil"/>
              <w:left w:val="nil"/>
              <w:bottom w:val="nil"/>
              <w:right w:val="nil"/>
            </w:tcBorders>
            <w:shd w:val="clear" w:color="auto" w:fill="auto"/>
            <w:noWrap/>
            <w:hideMark/>
          </w:tcPr>
          <w:p w:rsidR="002E1515" w:rsidRPr="00D9005B" w:rsidRDefault="002E1515" w:rsidP="002E1515"/>
        </w:tc>
        <w:tc>
          <w:tcPr>
            <w:tcW w:w="1418" w:type="dxa"/>
            <w:tcBorders>
              <w:top w:val="nil"/>
              <w:left w:val="single" w:sz="4" w:space="0" w:color="auto"/>
              <w:bottom w:val="nil"/>
              <w:right w:val="nil"/>
            </w:tcBorders>
            <w:shd w:val="clear" w:color="auto" w:fill="auto"/>
            <w:hideMark/>
          </w:tcPr>
          <w:p w:rsidR="002E1515" w:rsidRPr="00D9005B" w:rsidRDefault="002E1515" w:rsidP="002E1515">
            <w:pPr>
              <w:jc w:val="center"/>
            </w:pPr>
            <w:r w:rsidRPr="00D9005B">
              <w:t>-</w:t>
            </w:r>
          </w:p>
        </w:tc>
        <w:tc>
          <w:tcPr>
            <w:tcW w:w="1418" w:type="dxa"/>
            <w:tcBorders>
              <w:top w:val="nil"/>
              <w:left w:val="nil"/>
              <w:bottom w:val="nil"/>
              <w:right w:val="single" w:sz="4" w:space="0" w:color="auto"/>
            </w:tcBorders>
            <w:shd w:val="clear" w:color="auto" w:fill="auto"/>
            <w:hideMark/>
          </w:tcPr>
          <w:p w:rsidR="002E1515" w:rsidRPr="00D9005B" w:rsidRDefault="002E1515" w:rsidP="002E1515">
            <w:pPr>
              <w:jc w:val="center"/>
            </w:pPr>
            <w:r w:rsidRPr="00D9005B">
              <w:t>-</w:t>
            </w:r>
          </w:p>
        </w:tc>
        <w:tc>
          <w:tcPr>
            <w:tcW w:w="1416" w:type="dxa"/>
            <w:tcBorders>
              <w:top w:val="nil"/>
              <w:left w:val="nil"/>
              <w:bottom w:val="nil"/>
              <w:right w:val="nil"/>
            </w:tcBorders>
            <w:shd w:val="clear" w:color="auto" w:fill="auto"/>
            <w:hideMark/>
          </w:tcPr>
          <w:p w:rsidR="002E1515" w:rsidRPr="00D9005B" w:rsidRDefault="002E1515" w:rsidP="002E1515">
            <w:pPr>
              <w:jc w:val="center"/>
            </w:pPr>
            <w:r w:rsidRPr="00D9005B">
              <w:t>257,569</w:t>
            </w:r>
          </w:p>
        </w:tc>
        <w:tc>
          <w:tcPr>
            <w:tcW w:w="1416" w:type="dxa"/>
            <w:tcBorders>
              <w:top w:val="nil"/>
              <w:left w:val="nil"/>
              <w:bottom w:val="nil"/>
              <w:right w:val="single" w:sz="4" w:space="0" w:color="auto"/>
            </w:tcBorders>
            <w:shd w:val="clear" w:color="auto" w:fill="auto"/>
            <w:hideMark/>
          </w:tcPr>
          <w:p w:rsidR="002E1515" w:rsidRPr="00D9005B" w:rsidRDefault="002E1515" w:rsidP="002E1515">
            <w:pPr>
              <w:jc w:val="center"/>
            </w:pPr>
            <w:r w:rsidRPr="00D9005B">
              <w:t>-</w:t>
            </w:r>
          </w:p>
        </w:tc>
      </w:tr>
      <w:tr w:rsidR="002E1515" w:rsidRPr="00D9005B" w:rsidTr="002E1515">
        <w:trPr>
          <w:trHeight w:val="300"/>
        </w:trPr>
        <w:tc>
          <w:tcPr>
            <w:tcW w:w="4537" w:type="dxa"/>
            <w:gridSpan w:val="4"/>
            <w:tcBorders>
              <w:top w:val="nil"/>
              <w:left w:val="single" w:sz="4" w:space="0" w:color="auto"/>
              <w:bottom w:val="nil"/>
              <w:right w:val="nil"/>
            </w:tcBorders>
            <w:shd w:val="clear" w:color="auto" w:fill="auto"/>
            <w:noWrap/>
            <w:hideMark/>
          </w:tcPr>
          <w:p w:rsidR="002E1515" w:rsidRPr="00D9005B" w:rsidRDefault="00DB5F30" w:rsidP="002E1515">
            <w:pPr>
              <w:rPr>
                <w:b/>
              </w:rPr>
            </w:pPr>
            <w:r>
              <w:rPr>
                <w:b/>
              </w:rPr>
              <w:t>Total Financial Assets at Fair Value through P&amp;L</w:t>
            </w:r>
          </w:p>
        </w:tc>
        <w:tc>
          <w:tcPr>
            <w:tcW w:w="1418" w:type="dxa"/>
            <w:tcBorders>
              <w:top w:val="single" w:sz="4" w:space="0" w:color="auto"/>
              <w:left w:val="single" w:sz="4" w:space="0" w:color="auto"/>
              <w:bottom w:val="nil"/>
              <w:right w:val="nil"/>
            </w:tcBorders>
            <w:shd w:val="clear" w:color="auto" w:fill="auto"/>
            <w:hideMark/>
          </w:tcPr>
          <w:p w:rsidR="002E1515" w:rsidRPr="00D9005B" w:rsidRDefault="002E1515" w:rsidP="002E1515">
            <w:pPr>
              <w:jc w:val="center"/>
              <w:rPr>
                <w:b/>
                <w:bCs/>
              </w:rPr>
            </w:pPr>
            <w:r w:rsidRPr="00D9005B">
              <w:rPr>
                <w:b/>
                <w:bCs/>
              </w:rPr>
              <w:t>-</w:t>
            </w:r>
          </w:p>
        </w:tc>
        <w:tc>
          <w:tcPr>
            <w:tcW w:w="1418" w:type="dxa"/>
            <w:tcBorders>
              <w:top w:val="single" w:sz="4" w:space="0" w:color="auto"/>
              <w:left w:val="nil"/>
              <w:bottom w:val="nil"/>
              <w:right w:val="single" w:sz="4" w:space="0" w:color="auto"/>
            </w:tcBorders>
            <w:shd w:val="clear" w:color="auto" w:fill="auto"/>
            <w:hideMark/>
          </w:tcPr>
          <w:p w:rsidR="002E1515" w:rsidRPr="00D9005B" w:rsidRDefault="002E1515" w:rsidP="002E1515">
            <w:pPr>
              <w:jc w:val="center"/>
              <w:rPr>
                <w:b/>
                <w:bCs/>
              </w:rPr>
            </w:pPr>
            <w:r w:rsidRPr="00D9005B">
              <w:rPr>
                <w:b/>
                <w:bCs/>
              </w:rPr>
              <w:t>-</w:t>
            </w:r>
          </w:p>
        </w:tc>
        <w:tc>
          <w:tcPr>
            <w:tcW w:w="1416" w:type="dxa"/>
            <w:tcBorders>
              <w:top w:val="single" w:sz="4" w:space="0" w:color="auto"/>
              <w:left w:val="nil"/>
              <w:bottom w:val="nil"/>
              <w:right w:val="nil"/>
            </w:tcBorders>
            <w:shd w:val="clear" w:color="auto" w:fill="auto"/>
            <w:hideMark/>
          </w:tcPr>
          <w:p w:rsidR="002E1515" w:rsidRPr="00D9005B" w:rsidRDefault="002E1515" w:rsidP="002E1515">
            <w:pPr>
              <w:jc w:val="center"/>
              <w:rPr>
                <w:b/>
                <w:bCs/>
              </w:rPr>
            </w:pPr>
            <w:r w:rsidRPr="00D9005B">
              <w:rPr>
                <w:b/>
                <w:bCs/>
              </w:rPr>
              <w:t>257,569</w:t>
            </w:r>
          </w:p>
        </w:tc>
        <w:tc>
          <w:tcPr>
            <w:tcW w:w="1416" w:type="dxa"/>
            <w:tcBorders>
              <w:top w:val="single" w:sz="4" w:space="0" w:color="auto"/>
              <w:left w:val="nil"/>
              <w:bottom w:val="nil"/>
              <w:right w:val="single" w:sz="4" w:space="0" w:color="auto"/>
            </w:tcBorders>
            <w:shd w:val="clear" w:color="auto" w:fill="auto"/>
            <w:hideMark/>
          </w:tcPr>
          <w:p w:rsidR="002E1515" w:rsidRPr="00D9005B" w:rsidRDefault="002E1515" w:rsidP="002E1515">
            <w:pPr>
              <w:jc w:val="center"/>
              <w:rPr>
                <w:b/>
                <w:bCs/>
              </w:rPr>
            </w:pPr>
            <w:r w:rsidRPr="00D9005B">
              <w:rPr>
                <w:b/>
                <w:bCs/>
              </w:rPr>
              <w:t>-</w:t>
            </w:r>
          </w:p>
        </w:tc>
      </w:tr>
      <w:tr w:rsidR="002E1515" w:rsidRPr="00D9005B" w:rsidTr="002E1515">
        <w:trPr>
          <w:trHeight w:val="300"/>
        </w:trPr>
        <w:tc>
          <w:tcPr>
            <w:tcW w:w="1617" w:type="dxa"/>
            <w:tcBorders>
              <w:top w:val="nil"/>
              <w:left w:val="single" w:sz="4" w:space="0" w:color="auto"/>
              <w:bottom w:val="nil"/>
              <w:right w:val="nil"/>
            </w:tcBorders>
            <w:shd w:val="clear" w:color="auto" w:fill="auto"/>
            <w:noWrap/>
            <w:hideMark/>
          </w:tcPr>
          <w:p w:rsidR="002E1515" w:rsidRPr="00D9005B" w:rsidRDefault="002E1515" w:rsidP="002E1515"/>
        </w:tc>
        <w:tc>
          <w:tcPr>
            <w:tcW w:w="2636" w:type="dxa"/>
            <w:gridSpan w:val="2"/>
            <w:tcBorders>
              <w:top w:val="nil"/>
              <w:left w:val="nil"/>
              <w:bottom w:val="nil"/>
              <w:right w:val="nil"/>
            </w:tcBorders>
            <w:shd w:val="clear" w:color="auto" w:fill="auto"/>
            <w:noWrap/>
            <w:hideMark/>
          </w:tcPr>
          <w:p w:rsidR="002E1515" w:rsidRPr="00D9005B" w:rsidRDefault="002E1515" w:rsidP="002E1515"/>
        </w:tc>
        <w:tc>
          <w:tcPr>
            <w:tcW w:w="284" w:type="dxa"/>
            <w:tcBorders>
              <w:top w:val="nil"/>
              <w:left w:val="nil"/>
              <w:bottom w:val="nil"/>
              <w:right w:val="nil"/>
            </w:tcBorders>
            <w:shd w:val="clear" w:color="auto" w:fill="auto"/>
            <w:noWrap/>
            <w:hideMark/>
          </w:tcPr>
          <w:p w:rsidR="002E1515" w:rsidRPr="00D9005B" w:rsidRDefault="002E1515" w:rsidP="002E1515"/>
        </w:tc>
        <w:tc>
          <w:tcPr>
            <w:tcW w:w="1418" w:type="dxa"/>
            <w:tcBorders>
              <w:top w:val="nil"/>
              <w:left w:val="single" w:sz="4" w:space="0" w:color="auto"/>
              <w:bottom w:val="nil"/>
              <w:right w:val="nil"/>
            </w:tcBorders>
            <w:shd w:val="clear" w:color="auto" w:fill="auto"/>
            <w:hideMark/>
          </w:tcPr>
          <w:p w:rsidR="002E1515" w:rsidRPr="00D9005B" w:rsidRDefault="002E1515" w:rsidP="002E1515">
            <w:pPr>
              <w:jc w:val="center"/>
              <w:rPr>
                <w:b/>
                <w:bCs/>
              </w:rPr>
            </w:pPr>
          </w:p>
        </w:tc>
        <w:tc>
          <w:tcPr>
            <w:tcW w:w="1418" w:type="dxa"/>
            <w:tcBorders>
              <w:top w:val="nil"/>
              <w:left w:val="nil"/>
              <w:bottom w:val="nil"/>
              <w:right w:val="single" w:sz="4" w:space="0" w:color="auto"/>
            </w:tcBorders>
            <w:shd w:val="clear" w:color="auto" w:fill="auto"/>
            <w:hideMark/>
          </w:tcPr>
          <w:p w:rsidR="002E1515" w:rsidRPr="00D9005B" w:rsidRDefault="002E1515" w:rsidP="002E1515">
            <w:pPr>
              <w:jc w:val="center"/>
              <w:rPr>
                <w:b/>
                <w:bCs/>
              </w:rPr>
            </w:pPr>
          </w:p>
        </w:tc>
        <w:tc>
          <w:tcPr>
            <w:tcW w:w="1416" w:type="dxa"/>
            <w:tcBorders>
              <w:top w:val="nil"/>
              <w:left w:val="nil"/>
              <w:bottom w:val="nil"/>
              <w:right w:val="nil"/>
            </w:tcBorders>
            <w:shd w:val="clear" w:color="auto" w:fill="auto"/>
            <w:hideMark/>
          </w:tcPr>
          <w:p w:rsidR="002E1515" w:rsidRPr="00D9005B" w:rsidRDefault="002E1515" w:rsidP="002E1515">
            <w:pPr>
              <w:jc w:val="center"/>
              <w:rPr>
                <w:b/>
                <w:bCs/>
              </w:rPr>
            </w:pPr>
          </w:p>
        </w:tc>
        <w:tc>
          <w:tcPr>
            <w:tcW w:w="1416" w:type="dxa"/>
            <w:tcBorders>
              <w:top w:val="nil"/>
              <w:left w:val="nil"/>
              <w:bottom w:val="nil"/>
              <w:right w:val="single" w:sz="4" w:space="0" w:color="auto"/>
            </w:tcBorders>
            <w:shd w:val="clear" w:color="auto" w:fill="auto"/>
            <w:hideMark/>
          </w:tcPr>
          <w:p w:rsidR="002E1515" w:rsidRPr="00D9005B" w:rsidRDefault="002E1515" w:rsidP="002E1515">
            <w:pPr>
              <w:jc w:val="center"/>
              <w:rPr>
                <w:b/>
                <w:bCs/>
              </w:rPr>
            </w:pPr>
          </w:p>
        </w:tc>
      </w:tr>
      <w:tr w:rsidR="002E1515" w:rsidRPr="00D9005B" w:rsidTr="002E1515">
        <w:trPr>
          <w:trHeight w:val="300"/>
        </w:trPr>
        <w:tc>
          <w:tcPr>
            <w:tcW w:w="4253" w:type="dxa"/>
            <w:gridSpan w:val="3"/>
            <w:tcBorders>
              <w:top w:val="nil"/>
              <w:left w:val="single" w:sz="4" w:space="0" w:color="auto"/>
              <w:bottom w:val="nil"/>
              <w:right w:val="nil"/>
            </w:tcBorders>
            <w:shd w:val="clear" w:color="auto" w:fill="auto"/>
            <w:noWrap/>
            <w:hideMark/>
          </w:tcPr>
          <w:p w:rsidR="002E1515" w:rsidRPr="00DB5F30" w:rsidRDefault="00687D2A" w:rsidP="002E1515">
            <w:pPr>
              <w:rPr>
                <w:b/>
              </w:rPr>
            </w:pPr>
            <w:r w:rsidRPr="00687D2A">
              <w:rPr>
                <w:b/>
              </w:rPr>
              <w:t>Total Investments</w:t>
            </w:r>
          </w:p>
        </w:tc>
        <w:tc>
          <w:tcPr>
            <w:tcW w:w="284" w:type="dxa"/>
            <w:tcBorders>
              <w:top w:val="nil"/>
              <w:left w:val="nil"/>
              <w:bottom w:val="nil"/>
              <w:right w:val="nil"/>
            </w:tcBorders>
            <w:shd w:val="clear" w:color="auto" w:fill="auto"/>
            <w:noWrap/>
            <w:hideMark/>
          </w:tcPr>
          <w:p w:rsidR="002E1515" w:rsidRPr="00D9005B" w:rsidRDefault="002E1515" w:rsidP="002E1515"/>
        </w:tc>
        <w:tc>
          <w:tcPr>
            <w:tcW w:w="1418" w:type="dxa"/>
            <w:tcBorders>
              <w:top w:val="single" w:sz="4" w:space="0" w:color="auto"/>
              <w:left w:val="single" w:sz="4" w:space="0" w:color="auto"/>
              <w:bottom w:val="nil"/>
              <w:right w:val="nil"/>
            </w:tcBorders>
            <w:shd w:val="clear" w:color="auto" w:fill="auto"/>
            <w:hideMark/>
          </w:tcPr>
          <w:p w:rsidR="002E1515" w:rsidRPr="00D9005B" w:rsidRDefault="002E1515" w:rsidP="002E1515">
            <w:pPr>
              <w:jc w:val="center"/>
              <w:rPr>
                <w:b/>
                <w:bCs/>
              </w:rPr>
            </w:pPr>
            <w:r w:rsidRPr="00D9005B">
              <w:rPr>
                <w:b/>
                <w:bCs/>
              </w:rPr>
              <w:t>235,679</w:t>
            </w:r>
          </w:p>
        </w:tc>
        <w:tc>
          <w:tcPr>
            <w:tcW w:w="1418" w:type="dxa"/>
            <w:tcBorders>
              <w:top w:val="single" w:sz="4" w:space="0" w:color="auto"/>
              <w:left w:val="nil"/>
              <w:bottom w:val="nil"/>
              <w:right w:val="single" w:sz="4" w:space="0" w:color="auto"/>
            </w:tcBorders>
            <w:shd w:val="clear" w:color="auto" w:fill="auto"/>
            <w:hideMark/>
          </w:tcPr>
          <w:p w:rsidR="002E1515" w:rsidRPr="00D9005B" w:rsidRDefault="002E1515" w:rsidP="002E1515">
            <w:pPr>
              <w:jc w:val="center"/>
              <w:rPr>
                <w:b/>
                <w:bCs/>
              </w:rPr>
            </w:pPr>
            <w:r w:rsidRPr="00D9005B">
              <w:rPr>
                <w:b/>
                <w:bCs/>
              </w:rPr>
              <w:t>276,088</w:t>
            </w:r>
          </w:p>
        </w:tc>
        <w:tc>
          <w:tcPr>
            <w:tcW w:w="1416" w:type="dxa"/>
            <w:tcBorders>
              <w:top w:val="single" w:sz="4" w:space="0" w:color="auto"/>
              <w:left w:val="nil"/>
              <w:bottom w:val="nil"/>
              <w:right w:val="nil"/>
            </w:tcBorders>
            <w:shd w:val="clear" w:color="auto" w:fill="auto"/>
            <w:hideMark/>
          </w:tcPr>
          <w:p w:rsidR="002E1515" w:rsidRPr="00D9005B" w:rsidRDefault="003D68B2" w:rsidP="00F37B5D">
            <w:pPr>
              <w:jc w:val="center"/>
              <w:rPr>
                <w:b/>
                <w:bCs/>
              </w:rPr>
            </w:pPr>
            <w:r>
              <w:rPr>
                <w:b/>
                <w:bCs/>
              </w:rPr>
              <w:t>3</w:t>
            </w:r>
            <w:r w:rsidR="00F37B5D">
              <w:rPr>
                <w:b/>
                <w:bCs/>
              </w:rPr>
              <w:t>7</w:t>
            </w:r>
            <w:r>
              <w:rPr>
                <w:b/>
                <w:bCs/>
              </w:rPr>
              <w:t>6,448</w:t>
            </w:r>
          </w:p>
        </w:tc>
        <w:tc>
          <w:tcPr>
            <w:tcW w:w="1416" w:type="dxa"/>
            <w:tcBorders>
              <w:top w:val="single" w:sz="4" w:space="0" w:color="auto"/>
              <w:left w:val="nil"/>
              <w:bottom w:val="nil"/>
              <w:right w:val="single" w:sz="4" w:space="0" w:color="auto"/>
            </w:tcBorders>
            <w:shd w:val="clear" w:color="auto" w:fill="auto"/>
            <w:hideMark/>
          </w:tcPr>
          <w:p w:rsidR="002E1515" w:rsidRPr="00D9005B" w:rsidRDefault="003D68B2" w:rsidP="002E1515">
            <w:pPr>
              <w:jc w:val="center"/>
              <w:rPr>
                <w:b/>
                <w:bCs/>
              </w:rPr>
            </w:pPr>
            <w:r>
              <w:rPr>
                <w:b/>
                <w:bCs/>
              </w:rPr>
              <w:t>240,727</w:t>
            </w:r>
          </w:p>
        </w:tc>
      </w:tr>
      <w:tr w:rsidR="002E1515" w:rsidRPr="00D9005B" w:rsidTr="002E1515">
        <w:trPr>
          <w:trHeight w:val="300"/>
        </w:trPr>
        <w:tc>
          <w:tcPr>
            <w:tcW w:w="1617" w:type="dxa"/>
            <w:tcBorders>
              <w:top w:val="nil"/>
              <w:left w:val="single" w:sz="4" w:space="0" w:color="auto"/>
              <w:bottom w:val="nil"/>
              <w:right w:val="nil"/>
            </w:tcBorders>
            <w:shd w:val="clear" w:color="auto" w:fill="auto"/>
            <w:noWrap/>
            <w:hideMark/>
          </w:tcPr>
          <w:p w:rsidR="002E1515" w:rsidRDefault="002E1515" w:rsidP="002E1515">
            <w:pPr>
              <w:rPr>
                <w:b/>
                <w:bCs/>
              </w:rPr>
            </w:pPr>
          </w:p>
          <w:p w:rsidR="002E1515" w:rsidRPr="00D9005B" w:rsidRDefault="002E1515" w:rsidP="002E1515">
            <w:pPr>
              <w:rPr>
                <w:b/>
                <w:bCs/>
              </w:rPr>
            </w:pPr>
            <w:r w:rsidRPr="00D9005B">
              <w:rPr>
                <w:b/>
                <w:bCs/>
              </w:rPr>
              <w:t>Debtors</w:t>
            </w:r>
          </w:p>
        </w:tc>
        <w:tc>
          <w:tcPr>
            <w:tcW w:w="2636" w:type="dxa"/>
            <w:gridSpan w:val="2"/>
            <w:tcBorders>
              <w:top w:val="nil"/>
              <w:left w:val="nil"/>
              <w:bottom w:val="nil"/>
              <w:right w:val="nil"/>
            </w:tcBorders>
            <w:shd w:val="clear" w:color="auto" w:fill="auto"/>
            <w:noWrap/>
            <w:hideMark/>
          </w:tcPr>
          <w:p w:rsidR="002E1515" w:rsidRPr="00D9005B" w:rsidRDefault="002E1515" w:rsidP="002E1515"/>
        </w:tc>
        <w:tc>
          <w:tcPr>
            <w:tcW w:w="284" w:type="dxa"/>
            <w:tcBorders>
              <w:top w:val="nil"/>
              <w:left w:val="nil"/>
              <w:bottom w:val="nil"/>
              <w:right w:val="nil"/>
            </w:tcBorders>
            <w:shd w:val="clear" w:color="auto" w:fill="auto"/>
            <w:noWrap/>
            <w:hideMark/>
          </w:tcPr>
          <w:p w:rsidR="002E1515" w:rsidRPr="00D9005B" w:rsidRDefault="002E1515" w:rsidP="002E1515"/>
        </w:tc>
        <w:tc>
          <w:tcPr>
            <w:tcW w:w="1418" w:type="dxa"/>
            <w:tcBorders>
              <w:top w:val="nil"/>
              <w:left w:val="single" w:sz="4" w:space="0" w:color="auto"/>
              <w:bottom w:val="nil"/>
              <w:right w:val="nil"/>
            </w:tcBorders>
            <w:shd w:val="clear" w:color="auto" w:fill="auto"/>
            <w:hideMark/>
          </w:tcPr>
          <w:p w:rsidR="002E1515" w:rsidRPr="00D9005B" w:rsidRDefault="002E1515" w:rsidP="002E1515">
            <w:pPr>
              <w:jc w:val="center"/>
              <w:rPr>
                <w:b/>
                <w:bCs/>
              </w:rPr>
            </w:pPr>
          </w:p>
        </w:tc>
        <w:tc>
          <w:tcPr>
            <w:tcW w:w="1418" w:type="dxa"/>
            <w:tcBorders>
              <w:top w:val="nil"/>
              <w:left w:val="nil"/>
              <w:bottom w:val="nil"/>
              <w:right w:val="single" w:sz="4" w:space="0" w:color="auto"/>
            </w:tcBorders>
            <w:shd w:val="clear" w:color="auto" w:fill="auto"/>
            <w:hideMark/>
          </w:tcPr>
          <w:p w:rsidR="002E1515" w:rsidRPr="00D9005B" w:rsidRDefault="002E1515" w:rsidP="002E1515">
            <w:pPr>
              <w:jc w:val="center"/>
              <w:rPr>
                <w:b/>
                <w:bCs/>
              </w:rPr>
            </w:pPr>
          </w:p>
        </w:tc>
        <w:tc>
          <w:tcPr>
            <w:tcW w:w="1416" w:type="dxa"/>
            <w:tcBorders>
              <w:top w:val="nil"/>
              <w:left w:val="nil"/>
              <w:bottom w:val="nil"/>
              <w:right w:val="nil"/>
            </w:tcBorders>
            <w:shd w:val="clear" w:color="auto" w:fill="auto"/>
            <w:hideMark/>
          </w:tcPr>
          <w:p w:rsidR="002E1515" w:rsidRPr="00D9005B" w:rsidRDefault="002E1515" w:rsidP="002E1515">
            <w:pPr>
              <w:jc w:val="center"/>
              <w:rPr>
                <w:b/>
                <w:bCs/>
              </w:rPr>
            </w:pPr>
          </w:p>
        </w:tc>
        <w:tc>
          <w:tcPr>
            <w:tcW w:w="1416" w:type="dxa"/>
            <w:tcBorders>
              <w:top w:val="nil"/>
              <w:left w:val="nil"/>
              <w:bottom w:val="nil"/>
              <w:right w:val="single" w:sz="4" w:space="0" w:color="auto"/>
            </w:tcBorders>
            <w:shd w:val="clear" w:color="auto" w:fill="auto"/>
            <w:hideMark/>
          </w:tcPr>
          <w:p w:rsidR="002E1515" w:rsidRPr="00D9005B" w:rsidRDefault="002E1515" w:rsidP="002E1515">
            <w:pPr>
              <w:jc w:val="center"/>
              <w:rPr>
                <w:b/>
                <w:bCs/>
              </w:rPr>
            </w:pPr>
          </w:p>
        </w:tc>
      </w:tr>
      <w:tr w:rsidR="002E1515" w:rsidRPr="00D9005B" w:rsidTr="002E1515">
        <w:trPr>
          <w:trHeight w:val="300"/>
        </w:trPr>
        <w:tc>
          <w:tcPr>
            <w:tcW w:w="4537" w:type="dxa"/>
            <w:gridSpan w:val="4"/>
            <w:tcBorders>
              <w:top w:val="nil"/>
              <w:left w:val="single" w:sz="4" w:space="0" w:color="auto"/>
              <w:bottom w:val="nil"/>
              <w:right w:val="nil"/>
            </w:tcBorders>
            <w:shd w:val="clear" w:color="auto" w:fill="auto"/>
            <w:noWrap/>
            <w:hideMark/>
          </w:tcPr>
          <w:p w:rsidR="002E1515" w:rsidRPr="00D9005B" w:rsidRDefault="002E1515" w:rsidP="002E1515">
            <w:r w:rsidRPr="00D9005B">
              <w:t xml:space="preserve">Financial assets carried at contract </w:t>
            </w:r>
            <w:r w:rsidRPr="00D9005B">
              <w:lastRenderedPageBreak/>
              <w:t>amounts</w:t>
            </w:r>
          </w:p>
        </w:tc>
        <w:tc>
          <w:tcPr>
            <w:tcW w:w="1418" w:type="dxa"/>
            <w:tcBorders>
              <w:top w:val="nil"/>
              <w:left w:val="single" w:sz="4" w:space="0" w:color="auto"/>
              <w:bottom w:val="nil"/>
              <w:right w:val="nil"/>
            </w:tcBorders>
            <w:shd w:val="clear" w:color="auto" w:fill="auto"/>
            <w:hideMark/>
          </w:tcPr>
          <w:p w:rsidR="002E1515" w:rsidRDefault="002E1515" w:rsidP="002E1515">
            <w:pPr>
              <w:jc w:val="center"/>
              <w:rPr>
                <w:bCs/>
              </w:rPr>
            </w:pPr>
          </w:p>
          <w:p w:rsidR="002E1515" w:rsidRPr="007A30E5" w:rsidRDefault="002E1515" w:rsidP="002E1515">
            <w:pPr>
              <w:jc w:val="center"/>
              <w:rPr>
                <w:bCs/>
              </w:rPr>
            </w:pPr>
            <w:r>
              <w:rPr>
                <w:bCs/>
              </w:rPr>
              <w:lastRenderedPageBreak/>
              <w:t>45,227</w:t>
            </w:r>
          </w:p>
        </w:tc>
        <w:tc>
          <w:tcPr>
            <w:tcW w:w="1418" w:type="dxa"/>
            <w:tcBorders>
              <w:top w:val="nil"/>
              <w:left w:val="nil"/>
              <w:bottom w:val="nil"/>
              <w:right w:val="single" w:sz="4" w:space="0" w:color="auto"/>
            </w:tcBorders>
            <w:shd w:val="clear" w:color="auto" w:fill="auto"/>
            <w:hideMark/>
          </w:tcPr>
          <w:p w:rsidR="002E1515" w:rsidRDefault="002E1515" w:rsidP="002E1515">
            <w:pPr>
              <w:jc w:val="center"/>
              <w:rPr>
                <w:b/>
                <w:bCs/>
              </w:rPr>
            </w:pPr>
          </w:p>
          <w:p w:rsidR="002E1515" w:rsidRPr="007A30E5" w:rsidRDefault="002E1515" w:rsidP="002E1515">
            <w:pPr>
              <w:jc w:val="center"/>
              <w:rPr>
                <w:bCs/>
              </w:rPr>
            </w:pPr>
            <w:r>
              <w:rPr>
                <w:bCs/>
              </w:rPr>
              <w:lastRenderedPageBreak/>
              <w:t>47,900</w:t>
            </w:r>
          </w:p>
        </w:tc>
        <w:tc>
          <w:tcPr>
            <w:tcW w:w="1416" w:type="dxa"/>
            <w:tcBorders>
              <w:top w:val="nil"/>
              <w:left w:val="nil"/>
              <w:bottom w:val="nil"/>
              <w:right w:val="nil"/>
            </w:tcBorders>
            <w:shd w:val="clear" w:color="auto" w:fill="auto"/>
            <w:hideMark/>
          </w:tcPr>
          <w:p w:rsidR="002E1515" w:rsidRDefault="002E1515" w:rsidP="002E1515">
            <w:pPr>
              <w:jc w:val="center"/>
              <w:rPr>
                <w:b/>
                <w:bCs/>
              </w:rPr>
            </w:pPr>
          </w:p>
          <w:p w:rsidR="002E1515" w:rsidRPr="007A30E5" w:rsidRDefault="002E1515" w:rsidP="002E1515">
            <w:pPr>
              <w:jc w:val="center"/>
              <w:rPr>
                <w:bCs/>
              </w:rPr>
            </w:pPr>
            <w:r w:rsidRPr="007A30E5">
              <w:rPr>
                <w:bCs/>
              </w:rPr>
              <w:lastRenderedPageBreak/>
              <w:t>85,774</w:t>
            </w:r>
          </w:p>
        </w:tc>
        <w:tc>
          <w:tcPr>
            <w:tcW w:w="1416" w:type="dxa"/>
            <w:tcBorders>
              <w:top w:val="nil"/>
              <w:left w:val="nil"/>
              <w:bottom w:val="nil"/>
              <w:right w:val="single" w:sz="4" w:space="0" w:color="auto"/>
            </w:tcBorders>
            <w:shd w:val="clear" w:color="auto" w:fill="auto"/>
            <w:hideMark/>
          </w:tcPr>
          <w:p w:rsidR="002E1515" w:rsidRDefault="002E1515" w:rsidP="002E1515">
            <w:pPr>
              <w:jc w:val="center"/>
              <w:rPr>
                <w:b/>
                <w:bCs/>
              </w:rPr>
            </w:pPr>
          </w:p>
          <w:p w:rsidR="002E1515" w:rsidRPr="007A30E5" w:rsidRDefault="002E1515" w:rsidP="002E1515">
            <w:pPr>
              <w:jc w:val="center"/>
              <w:rPr>
                <w:bCs/>
              </w:rPr>
            </w:pPr>
            <w:r w:rsidRPr="007A30E5">
              <w:rPr>
                <w:bCs/>
              </w:rPr>
              <w:lastRenderedPageBreak/>
              <w:t>94,900</w:t>
            </w:r>
          </w:p>
        </w:tc>
      </w:tr>
      <w:tr w:rsidR="002E1515" w:rsidRPr="00D9005B" w:rsidTr="002E1515">
        <w:trPr>
          <w:trHeight w:val="300"/>
        </w:trPr>
        <w:tc>
          <w:tcPr>
            <w:tcW w:w="4253" w:type="dxa"/>
            <w:gridSpan w:val="3"/>
            <w:tcBorders>
              <w:top w:val="nil"/>
              <w:left w:val="single" w:sz="4" w:space="0" w:color="auto"/>
              <w:bottom w:val="nil"/>
              <w:right w:val="nil"/>
            </w:tcBorders>
            <w:shd w:val="clear" w:color="auto" w:fill="auto"/>
            <w:noWrap/>
            <w:hideMark/>
          </w:tcPr>
          <w:p w:rsidR="002E1515" w:rsidRPr="00D9005B" w:rsidRDefault="002E1515" w:rsidP="002E1515">
            <w:pPr>
              <w:rPr>
                <w:b/>
              </w:rPr>
            </w:pPr>
            <w:r w:rsidRPr="00D9005B">
              <w:rPr>
                <w:b/>
              </w:rPr>
              <w:lastRenderedPageBreak/>
              <w:t>Total Debtors</w:t>
            </w:r>
          </w:p>
        </w:tc>
        <w:tc>
          <w:tcPr>
            <w:tcW w:w="284" w:type="dxa"/>
            <w:tcBorders>
              <w:top w:val="nil"/>
              <w:left w:val="nil"/>
              <w:bottom w:val="nil"/>
              <w:right w:val="nil"/>
            </w:tcBorders>
            <w:shd w:val="clear" w:color="auto" w:fill="auto"/>
            <w:noWrap/>
            <w:hideMark/>
          </w:tcPr>
          <w:p w:rsidR="002E1515" w:rsidRPr="00D9005B" w:rsidRDefault="002E1515" w:rsidP="002E1515"/>
        </w:tc>
        <w:tc>
          <w:tcPr>
            <w:tcW w:w="1418" w:type="dxa"/>
            <w:tcBorders>
              <w:top w:val="single" w:sz="4" w:space="0" w:color="auto"/>
              <w:left w:val="single" w:sz="4" w:space="0" w:color="auto"/>
              <w:bottom w:val="nil"/>
              <w:right w:val="nil"/>
            </w:tcBorders>
            <w:shd w:val="clear" w:color="auto" w:fill="auto"/>
            <w:hideMark/>
          </w:tcPr>
          <w:p w:rsidR="002E1515" w:rsidRPr="007A30E5" w:rsidRDefault="002E1515" w:rsidP="002E1515">
            <w:pPr>
              <w:jc w:val="center"/>
              <w:rPr>
                <w:b/>
                <w:bCs/>
              </w:rPr>
            </w:pPr>
            <w:r>
              <w:rPr>
                <w:b/>
                <w:bCs/>
              </w:rPr>
              <w:t>45,227</w:t>
            </w:r>
          </w:p>
        </w:tc>
        <w:tc>
          <w:tcPr>
            <w:tcW w:w="1418" w:type="dxa"/>
            <w:tcBorders>
              <w:top w:val="single" w:sz="4" w:space="0" w:color="auto"/>
              <w:left w:val="nil"/>
              <w:bottom w:val="nil"/>
              <w:right w:val="single" w:sz="4" w:space="0" w:color="auto"/>
            </w:tcBorders>
            <w:shd w:val="clear" w:color="auto" w:fill="auto"/>
            <w:hideMark/>
          </w:tcPr>
          <w:p w:rsidR="002E1515" w:rsidRPr="00D9005B" w:rsidRDefault="002E1515" w:rsidP="002E1515">
            <w:pPr>
              <w:jc w:val="center"/>
              <w:rPr>
                <w:b/>
                <w:bCs/>
              </w:rPr>
            </w:pPr>
            <w:r>
              <w:rPr>
                <w:b/>
                <w:bCs/>
              </w:rPr>
              <w:t>47,900</w:t>
            </w:r>
          </w:p>
        </w:tc>
        <w:tc>
          <w:tcPr>
            <w:tcW w:w="1416" w:type="dxa"/>
            <w:tcBorders>
              <w:top w:val="single" w:sz="4" w:space="0" w:color="auto"/>
              <w:left w:val="nil"/>
              <w:bottom w:val="nil"/>
              <w:right w:val="nil"/>
            </w:tcBorders>
            <w:shd w:val="clear" w:color="auto" w:fill="auto"/>
            <w:hideMark/>
          </w:tcPr>
          <w:p w:rsidR="002E1515" w:rsidRPr="00D9005B" w:rsidRDefault="002E1515" w:rsidP="002E1515">
            <w:pPr>
              <w:jc w:val="center"/>
              <w:rPr>
                <w:b/>
                <w:bCs/>
              </w:rPr>
            </w:pPr>
            <w:r>
              <w:rPr>
                <w:b/>
                <w:bCs/>
              </w:rPr>
              <w:t>85,774</w:t>
            </w:r>
          </w:p>
        </w:tc>
        <w:tc>
          <w:tcPr>
            <w:tcW w:w="1416" w:type="dxa"/>
            <w:tcBorders>
              <w:top w:val="single" w:sz="4" w:space="0" w:color="auto"/>
              <w:left w:val="nil"/>
              <w:bottom w:val="nil"/>
              <w:right w:val="single" w:sz="4" w:space="0" w:color="auto"/>
            </w:tcBorders>
            <w:shd w:val="clear" w:color="auto" w:fill="auto"/>
            <w:hideMark/>
          </w:tcPr>
          <w:p w:rsidR="002E1515" w:rsidRPr="00D9005B" w:rsidRDefault="002E1515" w:rsidP="002E1515">
            <w:pPr>
              <w:jc w:val="center"/>
              <w:rPr>
                <w:b/>
                <w:bCs/>
              </w:rPr>
            </w:pPr>
            <w:r>
              <w:rPr>
                <w:b/>
                <w:bCs/>
              </w:rPr>
              <w:t>94,900</w:t>
            </w:r>
          </w:p>
        </w:tc>
      </w:tr>
      <w:tr w:rsidR="002E1515" w:rsidRPr="00D9005B" w:rsidTr="002E1515">
        <w:trPr>
          <w:trHeight w:val="300"/>
        </w:trPr>
        <w:tc>
          <w:tcPr>
            <w:tcW w:w="1617" w:type="dxa"/>
            <w:tcBorders>
              <w:top w:val="nil"/>
              <w:left w:val="single" w:sz="4" w:space="0" w:color="auto"/>
              <w:bottom w:val="nil"/>
              <w:right w:val="nil"/>
            </w:tcBorders>
            <w:shd w:val="clear" w:color="auto" w:fill="auto"/>
            <w:noWrap/>
            <w:hideMark/>
          </w:tcPr>
          <w:p w:rsidR="002E1515" w:rsidRDefault="002E1515" w:rsidP="002E1515">
            <w:pPr>
              <w:rPr>
                <w:b/>
                <w:bCs/>
              </w:rPr>
            </w:pPr>
          </w:p>
          <w:p w:rsidR="002E1515" w:rsidRPr="00D9005B" w:rsidRDefault="002E1515" w:rsidP="002E1515">
            <w:pPr>
              <w:rPr>
                <w:b/>
                <w:bCs/>
              </w:rPr>
            </w:pPr>
            <w:r w:rsidRPr="00D9005B">
              <w:rPr>
                <w:b/>
                <w:bCs/>
              </w:rPr>
              <w:t>Borrowing</w:t>
            </w:r>
          </w:p>
        </w:tc>
        <w:tc>
          <w:tcPr>
            <w:tcW w:w="2636" w:type="dxa"/>
            <w:gridSpan w:val="2"/>
            <w:tcBorders>
              <w:top w:val="nil"/>
              <w:left w:val="nil"/>
              <w:bottom w:val="nil"/>
              <w:right w:val="nil"/>
            </w:tcBorders>
            <w:shd w:val="clear" w:color="auto" w:fill="auto"/>
            <w:noWrap/>
            <w:hideMark/>
          </w:tcPr>
          <w:p w:rsidR="002E1515" w:rsidRPr="00D9005B" w:rsidRDefault="002E1515" w:rsidP="002E1515"/>
        </w:tc>
        <w:tc>
          <w:tcPr>
            <w:tcW w:w="284" w:type="dxa"/>
            <w:tcBorders>
              <w:top w:val="nil"/>
              <w:left w:val="nil"/>
              <w:bottom w:val="nil"/>
              <w:right w:val="nil"/>
            </w:tcBorders>
            <w:shd w:val="clear" w:color="auto" w:fill="auto"/>
            <w:noWrap/>
            <w:hideMark/>
          </w:tcPr>
          <w:p w:rsidR="002E1515" w:rsidRPr="00D9005B" w:rsidRDefault="002E1515" w:rsidP="002E1515"/>
        </w:tc>
        <w:tc>
          <w:tcPr>
            <w:tcW w:w="1418" w:type="dxa"/>
            <w:tcBorders>
              <w:top w:val="nil"/>
              <w:left w:val="single" w:sz="4" w:space="0" w:color="auto"/>
              <w:bottom w:val="nil"/>
              <w:right w:val="nil"/>
            </w:tcBorders>
            <w:shd w:val="clear" w:color="auto" w:fill="auto"/>
            <w:hideMark/>
          </w:tcPr>
          <w:p w:rsidR="002E1515" w:rsidRPr="00D9005B" w:rsidRDefault="002E1515" w:rsidP="002E1515">
            <w:pPr>
              <w:jc w:val="center"/>
              <w:rPr>
                <w:b/>
                <w:bCs/>
              </w:rPr>
            </w:pPr>
          </w:p>
        </w:tc>
        <w:tc>
          <w:tcPr>
            <w:tcW w:w="1418" w:type="dxa"/>
            <w:tcBorders>
              <w:top w:val="nil"/>
              <w:left w:val="nil"/>
              <w:bottom w:val="nil"/>
              <w:right w:val="single" w:sz="4" w:space="0" w:color="auto"/>
            </w:tcBorders>
            <w:shd w:val="clear" w:color="auto" w:fill="auto"/>
            <w:hideMark/>
          </w:tcPr>
          <w:p w:rsidR="002E1515" w:rsidRPr="00D9005B" w:rsidRDefault="002E1515" w:rsidP="002E1515">
            <w:pPr>
              <w:jc w:val="center"/>
              <w:rPr>
                <w:b/>
                <w:bCs/>
              </w:rPr>
            </w:pPr>
          </w:p>
        </w:tc>
        <w:tc>
          <w:tcPr>
            <w:tcW w:w="1416" w:type="dxa"/>
            <w:tcBorders>
              <w:top w:val="nil"/>
              <w:left w:val="nil"/>
              <w:bottom w:val="nil"/>
              <w:right w:val="nil"/>
            </w:tcBorders>
            <w:shd w:val="clear" w:color="auto" w:fill="auto"/>
            <w:hideMark/>
          </w:tcPr>
          <w:p w:rsidR="002E1515" w:rsidRPr="00D9005B" w:rsidRDefault="002E1515" w:rsidP="002E1515">
            <w:pPr>
              <w:jc w:val="center"/>
              <w:rPr>
                <w:b/>
                <w:bCs/>
              </w:rPr>
            </w:pPr>
          </w:p>
        </w:tc>
        <w:tc>
          <w:tcPr>
            <w:tcW w:w="1416" w:type="dxa"/>
            <w:tcBorders>
              <w:top w:val="nil"/>
              <w:left w:val="nil"/>
              <w:bottom w:val="nil"/>
              <w:right w:val="single" w:sz="4" w:space="0" w:color="auto"/>
            </w:tcBorders>
            <w:shd w:val="clear" w:color="auto" w:fill="auto"/>
            <w:hideMark/>
          </w:tcPr>
          <w:p w:rsidR="002E1515" w:rsidRPr="00D9005B" w:rsidRDefault="002E1515" w:rsidP="002E1515">
            <w:pPr>
              <w:jc w:val="center"/>
              <w:rPr>
                <w:b/>
                <w:bCs/>
              </w:rPr>
            </w:pPr>
          </w:p>
        </w:tc>
      </w:tr>
      <w:tr w:rsidR="002E1515" w:rsidRPr="00D9005B" w:rsidTr="002E1515">
        <w:trPr>
          <w:trHeight w:val="300"/>
        </w:trPr>
        <w:tc>
          <w:tcPr>
            <w:tcW w:w="4537" w:type="dxa"/>
            <w:gridSpan w:val="4"/>
            <w:tcBorders>
              <w:top w:val="nil"/>
              <w:left w:val="single" w:sz="4" w:space="0" w:color="auto"/>
              <w:bottom w:val="nil"/>
              <w:right w:val="nil"/>
            </w:tcBorders>
            <w:shd w:val="clear" w:color="auto" w:fill="auto"/>
            <w:noWrap/>
            <w:hideMark/>
          </w:tcPr>
          <w:p w:rsidR="002E1515" w:rsidRPr="00D9005B" w:rsidRDefault="002E1515" w:rsidP="002E1515">
            <w:r w:rsidRPr="00D9005B">
              <w:t>Financial liabilities at amortised cost</w:t>
            </w:r>
          </w:p>
        </w:tc>
        <w:tc>
          <w:tcPr>
            <w:tcW w:w="1418" w:type="dxa"/>
            <w:tcBorders>
              <w:top w:val="nil"/>
              <w:left w:val="single" w:sz="4" w:space="0" w:color="auto"/>
              <w:bottom w:val="nil"/>
              <w:right w:val="nil"/>
            </w:tcBorders>
            <w:shd w:val="clear" w:color="auto" w:fill="auto"/>
            <w:hideMark/>
          </w:tcPr>
          <w:p w:rsidR="002E1515" w:rsidRPr="00D9005B" w:rsidRDefault="002E1515" w:rsidP="002E1515">
            <w:pPr>
              <w:jc w:val="center"/>
              <w:rPr>
                <w:b/>
                <w:bCs/>
              </w:rPr>
            </w:pPr>
          </w:p>
        </w:tc>
        <w:tc>
          <w:tcPr>
            <w:tcW w:w="1418" w:type="dxa"/>
            <w:tcBorders>
              <w:top w:val="nil"/>
              <w:left w:val="nil"/>
              <w:bottom w:val="nil"/>
              <w:right w:val="single" w:sz="4" w:space="0" w:color="auto"/>
            </w:tcBorders>
            <w:shd w:val="clear" w:color="auto" w:fill="auto"/>
            <w:hideMark/>
          </w:tcPr>
          <w:p w:rsidR="002E1515" w:rsidRPr="00D9005B" w:rsidRDefault="002E1515" w:rsidP="002E1515">
            <w:pPr>
              <w:jc w:val="center"/>
              <w:rPr>
                <w:b/>
                <w:bCs/>
              </w:rPr>
            </w:pPr>
          </w:p>
        </w:tc>
        <w:tc>
          <w:tcPr>
            <w:tcW w:w="1416" w:type="dxa"/>
            <w:tcBorders>
              <w:top w:val="nil"/>
              <w:left w:val="nil"/>
              <w:bottom w:val="nil"/>
              <w:right w:val="nil"/>
            </w:tcBorders>
            <w:shd w:val="clear" w:color="auto" w:fill="auto"/>
            <w:hideMark/>
          </w:tcPr>
          <w:p w:rsidR="002E1515" w:rsidRPr="00D9005B" w:rsidRDefault="002E1515" w:rsidP="002E1515">
            <w:pPr>
              <w:jc w:val="center"/>
              <w:rPr>
                <w:b/>
                <w:bCs/>
              </w:rPr>
            </w:pPr>
          </w:p>
        </w:tc>
        <w:tc>
          <w:tcPr>
            <w:tcW w:w="1416" w:type="dxa"/>
            <w:tcBorders>
              <w:top w:val="nil"/>
              <w:left w:val="nil"/>
              <w:bottom w:val="nil"/>
              <w:right w:val="single" w:sz="4" w:space="0" w:color="auto"/>
            </w:tcBorders>
            <w:shd w:val="clear" w:color="auto" w:fill="auto"/>
            <w:hideMark/>
          </w:tcPr>
          <w:p w:rsidR="002E1515" w:rsidRPr="00D9005B" w:rsidRDefault="002E1515" w:rsidP="002E1515">
            <w:pPr>
              <w:jc w:val="center"/>
              <w:rPr>
                <w:b/>
                <w:bCs/>
              </w:rPr>
            </w:pPr>
          </w:p>
        </w:tc>
      </w:tr>
      <w:tr w:rsidR="002E1515" w:rsidRPr="00D9005B" w:rsidTr="002E1515">
        <w:trPr>
          <w:trHeight w:val="300"/>
        </w:trPr>
        <w:tc>
          <w:tcPr>
            <w:tcW w:w="1617" w:type="dxa"/>
            <w:tcBorders>
              <w:top w:val="nil"/>
              <w:left w:val="single" w:sz="4" w:space="0" w:color="auto"/>
              <w:bottom w:val="nil"/>
              <w:right w:val="nil"/>
            </w:tcBorders>
            <w:shd w:val="clear" w:color="auto" w:fill="auto"/>
            <w:noWrap/>
            <w:hideMark/>
          </w:tcPr>
          <w:p w:rsidR="002E1515" w:rsidRPr="00D9005B" w:rsidRDefault="002E1515" w:rsidP="002E1515"/>
        </w:tc>
        <w:tc>
          <w:tcPr>
            <w:tcW w:w="2636" w:type="dxa"/>
            <w:gridSpan w:val="2"/>
            <w:tcBorders>
              <w:top w:val="nil"/>
              <w:left w:val="nil"/>
              <w:bottom w:val="nil"/>
              <w:right w:val="nil"/>
            </w:tcBorders>
            <w:shd w:val="clear" w:color="auto" w:fill="auto"/>
            <w:noWrap/>
            <w:hideMark/>
          </w:tcPr>
          <w:p w:rsidR="002E1515" w:rsidRPr="00D9005B" w:rsidRDefault="002E1515" w:rsidP="002E1515">
            <w:r w:rsidRPr="00D9005B">
              <w:t>PWLB loans</w:t>
            </w:r>
          </w:p>
        </w:tc>
        <w:tc>
          <w:tcPr>
            <w:tcW w:w="284" w:type="dxa"/>
            <w:tcBorders>
              <w:top w:val="nil"/>
              <w:left w:val="nil"/>
              <w:bottom w:val="nil"/>
              <w:right w:val="nil"/>
            </w:tcBorders>
            <w:shd w:val="clear" w:color="auto" w:fill="auto"/>
            <w:noWrap/>
            <w:hideMark/>
          </w:tcPr>
          <w:p w:rsidR="002E1515" w:rsidRPr="00D9005B" w:rsidRDefault="002E1515" w:rsidP="002E1515"/>
        </w:tc>
        <w:tc>
          <w:tcPr>
            <w:tcW w:w="1418" w:type="dxa"/>
            <w:tcBorders>
              <w:top w:val="nil"/>
              <w:left w:val="single" w:sz="4" w:space="0" w:color="auto"/>
              <w:bottom w:val="nil"/>
              <w:right w:val="nil"/>
            </w:tcBorders>
            <w:shd w:val="clear" w:color="auto" w:fill="auto"/>
            <w:hideMark/>
          </w:tcPr>
          <w:p w:rsidR="002E1515" w:rsidRPr="00D9005B" w:rsidRDefault="002E1515" w:rsidP="002E1515">
            <w:pPr>
              <w:jc w:val="center"/>
            </w:pPr>
            <w:r w:rsidRPr="00D9005B">
              <w:t>383,436</w:t>
            </w:r>
          </w:p>
        </w:tc>
        <w:tc>
          <w:tcPr>
            <w:tcW w:w="1418" w:type="dxa"/>
            <w:tcBorders>
              <w:top w:val="nil"/>
              <w:left w:val="nil"/>
              <w:bottom w:val="nil"/>
              <w:right w:val="single" w:sz="4" w:space="0" w:color="auto"/>
            </w:tcBorders>
            <w:shd w:val="clear" w:color="auto" w:fill="auto"/>
            <w:hideMark/>
          </w:tcPr>
          <w:p w:rsidR="002E1515" w:rsidRPr="00D9005B" w:rsidRDefault="002E1515" w:rsidP="002E1515">
            <w:pPr>
              <w:jc w:val="center"/>
            </w:pPr>
            <w:r w:rsidRPr="00D9005B">
              <w:t>390,370</w:t>
            </w:r>
          </w:p>
        </w:tc>
        <w:tc>
          <w:tcPr>
            <w:tcW w:w="1416" w:type="dxa"/>
            <w:tcBorders>
              <w:top w:val="nil"/>
              <w:left w:val="nil"/>
              <w:bottom w:val="nil"/>
              <w:right w:val="nil"/>
            </w:tcBorders>
            <w:shd w:val="clear" w:color="auto" w:fill="auto"/>
            <w:hideMark/>
          </w:tcPr>
          <w:p w:rsidR="002E1515" w:rsidRPr="00D9005B" w:rsidRDefault="002E1515" w:rsidP="002E1515">
            <w:pPr>
              <w:jc w:val="center"/>
            </w:pPr>
            <w:r w:rsidRPr="00D9005B">
              <w:t>10,002</w:t>
            </w:r>
          </w:p>
        </w:tc>
        <w:tc>
          <w:tcPr>
            <w:tcW w:w="1416" w:type="dxa"/>
            <w:tcBorders>
              <w:top w:val="nil"/>
              <w:left w:val="nil"/>
              <w:bottom w:val="nil"/>
              <w:right w:val="single" w:sz="4" w:space="0" w:color="auto"/>
            </w:tcBorders>
            <w:shd w:val="clear" w:color="auto" w:fill="auto"/>
            <w:hideMark/>
          </w:tcPr>
          <w:p w:rsidR="002E1515" w:rsidRPr="00D9005B" w:rsidRDefault="002E1515" w:rsidP="002E1515">
            <w:pPr>
              <w:jc w:val="center"/>
            </w:pPr>
            <w:r w:rsidRPr="00D9005B">
              <w:t>13,596</w:t>
            </w:r>
          </w:p>
        </w:tc>
      </w:tr>
      <w:tr w:rsidR="002E1515" w:rsidRPr="00D9005B" w:rsidTr="002E1515">
        <w:trPr>
          <w:trHeight w:val="300"/>
        </w:trPr>
        <w:tc>
          <w:tcPr>
            <w:tcW w:w="1617" w:type="dxa"/>
            <w:tcBorders>
              <w:top w:val="nil"/>
              <w:left w:val="single" w:sz="4" w:space="0" w:color="auto"/>
              <w:bottom w:val="nil"/>
              <w:right w:val="nil"/>
            </w:tcBorders>
            <w:shd w:val="clear" w:color="auto" w:fill="auto"/>
            <w:noWrap/>
            <w:hideMark/>
          </w:tcPr>
          <w:p w:rsidR="002E1515" w:rsidRPr="00D9005B" w:rsidRDefault="002E1515" w:rsidP="002E1515"/>
        </w:tc>
        <w:tc>
          <w:tcPr>
            <w:tcW w:w="2636" w:type="dxa"/>
            <w:gridSpan w:val="2"/>
            <w:tcBorders>
              <w:top w:val="nil"/>
              <w:left w:val="nil"/>
              <w:bottom w:val="nil"/>
              <w:right w:val="nil"/>
            </w:tcBorders>
            <w:shd w:val="clear" w:color="auto" w:fill="auto"/>
            <w:noWrap/>
            <w:hideMark/>
          </w:tcPr>
          <w:p w:rsidR="002E1515" w:rsidRPr="00D9005B" w:rsidRDefault="002E1515" w:rsidP="002E1515">
            <w:r w:rsidRPr="00D9005B">
              <w:t>LOBOs</w:t>
            </w:r>
          </w:p>
        </w:tc>
        <w:tc>
          <w:tcPr>
            <w:tcW w:w="284" w:type="dxa"/>
            <w:tcBorders>
              <w:top w:val="nil"/>
              <w:left w:val="nil"/>
              <w:bottom w:val="nil"/>
              <w:right w:val="nil"/>
            </w:tcBorders>
            <w:shd w:val="clear" w:color="auto" w:fill="auto"/>
            <w:noWrap/>
            <w:hideMark/>
          </w:tcPr>
          <w:p w:rsidR="002E1515" w:rsidRPr="00D9005B" w:rsidRDefault="002E1515" w:rsidP="002E1515"/>
        </w:tc>
        <w:tc>
          <w:tcPr>
            <w:tcW w:w="1418" w:type="dxa"/>
            <w:tcBorders>
              <w:top w:val="nil"/>
              <w:left w:val="single" w:sz="4" w:space="0" w:color="auto"/>
              <w:bottom w:val="nil"/>
              <w:right w:val="nil"/>
            </w:tcBorders>
            <w:shd w:val="clear" w:color="auto" w:fill="auto"/>
            <w:hideMark/>
          </w:tcPr>
          <w:p w:rsidR="002E1515" w:rsidRPr="00D9005B" w:rsidRDefault="002E1515" w:rsidP="002E1515">
            <w:pPr>
              <w:jc w:val="center"/>
            </w:pPr>
            <w:r w:rsidRPr="00D9005B">
              <w:t>51,663</w:t>
            </w:r>
          </w:p>
        </w:tc>
        <w:tc>
          <w:tcPr>
            <w:tcW w:w="1418" w:type="dxa"/>
            <w:tcBorders>
              <w:top w:val="nil"/>
              <w:left w:val="nil"/>
              <w:bottom w:val="nil"/>
              <w:right w:val="single" w:sz="4" w:space="0" w:color="auto"/>
            </w:tcBorders>
            <w:shd w:val="clear" w:color="auto" w:fill="auto"/>
            <w:hideMark/>
          </w:tcPr>
          <w:p w:rsidR="002E1515" w:rsidRPr="00D9005B" w:rsidRDefault="002E1515" w:rsidP="002E1515">
            <w:pPr>
              <w:jc w:val="center"/>
            </w:pPr>
            <w:r w:rsidRPr="00D9005B">
              <w:t>50,442</w:t>
            </w:r>
          </w:p>
        </w:tc>
        <w:tc>
          <w:tcPr>
            <w:tcW w:w="1416" w:type="dxa"/>
            <w:tcBorders>
              <w:top w:val="nil"/>
              <w:left w:val="nil"/>
              <w:bottom w:val="nil"/>
              <w:right w:val="nil"/>
            </w:tcBorders>
            <w:shd w:val="clear" w:color="auto" w:fill="auto"/>
            <w:hideMark/>
          </w:tcPr>
          <w:p w:rsidR="002E1515" w:rsidRPr="00D9005B" w:rsidRDefault="00933A46" w:rsidP="002E1515">
            <w:pPr>
              <w:jc w:val="center"/>
            </w:pPr>
            <w:r>
              <w:t>-</w:t>
            </w:r>
          </w:p>
        </w:tc>
        <w:tc>
          <w:tcPr>
            <w:tcW w:w="1416" w:type="dxa"/>
            <w:tcBorders>
              <w:top w:val="nil"/>
              <w:left w:val="nil"/>
              <w:bottom w:val="nil"/>
              <w:right w:val="single" w:sz="4" w:space="0" w:color="auto"/>
            </w:tcBorders>
            <w:shd w:val="clear" w:color="auto" w:fill="auto"/>
            <w:hideMark/>
          </w:tcPr>
          <w:p w:rsidR="002E1515" w:rsidRPr="00D9005B" w:rsidRDefault="00933A46" w:rsidP="002E1515">
            <w:pPr>
              <w:jc w:val="center"/>
            </w:pPr>
            <w:r>
              <w:t>-</w:t>
            </w:r>
          </w:p>
        </w:tc>
      </w:tr>
      <w:tr w:rsidR="002E1515" w:rsidRPr="00D9005B" w:rsidTr="002E1515">
        <w:trPr>
          <w:trHeight w:val="300"/>
        </w:trPr>
        <w:tc>
          <w:tcPr>
            <w:tcW w:w="1617" w:type="dxa"/>
            <w:tcBorders>
              <w:top w:val="nil"/>
              <w:left w:val="single" w:sz="4" w:space="0" w:color="auto"/>
              <w:bottom w:val="nil"/>
              <w:right w:val="nil"/>
            </w:tcBorders>
            <w:shd w:val="clear" w:color="auto" w:fill="auto"/>
            <w:noWrap/>
            <w:hideMark/>
          </w:tcPr>
          <w:p w:rsidR="002E1515" w:rsidRPr="00D9005B" w:rsidRDefault="002E1515" w:rsidP="002E1515"/>
        </w:tc>
        <w:tc>
          <w:tcPr>
            <w:tcW w:w="2920" w:type="dxa"/>
            <w:gridSpan w:val="3"/>
            <w:tcBorders>
              <w:top w:val="nil"/>
              <w:left w:val="nil"/>
              <w:bottom w:val="nil"/>
              <w:right w:val="nil"/>
            </w:tcBorders>
            <w:shd w:val="clear" w:color="auto" w:fill="auto"/>
            <w:noWrap/>
            <w:hideMark/>
          </w:tcPr>
          <w:p w:rsidR="002E1515" w:rsidRPr="00D9005B" w:rsidRDefault="002E1515" w:rsidP="002E1515">
            <w:r w:rsidRPr="00D9005B">
              <w:t>Other Market loans</w:t>
            </w:r>
          </w:p>
        </w:tc>
        <w:tc>
          <w:tcPr>
            <w:tcW w:w="1418" w:type="dxa"/>
            <w:tcBorders>
              <w:top w:val="nil"/>
              <w:left w:val="single" w:sz="4" w:space="0" w:color="auto"/>
              <w:bottom w:val="nil"/>
              <w:right w:val="nil"/>
            </w:tcBorders>
            <w:shd w:val="clear" w:color="auto" w:fill="auto"/>
            <w:hideMark/>
          </w:tcPr>
          <w:p w:rsidR="002E1515" w:rsidRPr="00D9005B" w:rsidRDefault="002E1515" w:rsidP="002E1515">
            <w:pPr>
              <w:jc w:val="center"/>
            </w:pPr>
            <w:r w:rsidRPr="00D9005B">
              <w:t>27,680</w:t>
            </w:r>
          </w:p>
        </w:tc>
        <w:tc>
          <w:tcPr>
            <w:tcW w:w="1418" w:type="dxa"/>
            <w:tcBorders>
              <w:top w:val="nil"/>
              <w:left w:val="nil"/>
              <w:bottom w:val="nil"/>
              <w:right w:val="single" w:sz="4" w:space="0" w:color="auto"/>
            </w:tcBorders>
            <w:shd w:val="clear" w:color="auto" w:fill="auto"/>
            <w:hideMark/>
          </w:tcPr>
          <w:p w:rsidR="002E1515" w:rsidRPr="00D9005B" w:rsidRDefault="00933A46" w:rsidP="002E1515">
            <w:pPr>
              <w:jc w:val="center"/>
            </w:pPr>
            <w:r>
              <w:t>-</w:t>
            </w:r>
          </w:p>
        </w:tc>
        <w:tc>
          <w:tcPr>
            <w:tcW w:w="1416" w:type="dxa"/>
            <w:tcBorders>
              <w:top w:val="nil"/>
              <w:left w:val="nil"/>
              <w:bottom w:val="nil"/>
              <w:right w:val="nil"/>
            </w:tcBorders>
            <w:shd w:val="clear" w:color="auto" w:fill="auto"/>
            <w:hideMark/>
          </w:tcPr>
          <w:p w:rsidR="002E1515" w:rsidRPr="00D9005B" w:rsidRDefault="002E1515" w:rsidP="002E1515">
            <w:pPr>
              <w:jc w:val="center"/>
            </w:pPr>
            <w:r w:rsidRPr="00D9005B">
              <w:t>340,834</w:t>
            </w:r>
          </w:p>
        </w:tc>
        <w:tc>
          <w:tcPr>
            <w:tcW w:w="1416" w:type="dxa"/>
            <w:tcBorders>
              <w:top w:val="nil"/>
              <w:left w:val="nil"/>
              <w:bottom w:val="nil"/>
              <w:right w:val="single" w:sz="4" w:space="0" w:color="auto"/>
            </w:tcBorders>
            <w:shd w:val="clear" w:color="auto" w:fill="auto"/>
            <w:hideMark/>
          </w:tcPr>
          <w:p w:rsidR="002E1515" w:rsidRPr="00D9005B" w:rsidRDefault="002E1515" w:rsidP="002E1515">
            <w:pPr>
              <w:jc w:val="center"/>
            </w:pPr>
            <w:r w:rsidRPr="00D9005B">
              <w:t>337,699</w:t>
            </w:r>
          </w:p>
        </w:tc>
      </w:tr>
      <w:tr w:rsidR="002E1515" w:rsidRPr="00D9005B" w:rsidTr="002E1515">
        <w:trPr>
          <w:trHeight w:val="300"/>
        </w:trPr>
        <w:tc>
          <w:tcPr>
            <w:tcW w:w="1617" w:type="dxa"/>
            <w:tcBorders>
              <w:top w:val="nil"/>
              <w:left w:val="single" w:sz="4" w:space="0" w:color="auto"/>
              <w:bottom w:val="nil"/>
              <w:right w:val="nil"/>
            </w:tcBorders>
            <w:shd w:val="clear" w:color="auto" w:fill="auto"/>
            <w:noWrap/>
            <w:hideMark/>
          </w:tcPr>
          <w:p w:rsidR="002E1515" w:rsidRPr="00D9005B" w:rsidRDefault="002E1515" w:rsidP="002E1515"/>
        </w:tc>
        <w:tc>
          <w:tcPr>
            <w:tcW w:w="2636" w:type="dxa"/>
            <w:gridSpan w:val="2"/>
            <w:tcBorders>
              <w:top w:val="nil"/>
              <w:left w:val="nil"/>
              <w:bottom w:val="nil"/>
              <w:right w:val="nil"/>
            </w:tcBorders>
            <w:shd w:val="clear" w:color="auto" w:fill="auto"/>
            <w:noWrap/>
            <w:hideMark/>
          </w:tcPr>
          <w:p w:rsidR="002E1515" w:rsidRPr="00D9005B" w:rsidRDefault="002E1515" w:rsidP="002E1515">
            <w:r w:rsidRPr="00D9005B">
              <w:t>Local bonds</w:t>
            </w:r>
          </w:p>
        </w:tc>
        <w:tc>
          <w:tcPr>
            <w:tcW w:w="284" w:type="dxa"/>
            <w:tcBorders>
              <w:top w:val="nil"/>
              <w:left w:val="nil"/>
              <w:bottom w:val="nil"/>
              <w:right w:val="nil"/>
            </w:tcBorders>
            <w:shd w:val="clear" w:color="auto" w:fill="auto"/>
            <w:noWrap/>
            <w:hideMark/>
          </w:tcPr>
          <w:p w:rsidR="002E1515" w:rsidRPr="00D9005B" w:rsidRDefault="002E1515" w:rsidP="002E1515"/>
        </w:tc>
        <w:tc>
          <w:tcPr>
            <w:tcW w:w="1418" w:type="dxa"/>
            <w:tcBorders>
              <w:top w:val="nil"/>
              <w:left w:val="single" w:sz="4" w:space="0" w:color="auto"/>
              <w:bottom w:val="nil"/>
              <w:right w:val="nil"/>
            </w:tcBorders>
            <w:shd w:val="clear" w:color="auto" w:fill="auto"/>
            <w:hideMark/>
          </w:tcPr>
          <w:p w:rsidR="002E1515" w:rsidRPr="00D9005B" w:rsidRDefault="002E1515" w:rsidP="002E1515">
            <w:pPr>
              <w:jc w:val="center"/>
            </w:pPr>
            <w:r w:rsidRPr="00D9005B">
              <w:t>22</w:t>
            </w:r>
          </w:p>
        </w:tc>
        <w:tc>
          <w:tcPr>
            <w:tcW w:w="1418" w:type="dxa"/>
            <w:tcBorders>
              <w:top w:val="nil"/>
              <w:left w:val="nil"/>
              <w:bottom w:val="nil"/>
              <w:right w:val="single" w:sz="4" w:space="0" w:color="auto"/>
            </w:tcBorders>
            <w:shd w:val="clear" w:color="auto" w:fill="auto"/>
            <w:noWrap/>
            <w:hideMark/>
          </w:tcPr>
          <w:p w:rsidR="002E1515" w:rsidRPr="00D9005B" w:rsidRDefault="002E1515" w:rsidP="002E1515">
            <w:pPr>
              <w:jc w:val="center"/>
            </w:pPr>
            <w:r w:rsidRPr="00D9005B">
              <w:t>22</w:t>
            </w:r>
          </w:p>
        </w:tc>
        <w:tc>
          <w:tcPr>
            <w:tcW w:w="1416" w:type="dxa"/>
            <w:tcBorders>
              <w:top w:val="nil"/>
              <w:left w:val="nil"/>
              <w:bottom w:val="nil"/>
              <w:right w:val="nil"/>
            </w:tcBorders>
            <w:shd w:val="clear" w:color="auto" w:fill="auto"/>
            <w:hideMark/>
          </w:tcPr>
          <w:p w:rsidR="002E1515" w:rsidRPr="00D9005B" w:rsidRDefault="002E1515" w:rsidP="002E1515">
            <w:pPr>
              <w:jc w:val="center"/>
            </w:pPr>
          </w:p>
        </w:tc>
        <w:tc>
          <w:tcPr>
            <w:tcW w:w="1416" w:type="dxa"/>
            <w:tcBorders>
              <w:top w:val="nil"/>
              <w:left w:val="nil"/>
              <w:bottom w:val="nil"/>
              <w:right w:val="single" w:sz="4" w:space="0" w:color="auto"/>
            </w:tcBorders>
            <w:shd w:val="clear" w:color="auto" w:fill="auto"/>
            <w:hideMark/>
          </w:tcPr>
          <w:p w:rsidR="002E1515" w:rsidRPr="00D9005B" w:rsidRDefault="002E1515" w:rsidP="002E1515">
            <w:pPr>
              <w:jc w:val="center"/>
            </w:pPr>
            <w:r w:rsidRPr="00D9005B">
              <w:t>-</w:t>
            </w:r>
          </w:p>
        </w:tc>
      </w:tr>
      <w:tr w:rsidR="002E1515" w:rsidRPr="00D9005B" w:rsidTr="002E1515">
        <w:trPr>
          <w:trHeight w:val="300"/>
        </w:trPr>
        <w:tc>
          <w:tcPr>
            <w:tcW w:w="4253" w:type="dxa"/>
            <w:gridSpan w:val="3"/>
            <w:tcBorders>
              <w:top w:val="nil"/>
              <w:left w:val="single" w:sz="4" w:space="0" w:color="auto"/>
              <w:bottom w:val="nil"/>
              <w:right w:val="nil"/>
            </w:tcBorders>
            <w:shd w:val="clear" w:color="auto" w:fill="auto"/>
            <w:noWrap/>
            <w:hideMark/>
          </w:tcPr>
          <w:p w:rsidR="002E1515" w:rsidRPr="00D9005B" w:rsidRDefault="002E1515" w:rsidP="002E1515">
            <w:pPr>
              <w:rPr>
                <w:b/>
              </w:rPr>
            </w:pPr>
            <w:r w:rsidRPr="00D9005B">
              <w:rPr>
                <w:b/>
              </w:rPr>
              <w:t>Total Borrowings</w:t>
            </w:r>
          </w:p>
        </w:tc>
        <w:tc>
          <w:tcPr>
            <w:tcW w:w="284" w:type="dxa"/>
            <w:tcBorders>
              <w:top w:val="nil"/>
              <w:left w:val="nil"/>
              <w:bottom w:val="nil"/>
              <w:right w:val="nil"/>
            </w:tcBorders>
            <w:shd w:val="clear" w:color="auto" w:fill="auto"/>
            <w:noWrap/>
            <w:hideMark/>
          </w:tcPr>
          <w:p w:rsidR="002E1515" w:rsidRPr="00D9005B" w:rsidRDefault="002E1515" w:rsidP="002E1515"/>
        </w:tc>
        <w:tc>
          <w:tcPr>
            <w:tcW w:w="1418" w:type="dxa"/>
            <w:tcBorders>
              <w:top w:val="single" w:sz="4" w:space="0" w:color="auto"/>
              <w:left w:val="single" w:sz="4" w:space="0" w:color="auto"/>
              <w:bottom w:val="nil"/>
              <w:right w:val="nil"/>
            </w:tcBorders>
            <w:shd w:val="clear" w:color="auto" w:fill="auto"/>
            <w:hideMark/>
          </w:tcPr>
          <w:p w:rsidR="002E1515" w:rsidRPr="00D9005B" w:rsidRDefault="002E1515" w:rsidP="002E1515">
            <w:pPr>
              <w:jc w:val="center"/>
              <w:rPr>
                <w:b/>
                <w:bCs/>
              </w:rPr>
            </w:pPr>
            <w:r w:rsidRPr="00D9005B">
              <w:rPr>
                <w:b/>
                <w:bCs/>
              </w:rPr>
              <w:t>462,802</w:t>
            </w:r>
          </w:p>
        </w:tc>
        <w:tc>
          <w:tcPr>
            <w:tcW w:w="1418" w:type="dxa"/>
            <w:tcBorders>
              <w:top w:val="single" w:sz="4" w:space="0" w:color="auto"/>
              <w:left w:val="nil"/>
              <w:bottom w:val="nil"/>
              <w:right w:val="single" w:sz="4" w:space="0" w:color="auto"/>
            </w:tcBorders>
            <w:shd w:val="clear" w:color="auto" w:fill="auto"/>
            <w:hideMark/>
          </w:tcPr>
          <w:p w:rsidR="002E1515" w:rsidRPr="00D9005B" w:rsidRDefault="002E1515" w:rsidP="002E1515">
            <w:pPr>
              <w:jc w:val="center"/>
              <w:rPr>
                <w:b/>
                <w:bCs/>
              </w:rPr>
            </w:pPr>
            <w:r w:rsidRPr="00D9005B">
              <w:rPr>
                <w:b/>
                <w:bCs/>
              </w:rPr>
              <w:t>440,834</w:t>
            </w:r>
          </w:p>
        </w:tc>
        <w:tc>
          <w:tcPr>
            <w:tcW w:w="1416" w:type="dxa"/>
            <w:tcBorders>
              <w:top w:val="single" w:sz="4" w:space="0" w:color="auto"/>
              <w:left w:val="nil"/>
              <w:bottom w:val="nil"/>
              <w:right w:val="nil"/>
            </w:tcBorders>
            <w:shd w:val="clear" w:color="auto" w:fill="auto"/>
            <w:hideMark/>
          </w:tcPr>
          <w:p w:rsidR="002E1515" w:rsidRPr="00D9005B" w:rsidRDefault="002E1515" w:rsidP="002E1515">
            <w:pPr>
              <w:jc w:val="center"/>
              <w:rPr>
                <w:b/>
                <w:bCs/>
              </w:rPr>
            </w:pPr>
            <w:r w:rsidRPr="00D9005B">
              <w:rPr>
                <w:b/>
                <w:bCs/>
              </w:rPr>
              <w:t>350,836</w:t>
            </w:r>
          </w:p>
        </w:tc>
        <w:tc>
          <w:tcPr>
            <w:tcW w:w="1416" w:type="dxa"/>
            <w:tcBorders>
              <w:top w:val="single" w:sz="4" w:space="0" w:color="auto"/>
              <w:left w:val="nil"/>
              <w:bottom w:val="nil"/>
              <w:right w:val="single" w:sz="4" w:space="0" w:color="auto"/>
            </w:tcBorders>
            <w:shd w:val="clear" w:color="auto" w:fill="auto"/>
            <w:hideMark/>
          </w:tcPr>
          <w:p w:rsidR="002E1515" w:rsidRPr="00D9005B" w:rsidRDefault="002E1515" w:rsidP="002E1515">
            <w:pPr>
              <w:jc w:val="center"/>
              <w:rPr>
                <w:b/>
                <w:bCs/>
              </w:rPr>
            </w:pPr>
            <w:r w:rsidRPr="00D9005B">
              <w:rPr>
                <w:b/>
                <w:bCs/>
              </w:rPr>
              <w:t>351,295</w:t>
            </w:r>
          </w:p>
        </w:tc>
      </w:tr>
      <w:tr w:rsidR="002E1515" w:rsidRPr="00D9005B" w:rsidTr="002E1515">
        <w:trPr>
          <w:trHeight w:val="300"/>
        </w:trPr>
        <w:tc>
          <w:tcPr>
            <w:tcW w:w="4253" w:type="dxa"/>
            <w:gridSpan w:val="3"/>
            <w:tcBorders>
              <w:top w:val="nil"/>
              <w:left w:val="single" w:sz="4" w:space="0" w:color="auto"/>
              <w:bottom w:val="nil"/>
              <w:right w:val="nil"/>
            </w:tcBorders>
            <w:shd w:val="clear" w:color="auto" w:fill="auto"/>
            <w:noWrap/>
            <w:hideMark/>
          </w:tcPr>
          <w:p w:rsidR="002E1515" w:rsidRDefault="002E1515" w:rsidP="002E1515">
            <w:pPr>
              <w:rPr>
                <w:b/>
                <w:bCs/>
              </w:rPr>
            </w:pPr>
          </w:p>
          <w:p w:rsidR="002E1515" w:rsidRPr="00D9005B" w:rsidRDefault="002E1515" w:rsidP="002E1515">
            <w:pPr>
              <w:rPr>
                <w:b/>
                <w:bCs/>
              </w:rPr>
            </w:pPr>
            <w:r w:rsidRPr="00D9005B">
              <w:rPr>
                <w:b/>
                <w:bCs/>
              </w:rPr>
              <w:t>Other long term liabilities</w:t>
            </w:r>
          </w:p>
        </w:tc>
        <w:tc>
          <w:tcPr>
            <w:tcW w:w="284" w:type="dxa"/>
            <w:tcBorders>
              <w:top w:val="nil"/>
              <w:left w:val="nil"/>
              <w:bottom w:val="nil"/>
              <w:right w:val="nil"/>
            </w:tcBorders>
            <w:shd w:val="clear" w:color="auto" w:fill="auto"/>
            <w:noWrap/>
            <w:hideMark/>
          </w:tcPr>
          <w:p w:rsidR="002E1515" w:rsidRPr="00D9005B" w:rsidRDefault="002E1515" w:rsidP="002E1515"/>
        </w:tc>
        <w:tc>
          <w:tcPr>
            <w:tcW w:w="1418" w:type="dxa"/>
            <w:tcBorders>
              <w:top w:val="nil"/>
              <w:left w:val="single" w:sz="4" w:space="0" w:color="auto"/>
              <w:bottom w:val="nil"/>
              <w:right w:val="nil"/>
            </w:tcBorders>
            <w:shd w:val="clear" w:color="auto" w:fill="auto"/>
            <w:hideMark/>
          </w:tcPr>
          <w:p w:rsidR="002E1515" w:rsidRPr="00D9005B" w:rsidRDefault="002E1515" w:rsidP="002E1515">
            <w:pPr>
              <w:jc w:val="center"/>
              <w:rPr>
                <w:b/>
                <w:bCs/>
              </w:rPr>
            </w:pPr>
          </w:p>
        </w:tc>
        <w:tc>
          <w:tcPr>
            <w:tcW w:w="1418" w:type="dxa"/>
            <w:tcBorders>
              <w:top w:val="nil"/>
              <w:left w:val="nil"/>
              <w:bottom w:val="nil"/>
              <w:right w:val="single" w:sz="4" w:space="0" w:color="auto"/>
            </w:tcBorders>
            <w:shd w:val="clear" w:color="auto" w:fill="auto"/>
            <w:hideMark/>
          </w:tcPr>
          <w:p w:rsidR="002E1515" w:rsidRPr="00D9005B" w:rsidRDefault="002E1515" w:rsidP="002E1515">
            <w:pPr>
              <w:jc w:val="center"/>
              <w:rPr>
                <w:b/>
                <w:bCs/>
              </w:rPr>
            </w:pPr>
          </w:p>
        </w:tc>
        <w:tc>
          <w:tcPr>
            <w:tcW w:w="1416" w:type="dxa"/>
            <w:tcBorders>
              <w:top w:val="nil"/>
              <w:left w:val="nil"/>
              <w:bottom w:val="nil"/>
              <w:right w:val="nil"/>
            </w:tcBorders>
            <w:shd w:val="clear" w:color="auto" w:fill="auto"/>
            <w:hideMark/>
          </w:tcPr>
          <w:p w:rsidR="002E1515" w:rsidRPr="00D9005B" w:rsidRDefault="002E1515" w:rsidP="002E1515">
            <w:pPr>
              <w:jc w:val="center"/>
              <w:rPr>
                <w:b/>
                <w:bCs/>
              </w:rPr>
            </w:pPr>
          </w:p>
        </w:tc>
        <w:tc>
          <w:tcPr>
            <w:tcW w:w="1416" w:type="dxa"/>
            <w:tcBorders>
              <w:top w:val="nil"/>
              <w:left w:val="nil"/>
              <w:bottom w:val="nil"/>
              <w:right w:val="single" w:sz="4" w:space="0" w:color="auto"/>
            </w:tcBorders>
            <w:shd w:val="clear" w:color="auto" w:fill="auto"/>
            <w:hideMark/>
          </w:tcPr>
          <w:p w:rsidR="002E1515" w:rsidRPr="00D9005B" w:rsidRDefault="002E1515" w:rsidP="002E1515">
            <w:pPr>
              <w:jc w:val="center"/>
              <w:rPr>
                <w:b/>
                <w:bCs/>
              </w:rPr>
            </w:pPr>
          </w:p>
        </w:tc>
      </w:tr>
      <w:tr w:rsidR="002E1515" w:rsidRPr="00D9005B" w:rsidTr="002E1515">
        <w:trPr>
          <w:trHeight w:val="300"/>
        </w:trPr>
        <w:tc>
          <w:tcPr>
            <w:tcW w:w="1617" w:type="dxa"/>
            <w:tcBorders>
              <w:top w:val="nil"/>
              <w:left w:val="single" w:sz="4" w:space="0" w:color="auto"/>
              <w:bottom w:val="nil"/>
              <w:right w:val="nil"/>
            </w:tcBorders>
            <w:shd w:val="clear" w:color="auto" w:fill="auto"/>
            <w:noWrap/>
            <w:hideMark/>
          </w:tcPr>
          <w:p w:rsidR="002E1515" w:rsidRPr="00D9005B" w:rsidRDefault="002E1515" w:rsidP="002E1515"/>
        </w:tc>
        <w:tc>
          <w:tcPr>
            <w:tcW w:w="2920" w:type="dxa"/>
            <w:gridSpan w:val="3"/>
            <w:tcBorders>
              <w:top w:val="nil"/>
              <w:left w:val="nil"/>
              <w:bottom w:val="nil"/>
              <w:right w:val="nil"/>
            </w:tcBorders>
            <w:shd w:val="clear" w:color="auto" w:fill="auto"/>
            <w:noWrap/>
            <w:hideMark/>
          </w:tcPr>
          <w:p w:rsidR="002E1515" w:rsidRPr="00D9005B" w:rsidRDefault="002E1515" w:rsidP="002E1515">
            <w:r w:rsidRPr="00D9005B">
              <w:t>Private Finance Initiative (PFI)</w:t>
            </w:r>
          </w:p>
        </w:tc>
        <w:tc>
          <w:tcPr>
            <w:tcW w:w="1418" w:type="dxa"/>
            <w:tcBorders>
              <w:top w:val="nil"/>
              <w:left w:val="single" w:sz="4" w:space="0" w:color="auto"/>
              <w:bottom w:val="single" w:sz="4" w:space="0" w:color="auto"/>
              <w:right w:val="nil"/>
            </w:tcBorders>
            <w:shd w:val="clear" w:color="auto" w:fill="auto"/>
            <w:hideMark/>
          </w:tcPr>
          <w:p w:rsidR="002E1515" w:rsidRPr="00D9005B" w:rsidRDefault="002E1515" w:rsidP="002E1515">
            <w:pPr>
              <w:jc w:val="center"/>
            </w:pPr>
            <w:r w:rsidRPr="00D9005B">
              <w:t>41</w:t>
            </w:r>
            <w:r>
              <w:t>0,553</w:t>
            </w:r>
          </w:p>
        </w:tc>
        <w:tc>
          <w:tcPr>
            <w:tcW w:w="1418" w:type="dxa"/>
            <w:tcBorders>
              <w:top w:val="nil"/>
              <w:left w:val="nil"/>
              <w:bottom w:val="nil"/>
              <w:right w:val="single" w:sz="4" w:space="0" w:color="auto"/>
            </w:tcBorders>
            <w:shd w:val="clear" w:color="auto" w:fill="auto"/>
            <w:noWrap/>
            <w:hideMark/>
          </w:tcPr>
          <w:p w:rsidR="002E1515" w:rsidRPr="00D9005B" w:rsidRDefault="002E1515" w:rsidP="002E1515">
            <w:pPr>
              <w:jc w:val="center"/>
            </w:pPr>
            <w:r w:rsidRPr="00D9005B">
              <w:t>186,278</w:t>
            </w:r>
          </w:p>
        </w:tc>
        <w:tc>
          <w:tcPr>
            <w:tcW w:w="1416" w:type="dxa"/>
            <w:tcBorders>
              <w:top w:val="nil"/>
              <w:left w:val="nil"/>
              <w:bottom w:val="nil"/>
              <w:right w:val="nil"/>
            </w:tcBorders>
            <w:shd w:val="clear" w:color="auto" w:fill="auto"/>
            <w:hideMark/>
          </w:tcPr>
          <w:p w:rsidR="002E1515" w:rsidRPr="00D9005B" w:rsidRDefault="002E1515" w:rsidP="002E1515">
            <w:pPr>
              <w:jc w:val="center"/>
            </w:pPr>
            <w:r>
              <w:t>7,977</w:t>
            </w:r>
          </w:p>
        </w:tc>
        <w:tc>
          <w:tcPr>
            <w:tcW w:w="1416" w:type="dxa"/>
            <w:tcBorders>
              <w:top w:val="nil"/>
              <w:left w:val="nil"/>
              <w:bottom w:val="nil"/>
              <w:right w:val="single" w:sz="4" w:space="0" w:color="auto"/>
            </w:tcBorders>
            <w:shd w:val="clear" w:color="auto" w:fill="auto"/>
            <w:noWrap/>
            <w:hideMark/>
          </w:tcPr>
          <w:p w:rsidR="002E1515" w:rsidRPr="00D9005B" w:rsidRDefault="002E1515" w:rsidP="002E1515">
            <w:pPr>
              <w:jc w:val="center"/>
            </w:pPr>
            <w:r w:rsidRPr="00D9005B">
              <w:t>4,313</w:t>
            </w:r>
          </w:p>
        </w:tc>
      </w:tr>
      <w:tr w:rsidR="002E1515" w:rsidRPr="00D9005B" w:rsidTr="002E1515">
        <w:trPr>
          <w:trHeight w:val="300"/>
        </w:trPr>
        <w:tc>
          <w:tcPr>
            <w:tcW w:w="4537" w:type="dxa"/>
            <w:gridSpan w:val="4"/>
            <w:tcBorders>
              <w:top w:val="nil"/>
              <w:left w:val="single" w:sz="4" w:space="0" w:color="auto"/>
              <w:bottom w:val="nil"/>
              <w:right w:val="nil"/>
            </w:tcBorders>
            <w:shd w:val="clear" w:color="auto" w:fill="auto"/>
            <w:noWrap/>
            <w:hideMark/>
          </w:tcPr>
          <w:p w:rsidR="002E1515" w:rsidRPr="00D9005B" w:rsidRDefault="002E1515" w:rsidP="002E1515">
            <w:pPr>
              <w:rPr>
                <w:b/>
              </w:rPr>
            </w:pPr>
            <w:r w:rsidRPr="00D9005B">
              <w:rPr>
                <w:b/>
              </w:rPr>
              <w:t>Total other long term liabilities</w:t>
            </w:r>
          </w:p>
        </w:tc>
        <w:tc>
          <w:tcPr>
            <w:tcW w:w="1418" w:type="dxa"/>
            <w:tcBorders>
              <w:top w:val="nil"/>
              <w:left w:val="single" w:sz="4" w:space="0" w:color="auto"/>
              <w:bottom w:val="nil"/>
              <w:right w:val="nil"/>
            </w:tcBorders>
            <w:shd w:val="clear" w:color="auto" w:fill="auto"/>
            <w:noWrap/>
            <w:hideMark/>
          </w:tcPr>
          <w:p w:rsidR="002E1515" w:rsidRPr="00D9005B" w:rsidRDefault="002E1515" w:rsidP="002E1515">
            <w:pPr>
              <w:jc w:val="center"/>
              <w:rPr>
                <w:b/>
              </w:rPr>
            </w:pPr>
            <w:r>
              <w:rPr>
                <w:b/>
              </w:rPr>
              <w:t>410,553</w:t>
            </w:r>
          </w:p>
        </w:tc>
        <w:tc>
          <w:tcPr>
            <w:tcW w:w="1418" w:type="dxa"/>
            <w:tcBorders>
              <w:top w:val="single" w:sz="4" w:space="0" w:color="auto"/>
              <w:left w:val="nil"/>
              <w:bottom w:val="nil"/>
              <w:right w:val="single" w:sz="4" w:space="0" w:color="auto"/>
            </w:tcBorders>
            <w:shd w:val="clear" w:color="auto" w:fill="auto"/>
            <w:noWrap/>
            <w:hideMark/>
          </w:tcPr>
          <w:p w:rsidR="002E1515" w:rsidRPr="00D9005B" w:rsidRDefault="002E1515" w:rsidP="002E1515">
            <w:pPr>
              <w:jc w:val="center"/>
              <w:rPr>
                <w:b/>
                <w:bCs/>
              </w:rPr>
            </w:pPr>
            <w:r w:rsidRPr="00D9005B">
              <w:rPr>
                <w:b/>
                <w:bCs/>
              </w:rPr>
              <w:t>186,278</w:t>
            </w:r>
          </w:p>
        </w:tc>
        <w:tc>
          <w:tcPr>
            <w:tcW w:w="1416" w:type="dxa"/>
            <w:tcBorders>
              <w:top w:val="single" w:sz="4" w:space="0" w:color="auto"/>
              <w:left w:val="nil"/>
              <w:bottom w:val="nil"/>
              <w:right w:val="nil"/>
            </w:tcBorders>
            <w:shd w:val="clear" w:color="auto" w:fill="auto"/>
            <w:noWrap/>
            <w:hideMark/>
          </w:tcPr>
          <w:p w:rsidR="002E1515" w:rsidRPr="00D9005B" w:rsidRDefault="002E1515" w:rsidP="002E1515">
            <w:pPr>
              <w:jc w:val="center"/>
              <w:rPr>
                <w:b/>
              </w:rPr>
            </w:pPr>
            <w:r>
              <w:rPr>
                <w:b/>
              </w:rPr>
              <w:t>7,977</w:t>
            </w:r>
          </w:p>
        </w:tc>
        <w:tc>
          <w:tcPr>
            <w:tcW w:w="1416" w:type="dxa"/>
            <w:tcBorders>
              <w:top w:val="single" w:sz="4" w:space="0" w:color="auto"/>
              <w:left w:val="nil"/>
              <w:bottom w:val="nil"/>
              <w:right w:val="single" w:sz="4" w:space="0" w:color="auto"/>
            </w:tcBorders>
            <w:shd w:val="clear" w:color="auto" w:fill="auto"/>
            <w:noWrap/>
            <w:hideMark/>
          </w:tcPr>
          <w:p w:rsidR="002E1515" w:rsidRPr="00D9005B" w:rsidRDefault="002E1515" w:rsidP="002E1515">
            <w:pPr>
              <w:jc w:val="center"/>
              <w:rPr>
                <w:b/>
                <w:bCs/>
              </w:rPr>
            </w:pPr>
            <w:r w:rsidRPr="00D9005B">
              <w:rPr>
                <w:b/>
                <w:bCs/>
              </w:rPr>
              <w:t>4,313</w:t>
            </w:r>
          </w:p>
        </w:tc>
      </w:tr>
      <w:tr w:rsidR="00870A5F" w:rsidRPr="00D9005B" w:rsidTr="00B80863">
        <w:trPr>
          <w:trHeight w:val="300"/>
        </w:trPr>
        <w:tc>
          <w:tcPr>
            <w:tcW w:w="3970" w:type="dxa"/>
            <w:gridSpan w:val="2"/>
            <w:tcBorders>
              <w:top w:val="nil"/>
              <w:left w:val="single" w:sz="4" w:space="0" w:color="auto"/>
              <w:bottom w:val="nil"/>
              <w:right w:val="nil"/>
            </w:tcBorders>
            <w:shd w:val="clear" w:color="auto" w:fill="auto"/>
            <w:noWrap/>
            <w:hideMark/>
          </w:tcPr>
          <w:p w:rsidR="00870A5F" w:rsidRDefault="00870A5F" w:rsidP="002E1515">
            <w:pPr>
              <w:rPr>
                <w:b/>
                <w:bCs/>
              </w:rPr>
            </w:pPr>
          </w:p>
          <w:p w:rsidR="00870A5F" w:rsidRPr="00D9005B" w:rsidRDefault="00870A5F" w:rsidP="00B80863">
            <w:pPr>
              <w:rPr>
                <w:b/>
                <w:bCs/>
              </w:rPr>
            </w:pPr>
            <w:r w:rsidRPr="00D9005B">
              <w:rPr>
                <w:b/>
                <w:bCs/>
              </w:rPr>
              <w:t>Creditors</w:t>
            </w:r>
            <w:r w:rsidR="00B80863">
              <w:rPr>
                <w:b/>
                <w:bCs/>
              </w:rPr>
              <w:t>-</w:t>
            </w:r>
            <w:r>
              <w:rPr>
                <w:b/>
                <w:bCs/>
              </w:rPr>
              <w:t xml:space="preserve"> </w:t>
            </w:r>
            <w:r w:rsidR="00687D2A" w:rsidRPr="00687D2A">
              <w:rPr>
                <w:bCs/>
              </w:rPr>
              <w:t>Financial liabilities carried at contract amounts</w:t>
            </w:r>
          </w:p>
        </w:tc>
        <w:tc>
          <w:tcPr>
            <w:tcW w:w="283" w:type="dxa"/>
            <w:tcBorders>
              <w:top w:val="nil"/>
              <w:left w:val="nil"/>
              <w:bottom w:val="nil"/>
              <w:right w:val="nil"/>
            </w:tcBorders>
            <w:shd w:val="clear" w:color="auto" w:fill="auto"/>
            <w:noWrap/>
            <w:hideMark/>
          </w:tcPr>
          <w:p w:rsidR="00870A5F" w:rsidRPr="00D9005B" w:rsidRDefault="00870A5F" w:rsidP="002E1515"/>
        </w:tc>
        <w:tc>
          <w:tcPr>
            <w:tcW w:w="284" w:type="dxa"/>
            <w:tcBorders>
              <w:top w:val="nil"/>
              <w:left w:val="nil"/>
              <w:bottom w:val="nil"/>
              <w:right w:val="nil"/>
            </w:tcBorders>
            <w:shd w:val="clear" w:color="auto" w:fill="auto"/>
            <w:noWrap/>
            <w:hideMark/>
          </w:tcPr>
          <w:p w:rsidR="00870A5F" w:rsidRPr="00D9005B" w:rsidRDefault="00870A5F" w:rsidP="002E1515"/>
        </w:tc>
        <w:tc>
          <w:tcPr>
            <w:tcW w:w="1418" w:type="dxa"/>
            <w:tcBorders>
              <w:top w:val="nil"/>
              <w:left w:val="single" w:sz="4" w:space="0" w:color="auto"/>
              <w:bottom w:val="nil"/>
              <w:right w:val="nil"/>
            </w:tcBorders>
            <w:shd w:val="clear" w:color="auto" w:fill="auto"/>
            <w:hideMark/>
          </w:tcPr>
          <w:p w:rsidR="00870A5F" w:rsidRPr="00D9005B" w:rsidRDefault="00870A5F" w:rsidP="002E1515">
            <w:pPr>
              <w:jc w:val="center"/>
              <w:rPr>
                <w:b/>
                <w:bCs/>
              </w:rPr>
            </w:pPr>
          </w:p>
        </w:tc>
        <w:tc>
          <w:tcPr>
            <w:tcW w:w="1418" w:type="dxa"/>
            <w:tcBorders>
              <w:top w:val="nil"/>
              <w:left w:val="nil"/>
              <w:bottom w:val="nil"/>
              <w:right w:val="single" w:sz="4" w:space="0" w:color="auto"/>
            </w:tcBorders>
            <w:shd w:val="clear" w:color="auto" w:fill="auto"/>
            <w:hideMark/>
          </w:tcPr>
          <w:p w:rsidR="00870A5F" w:rsidRPr="00D9005B" w:rsidRDefault="00870A5F" w:rsidP="002E1515">
            <w:pPr>
              <w:jc w:val="center"/>
              <w:rPr>
                <w:b/>
                <w:bCs/>
              </w:rPr>
            </w:pPr>
          </w:p>
        </w:tc>
        <w:tc>
          <w:tcPr>
            <w:tcW w:w="1416" w:type="dxa"/>
            <w:tcBorders>
              <w:top w:val="nil"/>
              <w:left w:val="nil"/>
              <w:bottom w:val="nil"/>
              <w:right w:val="nil"/>
            </w:tcBorders>
            <w:shd w:val="clear" w:color="auto" w:fill="auto"/>
            <w:hideMark/>
          </w:tcPr>
          <w:p w:rsidR="00870A5F" w:rsidRDefault="00870A5F" w:rsidP="002E1515">
            <w:pPr>
              <w:jc w:val="center"/>
              <w:rPr>
                <w:b/>
              </w:rPr>
            </w:pPr>
          </w:p>
          <w:p w:rsidR="00870A5F" w:rsidRPr="00D9005B" w:rsidRDefault="00870A5F" w:rsidP="002E1515">
            <w:pPr>
              <w:jc w:val="center"/>
              <w:rPr>
                <w:b/>
                <w:bCs/>
              </w:rPr>
            </w:pPr>
            <w:r>
              <w:rPr>
                <w:b/>
              </w:rPr>
              <w:t>186,488</w:t>
            </w:r>
          </w:p>
        </w:tc>
        <w:tc>
          <w:tcPr>
            <w:tcW w:w="1416" w:type="dxa"/>
            <w:tcBorders>
              <w:top w:val="nil"/>
              <w:left w:val="nil"/>
              <w:bottom w:val="nil"/>
              <w:right w:val="single" w:sz="4" w:space="0" w:color="auto"/>
            </w:tcBorders>
            <w:shd w:val="clear" w:color="auto" w:fill="auto"/>
            <w:hideMark/>
          </w:tcPr>
          <w:p w:rsidR="00870A5F" w:rsidRDefault="00870A5F" w:rsidP="002E1515">
            <w:pPr>
              <w:jc w:val="center"/>
              <w:rPr>
                <w:b/>
                <w:bCs/>
              </w:rPr>
            </w:pPr>
          </w:p>
          <w:p w:rsidR="00870A5F" w:rsidRPr="00D9005B" w:rsidRDefault="00870A5F" w:rsidP="002E1515">
            <w:pPr>
              <w:jc w:val="center"/>
              <w:rPr>
                <w:b/>
                <w:bCs/>
              </w:rPr>
            </w:pPr>
            <w:r>
              <w:rPr>
                <w:b/>
                <w:bCs/>
              </w:rPr>
              <w:t>189,134</w:t>
            </w:r>
          </w:p>
        </w:tc>
      </w:tr>
      <w:tr w:rsidR="00870A5F" w:rsidRPr="00D9005B" w:rsidTr="004C566C">
        <w:trPr>
          <w:trHeight w:val="300"/>
        </w:trPr>
        <w:tc>
          <w:tcPr>
            <w:tcW w:w="4537" w:type="dxa"/>
            <w:gridSpan w:val="4"/>
            <w:tcBorders>
              <w:top w:val="nil"/>
              <w:left w:val="single" w:sz="4" w:space="0" w:color="auto"/>
              <w:bottom w:val="single" w:sz="4" w:space="0" w:color="auto"/>
              <w:right w:val="nil"/>
            </w:tcBorders>
            <w:shd w:val="clear" w:color="auto" w:fill="auto"/>
            <w:noWrap/>
            <w:hideMark/>
          </w:tcPr>
          <w:p w:rsidR="00870A5F" w:rsidRPr="00D9005B" w:rsidRDefault="00870A5F" w:rsidP="002E1515"/>
        </w:tc>
        <w:tc>
          <w:tcPr>
            <w:tcW w:w="1418" w:type="dxa"/>
            <w:tcBorders>
              <w:top w:val="nil"/>
              <w:left w:val="single" w:sz="4" w:space="0" w:color="auto"/>
              <w:bottom w:val="nil"/>
              <w:right w:val="nil"/>
            </w:tcBorders>
            <w:shd w:val="clear" w:color="auto" w:fill="auto"/>
            <w:hideMark/>
          </w:tcPr>
          <w:p w:rsidR="00870A5F" w:rsidRPr="00D9005B" w:rsidRDefault="00870A5F" w:rsidP="002E1515">
            <w:pPr>
              <w:jc w:val="center"/>
              <w:rPr>
                <w:b/>
                <w:bCs/>
              </w:rPr>
            </w:pPr>
          </w:p>
        </w:tc>
        <w:tc>
          <w:tcPr>
            <w:tcW w:w="1418" w:type="dxa"/>
            <w:tcBorders>
              <w:top w:val="nil"/>
              <w:left w:val="nil"/>
              <w:bottom w:val="nil"/>
              <w:right w:val="single" w:sz="4" w:space="0" w:color="auto"/>
            </w:tcBorders>
            <w:shd w:val="clear" w:color="auto" w:fill="auto"/>
            <w:noWrap/>
            <w:hideMark/>
          </w:tcPr>
          <w:p w:rsidR="00870A5F" w:rsidRPr="00D9005B" w:rsidRDefault="00870A5F" w:rsidP="002E1515">
            <w:pPr>
              <w:jc w:val="center"/>
              <w:rPr>
                <w:b/>
                <w:bCs/>
              </w:rPr>
            </w:pPr>
          </w:p>
        </w:tc>
        <w:tc>
          <w:tcPr>
            <w:tcW w:w="1416" w:type="dxa"/>
            <w:tcBorders>
              <w:top w:val="nil"/>
              <w:left w:val="nil"/>
              <w:bottom w:val="nil"/>
              <w:right w:val="nil"/>
            </w:tcBorders>
            <w:shd w:val="clear" w:color="auto" w:fill="auto"/>
            <w:hideMark/>
          </w:tcPr>
          <w:p w:rsidR="00870A5F" w:rsidRPr="007A30E5" w:rsidRDefault="00870A5F" w:rsidP="002E1515">
            <w:pPr>
              <w:jc w:val="center"/>
              <w:rPr>
                <w:bCs/>
              </w:rPr>
            </w:pPr>
          </w:p>
        </w:tc>
        <w:tc>
          <w:tcPr>
            <w:tcW w:w="1416" w:type="dxa"/>
            <w:tcBorders>
              <w:top w:val="nil"/>
              <w:left w:val="nil"/>
              <w:bottom w:val="nil"/>
              <w:right w:val="single" w:sz="4" w:space="0" w:color="auto"/>
            </w:tcBorders>
            <w:shd w:val="clear" w:color="auto" w:fill="auto"/>
            <w:noWrap/>
            <w:hideMark/>
          </w:tcPr>
          <w:p w:rsidR="00870A5F" w:rsidRPr="007A30E5" w:rsidRDefault="00870A5F" w:rsidP="002E1515">
            <w:pPr>
              <w:jc w:val="center"/>
              <w:rPr>
                <w:bCs/>
              </w:rPr>
            </w:pPr>
          </w:p>
        </w:tc>
      </w:tr>
      <w:tr w:rsidR="00870A5F" w:rsidRPr="00D9005B" w:rsidTr="004C566C">
        <w:trPr>
          <w:trHeight w:val="300"/>
        </w:trPr>
        <w:tc>
          <w:tcPr>
            <w:tcW w:w="4537" w:type="dxa"/>
            <w:gridSpan w:val="4"/>
            <w:tcBorders>
              <w:top w:val="single" w:sz="4" w:space="0" w:color="auto"/>
              <w:left w:val="single" w:sz="4" w:space="0" w:color="auto"/>
              <w:bottom w:val="single" w:sz="4" w:space="0" w:color="auto"/>
              <w:right w:val="nil"/>
            </w:tcBorders>
            <w:shd w:val="clear" w:color="auto" w:fill="auto"/>
            <w:hideMark/>
          </w:tcPr>
          <w:p w:rsidR="00870A5F" w:rsidRPr="00D9005B" w:rsidRDefault="00870A5F" w:rsidP="002E1515">
            <w:pPr>
              <w:rPr>
                <w:b/>
              </w:rPr>
            </w:pPr>
            <w:r w:rsidRPr="00D9005B">
              <w:rPr>
                <w:b/>
              </w:rPr>
              <w:t>Total Creditors</w:t>
            </w:r>
            <w:r w:rsidR="004C566C">
              <w:rPr>
                <w:b/>
                <w:bCs/>
              </w:rPr>
              <w:t xml:space="preserve">- </w:t>
            </w:r>
            <w:r w:rsidR="004C566C" w:rsidRPr="00B80863">
              <w:rPr>
                <w:bCs/>
              </w:rPr>
              <w:t>Financial liabilities carried at contract amounts</w:t>
            </w:r>
          </w:p>
        </w:tc>
        <w:tc>
          <w:tcPr>
            <w:tcW w:w="1418" w:type="dxa"/>
            <w:tcBorders>
              <w:top w:val="single" w:sz="4" w:space="0" w:color="auto"/>
              <w:left w:val="single" w:sz="4" w:space="0" w:color="auto"/>
              <w:bottom w:val="single" w:sz="4" w:space="0" w:color="auto"/>
              <w:right w:val="nil"/>
            </w:tcBorders>
            <w:shd w:val="clear" w:color="auto" w:fill="auto"/>
            <w:noWrap/>
            <w:hideMark/>
          </w:tcPr>
          <w:p w:rsidR="00870A5F" w:rsidRPr="00D9005B" w:rsidRDefault="00870A5F" w:rsidP="002E1515">
            <w:pPr>
              <w:jc w:val="center"/>
              <w:rPr>
                <w:b/>
              </w:rPr>
            </w:pPr>
            <w:r>
              <w:rPr>
                <w:b/>
              </w:rPr>
              <w:t>-</w:t>
            </w:r>
          </w:p>
        </w:tc>
        <w:tc>
          <w:tcPr>
            <w:tcW w:w="1418" w:type="dxa"/>
            <w:tcBorders>
              <w:top w:val="single" w:sz="4" w:space="0" w:color="auto"/>
              <w:left w:val="nil"/>
              <w:bottom w:val="single" w:sz="4" w:space="0" w:color="auto"/>
              <w:right w:val="single" w:sz="4" w:space="0" w:color="auto"/>
            </w:tcBorders>
            <w:shd w:val="clear" w:color="auto" w:fill="auto"/>
            <w:noWrap/>
            <w:hideMark/>
          </w:tcPr>
          <w:p w:rsidR="00870A5F" w:rsidRPr="00D9005B" w:rsidRDefault="00870A5F" w:rsidP="002E1515">
            <w:pPr>
              <w:jc w:val="center"/>
              <w:rPr>
                <w:b/>
                <w:bCs/>
              </w:rPr>
            </w:pPr>
            <w:r w:rsidRPr="00D9005B">
              <w:rPr>
                <w:b/>
                <w:bCs/>
              </w:rPr>
              <w:t>-</w:t>
            </w:r>
          </w:p>
        </w:tc>
        <w:tc>
          <w:tcPr>
            <w:tcW w:w="1416" w:type="dxa"/>
            <w:tcBorders>
              <w:top w:val="single" w:sz="4" w:space="0" w:color="auto"/>
              <w:left w:val="nil"/>
              <w:bottom w:val="single" w:sz="4" w:space="0" w:color="auto"/>
              <w:right w:val="nil"/>
            </w:tcBorders>
            <w:shd w:val="clear" w:color="auto" w:fill="auto"/>
            <w:noWrap/>
            <w:hideMark/>
          </w:tcPr>
          <w:p w:rsidR="00870A5F" w:rsidRPr="00D9005B" w:rsidRDefault="00870A5F" w:rsidP="002E1515">
            <w:pPr>
              <w:jc w:val="center"/>
              <w:rPr>
                <w:b/>
              </w:rPr>
            </w:pPr>
            <w:r>
              <w:rPr>
                <w:b/>
              </w:rPr>
              <w:t>186,488</w:t>
            </w:r>
          </w:p>
        </w:tc>
        <w:tc>
          <w:tcPr>
            <w:tcW w:w="1416" w:type="dxa"/>
            <w:tcBorders>
              <w:top w:val="single" w:sz="4" w:space="0" w:color="auto"/>
              <w:left w:val="nil"/>
              <w:bottom w:val="single" w:sz="4" w:space="0" w:color="auto"/>
              <w:right w:val="single" w:sz="4" w:space="0" w:color="auto"/>
            </w:tcBorders>
            <w:shd w:val="clear" w:color="auto" w:fill="auto"/>
            <w:noWrap/>
            <w:hideMark/>
          </w:tcPr>
          <w:p w:rsidR="00870A5F" w:rsidRPr="00D9005B" w:rsidRDefault="00870A5F" w:rsidP="002E1515">
            <w:pPr>
              <w:jc w:val="center"/>
              <w:rPr>
                <w:b/>
                <w:bCs/>
              </w:rPr>
            </w:pPr>
            <w:r>
              <w:rPr>
                <w:b/>
                <w:bCs/>
              </w:rPr>
              <w:t>189,134</w:t>
            </w:r>
          </w:p>
        </w:tc>
      </w:tr>
    </w:tbl>
    <w:p w:rsidR="002E1515" w:rsidRPr="00442EEE" w:rsidRDefault="002E1515" w:rsidP="002E1515">
      <w:pPr>
        <w:ind w:left="720"/>
        <w:jc w:val="both"/>
      </w:pPr>
    </w:p>
    <w:p w:rsidR="002E1515" w:rsidRDefault="002E1515" w:rsidP="002E1515"/>
    <w:p w:rsidR="002E1515" w:rsidRDefault="002E1515" w:rsidP="002E1515"/>
    <w:p w:rsidR="002E1515" w:rsidRDefault="002E1515" w:rsidP="00E353CF">
      <w:pPr>
        <w:jc w:val="both"/>
      </w:pPr>
      <w:r>
        <w:t xml:space="preserve">The following table sets out the structure of the </w:t>
      </w:r>
      <w:r w:rsidR="001F1A1A">
        <w:t>County Council</w:t>
      </w:r>
      <w:r>
        <w:t>’s debt at 31 March 2012. For clarity the figures in this table show the principal amounts borrowed. They do not include accrued interest or accounting adjustments for deferred premiums on debt restructures made before 2007 which are included in the balance sheet.</w:t>
      </w:r>
    </w:p>
    <w:p w:rsidR="002E1515" w:rsidRDefault="002E1515" w:rsidP="002E1515"/>
    <w:p w:rsidR="002E1515" w:rsidRDefault="002E1515" w:rsidP="002E1515">
      <w:pPr>
        <w:rPr>
          <w:sz w:val="20"/>
        </w:rPr>
      </w:pP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000"/>
      </w:tblPr>
      <w:tblGrid>
        <w:gridCol w:w="2538"/>
        <w:gridCol w:w="1170"/>
        <w:gridCol w:w="795"/>
        <w:gridCol w:w="1275"/>
        <w:gridCol w:w="1276"/>
        <w:gridCol w:w="142"/>
        <w:gridCol w:w="1118"/>
        <w:gridCol w:w="810"/>
      </w:tblGrid>
      <w:tr w:rsidR="002E1515" w:rsidRPr="00C54174" w:rsidTr="002E1515">
        <w:trPr>
          <w:cantSplit/>
          <w:trHeight w:val="825"/>
        </w:trPr>
        <w:tc>
          <w:tcPr>
            <w:tcW w:w="2538" w:type="dxa"/>
          </w:tcPr>
          <w:p w:rsidR="002E1515" w:rsidRPr="00C54174" w:rsidRDefault="002E1515" w:rsidP="002E1515">
            <w:pPr>
              <w:spacing w:before="60" w:after="60"/>
              <w:jc w:val="center"/>
              <w:rPr>
                <w:b/>
                <w:sz w:val="20"/>
              </w:rPr>
            </w:pPr>
          </w:p>
        </w:tc>
        <w:tc>
          <w:tcPr>
            <w:tcW w:w="1965" w:type="dxa"/>
            <w:gridSpan w:val="2"/>
          </w:tcPr>
          <w:p w:rsidR="002E1515" w:rsidRPr="00C54174" w:rsidRDefault="002E1515" w:rsidP="002E1515">
            <w:pPr>
              <w:spacing w:before="60" w:after="60"/>
              <w:jc w:val="center"/>
              <w:rPr>
                <w:b/>
                <w:sz w:val="20"/>
              </w:rPr>
            </w:pPr>
            <w:r w:rsidRPr="00C54174">
              <w:rPr>
                <w:b/>
                <w:sz w:val="20"/>
              </w:rPr>
              <w:t>Debt at</w:t>
            </w:r>
            <w:r w:rsidRPr="00C54174">
              <w:rPr>
                <w:b/>
                <w:sz w:val="20"/>
              </w:rPr>
              <w:br/>
            </w:r>
            <w:r>
              <w:rPr>
                <w:b/>
                <w:sz w:val="20"/>
              </w:rPr>
              <w:t xml:space="preserve">31 March 2011 </w:t>
            </w:r>
          </w:p>
        </w:tc>
        <w:tc>
          <w:tcPr>
            <w:tcW w:w="1275" w:type="dxa"/>
            <w:vAlign w:val="center"/>
          </w:tcPr>
          <w:p w:rsidR="002E1515" w:rsidRPr="00C54174" w:rsidRDefault="002E1515" w:rsidP="002E1515">
            <w:pPr>
              <w:spacing w:before="60" w:after="60"/>
              <w:jc w:val="center"/>
              <w:rPr>
                <w:b/>
                <w:sz w:val="20"/>
              </w:rPr>
            </w:pPr>
            <w:r w:rsidRPr="00C54174">
              <w:rPr>
                <w:b/>
                <w:sz w:val="20"/>
              </w:rPr>
              <w:t>Borrowing</w:t>
            </w:r>
          </w:p>
        </w:tc>
        <w:tc>
          <w:tcPr>
            <w:tcW w:w="1418" w:type="dxa"/>
            <w:gridSpan w:val="2"/>
            <w:vAlign w:val="center"/>
          </w:tcPr>
          <w:p w:rsidR="002E1515" w:rsidRPr="00C54174" w:rsidRDefault="002E1515" w:rsidP="002E1515">
            <w:pPr>
              <w:spacing w:before="60" w:after="60"/>
              <w:jc w:val="center"/>
              <w:rPr>
                <w:b/>
                <w:sz w:val="20"/>
              </w:rPr>
            </w:pPr>
            <w:r w:rsidRPr="00C54174">
              <w:rPr>
                <w:b/>
                <w:sz w:val="20"/>
              </w:rPr>
              <w:t>Repayments</w:t>
            </w:r>
          </w:p>
        </w:tc>
        <w:tc>
          <w:tcPr>
            <w:tcW w:w="1928" w:type="dxa"/>
            <w:gridSpan w:val="2"/>
          </w:tcPr>
          <w:p w:rsidR="002E1515" w:rsidRPr="00C54174" w:rsidRDefault="002E1515" w:rsidP="002E1515">
            <w:pPr>
              <w:spacing w:before="60" w:after="60"/>
              <w:jc w:val="center"/>
              <w:rPr>
                <w:b/>
                <w:sz w:val="20"/>
              </w:rPr>
            </w:pPr>
            <w:r w:rsidRPr="00C54174">
              <w:rPr>
                <w:b/>
                <w:sz w:val="20"/>
              </w:rPr>
              <w:t>Debt at</w:t>
            </w:r>
            <w:r w:rsidRPr="00C54174">
              <w:rPr>
                <w:b/>
                <w:sz w:val="20"/>
              </w:rPr>
              <w:br/>
              <w:t>31 March 20</w:t>
            </w:r>
            <w:r>
              <w:rPr>
                <w:b/>
                <w:sz w:val="20"/>
              </w:rPr>
              <w:t>12</w:t>
            </w:r>
          </w:p>
        </w:tc>
      </w:tr>
      <w:tr w:rsidR="002E1515" w:rsidRPr="00C54174" w:rsidTr="002E1515">
        <w:tc>
          <w:tcPr>
            <w:tcW w:w="2538" w:type="dxa"/>
          </w:tcPr>
          <w:p w:rsidR="002E1515" w:rsidRPr="00C54174" w:rsidRDefault="002E1515" w:rsidP="002E1515">
            <w:pPr>
              <w:spacing w:before="60" w:after="60"/>
              <w:jc w:val="center"/>
              <w:rPr>
                <w:b/>
                <w:sz w:val="20"/>
              </w:rPr>
            </w:pPr>
          </w:p>
        </w:tc>
        <w:tc>
          <w:tcPr>
            <w:tcW w:w="1170" w:type="dxa"/>
          </w:tcPr>
          <w:p w:rsidR="002E1515" w:rsidRPr="00C54174" w:rsidRDefault="002E1515" w:rsidP="002E1515">
            <w:pPr>
              <w:spacing w:before="60" w:after="60"/>
              <w:jc w:val="center"/>
              <w:rPr>
                <w:b/>
                <w:sz w:val="20"/>
              </w:rPr>
            </w:pPr>
            <w:r w:rsidRPr="00C54174">
              <w:rPr>
                <w:b/>
                <w:sz w:val="20"/>
              </w:rPr>
              <w:t>£m</w:t>
            </w:r>
          </w:p>
        </w:tc>
        <w:tc>
          <w:tcPr>
            <w:tcW w:w="795" w:type="dxa"/>
          </w:tcPr>
          <w:p w:rsidR="002E1515" w:rsidRPr="00C54174" w:rsidRDefault="002E1515" w:rsidP="002E1515">
            <w:pPr>
              <w:spacing w:before="60" w:after="60"/>
              <w:jc w:val="center"/>
              <w:rPr>
                <w:b/>
                <w:sz w:val="20"/>
              </w:rPr>
            </w:pPr>
            <w:r w:rsidRPr="00C54174">
              <w:rPr>
                <w:b/>
                <w:sz w:val="20"/>
              </w:rPr>
              <w:t>%</w:t>
            </w:r>
          </w:p>
        </w:tc>
        <w:tc>
          <w:tcPr>
            <w:tcW w:w="1275" w:type="dxa"/>
          </w:tcPr>
          <w:p w:rsidR="002E1515" w:rsidRPr="00C54174" w:rsidRDefault="002E1515" w:rsidP="002E1515">
            <w:pPr>
              <w:spacing w:before="60" w:after="60"/>
              <w:jc w:val="center"/>
              <w:rPr>
                <w:b/>
                <w:sz w:val="20"/>
              </w:rPr>
            </w:pPr>
            <w:r w:rsidRPr="00C54174">
              <w:rPr>
                <w:b/>
                <w:sz w:val="20"/>
              </w:rPr>
              <w:t>£m</w:t>
            </w:r>
          </w:p>
        </w:tc>
        <w:tc>
          <w:tcPr>
            <w:tcW w:w="1276" w:type="dxa"/>
          </w:tcPr>
          <w:p w:rsidR="002E1515" w:rsidRPr="00C54174" w:rsidRDefault="002E1515" w:rsidP="002E1515">
            <w:pPr>
              <w:spacing w:before="60" w:after="60"/>
              <w:jc w:val="center"/>
              <w:rPr>
                <w:b/>
                <w:sz w:val="20"/>
              </w:rPr>
            </w:pPr>
            <w:r w:rsidRPr="00C54174">
              <w:rPr>
                <w:b/>
                <w:sz w:val="20"/>
              </w:rPr>
              <w:t>£m</w:t>
            </w:r>
          </w:p>
        </w:tc>
        <w:tc>
          <w:tcPr>
            <w:tcW w:w="1260" w:type="dxa"/>
            <w:gridSpan w:val="2"/>
          </w:tcPr>
          <w:p w:rsidR="002E1515" w:rsidRPr="00C54174" w:rsidRDefault="002E1515" w:rsidP="002E1515">
            <w:pPr>
              <w:spacing w:before="60" w:after="60"/>
              <w:jc w:val="center"/>
              <w:rPr>
                <w:b/>
                <w:sz w:val="20"/>
              </w:rPr>
            </w:pPr>
            <w:r w:rsidRPr="00C54174">
              <w:rPr>
                <w:b/>
                <w:sz w:val="20"/>
              </w:rPr>
              <w:t>£m</w:t>
            </w:r>
          </w:p>
        </w:tc>
        <w:tc>
          <w:tcPr>
            <w:tcW w:w="810" w:type="dxa"/>
          </w:tcPr>
          <w:p w:rsidR="002E1515" w:rsidRPr="00C54174" w:rsidRDefault="002E1515" w:rsidP="002E1515">
            <w:pPr>
              <w:spacing w:before="60" w:after="60"/>
              <w:jc w:val="center"/>
              <w:rPr>
                <w:b/>
                <w:sz w:val="20"/>
              </w:rPr>
            </w:pPr>
            <w:r w:rsidRPr="00C54174">
              <w:rPr>
                <w:b/>
                <w:sz w:val="20"/>
              </w:rPr>
              <w:t>%</w:t>
            </w:r>
          </w:p>
        </w:tc>
      </w:tr>
      <w:tr w:rsidR="002E1515" w:rsidTr="002E1515">
        <w:tc>
          <w:tcPr>
            <w:tcW w:w="2538" w:type="dxa"/>
          </w:tcPr>
          <w:p w:rsidR="002E1515" w:rsidRPr="00A31AA5" w:rsidRDefault="002E1515" w:rsidP="002E1515">
            <w:pPr>
              <w:pStyle w:val="Heading8"/>
              <w:spacing w:after="120"/>
              <w:rPr>
                <w:rFonts w:ascii="Arial" w:hAnsi="Arial" w:cs="Arial"/>
              </w:rPr>
            </w:pPr>
            <w:r w:rsidRPr="00A31AA5">
              <w:rPr>
                <w:rFonts w:ascii="Arial" w:hAnsi="Arial" w:cs="Arial"/>
              </w:rPr>
              <w:t>Fixed Rate Funding</w:t>
            </w:r>
          </w:p>
        </w:tc>
        <w:tc>
          <w:tcPr>
            <w:tcW w:w="1170" w:type="dxa"/>
          </w:tcPr>
          <w:p w:rsidR="002E1515" w:rsidRDefault="002E1515" w:rsidP="002E1515">
            <w:pPr>
              <w:tabs>
                <w:tab w:val="decimal" w:pos="870"/>
              </w:tabs>
              <w:spacing w:after="120"/>
              <w:rPr>
                <w:sz w:val="20"/>
              </w:rPr>
            </w:pPr>
          </w:p>
        </w:tc>
        <w:tc>
          <w:tcPr>
            <w:tcW w:w="795" w:type="dxa"/>
          </w:tcPr>
          <w:p w:rsidR="002E1515" w:rsidRDefault="002E1515" w:rsidP="002E1515">
            <w:pPr>
              <w:tabs>
                <w:tab w:val="decimal" w:pos="342"/>
              </w:tabs>
              <w:spacing w:after="120"/>
              <w:rPr>
                <w:sz w:val="20"/>
              </w:rPr>
            </w:pPr>
          </w:p>
        </w:tc>
        <w:tc>
          <w:tcPr>
            <w:tcW w:w="1275" w:type="dxa"/>
          </w:tcPr>
          <w:p w:rsidR="002E1515" w:rsidRDefault="002E1515" w:rsidP="002E1515">
            <w:pPr>
              <w:tabs>
                <w:tab w:val="decimal" w:pos="882"/>
              </w:tabs>
              <w:spacing w:after="120"/>
              <w:rPr>
                <w:sz w:val="20"/>
              </w:rPr>
            </w:pPr>
          </w:p>
        </w:tc>
        <w:tc>
          <w:tcPr>
            <w:tcW w:w="1276" w:type="dxa"/>
          </w:tcPr>
          <w:p w:rsidR="002E1515" w:rsidRDefault="002E1515" w:rsidP="002E1515">
            <w:pPr>
              <w:tabs>
                <w:tab w:val="decimal" w:pos="834"/>
              </w:tabs>
              <w:spacing w:after="120"/>
              <w:rPr>
                <w:sz w:val="20"/>
              </w:rPr>
            </w:pPr>
          </w:p>
        </w:tc>
        <w:tc>
          <w:tcPr>
            <w:tcW w:w="1260" w:type="dxa"/>
            <w:gridSpan w:val="2"/>
          </w:tcPr>
          <w:p w:rsidR="002E1515" w:rsidRDefault="002E1515" w:rsidP="002E1515">
            <w:pPr>
              <w:tabs>
                <w:tab w:val="decimal" w:pos="870"/>
              </w:tabs>
              <w:spacing w:after="120"/>
              <w:rPr>
                <w:sz w:val="20"/>
              </w:rPr>
            </w:pPr>
          </w:p>
        </w:tc>
        <w:tc>
          <w:tcPr>
            <w:tcW w:w="810" w:type="dxa"/>
          </w:tcPr>
          <w:p w:rsidR="002E1515" w:rsidRDefault="002E1515" w:rsidP="002E1515">
            <w:pPr>
              <w:tabs>
                <w:tab w:val="decimal" w:pos="342"/>
              </w:tabs>
              <w:spacing w:after="120"/>
              <w:rPr>
                <w:sz w:val="20"/>
              </w:rPr>
            </w:pPr>
          </w:p>
        </w:tc>
      </w:tr>
      <w:tr w:rsidR="002E1515" w:rsidTr="002E1515">
        <w:tc>
          <w:tcPr>
            <w:tcW w:w="2538" w:type="dxa"/>
          </w:tcPr>
          <w:p w:rsidR="002E1515" w:rsidRDefault="002E1515" w:rsidP="002E1515">
            <w:pPr>
              <w:spacing w:after="120"/>
              <w:rPr>
                <w:sz w:val="20"/>
              </w:rPr>
            </w:pPr>
            <w:r>
              <w:rPr>
                <w:sz w:val="20"/>
              </w:rPr>
              <w:t>Public Works Loan Board</w:t>
            </w:r>
          </w:p>
        </w:tc>
        <w:tc>
          <w:tcPr>
            <w:tcW w:w="1170" w:type="dxa"/>
            <w:vAlign w:val="center"/>
          </w:tcPr>
          <w:p w:rsidR="002E1515" w:rsidRDefault="002E1515" w:rsidP="002E1515">
            <w:pPr>
              <w:tabs>
                <w:tab w:val="decimal" w:pos="870"/>
              </w:tabs>
              <w:spacing w:after="120"/>
              <w:rPr>
                <w:sz w:val="20"/>
              </w:rPr>
            </w:pPr>
            <w:r>
              <w:rPr>
                <w:sz w:val="20"/>
              </w:rPr>
              <w:t>213.600</w:t>
            </w:r>
          </w:p>
        </w:tc>
        <w:tc>
          <w:tcPr>
            <w:tcW w:w="795" w:type="dxa"/>
            <w:vAlign w:val="center"/>
          </w:tcPr>
          <w:p w:rsidR="002E1515" w:rsidRDefault="002E1515" w:rsidP="002E1515">
            <w:pPr>
              <w:tabs>
                <w:tab w:val="decimal" w:pos="288"/>
              </w:tabs>
              <w:spacing w:after="120"/>
              <w:rPr>
                <w:sz w:val="20"/>
              </w:rPr>
            </w:pPr>
            <w:r>
              <w:rPr>
                <w:sz w:val="20"/>
              </w:rPr>
              <w:t>26.78</w:t>
            </w:r>
          </w:p>
        </w:tc>
        <w:tc>
          <w:tcPr>
            <w:tcW w:w="1275" w:type="dxa"/>
            <w:vAlign w:val="center"/>
          </w:tcPr>
          <w:p w:rsidR="002E1515" w:rsidRDefault="002E1515" w:rsidP="002E1515">
            <w:pPr>
              <w:tabs>
                <w:tab w:val="decimal" w:pos="882"/>
              </w:tabs>
              <w:spacing w:after="120"/>
              <w:rPr>
                <w:sz w:val="20"/>
              </w:rPr>
            </w:pPr>
          </w:p>
        </w:tc>
        <w:tc>
          <w:tcPr>
            <w:tcW w:w="1276" w:type="dxa"/>
            <w:vAlign w:val="center"/>
          </w:tcPr>
          <w:p w:rsidR="002E1515" w:rsidRDefault="002E1515" w:rsidP="002E1515">
            <w:pPr>
              <w:tabs>
                <w:tab w:val="decimal" w:pos="834"/>
              </w:tabs>
              <w:spacing w:after="120"/>
              <w:rPr>
                <w:sz w:val="20"/>
              </w:rPr>
            </w:pPr>
            <w:r>
              <w:rPr>
                <w:sz w:val="20"/>
              </w:rPr>
              <w:t>0.500</w:t>
            </w:r>
          </w:p>
        </w:tc>
        <w:tc>
          <w:tcPr>
            <w:tcW w:w="1260" w:type="dxa"/>
            <w:gridSpan w:val="2"/>
            <w:vAlign w:val="center"/>
          </w:tcPr>
          <w:p w:rsidR="002E1515" w:rsidRDefault="002E1515" w:rsidP="002E1515">
            <w:pPr>
              <w:tabs>
                <w:tab w:val="decimal" w:pos="870"/>
              </w:tabs>
              <w:spacing w:after="120"/>
              <w:rPr>
                <w:sz w:val="20"/>
              </w:rPr>
            </w:pPr>
            <w:r>
              <w:rPr>
                <w:sz w:val="20"/>
              </w:rPr>
              <w:t>213.100</w:t>
            </w:r>
          </w:p>
        </w:tc>
        <w:tc>
          <w:tcPr>
            <w:tcW w:w="810" w:type="dxa"/>
            <w:vAlign w:val="center"/>
          </w:tcPr>
          <w:p w:rsidR="002E1515" w:rsidRDefault="002E1515" w:rsidP="002E1515">
            <w:pPr>
              <w:tabs>
                <w:tab w:val="decimal" w:pos="288"/>
              </w:tabs>
              <w:spacing w:after="120"/>
              <w:rPr>
                <w:sz w:val="20"/>
              </w:rPr>
            </w:pPr>
            <w:r>
              <w:rPr>
                <w:sz w:val="20"/>
              </w:rPr>
              <w:t>26.04</w:t>
            </w:r>
          </w:p>
        </w:tc>
      </w:tr>
      <w:tr w:rsidR="002E1515" w:rsidTr="002E1515">
        <w:tc>
          <w:tcPr>
            <w:tcW w:w="2538" w:type="dxa"/>
          </w:tcPr>
          <w:p w:rsidR="002E1515" w:rsidRDefault="002E1515" w:rsidP="002E1515">
            <w:pPr>
              <w:spacing w:after="120"/>
              <w:rPr>
                <w:sz w:val="20"/>
              </w:rPr>
            </w:pPr>
            <w:r>
              <w:rPr>
                <w:sz w:val="20"/>
              </w:rPr>
              <w:t>LOBO (RBS)</w:t>
            </w:r>
          </w:p>
        </w:tc>
        <w:tc>
          <w:tcPr>
            <w:tcW w:w="1170" w:type="dxa"/>
          </w:tcPr>
          <w:p w:rsidR="002E1515" w:rsidRDefault="002E1515" w:rsidP="002E1515">
            <w:pPr>
              <w:tabs>
                <w:tab w:val="decimal" w:pos="882"/>
              </w:tabs>
              <w:spacing w:after="120"/>
              <w:rPr>
                <w:sz w:val="20"/>
              </w:rPr>
            </w:pPr>
            <w:r>
              <w:rPr>
                <w:sz w:val="20"/>
              </w:rPr>
              <w:t>50.</w:t>
            </w:r>
            <w:r w:rsidR="00007636">
              <w:rPr>
                <w:sz w:val="20"/>
              </w:rPr>
              <w:t>000</w:t>
            </w:r>
          </w:p>
        </w:tc>
        <w:tc>
          <w:tcPr>
            <w:tcW w:w="795" w:type="dxa"/>
          </w:tcPr>
          <w:p w:rsidR="002E1515" w:rsidRDefault="002E1515" w:rsidP="002E1515">
            <w:pPr>
              <w:tabs>
                <w:tab w:val="decimal" w:pos="288"/>
              </w:tabs>
              <w:spacing w:after="120"/>
              <w:rPr>
                <w:sz w:val="20"/>
              </w:rPr>
            </w:pPr>
            <w:r>
              <w:rPr>
                <w:sz w:val="20"/>
              </w:rPr>
              <w:t>6.32</w:t>
            </w:r>
          </w:p>
        </w:tc>
        <w:tc>
          <w:tcPr>
            <w:tcW w:w="1275" w:type="dxa"/>
          </w:tcPr>
          <w:p w:rsidR="002E1515" w:rsidRDefault="002E1515" w:rsidP="002E1515">
            <w:pPr>
              <w:tabs>
                <w:tab w:val="decimal" w:pos="882"/>
              </w:tabs>
              <w:spacing w:after="120"/>
              <w:rPr>
                <w:sz w:val="20"/>
              </w:rPr>
            </w:pPr>
          </w:p>
        </w:tc>
        <w:tc>
          <w:tcPr>
            <w:tcW w:w="1276" w:type="dxa"/>
          </w:tcPr>
          <w:p w:rsidR="002E1515" w:rsidRDefault="002E1515" w:rsidP="002E1515">
            <w:pPr>
              <w:tabs>
                <w:tab w:val="decimal" w:pos="834"/>
              </w:tabs>
              <w:spacing w:after="120"/>
              <w:rPr>
                <w:sz w:val="20"/>
              </w:rPr>
            </w:pPr>
          </w:p>
        </w:tc>
        <w:tc>
          <w:tcPr>
            <w:tcW w:w="1260" w:type="dxa"/>
            <w:gridSpan w:val="2"/>
          </w:tcPr>
          <w:p w:rsidR="002E1515" w:rsidRDefault="002E1515" w:rsidP="002E1515">
            <w:pPr>
              <w:tabs>
                <w:tab w:val="decimal" w:pos="882"/>
              </w:tabs>
              <w:spacing w:after="120"/>
              <w:rPr>
                <w:sz w:val="20"/>
              </w:rPr>
            </w:pPr>
            <w:r>
              <w:rPr>
                <w:sz w:val="20"/>
              </w:rPr>
              <w:t>5</w:t>
            </w:r>
            <w:r w:rsidR="00007636">
              <w:rPr>
                <w:sz w:val="20"/>
              </w:rPr>
              <w:t>0</w:t>
            </w:r>
            <w:r>
              <w:rPr>
                <w:sz w:val="20"/>
              </w:rPr>
              <w:t>.</w:t>
            </w:r>
            <w:r w:rsidR="00007636">
              <w:rPr>
                <w:sz w:val="20"/>
              </w:rPr>
              <w:t>000</w:t>
            </w:r>
          </w:p>
        </w:tc>
        <w:tc>
          <w:tcPr>
            <w:tcW w:w="810" w:type="dxa"/>
          </w:tcPr>
          <w:p w:rsidR="002E1515" w:rsidRDefault="002E1515" w:rsidP="002E1515">
            <w:pPr>
              <w:tabs>
                <w:tab w:val="decimal" w:pos="288"/>
              </w:tabs>
              <w:spacing w:after="120"/>
              <w:rPr>
                <w:sz w:val="20"/>
              </w:rPr>
            </w:pPr>
            <w:r>
              <w:rPr>
                <w:sz w:val="20"/>
              </w:rPr>
              <w:t>6.3</w:t>
            </w:r>
            <w:r w:rsidR="00007636">
              <w:rPr>
                <w:sz w:val="20"/>
              </w:rPr>
              <w:t>2</w:t>
            </w:r>
          </w:p>
        </w:tc>
      </w:tr>
      <w:tr w:rsidR="002E1515" w:rsidTr="002E1515">
        <w:tc>
          <w:tcPr>
            <w:tcW w:w="2538" w:type="dxa"/>
          </w:tcPr>
          <w:p w:rsidR="002E1515" w:rsidRDefault="002E1515" w:rsidP="002E1515">
            <w:pPr>
              <w:spacing w:after="120"/>
              <w:rPr>
                <w:sz w:val="20"/>
              </w:rPr>
            </w:pPr>
            <w:r>
              <w:rPr>
                <w:sz w:val="20"/>
              </w:rPr>
              <w:t>Local Bonds</w:t>
            </w:r>
          </w:p>
        </w:tc>
        <w:tc>
          <w:tcPr>
            <w:tcW w:w="1170" w:type="dxa"/>
          </w:tcPr>
          <w:p w:rsidR="002E1515" w:rsidRDefault="002E1515" w:rsidP="002E1515">
            <w:pPr>
              <w:tabs>
                <w:tab w:val="decimal" w:pos="882"/>
              </w:tabs>
              <w:spacing w:after="120"/>
              <w:rPr>
                <w:sz w:val="20"/>
              </w:rPr>
            </w:pPr>
            <w:r>
              <w:rPr>
                <w:sz w:val="20"/>
              </w:rPr>
              <w:t>0.022</w:t>
            </w:r>
          </w:p>
        </w:tc>
        <w:tc>
          <w:tcPr>
            <w:tcW w:w="795" w:type="dxa"/>
          </w:tcPr>
          <w:p w:rsidR="002E1515" w:rsidRDefault="002E1515" w:rsidP="002E1515">
            <w:pPr>
              <w:tabs>
                <w:tab w:val="decimal" w:pos="288"/>
              </w:tabs>
              <w:spacing w:after="120"/>
              <w:rPr>
                <w:sz w:val="20"/>
              </w:rPr>
            </w:pPr>
            <w:r>
              <w:rPr>
                <w:sz w:val="20"/>
              </w:rPr>
              <w:t>0.00</w:t>
            </w:r>
          </w:p>
        </w:tc>
        <w:tc>
          <w:tcPr>
            <w:tcW w:w="1275" w:type="dxa"/>
          </w:tcPr>
          <w:p w:rsidR="002E1515" w:rsidRDefault="002E1515" w:rsidP="002E1515">
            <w:pPr>
              <w:tabs>
                <w:tab w:val="decimal" w:pos="882"/>
              </w:tabs>
              <w:spacing w:after="120"/>
              <w:rPr>
                <w:sz w:val="20"/>
              </w:rPr>
            </w:pPr>
          </w:p>
        </w:tc>
        <w:tc>
          <w:tcPr>
            <w:tcW w:w="1276" w:type="dxa"/>
          </w:tcPr>
          <w:p w:rsidR="002E1515" w:rsidRDefault="002E1515" w:rsidP="002E1515">
            <w:pPr>
              <w:tabs>
                <w:tab w:val="decimal" w:pos="834"/>
              </w:tabs>
              <w:spacing w:after="120"/>
              <w:rPr>
                <w:sz w:val="20"/>
              </w:rPr>
            </w:pPr>
          </w:p>
        </w:tc>
        <w:tc>
          <w:tcPr>
            <w:tcW w:w="1260" w:type="dxa"/>
            <w:gridSpan w:val="2"/>
          </w:tcPr>
          <w:p w:rsidR="002E1515" w:rsidRDefault="002E1515" w:rsidP="002E1515">
            <w:pPr>
              <w:tabs>
                <w:tab w:val="decimal" w:pos="882"/>
              </w:tabs>
              <w:spacing w:after="120"/>
              <w:rPr>
                <w:sz w:val="20"/>
              </w:rPr>
            </w:pPr>
            <w:r>
              <w:rPr>
                <w:sz w:val="20"/>
              </w:rPr>
              <w:t>0.022</w:t>
            </w:r>
          </w:p>
        </w:tc>
        <w:tc>
          <w:tcPr>
            <w:tcW w:w="810" w:type="dxa"/>
          </w:tcPr>
          <w:p w:rsidR="002E1515" w:rsidRDefault="002E1515" w:rsidP="002E1515">
            <w:pPr>
              <w:tabs>
                <w:tab w:val="decimal" w:pos="288"/>
              </w:tabs>
              <w:spacing w:after="120"/>
              <w:rPr>
                <w:sz w:val="20"/>
              </w:rPr>
            </w:pPr>
            <w:r>
              <w:rPr>
                <w:sz w:val="20"/>
              </w:rPr>
              <w:t>0.00</w:t>
            </w:r>
          </w:p>
        </w:tc>
      </w:tr>
      <w:tr w:rsidR="002E1515" w:rsidTr="002E1515">
        <w:tc>
          <w:tcPr>
            <w:tcW w:w="2538" w:type="dxa"/>
          </w:tcPr>
          <w:p w:rsidR="002E1515" w:rsidRDefault="002E1515" w:rsidP="002E1515">
            <w:pPr>
              <w:spacing w:after="120"/>
              <w:rPr>
                <w:sz w:val="20"/>
              </w:rPr>
            </w:pPr>
            <w:r>
              <w:rPr>
                <w:sz w:val="20"/>
              </w:rPr>
              <w:t>Short term Market Borrowing</w:t>
            </w:r>
          </w:p>
        </w:tc>
        <w:tc>
          <w:tcPr>
            <w:tcW w:w="1170" w:type="dxa"/>
          </w:tcPr>
          <w:p w:rsidR="002E1515" w:rsidRDefault="002E1515" w:rsidP="002E1515">
            <w:pPr>
              <w:tabs>
                <w:tab w:val="decimal" w:pos="882"/>
              </w:tabs>
              <w:spacing w:after="120"/>
              <w:rPr>
                <w:sz w:val="20"/>
              </w:rPr>
            </w:pPr>
            <w:r>
              <w:rPr>
                <w:sz w:val="20"/>
              </w:rPr>
              <w:t>285.200</w:t>
            </w:r>
          </w:p>
        </w:tc>
        <w:tc>
          <w:tcPr>
            <w:tcW w:w="795" w:type="dxa"/>
          </w:tcPr>
          <w:p w:rsidR="002E1515" w:rsidRDefault="002E1515" w:rsidP="002E1515">
            <w:pPr>
              <w:tabs>
                <w:tab w:val="decimal" w:pos="288"/>
              </w:tabs>
              <w:spacing w:after="120"/>
              <w:rPr>
                <w:sz w:val="20"/>
              </w:rPr>
            </w:pPr>
            <w:r>
              <w:rPr>
                <w:sz w:val="20"/>
              </w:rPr>
              <w:t>35.76</w:t>
            </w:r>
          </w:p>
        </w:tc>
        <w:tc>
          <w:tcPr>
            <w:tcW w:w="1275" w:type="dxa"/>
          </w:tcPr>
          <w:p w:rsidR="002E1515" w:rsidRDefault="002E1515" w:rsidP="002E1515">
            <w:pPr>
              <w:tabs>
                <w:tab w:val="decimal" w:pos="882"/>
              </w:tabs>
              <w:spacing w:after="120"/>
              <w:rPr>
                <w:sz w:val="20"/>
              </w:rPr>
            </w:pPr>
            <w:r>
              <w:rPr>
                <w:sz w:val="20"/>
              </w:rPr>
              <w:t>1,305.835</w:t>
            </w:r>
          </w:p>
        </w:tc>
        <w:tc>
          <w:tcPr>
            <w:tcW w:w="1276" w:type="dxa"/>
          </w:tcPr>
          <w:p w:rsidR="002E1515" w:rsidRDefault="002E1515" w:rsidP="002E1515">
            <w:pPr>
              <w:tabs>
                <w:tab w:val="decimal" w:pos="834"/>
              </w:tabs>
              <w:spacing w:after="120"/>
              <w:rPr>
                <w:sz w:val="20"/>
              </w:rPr>
            </w:pPr>
            <w:r>
              <w:rPr>
                <w:sz w:val="20"/>
              </w:rPr>
              <w:t>1,286.435</w:t>
            </w:r>
          </w:p>
        </w:tc>
        <w:tc>
          <w:tcPr>
            <w:tcW w:w="1260" w:type="dxa"/>
            <w:gridSpan w:val="2"/>
          </w:tcPr>
          <w:p w:rsidR="002E1515" w:rsidRDefault="002E1515" w:rsidP="002E1515">
            <w:pPr>
              <w:tabs>
                <w:tab w:val="decimal" w:pos="882"/>
              </w:tabs>
              <w:spacing w:after="120"/>
              <w:rPr>
                <w:sz w:val="20"/>
              </w:rPr>
            </w:pPr>
            <w:r>
              <w:rPr>
                <w:sz w:val="20"/>
              </w:rPr>
              <w:t>304.600</w:t>
            </w:r>
          </w:p>
        </w:tc>
        <w:tc>
          <w:tcPr>
            <w:tcW w:w="810" w:type="dxa"/>
          </w:tcPr>
          <w:p w:rsidR="002E1515" w:rsidRDefault="002E1515" w:rsidP="002E1515">
            <w:pPr>
              <w:tabs>
                <w:tab w:val="decimal" w:pos="288"/>
              </w:tabs>
              <w:spacing w:after="120"/>
              <w:rPr>
                <w:sz w:val="20"/>
              </w:rPr>
            </w:pPr>
            <w:r>
              <w:rPr>
                <w:sz w:val="20"/>
              </w:rPr>
              <w:t>37.22</w:t>
            </w:r>
          </w:p>
        </w:tc>
      </w:tr>
      <w:tr w:rsidR="002E1515" w:rsidTr="002E1515">
        <w:tc>
          <w:tcPr>
            <w:tcW w:w="2538" w:type="dxa"/>
          </w:tcPr>
          <w:p w:rsidR="002E1515" w:rsidRDefault="002E1515" w:rsidP="002E1515">
            <w:pPr>
              <w:spacing w:after="120"/>
              <w:rPr>
                <w:b/>
                <w:sz w:val="20"/>
              </w:rPr>
            </w:pPr>
          </w:p>
        </w:tc>
        <w:tc>
          <w:tcPr>
            <w:tcW w:w="1170" w:type="dxa"/>
            <w:vAlign w:val="center"/>
          </w:tcPr>
          <w:p w:rsidR="002E1515" w:rsidRDefault="002E1515" w:rsidP="002E1515">
            <w:pPr>
              <w:pBdr>
                <w:top w:val="single" w:sz="4" w:space="1" w:color="auto"/>
              </w:pBdr>
              <w:tabs>
                <w:tab w:val="decimal" w:pos="870"/>
              </w:tabs>
              <w:spacing w:after="120"/>
              <w:rPr>
                <w:b/>
                <w:sz w:val="20"/>
              </w:rPr>
            </w:pPr>
            <w:r>
              <w:rPr>
                <w:b/>
                <w:sz w:val="20"/>
              </w:rPr>
              <w:t>549.264</w:t>
            </w:r>
          </w:p>
        </w:tc>
        <w:tc>
          <w:tcPr>
            <w:tcW w:w="795" w:type="dxa"/>
            <w:vAlign w:val="center"/>
          </w:tcPr>
          <w:p w:rsidR="002E1515" w:rsidRDefault="002E1515" w:rsidP="002E1515">
            <w:pPr>
              <w:pBdr>
                <w:top w:val="single" w:sz="4" w:space="1" w:color="auto"/>
              </w:pBdr>
              <w:tabs>
                <w:tab w:val="decimal" w:pos="288"/>
              </w:tabs>
              <w:spacing w:after="120"/>
              <w:rPr>
                <w:b/>
                <w:sz w:val="20"/>
              </w:rPr>
            </w:pPr>
          </w:p>
        </w:tc>
        <w:tc>
          <w:tcPr>
            <w:tcW w:w="1275" w:type="dxa"/>
            <w:vAlign w:val="center"/>
          </w:tcPr>
          <w:p w:rsidR="002E1515" w:rsidRDefault="002E1515" w:rsidP="002E1515">
            <w:pPr>
              <w:pBdr>
                <w:top w:val="single" w:sz="4" w:space="1" w:color="auto"/>
              </w:pBdr>
              <w:tabs>
                <w:tab w:val="decimal" w:pos="882"/>
              </w:tabs>
              <w:spacing w:after="120"/>
              <w:ind w:left="-265" w:firstLine="265"/>
              <w:rPr>
                <w:b/>
                <w:sz w:val="20"/>
              </w:rPr>
            </w:pPr>
            <w:r>
              <w:rPr>
                <w:b/>
                <w:sz w:val="20"/>
              </w:rPr>
              <w:t>1,307.057</w:t>
            </w:r>
          </w:p>
        </w:tc>
        <w:tc>
          <w:tcPr>
            <w:tcW w:w="1276" w:type="dxa"/>
            <w:vAlign w:val="center"/>
          </w:tcPr>
          <w:p w:rsidR="002E1515" w:rsidRDefault="002E1515" w:rsidP="002E1515">
            <w:pPr>
              <w:pBdr>
                <w:top w:val="single" w:sz="4" w:space="1" w:color="auto"/>
              </w:pBdr>
              <w:tabs>
                <w:tab w:val="decimal" w:pos="834"/>
              </w:tabs>
              <w:spacing w:after="120"/>
              <w:rPr>
                <w:b/>
                <w:sz w:val="20"/>
              </w:rPr>
            </w:pPr>
            <w:r>
              <w:rPr>
                <w:b/>
                <w:sz w:val="20"/>
              </w:rPr>
              <w:t>1,286.935</w:t>
            </w:r>
          </w:p>
        </w:tc>
        <w:tc>
          <w:tcPr>
            <w:tcW w:w="1260" w:type="dxa"/>
            <w:gridSpan w:val="2"/>
            <w:vAlign w:val="center"/>
          </w:tcPr>
          <w:p w:rsidR="002E1515" w:rsidRDefault="002E1515" w:rsidP="002E1515">
            <w:pPr>
              <w:pBdr>
                <w:top w:val="single" w:sz="4" w:space="1" w:color="auto"/>
              </w:pBdr>
              <w:tabs>
                <w:tab w:val="decimal" w:pos="870"/>
              </w:tabs>
              <w:spacing w:after="120"/>
              <w:rPr>
                <w:b/>
                <w:sz w:val="20"/>
              </w:rPr>
            </w:pPr>
            <w:r>
              <w:rPr>
                <w:b/>
                <w:sz w:val="20"/>
              </w:rPr>
              <w:t>569.386</w:t>
            </w:r>
          </w:p>
        </w:tc>
        <w:tc>
          <w:tcPr>
            <w:tcW w:w="810" w:type="dxa"/>
            <w:vAlign w:val="center"/>
          </w:tcPr>
          <w:p w:rsidR="002E1515" w:rsidRDefault="002E1515" w:rsidP="002E1515">
            <w:pPr>
              <w:pBdr>
                <w:top w:val="single" w:sz="4" w:space="1" w:color="auto"/>
              </w:pBdr>
              <w:tabs>
                <w:tab w:val="decimal" w:pos="288"/>
              </w:tabs>
              <w:spacing w:after="120"/>
              <w:rPr>
                <w:b/>
                <w:sz w:val="20"/>
              </w:rPr>
            </w:pPr>
          </w:p>
        </w:tc>
      </w:tr>
      <w:tr w:rsidR="002E1515" w:rsidTr="002E1515">
        <w:trPr>
          <w:cantSplit/>
        </w:trPr>
        <w:tc>
          <w:tcPr>
            <w:tcW w:w="3708" w:type="dxa"/>
            <w:gridSpan w:val="2"/>
          </w:tcPr>
          <w:p w:rsidR="002E1515" w:rsidRPr="00A31AA5" w:rsidRDefault="002E1515" w:rsidP="002E1515">
            <w:pPr>
              <w:pStyle w:val="Heading8"/>
              <w:spacing w:after="120"/>
              <w:rPr>
                <w:rFonts w:ascii="Arial" w:hAnsi="Arial" w:cs="Arial"/>
              </w:rPr>
            </w:pPr>
            <w:r w:rsidRPr="00A31AA5">
              <w:rPr>
                <w:rFonts w:ascii="Arial" w:hAnsi="Arial" w:cs="Arial"/>
              </w:rPr>
              <w:t>Variable Rate Funding</w:t>
            </w:r>
          </w:p>
        </w:tc>
        <w:tc>
          <w:tcPr>
            <w:tcW w:w="795" w:type="dxa"/>
            <w:vAlign w:val="center"/>
          </w:tcPr>
          <w:p w:rsidR="002E1515" w:rsidRDefault="002E1515" w:rsidP="002E1515">
            <w:pPr>
              <w:tabs>
                <w:tab w:val="decimal" w:pos="864"/>
              </w:tabs>
              <w:spacing w:after="120"/>
              <w:rPr>
                <w:sz w:val="20"/>
              </w:rPr>
            </w:pPr>
          </w:p>
        </w:tc>
        <w:tc>
          <w:tcPr>
            <w:tcW w:w="1275" w:type="dxa"/>
            <w:vAlign w:val="center"/>
          </w:tcPr>
          <w:p w:rsidR="002E1515" w:rsidRDefault="002E1515" w:rsidP="002E1515">
            <w:pPr>
              <w:tabs>
                <w:tab w:val="decimal" w:pos="288"/>
              </w:tabs>
              <w:spacing w:after="120"/>
              <w:rPr>
                <w:sz w:val="20"/>
              </w:rPr>
            </w:pPr>
          </w:p>
        </w:tc>
        <w:tc>
          <w:tcPr>
            <w:tcW w:w="1276" w:type="dxa"/>
            <w:vAlign w:val="center"/>
          </w:tcPr>
          <w:p w:rsidR="002E1515" w:rsidRDefault="002E1515" w:rsidP="002E1515">
            <w:pPr>
              <w:tabs>
                <w:tab w:val="decimal" w:pos="834"/>
                <w:tab w:val="decimal" w:pos="864"/>
              </w:tabs>
              <w:spacing w:after="120"/>
              <w:rPr>
                <w:sz w:val="20"/>
              </w:rPr>
            </w:pPr>
          </w:p>
        </w:tc>
        <w:tc>
          <w:tcPr>
            <w:tcW w:w="1260" w:type="dxa"/>
            <w:gridSpan w:val="2"/>
            <w:vAlign w:val="center"/>
          </w:tcPr>
          <w:p w:rsidR="002E1515" w:rsidRDefault="002E1515" w:rsidP="002E1515">
            <w:pPr>
              <w:tabs>
                <w:tab w:val="decimal" w:pos="864"/>
              </w:tabs>
              <w:spacing w:after="120"/>
              <w:rPr>
                <w:sz w:val="20"/>
              </w:rPr>
            </w:pPr>
          </w:p>
        </w:tc>
        <w:tc>
          <w:tcPr>
            <w:tcW w:w="810" w:type="dxa"/>
            <w:vAlign w:val="center"/>
          </w:tcPr>
          <w:p w:rsidR="002E1515" w:rsidRDefault="002E1515" w:rsidP="002E1515">
            <w:pPr>
              <w:tabs>
                <w:tab w:val="decimal" w:pos="288"/>
              </w:tabs>
              <w:spacing w:after="120"/>
              <w:rPr>
                <w:sz w:val="20"/>
              </w:rPr>
            </w:pPr>
          </w:p>
        </w:tc>
      </w:tr>
      <w:tr w:rsidR="002E1515" w:rsidTr="002E1515">
        <w:tc>
          <w:tcPr>
            <w:tcW w:w="2538" w:type="dxa"/>
          </w:tcPr>
          <w:p w:rsidR="002E1515" w:rsidRDefault="002E1515" w:rsidP="002E1515">
            <w:pPr>
              <w:spacing w:after="120"/>
              <w:rPr>
                <w:sz w:val="20"/>
              </w:rPr>
            </w:pPr>
            <w:r>
              <w:rPr>
                <w:sz w:val="20"/>
              </w:rPr>
              <w:t>Public Works Loan Board</w:t>
            </w:r>
          </w:p>
        </w:tc>
        <w:tc>
          <w:tcPr>
            <w:tcW w:w="1170" w:type="dxa"/>
            <w:vAlign w:val="center"/>
          </w:tcPr>
          <w:p w:rsidR="002E1515" w:rsidRDefault="002E1515" w:rsidP="002E1515">
            <w:pPr>
              <w:tabs>
                <w:tab w:val="decimal" w:pos="870"/>
              </w:tabs>
              <w:spacing w:after="120"/>
              <w:rPr>
                <w:sz w:val="20"/>
              </w:rPr>
            </w:pPr>
            <w:r>
              <w:rPr>
                <w:sz w:val="20"/>
              </w:rPr>
              <w:t>195.750</w:t>
            </w:r>
          </w:p>
        </w:tc>
        <w:tc>
          <w:tcPr>
            <w:tcW w:w="795" w:type="dxa"/>
            <w:vAlign w:val="center"/>
          </w:tcPr>
          <w:p w:rsidR="002E1515" w:rsidRDefault="002E1515" w:rsidP="002E1515">
            <w:pPr>
              <w:tabs>
                <w:tab w:val="decimal" w:pos="288"/>
              </w:tabs>
              <w:spacing w:after="120"/>
              <w:rPr>
                <w:sz w:val="20"/>
              </w:rPr>
            </w:pPr>
            <w:r>
              <w:rPr>
                <w:sz w:val="20"/>
              </w:rPr>
              <w:t>24.55</w:t>
            </w:r>
          </w:p>
        </w:tc>
        <w:tc>
          <w:tcPr>
            <w:tcW w:w="1275" w:type="dxa"/>
            <w:vAlign w:val="center"/>
          </w:tcPr>
          <w:p w:rsidR="002E1515" w:rsidRDefault="002E1515" w:rsidP="002E1515">
            <w:pPr>
              <w:tabs>
                <w:tab w:val="decimal" w:pos="882"/>
              </w:tabs>
              <w:spacing w:after="120"/>
              <w:rPr>
                <w:sz w:val="20"/>
              </w:rPr>
            </w:pPr>
            <w:r>
              <w:rPr>
                <w:sz w:val="20"/>
              </w:rPr>
              <w:t>0</w:t>
            </w:r>
          </w:p>
        </w:tc>
        <w:tc>
          <w:tcPr>
            <w:tcW w:w="1276" w:type="dxa"/>
            <w:vAlign w:val="center"/>
          </w:tcPr>
          <w:p w:rsidR="002E1515" w:rsidRPr="001F014D" w:rsidRDefault="002E1515" w:rsidP="002E1515">
            <w:pPr>
              <w:tabs>
                <w:tab w:val="decimal" w:pos="870"/>
              </w:tabs>
              <w:spacing w:after="120"/>
              <w:rPr>
                <w:sz w:val="20"/>
              </w:rPr>
            </w:pPr>
            <w:r>
              <w:rPr>
                <w:sz w:val="20"/>
              </w:rPr>
              <w:t>10.000</w:t>
            </w:r>
          </w:p>
        </w:tc>
        <w:tc>
          <w:tcPr>
            <w:tcW w:w="1260" w:type="dxa"/>
            <w:gridSpan w:val="2"/>
            <w:vAlign w:val="center"/>
          </w:tcPr>
          <w:p w:rsidR="002E1515" w:rsidRDefault="002E1515" w:rsidP="002E1515">
            <w:pPr>
              <w:tabs>
                <w:tab w:val="decimal" w:pos="884"/>
              </w:tabs>
              <w:spacing w:after="120"/>
              <w:rPr>
                <w:sz w:val="20"/>
              </w:rPr>
            </w:pPr>
            <w:r>
              <w:rPr>
                <w:sz w:val="20"/>
              </w:rPr>
              <w:t>185.750</w:t>
            </w:r>
          </w:p>
        </w:tc>
        <w:tc>
          <w:tcPr>
            <w:tcW w:w="810" w:type="dxa"/>
            <w:vAlign w:val="center"/>
          </w:tcPr>
          <w:p w:rsidR="002E1515" w:rsidRDefault="002E1515" w:rsidP="002E1515">
            <w:pPr>
              <w:tabs>
                <w:tab w:val="decimal" w:pos="288"/>
              </w:tabs>
              <w:spacing w:after="120"/>
              <w:rPr>
                <w:sz w:val="20"/>
              </w:rPr>
            </w:pPr>
            <w:r>
              <w:rPr>
                <w:sz w:val="20"/>
              </w:rPr>
              <w:t>22.70</w:t>
            </w:r>
          </w:p>
        </w:tc>
      </w:tr>
      <w:tr w:rsidR="002E1515" w:rsidTr="002E1515">
        <w:tc>
          <w:tcPr>
            <w:tcW w:w="2538" w:type="dxa"/>
          </w:tcPr>
          <w:p w:rsidR="002E1515" w:rsidRDefault="002E1515" w:rsidP="002E1515">
            <w:pPr>
              <w:spacing w:after="120"/>
              <w:rPr>
                <w:sz w:val="20"/>
              </w:rPr>
            </w:pPr>
            <w:r>
              <w:rPr>
                <w:sz w:val="20"/>
              </w:rPr>
              <w:t>Shared Investment Scheme</w:t>
            </w:r>
          </w:p>
        </w:tc>
        <w:tc>
          <w:tcPr>
            <w:tcW w:w="1170" w:type="dxa"/>
            <w:vAlign w:val="center"/>
          </w:tcPr>
          <w:p w:rsidR="002E1515" w:rsidRDefault="002E1515" w:rsidP="002E1515">
            <w:pPr>
              <w:tabs>
                <w:tab w:val="decimal" w:pos="870"/>
              </w:tabs>
              <w:spacing w:after="120"/>
              <w:rPr>
                <w:sz w:val="20"/>
              </w:rPr>
            </w:pPr>
            <w:r>
              <w:rPr>
                <w:sz w:val="20"/>
              </w:rPr>
              <w:t>52.499</w:t>
            </w:r>
          </w:p>
        </w:tc>
        <w:tc>
          <w:tcPr>
            <w:tcW w:w="795" w:type="dxa"/>
            <w:vAlign w:val="center"/>
          </w:tcPr>
          <w:p w:rsidR="002E1515" w:rsidRDefault="002E1515" w:rsidP="002E1515">
            <w:pPr>
              <w:tabs>
                <w:tab w:val="decimal" w:pos="288"/>
              </w:tabs>
              <w:spacing w:after="120"/>
              <w:rPr>
                <w:sz w:val="20"/>
              </w:rPr>
            </w:pPr>
            <w:r>
              <w:rPr>
                <w:sz w:val="20"/>
              </w:rPr>
              <w:t>6.59</w:t>
            </w:r>
          </w:p>
        </w:tc>
        <w:tc>
          <w:tcPr>
            <w:tcW w:w="1275" w:type="dxa"/>
            <w:vAlign w:val="center"/>
          </w:tcPr>
          <w:p w:rsidR="002E1515" w:rsidRDefault="002E1515" w:rsidP="002E1515">
            <w:pPr>
              <w:tabs>
                <w:tab w:val="decimal" w:pos="882"/>
              </w:tabs>
              <w:spacing w:after="120"/>
              <w:rPr>
                <w:sz w:val="20"/>
              </w:rPr>
            </w:pPr>
            <w:r>
              <w:rPr>
                <w:sz w:val="20"/>
              </w:rPr>
              <w:t>425.718</w:t>
            </w:r>
          </w:p>
        </w:tc>
        <w:tc>
          <w:tcPr>
            <w:tcW w:w="1276" w:type="dxa"/>
            <w:vAlign w:val="center"/>
          </w:tcPr>
          <w:p w:rsidR="002E1515" w:rsidRDefault="002E1515" w:rsidP="002E1515">
            <w:pPr>
              <w:tabs>
                <w:tab w:val="decimal" w:pos="870"/>
              </w:tabs>
              <w:spacing w:after="120"/>
              <w:rPr>
                <w:sz w:val="20"/>
              </w:rPr>
            </w:pPr>
            <w:r>
              <w:rPr>
                <w:sz w:val="20"/>
              </w:rPr>
              <w:t>414.963</w:t>
            </w:r>
          </w:p>
        </w:tc>
        <w:tc>
          <w:tcPr>
            <w:tcW w:w="1260" w:type="dxa"/>
            <w:gridSpan w:val="2"/>
            <w:vAlign w:val="center"/>
          </w:tcPr>
          <w:p w:rsidR="002E1515" w:rsidRDefault="002E1515" w:rsidP="002E1515">
            <w:pPr>
              <w:tabs>
                <w:tab w:val="decimal" w:pos="870"/>
              </w:tabs>
              <w:spacing w:after="120"/>
              <w:rPr>
                <w:sz w:val="20"/>
              </w:rPr>
            </w:pPr>
            <w:r>
              <w:rPr>
                <w:sz w:val="20"/>
              </w:rPr>
              <w:t>63.254</w:t>
            </w:r>
          </w:p>
        </w:tc>
        <w:tc>
          <w:tcPr>
            <w:tcW w:w="810" w:type="dxa"/>
            <w:vAlign w:val="center"/>
          </w:tcPr>
          <w:p w:rsidR="002E1515" w:rsidRDefault="002E1515" w:rsidP="002E1515">
            <w:pPr>
              <w:tabs>
                <w:tab w:val="decimal" w:pos="288"/>
              </w:tabs>
              <w:spacing w:after="120"/>
              <w:rPr>
                <w:sz w:val="20"/>
              </w:rPr>
            </w:pPr>
            <w:r>
              <w:rPr>
                <w:sz w:val="20"/>
              </w:rPr>
              <w:t>7.73</w:t>
            </w:r>
          </w:p>
        </w:tc>
      </w:tr>
      <w:tr w:rsidR="002E1515" w:rsidTr="002E1515">
        <w:tc>
          <w:tcPr>
            <w:tcW w:w="2538" w:type="dxa"/>
          </w:tcPr>
          <w:p w:rsidR="002E1515" w:rsidRDefault="002E1515" w:rsidP="002E1515">
            <w:pPr>
              <w:spacing w:after="120"/>
              <w:rPr>
                <w:sz w:val="20"/>
              </w:rPr>
            </w:pPr>
          </w:p>
        </w:tc>
        <w:tc>
          <w:tcPr>
            <w:tcW w:w="1170" w:type="dxa"/>
            <w:vAlign w:val="center"/>
          </w:tcPr>
          <w:p w:rsidR="002E1515" w:rsidRDefault="002E1515" w:rsidP="002E1515">
            <w:pPr>
              <w:pBdr>
                <w:top w:val="single" w:sz="4" w:space="1" w:color="auto"/>
              </w:pBdr>
              <w:tabs>
                <w:tab w:val="decimal" w:pos="870"/>
              </w:tabs>
              <w:spacing w:after="120"/>
              <w:rPr>
                <w:b/>
                <w:sz w:val="20"/>
              </w:rPr>
            </w:pPr>
            <w:r>
              <w:rPr>
                <w:b/>
                <w:sz w:val="20"/>
              </w:rPr>
              <w:t>248.249</w:t>
            </w:r>
          </w:p>
        </w:tc>
        <w:tc>
          <w:tcPr>
            <w:tcW w:w="795" w:type="dxa"/>
            <w:vAlign w:val="center"/>
          </w:tcPr>
          <w:p w:rsidR="002E1515" w:rsidRDefault="002E1515" w:rsidP="002E1515">
            <w:pPr>
              <w:pBdr>
                <w:top w:val="single" w:sz="4" w:space="1" w:color="auto"/>
              </w:pBdr>
              <w:tabs>
                <w:tab w:val="decimal" w:pos="288"/>
              </w:tabs>
              <w:spacing w:after="120"/>
              <w:rPr>
                <w:b/>
                <w:sz w:val="20"/>
              </w:rPr>
            </w:pPr>
          </w:p>
        </w:tc>
        <w:tc>
          <w:tcPr>
            <w:tcW w:w="1275" w:type="dxa"/>
            <w:vAlign w:val="center"/>
          </w:tcPr>
          <w:p w:rsidR="002E1515" w:rsidRDefault="002E1515" w:rsidP="002E1515">
            <w:pPr>
              <w:pBdr>
                <w:top w:val="single" w:sz="4" w:space="1" w:color="auto"/>
              </w:pBdr>
              <w:tabs>
                <w:tab w:val="decimal" w:pos="882"/>
              </w:tabs>
              <w:spacing w:after="120"/>
              <w:ind w:left="-265" w:firstLine="265"/>
              <w:rPr>
                <w:b/>
                <w:sz w:val="20"/>
              </w:rPr>
            </w:pPr>
            <w:r>
              <w:rPr>
                <w:b/>
                <w:sz w:val="20"/>
              </w:rPr>
              <w:t>425.718</w:t>
            </w:r>
          </w:p>
        </w:tc>
        <w:tc>
          <w:tcPr>
            <w:tcW w:w="1276" w:type="dxa"/>
            <w:vAlign w:val="center"/>
          </w:tcPr>
          <w:p w:rsidR="002E1515" w:rsidRDefault="002E1515" w:rsidP="002E1515">
            <w:pPr>
              <w:pBdr>
                <w:top w:val="single" w:sz="4" w:space="1" w:color="auto"/>
              </w:pBdr>
              <w:tabs>
                <w:tab w:val="decimal" w:pos="834"/>
              </w:tabs>
              <w:spacing w:after="120"/>
              <w:rPr>
                <w:b/>
                <w:sz w:val="20"/>
              </w:rPr>
            </w:pPr>
            <w:r>
              <w:rPr>
                <w:b/>
                <w:sz w:val="20"/>
              </w:rPr>
              <w:t>424.963</w:t>
            </w:r>
          </w:p>
        </w:tc>
        <w:tc>
          <w:tcPr>
            <w:tcW w:w="1260" w:type="dxa"/>
            <w:gridSpan w:val="2"/>
            <w:vAlign w:val="center"/>
          </w:tcPr>
          <w:p w:rsidR="002E1515" w:rsidRDefault="002E1515" w:rsidP="002E1515">
            <w:pPr>
              <w:pBdr>
                <w:top w:val="single" w:sz="4" w:space="1" w:color="auto"/>
              </w:pBdr>
              <w:tabs>
                <w:tab w:val="decimal" w:pos="870"/>
              </w:tabs>
              <w:spacing w:after="120"/>
              <w:rPr>
                <w:b/>
                <w:sz w:val="20"/>
              </w:rPr>
            </w:pPr>
            <w:r>
              <w:rPr>
                <w:b/>
                <w:sz w:val="20"/>
              </w:rPr>
              <w:t>249.004</w:t>
            </w:r>
          </w:p>
        </w:tc>
        <w:tc>
          <w:tcPr>
            <w:tcW w:w="810" w:type="dxa"/>
            <w:vAlign w:val="center"/>
          </w:tcPr>
          <w:p w:rsidR="002E1515" w:rsidRDefault="002E1515" w:rsidP="002E1515">
            <w:pPr>
              <w:pBdr>
                <w:top w:val="single" w:sz="4" w:space="1" w:color="auto"/>
              </w:pBdr>
              <w:tabs>
                <w:tab w:val="decimal" w:pos="288"/>
              </w:tabs>
              <w:spacing w:after="120"/>
              <w:rPr>
                <w:b/>
                <w:sz w:val="20"/>
              </w:rPr>
            </w:pPr>
          </w:p>
        </w:tc>
      </w:tr>
      <w:tr w:rsidR="002E1515" w:rsidTr="002E1515">
        <w:tc>
          <w:tcPr>
            <w:tcW w:w="2538" w:type="dxa"/>
          </w:tcPr>
          <w:p w:rsidR="002E1515" w:rsidRDefault="002E1515" w:rsidP="002E1515">
            <w:pPr>
              <w:spacing w:after="120"/>
              <w:rPr>
                <w:sz w:val="20"/>
              </w:rPr>
            </w:pPr>
          </w:p>
        </w:tc>
        <w:tc>
          <w:tcPr>
            <w:tcW w:w="1170" w:type="dxa"/>
            <w:vAlign w:val="center"/>
          </w:tcPr>
          <w:p w:rsidR="002E1515" w:rsidRDefault="002E1515" w:rsidP="002E1515">
            <w:pPr>
              <w:tabs>
                <w:tab w:val="decimal" w:pos="870"/>
              </w:tabs>
              <w:spacing w:after="120"/>
              <w:rPr>
                <w:sz w:val="20"/>
              </w:rPr>
            </w:pPr>
          </w:p>
        </w:tc>
        <w:tc>
          <w:tcPr>
            <w:tcW w:w="795" w:type="dxa"/>
            <w:vAlign w:val="center"/>
          </w:tcPr>
          <w:p w:rsidR="002E1515" w:rsidRDefault="002E1515" w:rsidP="002E1515">
            <w:pPr>
              <w:tabs>
                <w:tab w:val="decimal" w:pos="288"/>
              </w:tabs>
              <w:spacing w:after="120"/>
              <w:rPr>
                <w:sz w:val="20"/>
              </w:rPr>
            </w:pPr>
          </w:p>
        </w:tc>
        <w:tc>
          <w:tcPr>
            <w:tcW w:w="1275" w:type="dxa"/>
            <w:vAlign w:val="center"/>
          </w:tcPr>
          <w:p w:rsidR="002E1515" w:rsidRDefault="002E1515" w:rsidP="002E1515">
            <w:pPr>
              <w:tabs>
                <w:tab w:val="decimal" w:pos="882"/>
              </w:tabs>
              <w:spacing w:after="120"/>
              <w:rPr>
                <w:sz w:val="20"/>
              </w:rPr>
            </w:pPr>
          </w:p>
        </w:tc>
        <w:tc>
          <w:tcPr>
            <w:tcW w:w="1276" w:type="dxa"/>
            <w:vAlign w:val="center"/>
          </w:tcPr>
          <w:p w:rsidR="002E1515" w:rsidRDefault="002E1515" w:rsidP="002E1515">
            <w:pPr>
              <w:tabs>
                <w:tab w:val="decimal" w:pos="870"/>
              </w:tabs>
              <w:spacing w:after="120"/>
              <w:rPr>
                <w:sz w:val="20"/>
              </w:rPr>
            </w:pPr>
          </w:p>
        </w:tc>
        <w:tc>
          <w:tcPr>
            <w:tcW w:w="1260" w:type="dxa"/>
            <w:gridSpan w:val="2"/>
            <w:vAlign w:val="center"/>
          </w:tcPr>
          <w:p w:rsidR="002E1515" w:rsidRDefault="002E1515" w:rsidP="002E1515">
            <w:pPr>
              <w:tabs>
                <w:tab w:val="decimal" w:pos="870"/>
              </w:tabs>
              <w:spacing w:after="120"/>
              <w:rPr>
                <w:sz w:val="20"/>
              </w:rPr>
            </w:pPr>
          </w:p>
        </w:tc>
        <w:tc>
          <w:tcPr>
            <w:tcW w:w="810" w:type="dxa"/>
            <w:vAlign w:val="center"/>
          </w:tcPr>
          <w:p w:rsidR="002E1515" w:rsidRDefault="002E1515" w:rsidP="002E1515">
            <w:pPr>
              <w:tabs>
                <w:tab w:val="decimal" w:pos="288"/>
              </w:tabs>
              <w:spacing w:after="120"/>
              <w:rPr>
                <w:sz w:val="20"/>
              </w:rPr>
            </w:pPr>
          </w:p>
        </w:tc>
      </w:tr>
      <w:tr w:rsidR="002E1515" w:rsidTr="002E1515">
        <w:tc>
          <w:tcPr>
            <w:tcW w:w="2538" w:type="dxa"/>
          </w:tcPr>
          <w:p w:rsidR="002E1515" w:rsidRDefault="002E1515" w:rsidP="002E1515">
            <w:pPr>
              <w:spacing w:after="120"/>
              <w:rPr>
                <w:b/>
                <w:sz w:val="20"/>
              </w:rPr>
            </w:pPr>
            <w:r>
              <w:rPr>
                <w:b/>
                <w:sz w:val="20"/>
              </w:rPr>
              <w:t xml:space="preserve">Loan Debt Administered by the </w:t>
            </w:r>
            <w:r w:rsidR="001F1A1A">
              <w:rPr>
                <w:b/>
                <w:sz w:val="20"/>
              </w:rPr>
              <w:t>County Council</w:t>
            </w:r>
          </w:p>
        </w:tc>
        <w:tc>
          <w:tcPr>
            <w:tcW w:w="1170" w:type="dxa"/>
            <w:tcBorders>
              <w:top w:val="nil"/>
              <w:bottom w:val="single" w:sz="4" w:space="0" w:color="auto"/>
            </w:tcBorders>
            <w:vAlign w:val="center"/>
          </w:tcPr>
          <w:p w:rsidR="002E1515" w:rsidRDefault="002E1515" w:rsidP="002E1515">
            <w:pPr>
              <w:pBdr>
                <w:top w:val="single" w:sz="4" w:space="1" w:color="auto"/>
              </w:pBdr>
              <w:tabs>
                <w:tab w:val="decimal" w:pos="870"/>
              </w:tabs>
              <w:rPr>
                <w:b/>
                <w:sz w:val="20"/>
              </w:rPr>
            </w:pPr>
            <w:r>
              <w:rPr>
                <w:b/>
                <w:sz w:val="20"/>
              </w:rPr>
              <w:t>797.513</w:t>
            </w:r>
          </w:p>
        </w:tc>
        <w:tc>
          <w:tcPr>
            <w:tcW w:w="795" w:type="dxa"/>
            <w:vAlign w:val="center"/>
          </w:tcPr>
          <w:p w:rsidR="002E1515" w:rsidRDefault="002E1515" w:rsidP="002E1515">
            <w:pPr>
              <w:pBdr>
                <w:top w:val="single" w:sz="4" w:space="1" w:color="auto"/>
              </w:pBdr>
              <w:jc w:val="center"/>
              <w:rPr>
                <w:b/>
                <w:sz w:val="20"/>
              </w:rPr>
            </w:pPr>
            <w:r>
              <w:rPr>
                <w:b/>
                <w:sz w:val="20"/>
              </w:rPr>
              <w:t>100.0</w:t>
            </w:r>
          </w:p>
        </w:tc>
        <w:tc>
          <w:tcPr>
            <w:tcW w:w="1275" w:type="dxa"/>
            <w:vAlign w:val="center"/>
          </w:tcPr>
          <w:p w:rsidR="002E1515" w:rsidRDefault="002E1515" w:rsidP="002E1515">
            <w:pPr>
              <w:pBdr>
                <w:top w:val="single" w:sz="4" w:space="1" w:color="auto"/>
              </w:pBdr>
              <w:tabs>
                <w:tab w:val="decimal" w:pos="882"/>
              </w:tabs>
              <w:rPr>
                <w:b/>
                <w:sz w:val="20"/>
              </w:rPr>
            </w:pPr>
            <w:r>
              <w:rPr>
                <w:b/>
                <w:sz w:val="20"/>
              </w:rPr>
              <w:t>1,732.775</w:t>
            </w:r>
          </w:p>
        </w:tc>
        <w:tc>
          <w:tcPr>
            <w:tcW w:w="1276" w:type="dxa"/>
            <w:tcBorders>
              <w:top w:val="nil"/>
              <w:bottom w:val="single" w:sz="4" w:space="0" w:color="auto"/>
            </w:tcBorders>
            <w:vAlign w:val="center"/>
          </w:tcPr>
          <w:p w:rsidR="002E1515" w:rsidRDefault="002E1515" w:rsidP="002E1515">
            <w:pPr>
              <w:pBdr>
                <w:top w:val="single" w:sz="4" w:space="1" w:color="auto"/>
              </w:pBdr>
              <w:tabs>
                <w:tab w:val="decimal" w:pos="834"/>
              </w:tabs>
              <w:rPr>
                <w:b/>
                <w:sz w:val="20"/>
              </w:rPr>
            </w:pPr>
            <w:r>
              <w:rPr>
                <w:b/>
                <w:sz w:val="20"/>
              </w:rPr>
              <w:t>1,711.898</w:t>
            </w:r>
          </w:p>
        </w:tc>
        <w:tc>
          <w:tcPr>
            <w:tcW w:w="1260" w:type="dxa"/>
            <w:gridSpan w:val="2"/>
            <w:tcBorders>
              <w:top w:val="nil"/>
              <w:bottom w:val="single" w:sz="4" w:space="0" w:color="auto"/>
            </w:tcBorders>
            <w:vAlign w:val="center"/>
          </w:tcPr>
          <w:p w:rsidR="002E1515" w:rsidRDefault="002E1515" w:rsidP="002E1515">
            <w:pPr>
              <w:pBdr>
                <w:top w:val="single" w:sz="4" w:space="1" w:color="auto"/>
              </w:pBdr>
              <w:tabs>
                <w:tab w:val="decimal" w:pos="870"/>
              </w:tabs>
              <w:rPr>
                <w:b/>
                <w:sz w:val="20"/>
              </w:rPr>
            </w:pPr>
            <w:r>
              <w:rPr>
                <w:b/>
                <w:sz w:val="20"/>
              </w:rPr>
              <w:t>818.390</w:t>
            </w:r>
          </w:p>
        </w:tc>
        <w:tc>
          <w:tcPr>
            <w:tcW w:w="810" w:type="dxa"/>
            <w:tcBorders>
              <w:top w:val="nil"/>
              <w:bottom w:val="single" w:sz="4" w:space="0" w:color="auto"/>
              <w:right w:val="single" w:sz="4" w:space="0" w:color="auto"/>
            </w:tcBorders>
            <w:vAlign w:val="center"/>
          </w:tcPr>
          <w:p w:rsidR="002E1515" w:rsidRDefault="002E1515" w:rsidP="002E1515">
            <w:pPr>
              <w:pBdr>
                <w:top w:val="single" w:sz="4" w:space="1" w:color="auto"/>
              </w:pBdr>
              <w:jc w:val="center"/>
              <w:rPr>
                <w:b/>
                <w:sz w:val="20"/>
              </w:rPr>
            </w:pPr>
            <w:r>
              <w:rPr>
                <w:b/>
                <w:sz w:val="20"/>
              </w:rPr>
              <w:t>100</w:t>
            </w:r>
          </w:p>
        </w:tc>
      </w:tr>
    </w:tbl>
    <w:p w:rsidR="002E1515" w:rsidRDefault="002E1515" w:rsidP="002E1515">
      <w:pPr>
        <w:ind w:right="-153"/>
      </w:pPr>
    </w:p>
    <w:p w:rsidR="002E1515" w:rsidRDefault="002E1515" w:rsidP="00E353CF">
      <w:pPr>
        <w:ind w:right="-153"/>
        <w:jc w:val="both"/>
      </w:pPr>
      <w:r>
        <w:t xml:space="preserve">The total loan debt administered by the </w:t>
      </w:r>
      <w:r w:rsidR="001F1A1A">
        <w:t>County Council</w:t>
      </w:r>
      <w:r>
        <w:t xml:space="preserve"> at 31 March 2012 of £818.390m </w:t>
      </w:r>
      <w:r w:rsidRPr="00CB3E84">
        <w:t xml:space="preserve">represents mainly borrowings over the years to finance the acquisition of the </w:t>
      </w:r>
      <w:r w:rsidR="001F1A1A">
        <w:t>County Council</w:t>
      </w:r>
      <w:r w:rsidRPr="00CB3E84">
        <w:t xml:space="preserve">’s fixed assets, which are currently valued at </w:t>
      </w:r>
      <w:r w:rsidRPr="002C4D79">
        <w:t>£2.648 billion</w:t>
      </w:r>
      <w:r w:rsidRPr="00CB3E84">
        <w:t>.</w:t>
      </w:r>
      <w:r>
        <w:t xml:space="preserve"> However, it includes £45.227m managed by the </w:t>
      </w:r>
      <w:r w:rsidR="001F1A1A">
        <w:t>County Council</w:t>
      </w:r>
      <w:r>
        <w:t xml:space="preserve"> on behalf of other local authorities and the Police Authority. This debt relates to assets transferred to those authorities in local government re-organisations and the financing charges are repaid to the </w:t>
      </w:r>
      <w:r w:rsidR="001F1A1A">
        <w:t>County Council</w:t>
      </w:r>
      <w:r>
        <w:t xml:space="preserve"> quarterly.  This leaves the net debt for which the </w:t>
      </w:r>
      <w:r w:rsidR="001F1A1A">
        <w:t>County Council</w:t>
      </w:r>
      <w:r>
        <w:t xml:space="preserve"> is responsible at £773.163m.</w:t>
      </w:r>
    </w:p>
    <w:p w:rsidR="002E1515" w:rsidRDefault="002E1515" w:rsidP="00E353CF">
      <w:pPr>
        <w:jc w:val="both"/>
      </w:pPr>
    </w:p>
    <w:p w:rsidR="002E1515" w:rsidRPr="00A45B0A" w:rsidRDefault="002E1515" w:rsidP="00E353CF">
      <w:pPr>
        <w:jc w:val="both"/>
      </w:pPr>
      <w:r>
        <w:t xml:space="preserve">Overall </w:t>
      </w:r>
      <w:r w:rsidRPr="00FD77BA">
        <w:t xml:space="preserve">the average rate of interest paid in </w:t>
      </w:r>
      <w:r w:rsidRPr="00FD77BA">
        <w:rPr>
          <w:caps/>
        </w:rPr>
        <w:t>201</w:t>
      </w:r>
      <w:r>
        <w:rPr>
          <w:caps/>
        </w:rPr>
        <w:t>1</w:t>
      </w:r>
      <w:r w:rsidRPr="00FD77BA">
        <w:rPr>
          <w:caps/>
        </w:rPr>
        <w:t>/1</w:t>
      </w:r>
      <w:r>
        <w:rPr>
          <w:caps/>
        </w:rPr>
        <w:t>2</w:t>
      </w:r>
      <w:r w:rsidRPr="00FD77BA">
        <w:t xml:space="preserve"> on the debt administered by the </w:t>
      </w:r>
      <w:r w:rsidR="001F1A1A">
        <w:t>County Council</w:t>
      </w:r>
      <w:r w:rsidRPr="00FD77BA">
        <w:t xml:space="preserve"> was 2.</w:t>
      </w:r>
      <w:r>
        <w:t>11</w:t>
      </w:r>
      <w:r w:rsidRPr="00FD77BA">
        <w:t xml:space="preserve">% per annum compared with an average rate of </w:t>
      </w:r>
      <w:r>
        <w:t xml:space="preserve">2.69% in 2010/11 and </w:t>
      </w:r>
      <w:r w:rsidRPr="00FD77BA">
        <w:t>4.37% in 2009/10</w:t>
      </w:r>
      <w:r>
        <w:t>.</w:t>
      </w:r>
    </w:p>
    <w:p w:rsidR="002E1515" w:rsidRDefault="002E1515" w:rsidP="00E353CF">
      <w:pPr>
        <w:ind w:right="-153"/>
        <w:jc w:val="both"/>
      </w:pPr>
    </w:p>
    <w:p w:rsidR="002E1515" w:rsidRDefault="002E1515" w:rsidP="00E353CF">
      <w:pPr>
        <w:jc w:val="both"/>
        <w:outlineLvl w:val="0"/>
      </w:pPr>
      <w:r>
        <w:t xml:space="preserve">The following chart shows the breakdown of </w:t>
      </w:r>
      <w:r w:rsidR="008D7031">
        <w:t xml:space="preserve">the </w:t>
      </w:r>
      <w:r w:rsidR="001F1A1A">
        <w:t>County Council</w:t>
      </w:r>
      <w:r w:rsidR="008D7031">
        <w:t>'s</w:t>
      </w:r>
      <w:r>
        <w:t xml:space="preserve"> Debt and the average interest rate payable. The chart excludes debt transferred to other authorities; this has been adjusted within the PWLB total.</w:t>
      </w:r>
    </w:p>
    <w:p w:rsidR="002E1515" w:rsidRDefault="002E1515" w:rsidP="002E1515">
      <w:pPr>
        <w:outlineLvl w:val="0"/>
      </w:pPr>
    </w:p>
    <w:p w:rsidR="002E1515" w:rsidRDefault="002E1515" w:rsidP="002E1515">
      <w:pPr>
        <w:tabs>
          <w:tab w:val="right" w:pos="0"/>
        </w:tabs>
        <w:outlineLvl w:val="0"/>
      </w:pPr>
      <w:r>
        <w:rPr>
          <w:noProof/>
        </w:rPr>
        <w:drawing>
          <wp:inline distT="0" distB="0" distL="0" distR="0">
            <wp:extent cx="6267487" cy="3589361"/>
            <wp:effectExtent l="19050" t="0" r="19013"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E1515" w:rsidRDefault="002E1515" w:rsidP="002E1515">
      <w:pPr>
        <w:outlineLvl w:val="0"/>
      </w:pPr>
    </w:p>
    <w:p w:rsidR="002E1515" w:rsidRDefault="002E1515" w:rsidP="00ED02D2">
      <w:r>
        <w:t>The current strategy of taking advantage of very low short term interest rates, whilst extremely cost effective, means that much more of the Council's debt needs to be refinanced in the short term, so exposing the portfolio to some interest rate and liquidity risk which will need to be carefully managed in the coming year.</w:t>
      </w:r>
    </w:p>
    <w:p w:rsidR="002E1515" w:rsidRPr="00442EEE" w:rsidRDefault="002E1515" w:rsidP="002E1515">
      <w:pPr>
        <w:ind w:left="720"/>
        <w:jc w:val="both"/>
      </w:pPr>
    </w:p>
    <w:p w:rsidR="002E1515" w:rsidRPr="00442EEE" w:rsidRDefault="002E1515" w:rsidP="002E1515">
      <w:pPr>
        <w:ind w:left="720"/>
        <w:jc w:val="both"/>
      </w:pPr>
    </w:p>
    <w:p w:rsidR="002E1515" w:rsidRDefault="002E1515" w:rsidP="002E1515">
      <w:r>
        <w:lastRenderedPageBreak/>
        <w:t>The majority of the Council's investments are now in UK Government guaranteed bonds or deposits in institutions with Government ownership/support.</w:t>
      </w:r>
    </w:p>
    <w:p w:rsidR="002E1515" w:rsidRDefault="002E1515" w:rsidP="002E1515"/>
    <w:p w:rsidR="002E1515" w:rsidRDefault="002E1515" w:rsidP="00E353CF">
      <w:pPr>
        <w:jc w:val="both"/>
      </w:pPr>
      <w:smartTag w:uri="urn:schemas-microsoft-com:office:smarttags" w:element="place">
        <w:r>
          <w:t>Lancashire</w:t>
        </w:r>
      </w:smartTag>
      <w:r>
        <w:t xml:space="preserve"> has a benchmark for the average rate of interest earned on its invested cash balances.  The benchmark rate is the average commercial market rate for money deposited on 7 days’ notice. During 2011/12, on average, that rate was 0.48%, with Lancashire’s average rate being 7.00</w:t>
      </w:r>
      <w:r w:rsidRPr="00C21314">
        <w:t>% over</w:t>
      </w:r>
      <w:r>
        <w:t xml:space="preserve"> the same period, reflecting the longer term deals which are still attracting a relatively high interest rate, and most significantly, the realised gains from the increase in UK Government bond prices during the year. The rate also includes the unrealised gains and losses applied to the general fund after accounting for the traded bond portfolio as 'fair value through profit and loss' </w:t>
      </w:r>
      <w:r w:rsidRPr="00DF05F8">
        <w:t xml:space="preserve">(see note </w:t>
      </w:r>
      <w:r w:rsidR="00FE4136">
        <w:t>1 financial assets in accounting policies</w:t>
      </w:r>
      <w:r>
        <w:t xml:space="preserve">).  </w:t>
      </w:r>
    </w:p>
    <w:p w:rsidR="002E1515" w:rsidRDefault="002E1515" w:rsidP="002E1515"/>
    <w:p w:rsidR="002E1515" w:rsidRDefault="002E1515" w:rsidP="00FE4136">
      <w:pPr>
        <w:jc w:val="both"/>
      </w:pPr>
      <w:r>
        <w:t xml:space="preserve">The value of investments held by Lancashire </w:t>
      </w:r>
      <w:r w:rsidR="001F1A1A">
        <w:t>County Council</w:t>
      </w:r>
      <w:r>
        <w:t xml:space="preserve"> at 31</w:t>
      </w:r>
      <w:r w:rsidRPr="00C21314">
        <w:rPr>
          <w:vertAlign w:val="superscript"/>
        </w:rPr>
        <w:t>st</w:t>
      </w:r>
      <w:r>
        <w:t xml:space="preserve"> March 2012 is £584.36m.  The chart below shows the asset classes and the proportion of investments held in each class. </w:t>
      </w:r>
    </w:p>
    <w:p w:rsidR="002E1515" w:rsidRDefault="002E1515" w:rsidP="002E1515"/>
    <w:p w:rsidR="002E1515" w:rsidRDefault="002E1515" w:rsidP="002E1515">
      <w:r w:rsidRPr="00192C36">
        <w:rPr>
          <w:noProof/>
        </w:rPr>
        <w:drawing>
          <wp:inline distT="0" distB="0" distL="0" distR="0">
            <wp:extent cx="5153025" cy="3838575"/>
            <wp:effectExtent l="19050" t="0" r="9525"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E1515" w:rsidRDefault="002E1515" w:rsidP="002E1515">
      <w:pPr>
        <w:ind w:left="567"/>
        <w:jc w:val="both"/>
      </w:pPr>
      <w:r>
        <w:t xml:space="preserve"> </w:t>
      </w:r>
    </w:p>
    <w:p w:rsidR="002E1515" w:rsidRDefault="002E1515" w:rsidP="002E1515">
      <w:pPr>
        <w:ind w:left="567"/>
        <w:jc w:val="both"/>
      </w:pPr>
    </w:p>
    <w:p w:rsidR="002E1515" w:rsidRDefault="002E1515" w:rsidP="002E1515">
      <w:pPr>
        <w:ind w:left="567"/>
        <w:jc w:val="both"/>
      </w:pPr>
    </w:p>
    <w:p w:rsidR="002E1515" w:rsidRDefault="002E1515" w:rsidP="002E1515">
      <w:pPr>
        <w:ind w:left="567"/>
        <w:jc w:val="both"/>
      </w:pPr>
    </w:p>
    <w:p w:rsidR="002E1515" w:rsidRPr="00442EEE" w:rsidRDefault="002E1515" w:rsidP="002E1515">
      <w:pPr>
        <w:jc w:val="both"/>
      </w:pPr>
    </w:p>
    <w:p w:rsidR="002E1515" w:rsidRPr="00442EEE" w:rsidRDefault="002E1515" w:rsidP="002E1515">
      <w:pPr>
        <w:ind w:left="567"/>
        <w:rPr>
          <w:b/>
        </w:rPr>
      </w:pPr>
    </w:p>
    <w:p w:rsidR="002E1515" w:rsidRDefault="002E1515" w:rsidP="002E1515">
      <w:pPr>
        <w:ind w:right="-153"/>
      </w:pPr>
      <w:r w:rsidRPr="00C21314">
        <w:t xml:space="preserve">The </w:t>
      </w:r>
      <w:r>
        <w:t>table below shows a maturity analysis of the portfolio at 31</w:t>
      </w:r>
      <w:r w:rsidRPr="00C21314">
        <w:rPr>
          <w:vertAlign w:val="superscript"/>
        </w:rPr>
        <w:t>st</w:t>
      </w:r>
      <w:r>
        <w:t xml:space="preserve"> March 2012, alongside the average interest rate earned over the 2011-12 financial year.</w:t>
      </w:r>
    </w:p>
    <w:p w:rsidR="002E1515" w:rsidRPr="001453CE" w:rsidRDefault="002E1515" w:rsidP="002E1515">
      <w:pPr>
        <w:ind w:right="-153"/>
      </w:pPr>
    </w:p>
    <w:tbl>
      <w:tblPr>
        <w:tblW w:w="9093" w:type="dxa"/>
        <w:tblInd w:w="87" w:type="dxa"/>
        <w:tblLook w:val="04A0"/>
      </w:tblPr>
      <w:tblGrid>
        <w:gridCol w:w="5294"/>
        <w:gridCol w:w="1859"/>
        <w:gridCol w:w="1940"/>
      </w:tblGrid>
      <w:tr w:rsidR="002E1515" w:rsidRPr="00D34A64" w:rsidTr="002E1515">
        <w:trPr>
          <w:trHeight w:val="334"/>
        </w:trPr>
        <w:tc>
          <w:tcPr>
            <w:tcW w:w="5294" w:type="dxa"/>
            <w:tcBorders>
              <w:top w:val="single" w:sz="8" w:space="0" w:color="000000"/>
              <w:left w:val="single" w:sz="8" w:space="0" w:color="000000"/>
              <w:bottom w:val="single" w:sz="8" w:space="0" w:color="000000"/>
              <w:right w:val="single" w:sz="8" w:space="0" w:color="000000"/>
            </w:tcBorders>
            <w:shd w:val="clear" w:color="auto" w:fill="auto"/>
            <w:noWrap/>
            <w:hideMark/>
          </w:tcPr>
          <w:p w:rsidR="002E1515" w:rsidRPr="00D34A64" w:rsidRDefault="002E1515" w:rsidP="002E1515">
            <w:pPr>
              <w:rPr>
                <w:b/>
                <w:bCs/>
                <w:color w:val="000000"/>
              </w:rPr>
            </w:pPr>
            <w:r w:rsidRPr="00D34A64">
              <w:rPr>
                <w:b/>
                <w:bCs/>
                <w:color w:val="000000"/>
                <w:sz w:val="22"/>
                <w:szCs w:val="22"/>
              </w:rPr>
              <w:t>Maturity Range</w:t>
            </w:r>
          </w:p>
        </w:tc>
        <w:tc>
          <w:tcPr>
            <w:tcW w:w="1859" w:type="dxa"/>
            <w:tcBorders>
              <w:top w:val="single" w:sz="8" w:space="0" w:color="000000"/>
              <w:left w:val="nil"/>
              <w:bottom w:val="single" w:sz="8" w:space="0" w:color="000000"/>
              <w:right w:val="nil"/>
            </w:tcBorders>
            <w:shd w:val="clear" w:color="auto" w:fill="auto"/>
            <w:noWrap/>
            <w:hideMark/>
          </w:tcPr>
          <w:p w:rsidR="002E1515" w:rsidRPr="00D34A64" w:rsidRDefault="002E1515" w:rsidP="002E1515">
            <w:pPr>
              <w:jc w:val="center"/>
              <w:rPr>
                <w:b/>
                <w:bCs/>
                <w:color w:val="000000"/>
              </w:rPr>
            </w:pPr>
            <w:r w:rsidRPr="00D34A64">
              <w:rPr>
                <w:b/>
                <w:bCs/>
                <w:color w:val="000000"/>
                <w:sz w:val="22"/>
                <w:szCs w:val="22"/>
              </w:rPr>
              <w:t>Amount   £m</w:t>
            </w:r>
          </w:p>
        </w:tc>
        <w:tc>
          <w:tcPr>
            <w:tcW w:w="1940" w:type="dxa"/>
            <w:tcBorders>
              <w:top w:val="single" w:sz="8" w:space="0" w:color="auto"/>
              <w:left w:val="single" w:sz="8" w:space="0" w:color="auto"/>
              <w:bottom w:val="single" w:sz="8" w:space="0" w:color="000000"/>
              <w:right w:val="single" w:sz="8" w:space="0" w:color="auto"/>
            </w:tcBorders>
            <w:shd w:val="clear" w:color="auto" w:fill="auto"/>
            <w:noWrap/>
            <w:hideMark/>
          </w:tcPr>
          <w:p w:rsidR="002E1515" w:rsidRPr="00D34A64" w:rsidRDefault="002E1515" w:rsidP="002E1515">
            <w:pPr>
              <w:jc w:val="center"/>
              <w:rPr>
                <w:b/>
                <w:bCs/>
                <w:color w:val="000000"/>
              </w:rPr>
            </w:pPr>
            <w:r w:rsidRPr="00D34A64">
              <w:rPr>
                <w:b/>
                <w:bCs/>
                <w:color w:val="000000"/>
                <w:sz w:val="22"/>
                <w:szCs w:val="22"/>
              </w:rPr>
              <w:t>Average Rate %</w:t>
            </w:r>
          </w:p>
        </w:tc>
      </w:tr>
      <w:tr w:rsidR="002E1515" w:rsidRPr="00D34A64" w:rsidTr="002E1515">
        <w:trPr>
          <w:trHeight w:val="334"/>
        </w:trPr>
        <w:tc>
          <w:tcPr>
            <w:tcW w:w="5294" w:type="dxa"/>
            <w:tcBorders>
              <w:top w:val="single" w:sz="8" w:space="0" w:color="000000"/>
              <w:left w:val="single" w:sz="8" w:space="0" w:color="000000"/>
              <w:bottom w:val="single" w:sz="8" w:space="0" w:color="000000"/>
              <w:right w:val="single" w:sz="8" w:space="0" w:color="000000"/>
            </w:tcBorders>
            <w:shd w:val="clear" w:color="auto" w:fill="auto"/>
            <w:noWrap/>
            <w:hideMark/>
          </w:tcPr>
          <w:p w:rsidR="002E1515" w:rsidRPr="00D34A64" w:rsidRDefault="006C7BB9" w:rsidP="006C7BB9">
            <w:pPr>
              <w:rPr>
                <w:b/>
                <w:bCs/>
                <w:color w:val="000000"/>
              </w:rPr>
            </w:pPr>
            <w:r>
              <w:rPr>
                <w:b/>
                <w:bCs/>
                <w:color w:val="000000"/>
                <w:sz w:val="22"/>
                <w:szCs w:val="22"/>
              </w:rPr>
              <w:t xml:space="preserve">Bank </w:t>
            </w:r>
            <w:r w:rsidR="002E1515" w:rsidRPr="00D34A64">
              <w:rPr>
                <w:b/>
                <w:bCs/>
                <w:color w:val="000000"/>
                <w:sz w:val="22"/>
                <w:szCs w:val="22"/>
              </w:rPr>
              <w:t xml:space="preserve">Call, MMF &amp; </w:t>
            </w:r>
            <w:r>
              <w:rPr>
                <w:b/>
                <w:bCs/>
                <w:color w:val="000000"/>
                <w:sz w:val="22"/>
                <w:szCs w:val="22"/>
              </w:rPr>
              <w:t xml:space="preserve">Bank Deposits </w:t>
            </w:r>
            <w:r w:rsidR="002E1515" w:rsidRPr="00D34A64">
              <w:rPr>
                <w:b/>
                <w:bCs/>
                <w:color w:val="000000"/>
                <w:sz w:val="22"/>
                <w:szCs w:val="22"/>
              </w:rPr>
              <w:t>Under 1y</w:t>
            </w:r>
            <w:r>
              <w:rPr>
                <w:b/>
                <w:bCs/>
                <w:color w:val="000000"/>
                <w:sz w:val="22"/>
                <w:szCs w:val="22"/>
              </w:rPr>
              <w:t>ea</w:t>
            </w:r>
            <w:r w:rsidR="002E1515" w:rsidRPr="00D34A64">
              <w:rPr>
                <w:b/>
                <w:bCs/>
                <w:color w:val="000000"/>
                <w:sz w:val="22"/>
                <w:szCs w:val="22"/>
              </w:rPr>
              <w:t>r</w:t>
            </w:r>
          </w:p>
        </w:tc>
        <w:tc>
          <w:tcPr>
            <w:tcW w:w="1859" w:type="dxa"/>
            <w:tcBorders>
              <w:top w:val="single" w:sz="8" w:space="0" w:color="000000"/>
              <w:left w:val="nil"/>
              <w:bottom w:val="single" w:sz="8" w:space="0" w:color="000000"/>
              <w:right w:val="nil"/>
            </w:tcBorders>
            <w:shd w:val="clear" w:color="auto" w:fill="auto"/>
            <w:noWrap/>
            <w:hideMark/>
          </w:tcPr>
          <w:p w:rsidR="002E1515" w:rsidRPr="00D34A64" w:rsidRDefault="002E1515" w:rsidP="002E1515">
            <w:pPr>
              <w:jc w:val="center"/>
              <w:rPr>
                <w:b/>
                <w:bCs/>
                <w:color w:val="000000"/>
              </w:rPr>
            </w:pPr>
            <w:r w:rsidRPr="00D34A64">
              <w:rPr>
                <w:b/>
                <w:bCs/>
                <w:color w:val="000000"/>
                <w:sz w:val="22"/>
                <w:szCs w:val="22"/>
              </w:rPr>
              <w:t>89.87</w:t>
            </w:r>
          </w:p>
        </w:tc>
        <w:tc>
          <w:tcPr>
            <w:tcW w:w="1940" w:type="dxa"/>
            <w:tcBorders>
              <w:top w:val="single" w:sz="8" w:space="0" w:color="auto"/>
              <w:left w:val="single" w:sz="8" w:space="0" w:color="auto"/>
              <w:bottom w:val="single" w:sz="8" w:space="0" w:color="000000"/>
              <w:right w:val="single" w:sz="8" w:space="0" w:color="auto"/>
            </w:tcBorders>
            <w:shd w:val="clear" w:color="auto" w:fill="auto"/>
            <w:noWrap/>
            <w:hideMark/>
          </w:tcPr>
          <w:p w:rsidR="002E1515" w:rsidRPr="00D34A64" w:rsidRDefault="002E1515" w:rsidP="002E1515">
            <w:pPr>
              <w:jc w:val="center"/>
              <w:rPr>
                <w:b/>
                <w:bCs/>
                <w:color w:val="000000"/>
              </w:rPr>
            </w:pPr>
            <w:r w:rsidRPr="00D34A64">
              <w:rPr>
                <w:b/>
                <w:bCs/>
                <w:color w:val="000000"/>
                <w:sz w:val="22"/>
                <w:szCs w:val="22"/>
              </w:rPr>
              <w:t>1.60%</w:t>
            </w:r>
          </w:p>
        </w:tc>
      </w:tr>
      <w:tr w:rsidR="002E1515" w:rsidRPr="00D34A64" w:rsidTr="002E1515">
        <w:trPr>
          <w:trHeight w:val="334"/>
        </w:trPr>
        <w:tc>
          <w:tcPr>
            <w:tcW w:w="5294" w:type="dxa"/>
            <w:tcBorders>
              <w:top w:val="single" w:sz="8" w:space="0" w:color="000000"/>
              <w:left w:val="single" w:sz="8" w:space="0" w:color="000000"/>
              <w:bottom w:val="single" w:sz="8" w:space="0" w:color="000000"/>
              <w:right w:val="single" w:sz="8" w:space="0" w:color="000000"/>
            </w:tcBorders>
            <w:shd w:val="clear" w:color="auto" w:fill="auto"/>
            <w:noWrap/>
            <w:hideMark/>
          </w:tcPr>
          <w:p w:rsidR="002E1515" w:rsidRPr="00D34A64" w:rsidRDefault="006C7BB9" w:rsidP="002E1515">
            <w:pPr>
              <w:rPr>
                <w:b/>
                <w:bCs/>
                <w:color w:val="000000"/>
              </w:rPr>
            </w:pPr>
            <w:r>
              <w:rPr>
                <w:b/>
                <w:bCs/>
                <w:color w:val="000000"/>
                <w:sz w:val="22"/>
                <w:szCs w:val="22"/>
              </w:rPr>
              <w:t xml:space="preserve">Bank Deposits </w:t>
            </w:r>
            <w:r w:rsidR="002E1515" w:rsidRPr="00D34A64">
              <w:rPr>
                <w:b/>
                <w:bCs/>
                <w:color w:val="000000"/>
                <w:sz w:val="22"/>
                <w:szCs w:val="22"/>
              </w:rPr>
              <w:t>1-2 Years</w:t>
            </w:r>
          </w:p>
        </w:tc>
        <w:tc>
          <w:tcPr>
            <w:tcW w:w="1859" w:type="dxa"/>
            <w:tcBorders>
              <w:top w:val="single" w:sz="8" w:space="0" w:color="000000"/>
              <w:left w:val="nil"/>
              <w:bottom w:val="single" w:sz="8" w:space="0" w:color="000000"/>
              <w:right w:val="nil"/>
            </w:tcBorders>
            <w:shd w:val="clear" w:color="auto" w:fill="auto"/>
            <w:noWrap/>
            <w:hideMark/>
          </w:tcPr>
          <w:p w:rsidR="002E1515" w:rsidRPr="00D34A64" w:rsidRDefault="002E1515" w:rsidP="002E1515">
            <w:pPr>
              <w:jc w:val="center"/>
              <w:rPr>
                <w:b/>
                <w:bCs/>
                <w:color w:val="000000"/>
              </w:rPr>
            </w:pPr>
            <w:r w:rsidRPr="00D34A64">
              <w:rPr>
                <w:b/>
                <w:bCs/>
                <w:color w:val="000000"/>
                <w:sz w:val="22"/>
                <w:szCs w:val="22"/>
              </w:rPr>
              <w:t>104.60</w:t>
            </w:r>
          </w:p>
        </w:tc>
        <w:tc>
          <w:tcPr>
            <w:tcW w:w="1940" w:type="dxa"/>
            <w:tcBorders>
              <w:top w:val="single" w:sz="8" w:space="0" w:color="auto"/>
              <w:left w:val="single" w:sz="8" w:space="0" w:color="auto"/>
              <w:bottom w:val="single" w:sz="8" w:space="0" w:color="000000"/>
              <w:right w:val="single" w:sz="8" w:space="0" w:color="auto"/>
            </w:tcBorders>
            <w:shd w:val="clear" w:color="auto" w:fill="auto"/>
            <w:noWrap/>
            <w:hideMark/>
          </w:tcPr>
          <w:p w:rsidR="002E1515" w:rsidRPr="00D34A64" w:rsidRDefault="002E1515" w:rsidP="002E1515">
            <w:pPr>
              <w:jc w:val="center"/>
              <w:rPr>
                <w:b/>
                <w:bCs/>
                <w:color w:val="000000"/>
              </w:rPr>
            </w:pPr>
            <w:r w:rsidRPr="00D34A64">
              <w:rPr>
                <w:b/>
                <w:bCs/>
                <w:color w:val="000000"/>
                <w:sz w:val="22"/>
                <w:szCs w:val="22"/>
              </w:rPr>
              <w:t>2.79%</w:t>
            </w:r>
          </w:p>
        </w:tc>
      </w:tr>
      <w:tr w:rsidR="002E1515" w:rsidRPr="00D34A64" w:rsidTr="002E1515">
        <w:trPr>
          <w:trHeight w:val="334"/>
        </w:trPr>
        <w:tc>
          <w:tcPr>
            <w:tcW w:w="5294" w:type="dxa"/>
            <w:tcBorders>
              <w:top w:val="single" w:sz="8" w:space="0" w:color="000000"/>
              <w:left w:val="single" w:sz="8" w:space="0" w:color="000000"/>
              <w:bottom w:val="single" w:sz="8" w:space="0" w:color="000000"/>
              <w:right w:val="single" w:sz="8" w:space="0" w:color="000000"/>
            </w:tcBorders>
            <w:shd w:val="clear" w:color="auto" w:fill="auto"/>
            <w:noWrap/>
            <w:hideMark/>
          </w:tcPr>
          <w:p w:rsidR="002E1515" w:rsidRPr="00D34A64" w:rsidRDefault="006C7BB9" w:rsidP="002E1515">
            <w:pPr>
              <w:rPr>
                <w:b/>
                <w:bCs/>
                <w:color w:val="000000"/>
              </w:rPr>
            </w:pPr>
            <w:r>
              <w:rPr>
                <w:b/>
                <w:bCs/>
                <w:color w:val="000000"/>
                <w:sz w:val="22"/>
                <w:szCs w:val="22"/>
              </w:rPr>
              <w:t xml:space="preserve">Bank Deposits </w:t>
            </w:r>
            <w:r w:rsidR="002E1515" w:rsidRPr="00D34A64">
              <w:rPr>
                <w:b/>
                <w:bCs/>
                <w:color w:val="000000"/>
                <w:sz w:val="22"/>
                <w:szCs w:val="22"/>
              </w:rPr>
              <w:t>2-3 Years</w:t>
            </w:r>
          </w:p>
        </w:tc>
        <w:tc>
          <w:tcPr>
            <w:tcW w:w="1859" w:type="dxa"/>
            <w:tcBorders>
              <w:top w:val="single" w:sz="8" w:space="0" w:color="000000"/>
              <w:left w:val="nil"/>
              <w:bottom w:val="single" w:sz="8" w:space="0" w:color="000000"/>
              <w:right w:val="nil"/>
            </w:tcBorders>
            <w:shd w:val="clear" w:color="auto" w:fill="auto"/>
            <w:noWrap/>
            <w:hideMark/>
          </w:tcPr>
          <w:p w:rsidR="002E1515" w:rsidRPr="00D34A64" w:rsidRDefault="002E1515" w:rsidP="002E1515">
            <w:pPr>
              <w:jc w:val="center"/>
              <w:rPr>
                <w:b/>
                <w:bCs/>
                <w:color w:val="000000"/>
              </w:rPr>
            </w:pPr>
            <w:r w:rsidRPr="00D34A64">
              <w:rPr>
                <w:b/>
                <w:bCs/>
                <w:color w:val="000000"/>
                <w:sz w:val="22"/>
                <w:szCs w:val="22"/>
              </w:rPr>
              <w:t>20.00</w:t>
            </w:r>
          </w:p>
        </w:tc>
        <w:tc>
          <w:tcPr>
            <w:tcW w:w="1940" w:type="dxa"/>
            <w:tcBorders>
              <w:top w:val="single" w:sz="8" w:space="0" w:color="auto"/>
              <w:left w:val="single" w:sz="8" w:space="0" w:color="auto"/>
              <w:bottom w:val="single" w:sz="8" w:space="0" w:color="000000"/>
              <w:right w:val="single" w:sz="8" w:space="0" w:color="auto"/>
            </w:tcBorders>
            <w:shd w:val="clear" w:color="auto" w:fill="auto"/>
            <w:noWrap/>
            <w:hideMark/>
          </w:tcPr>
          <w:p w:rsidR="002E1515" w:rsidRPr="00D34A64" w:rsidRDefault="002E1515" w:rsidP="002E1515">
            <w:pPr>
              <w:jc w:val="center"/>
              <w:rPr>
                <w:b/>
                <w:bCs/>
                <w:color w:val="000000"/>
              </w:rPr>
            </w:pPr>
            <w:r w:rsidRPr="00D34A64">
              <w:rPr>
                <w:b/>
                <w:bCs/>
                <w:color w:val="000000"/>
                <w:sz w:val="22"/>
                <w:szCs w:val="22"/>
              </w:rPr>
              <w:t>2.43%</w:t>
            </w:r>
          </w:p>
        </w:tc>
      </w:tr>
      <w:tr w:rsidR="002E1515" w:rsidRPr="00D34A64" w:rsidTr="002E1515">
        <w:trPr>
          <w:trHeight w:val="334"/>
        </w:trPr>
        <w:tc>
          <w:tcPr>
            <w:tcW w:w="5294" w:type="dxa"/>
            <w:tcBorders>
              <w:top w:val="single" w:sz="8" w:space="0" w:color="000000"/>
              <w:left w:val="single" w:sz="8" w:space="0" w:color="000000"/>
              <w:bottom w:val="single" w:sz="8" w:space="0" w:color="000000"/>
              <w:right w:val="single" w:sz="8" w:space="0" w:color="000000"/>
            </w:tcBorders>
            <w:shd w:val="clear" w:color="auto" w:fill="auto"/>
            <w:noWrap/>
            <w:hideMark/>
          </w:tcPr>
          <w:p w:rsidR="002E1515" w:rsidRPr="00D34A64" w:rsidRDefault="006C7BB9" w:rsidP="002E1515">
            <w:pPr>
              <w:rPr>
                <w:b/>
                <w:bCs/>
                <w:color w:val="000000"/>
              </w:rPr>
            </w:pPr>
            <w:r>
              <w:rPr>
                <w:b/>
                <w:bCs/>
                <w:color w:val="000000"/>
                <w:sz w:val="22"/>
                <w:szCs w:val="22"/>
              </w:rPr>
              <w:lastRenderedPageBreak/>
              <w:t xml:space="preserve">Bank Deposits </w:t>
            </w:r>
            <w:r w:rsidR="002E1515" w:rsidRPr="00D34A64">
              <w:rPr>
                <w:b/>
                <w:bCs/>
                <w:color w:val="000000"/>
                <w:sz w:val="22"/>
                <w:szCs w:val="22"/>
              </w:rPr>
              <w:t>3-5 Years</w:t>
            </w:r>
          </w:p>
        </w:tc>
        <w:tc>
          <w:tcPr>
            <w:tcW w:w="1859" w:type="dxa"/>
            <w:tcBorders>
              <w:top w:val="single" w:sz="8" w:space="0" w:color="000000"/>
              <w:left w:val="nil"/>
              <w:bottom w:val="single" w:sz="8" w:space="0" w:color="000000"/>
              <w:right w:val="nil"/>
            </w:tcBorders>
            <w:shd w:val="clear" w:color="auto" w:fill="auto"/>
            <w:noWrap/>
            <w:hideMark/>
          </w:tcPr>
          <w:p w:rsidR="002E1515" w:rsidRPr="00D34A64" w:rsidRDefault="002E1515" w:rsidP="002E1515">
            <w:pPr>
              <w:jc w:val="center"/>
              <w:rPr>
                <w:b/>
                <w:bCs/>
                <w:color w:val="000000"/>
              </w:rPr>
            </w:pPr>
            <w:r w:rsidRPr="00D34A64">
              <w:rPr>
                <w:b/>
                <w:bCs/>
                <w:color w:val="000000"/>
                <w:sz w:val="22"/>
                <w:szCs w:val="22"/>
              </w:rPr>
              <w:t>78.73</w:t>
            </w:r>
          </w:p>
        </w:tc>
        <w:tc>
          <w:tcPr>
            <w:tcW w:w="1940" w:type="dxa"/>
            <w:tcBorders>
              <w:top w:val="single" w:sz="8" w:space="0" w:color="auto"/>
              <w:left w:val="single" w:sz="8" w:space="0" w:color="auto"/>
              <w:bottom w:val="single" w:sz="8" w:space="0" w:color="000000"/>
              <w:right w:val="single" w:sz="8" w:space="0" w:color="auto"/>
            </w:tcBorders>
            <w:shd w:val="clear" w:color="auto" w:fill="auto"/>
            <w:noWrap/>
            <w:hideMark/>
          </w:tcPr>
          <w:p w:rsidR="002E1515" w:rsidRPr="00D34A64" w:rsidRDefault="002E1515" w:rsidP="002E1515">
            <w:pPr>
              <w:jc w:val="center"/>
              <w:rPr>
                <w:b/>
                <w:bCs/>
                <w:color w:val="000000"/>
              </w:rPr>
            </w:pPr>
            <w:r w:rsidRPr="00D34A64">
              <w:rPr>
                <w:b/>
                <w:bCs/>
                <w:color w:val="000000"/>
                <w:sz w:val="22"/>
                <w:szCs w:val="22"/>
              </w:rPr>
              <w:t>3.06%</w:t>
            </w:r>
          </w:p>
        </w:tc>
      </w:tr>
      <w:tr w:rsidR="002E1515" w:rsidRPr="00D34A64" w:rsidTr="002E1515">
        <w:trPr>
          <w:trHeight w:val="334"/>
        </w:trPr>
        <w:tc>
          <w:tcPr>
            <w:tcW w:w="5294" w:type="dxa"/>
            <w:tcBorders>
              <w:top w:val="single" w:sz="8" w:space="0" w:color="000000"/>
              <w:left w:val="single" w:sz="8" w:space="0" w:color="000000"/>
              <w:bottom w:val="single" w:sz="8" w:space="0" w:color="000000"/>
              <w:right w:val="single" w:sz="8" w:space="0" w:color="000000"/>
            </w:tcBorders>
            <w:shd w:val="clear" w:color="auto" w:fill="auto"/>
            <w:noWrap/>
            <w:hideMark/>
          </w:tcPr>
          <w:p w:rsidR="002E1515" w:rsidRPr="00D34A64" w:rsidRDefault="002E1515" w:rsidP="002E1515">
            <w:pPr>
              <w:rPr>
                <w:b/>
                <w:bCs/>
                <w:color w:val="000000"/>
              </w:rPr>
            </w:pPr>
            <w:r w:rsidRPr="00D34A64">
              <w:rPr>
                <w:b/>
                <w:bCs/>
                <w:color w:val="000000"/>
                <w:sz w:val="22"/>
                <w:szCs w:val="22"/>
              </w:rPr>
              <w:t>Long term operational Loans</w:t>
            </w:r>
          </w:p>
        </w:tc>
        <w:tc>
          <w:tcPr>
            <w:tcW w:w="1859" w:type="dxa"/>
            <w:tcBorders>
              <w:top w:val="single" w:sz="8" w:space="0" w:color="000000"/>
              <w:left w:val="nil"/>
              <w:bottom w:val="single" w:sz="8" w:space="0" w:color="000000"/>
              <w:right w:val="nil"/>
            </w:tcBorders>
            <w:shd w:val="clear" w:color="auto" w:fill="auto"/>
            <w:noWrap/>
            <w:hideMark/>
          </w:tcPr>
          <w:p w:rsidR="002E1515" w:rsidRPr="00D34A64" w:rsidRDefault="002E1515" w:rsidP="002E1515">
            <w:pPr>
              <w:jc w:val="center"/>
              <w:rPr>
                <w:b/>
                <w:bCs/>
                <w:color w:val="000000"/>
              </w:rPr>
            </w:pPr>
            <w:r w:rsidRPr="00D34A64">
              <w:rPr>
                <w:b/>
                <w:bCs/>
                <w:color w:val="000000"/>
                <w:sz w:val="22"/>
                <w:szCs w:val="22"/>
              </w:rPr>
              <w:t>5.88</w:t>
            </w:r>
          </w:p>
        </w:tc>
        <w:tc>
          <w:tcPr>
            <w:tcW w:w="1940" w:type="dxa"/>
            <w:tcBorders>
              <w:top w:val="single" w:sz="8" w:space="0" w:color="auto"/>
              <w:left w:val="single" w:sz="8" w:space="0" w:color="auto"/>
              <w:bottom w:val="single" w:sz="8" w:space="0" w:color="000000"/>
              <w:right w:val="single" w:sz="8" w:space="0" w:color="auto"/>
            </w:tcBorders>
            <w:shd w:val="clear" w:color="auto" w:fill="auto"/>
            <w:noWrap/>
            <w:hideMark/>
          </w:tcPr>
          <w:p w:rsidR="002E1515" w:rsidRPr="00D34A64" w:rsidRDefault="002E1515" w:rsidP="002E1515">
            <w:pPr>
              <w:jc w:val="center"/>
              <w:rPr>
                <w:b/>
                <w:bCs/>
                <w:color w:val="000000"/>
              </w:rPr>
            </w:pPr>
            <w:r w:rsidRPr="00D34A64">
              <w:rPr>
                <w:b/>
                <w:bCs/>
                <w:color w:val="000000"/>
                <w:sz w:val="22"/>
                <w:szCs w:val="22"/>
              </w:rPr>
              <w:t>4</w:t>
            </w:r>
            <w:r>
              <w:rPr>
                <w:b/>
                <w:bCs/>
                <w:color w:val="000000"/>
                <w:sz w:val="22"/>
                <w:szCs w:val="22"/>
              </w:rPr>
              <w:t>.</w:t>
            </w:r>
            <w:r w:rsidRPr="00D34A64">
              <w:rPr>
                <w:b/>
                <w:bCs/>
                <w:color w:val="000000"/>
                <w:sz w:val="22"/>
                <w:szCs w:val="22"/>
              </w:rPr>
              <w:t>68%</w:t>
            </w:r>
          </w:p>
        </w:tc>
      </w:tr>
      <w:tr w:rsidR="002E1515" w:rsidRPr="00D34A64" w:rsidTr="002E1515">
        <w:trPr>
          <w:trHeight w:val="334"/>
        </w:trPr>
        <w:tc>
          <w:tcPr>
            <w:tcW w:w="5294" w:type="dxa"/>
            <w:tcBorders>
              <w:top w:val="single" w:sz="8" w:space="0" w:color="000000"/>
              <w:left w:val="single" w:sz="8" w:space="0" w:color="000000"/>
              <w:bottom w:val="single" w:sz="8" w:space="0" w:color="000000"/>
              <w:right w:val="single" w:sz="8" w:space="0" w:color="000000"/>
            </w:tcBorders>
            <w:shd w:val="clear" w:color="auto" w:fill="auto"/>
            <w:noWrap/>
            <w:hideMark/>
          </w:tcPr>
          <w:p w:rsidR="002E1515" w:rsidRPr="00D34A64" w:rsidRDefault="002E1515" w:rsidP="002E1515">
            <w:pPr>
              <w:rPr>
                <w:b/>
                <w:bCs/>
                <w:color w:val="000000"/>
              </w:rPr>
            </w:pPr>
            <w:r w:rsidRPr="00D34A64">
              <w:rPr>
                <w:b/>
                <w:bCs/>
                <w:color w:val="000000"/>
                <w:sz w:val="22"/>
                <w:szCs w:val="22"/>
              </w:rPr>
              <w:t>Local Authority Bonds</w:t>
            </w:r>
          </w:p>
        </w:tc>
        <w:tc>
          <w:tcPr>
            <w:tcW w:w="1859" w:type="dxa"/>
            <w:tcBorders>
              <w:top w:val="single" w:sz="8" w:space="0" w:color="000000"/>
              <w:left w:val="nil"/>
              <w:bottom w:val="single" w:sz="8" w:space="0" w:color="000000"/>
              <w:right w:val="nil"/>
            </w:tcBorders>
            <w:shd w:val="clear" w:color="auto" w:fill="auto"/>
            <w:noWrap/>
            <w:hideMark/>
          </w:tcPr>
          <w:p w:rsidR="002E1515" w:rsidRPr="00D34A64" w:rsidRDefault="002E1515" w:rsidP="002E1515">
            <w:pPr>
              <w:jc w:val="center"/>
              <w:rPr>
                <w:b/>
                <w:bCs/>
                <w:color w:val="000000"/>
              </w:rPr>
            </w:pPr>
            <w:r w:rsidRPr="00D34A64">
              <w:rPr>
                <w:b/>
                <w:bCs/>
                <w:color w:val="000000"/>
                <w:sz w:val="22"/>
                <w:szCs w:val="22"/>
              </w:rPr>
              <w:t>20.66</w:t>
            </w:r>
          </w:p>
        </w:tc>
        <w:tc>
          <w:tcPr>
            <w:tcW w:w="1940" w:type="dxa"/>
            <w:tcBorders>
              <w:top w:val="single" w:sz="8" w:space="0" w:color="auto"/>
              <w:left w:val="single" w:sz="8" w:space="0" w:color="auto"/>
              <w:bottom w:val="single" w:sz="8" w:space="0" w:color="000000"/>
              <w:right w:val="single" w:sz="8" w:space="0" w:color="auto"/>
            </w:tcBorders>
            <w:shd w:val="clear" w:color="auto" w:fill="auto"/>
            <w:noWrap/>
            <w:hideMark/>
          </w:tcPr>
          <w:p w:rsidR="002E1515" w:rsidRPr="00D34A64" w:rsidRDefault="002E1515" w:rsidP="002E1515">
            <w:pPr>
              <w:jc w:val="center"/>
              <w:rPr>
                <w:b/>
                <w:bCs/>
                <w:color w:val="000000"/>
              </w:rPr>
            </w:pPr>
            <w:r w:rsidRPr="00D34A64">
              <w:rPr>
                <w:b/>
                <w:bCs/>
                <w:color w:val="000000"/>
                <w:sz w:val="22"/>
                <w:szCs w:val="22"/>
              </w:rPr>
              <w:t>10.24%</w:t>
            </w:r>
          </w:p>
        </w:tc>
      </w:tr>
      <w:tr w:rsidR="002E1515" w:rsidRPr="00D34A64" w:rsidTr="002E1515">
        <w:trPr>
          <w:trHeight w:val="334"/>
        </w:trPr>
        <w:tc>
          <w:tcPr>
            <w:tcW w:w="5294" w:type="dxa"/>
            <w:tcBorders>
              <w:top w:val="single" w:sz="8" w:space="0" w:color="000000"/>
              <w:left w:val="single" w:sz="8" w:space="0" w:color="000000"/>
              <w:bottom w:val="single" w:sz="8" w:space="0" w:color="000000"/>
              <w:right w:val="single" w:sz="8" w:space="0" w:color="000000"/>
            </w:tcBorders>
            <w:shd w:val="clear" w:color="auto" w:fill="auto"/>
            <w:noWrap/>
            <w:hideMark/>
          </w:tcPr>
          <w:p w:rsidR="002E1515" w:rsidRPr="00D34A64" w:rsidRDefault="002E1515" w:rsidP="002E1515">
            <w:pPr>
              <w:rPr>
                <w:b/>
                <w:bCs/>
                <w:color w:val="000000"/>
              </w:rPr>
            </w:pPr>
            <w:r w:rsidRPr="00D34A64">
              <w:rPr>
                <w:b/>
                <w:bCs/>
                <w:color w:val="000000"/>
                <w:sz w:val="22"/>
                <w:szCs w:val="22"/>
              </w:rPr>
              <w:t>Bonds</w:t>
            </w:r>
          </w:p>
        </w:tc>
        <w:tc>
          <w:tcPr>
            <w:tcW w:w="1859" w:type="dxa"/>
            <w:tcBorders>
              <w:top w:val="single" w:sz="8" w:space="0" w:color="000000"/>
              <w:left w:val="nil"/>
              <w:bottom w:val="single" w:sz="8" w:space="0" w:color="000000"/>
              <w:right w:val="nil"/>
            </w:tcBorders>
            <w:shd w:val="clear" w:color="auto" w:fill="auto"/>
            <w:noWrap/>
            <w:hideMark/>
          </w:tcPr>
          <w:p w:rsidR="002E1515" w:rsidRPr="00D34A64" w:rsidRDefault="002E1515" w:rsidP="002E1515">
            <w:pPr>
              <w:jc w:val="center"/>
              <w:rPr>
                <w:b/>
                <w:bCs/>
                <w:color w:val="000000"/>
              </w:rPr>
            </w:pPr>
            <w:r w:rsidRPr="00D34A64">
              <w:rPr>
                <w:b/>
                <w:bCs/>
                <w:color w:val="000000"/>
                <w:sz w:val="22"/>
                <w:szCs w:val="22"/>
              </w:rPr>
              <w:t>125.56</w:t>
            </w:r>
          </w:p>
        </w:tc>
        <w:tc>
          <w:tcPr>
            <w:tcW w:w="1940" w:type="dxa"/>
            <w:tcBorders>
              <w:top w:val="single" w:sz="8" w:space="0" w:color="auto"/>
              <w:left w:val="single" w:sz="8" w:space="0" w:color="auto"/>
              <w:bottom w:val="single" w:sz="8" w:space="0" w:color="000000"/>
              <w:right w:val="single" w:sz="8" w:space="0" w:color="auto"/>
            </w:tcBorders>
            <w:shd w:val="clear" w:color="auto" w:fill="auto"/>
            <w:noWrap/>
            <w:hideMark/>
          </w:tcPr>
          <w:p w:rsidR="002E1515" w:rsidRPr="00D34A64" w:rsidRDefault="002E1515" w:rsidP="002E1515">
            <w:pPr>
              <w:jc w:val="center"/>
              <w:rPr>
                <w:b/>
                <w:bCs/>
                <w:color w:val="000000"/>
              </w:rPr>
            </w:pPr>
            <w:r w:rsidRPr="00D34A64">
              <w:rPr>
                <w:b/>
                <w:bCs/>
                <w:color w:val="000000"/>
                <w:sz w:val="22"/>
                <w:szCs w:val="22"/>
              </w:rPr>
              <w:t>18.81%</w:t>
            </w:r>
          </w:p>
        </w:tc>
      </w:tr>
      <w:tr w:rsidR="002E1515" w:rsidRPr="00D34A64" w:rsidTr="002E1515">
        <w:trPr>
          <w:trHeight w:val="334"/>
        </w:trPr>
        <w:tc>
          <w:tcPr>
            <w:tcW w:w="5294" w:type="dxa"/>
            <w:tcBorders>
              <w:top w:val="single" w:sz="8" w:space="0" w:color="000000"/>
              <w:left w:val="single" w:sz="8" w:space="0" w:color="000000"/>
              <w:bottom w:val="single" w:sz="8" w:space="0" w:color="000000"/>
              <w:right w:val="single" w:sz="8" w:space="0" w:color="000000"/>
            </w:tcBorders>
            <w:shd w:val="clear" w:color="auto" w:fill="auto"/>
            <w:noWrap/>
            <w:hideMark/>
          </w:tcPr>
          <w:p w:rsidR="002E1515" w:rsidRPr="00D34A64" w:rsidRDefault="002E1515" w:rsidP="002E1515">
            <w:pPr>
              <w:rPr>
                <w:b/>
                <w:bCs/>
                <w:color w:val="000000"/>
              </w:rPr>
            </w:pPr>
            <w:r w:rsidRPr="00D34A64">
              <w:rPr>
                <w:b/>
                <w:bCs/>
                <w:color w:val="000000"/>
                <w:sz w:val="22"/>
                <w:szCs w:val="22"/>
              </w:rPr>
              <w:t>Index Linked Bonds</w:t>
            </w:r>
          </w:p>
        </w:tc>
        <w:tc>
          <w:tcPr>
            <w:tcW w:w="1859" w:type="dxa"/>
            <w:tcBorders>
              <w:top w:val="single" w:sz="8" w:space="0" w:color="000000"/>
              <w:left w:val="nil"/>
              <w:bottom w:val="single" w:sz="8" w:space="0" w:color="000000"/>
              <w:right w:val="nil"/>
            </w:tcBorders>
            <w:shd w:val="clear" w:color="auto" w:fill="auto"/>
            <w:noWrap/>
            <w:hideMark/>
          </w:tcPr>
          <w:p w:rsidR="002E1515" w:rsidRPr="00D34A64" w:rsidRDefault="002E1515" w:rsidP="002E1515">
            <w:pPr>
              <w:jc w:val="center"/>
              <w:rPr>
                <w:b/>
                <w:bCs/>
                <w:color w:val="000000"/>
              </w:rPr>
            </w:pPr>
            <w:r w:rsidRPr="00D34A64">
              <w:rPr>
                <w:b/>
                <w:bCs/>
                <w:color w:val="000000"/>
                <w:sz w:val="22"/>
                <w:szCs w:val="22"/>
              </w:rPr>
              <w:t>139.0</w:t>
            </w:r>
            <w:r>
              <w:rPr>
                <w:b/>
                <w:bCs/>
                <w:color w:val="000000"/>
                <w:sz w:val="22"/>
                <w:szCs w:val="22"/>
              </w:rPr>
              <w:t>6</w:t>
            </w:r>
          </w:p>
        </w:tc>
        <w:tc>
          <w:tcPr>
            <w:tcW w:w="1940" w:type="dxa"/>
            <w:tcBorders>
              <w:top w:val="single" w:sz="8" w:space="0" w:color="auto"/>
              <w:left w:val="single" w:sz="8" w:space="0" w:color="auto"/>
              <w:bottom w:val="single" w:sz="8" w:space="0" w:color="000000"/>
              <w:right w:val="single" w:sz="8" w:space="0" w:color="auto"/>
            </w:tcBorders>
            <w:shd w:val="clear" w:color="auto" w:fill="auto"/>
            <w:noWrap/>
            <w:hideMark/>
          </w:tcPr>
          <w:p w:rsidR="002E1515" w:rsidRPr="00D34A64" w:rsidRDefault="002E1515" w:rsidP="002E1515">
            <w:pPr>
              <w:jc w:val="center"/>
              <w:rPr>
                <w:b/>
                <w:bCs/>
                <w:color w:val="000000"/>
              </w:rPr>
            </w:pPr>
            <w:r w:rsidRPr="00D34A64">
              <w:rPr>
                <w:b/>
                <w:bCs/>
                <w:color w:val="000000"/>
                <w:sz w:val="22"/>
                <w:szCs w:val="22"/>
              </w:rPr>
              <w:t>9.82%</w:t>
            </w:r>
          </w:p>
        </w:tc>
      </w:tr>
      <w:tr w:rsidR="002E1515" w:rsidRPr="00D34A64" w:rsidTr="002E1515">
        <w:trPr>
          <w:trHeight w:val="334"/>
        </w:trPr>
        <w:tc>
          <w:tcPr>
            <w:tcW w:w="5294" w:type="dxa"/>
            <w:tcBorders>
              <w:top w:val="single" w:sz="8" w:space="0" w:color="000000"/>
              <w:left w:val="single" w:sz="8" w:space="0" w:color="000000"/>
              <w:bottom w:val="single" w:sz="8" w:space="0" w:color="000000"/>
              <w:right w:val="single" w:sz="8" w:space="0" w:color="000000"/>
            </w:tcBorders>
            <w:shd w:val="clear" w:color="auto" w:fill="auto"/>
            <w:noWrap/>
            <w:hideMark/>
          </w:tcPr>
          <w:p w:rsidR="002E1515" w:rsidRPr="00D34A64" w:rsidRDefault="002E1515" w:rsidP="002E1515">
            <w:pPr>
              <w:rPr>
                <w:b/>
                <w:bCs/>
                <w:color w:val="000000"/>
              </w:rPr>
            </w:pPr>
            <w:r w:rsidRPr="00D34A64">
              <w:rPr>
                <w:b/>
                <w:bCs/>
                <w:color w:val="000000"/>
                <w:sz w:val="22"/>
                <w:szCs w:val="22"/>
              </w:rPr>
              <w:t>Totals</w:t>
            </w:r>
          </w:p>
        </w:tc>
        <w:tc>
          <w:tcPr>
            <w:tcW w:w="1859" w:type="dxa"/>
            <w:tcBorders>
              <w:top w:val="single" w:sz="8" w:space="0" w:color="000000"/>
              <w:left w:val="nil"/>
              <w:bottom w:val="single" w:sz="8" w:space="0" w:color="000000"/>
              <w:right w:val="nil"/>
            </w:tcBorders>
            <w:shd w:val="clear" w:color="auto" w:fill="auto"/>
            <w:noWrap/>
            <w:hideMark/>
          </w:tcPr>
          <w:p w:rsidR="002E1515" w:rsidRPr="00D34A64" w:rsidRDefault="002E1515" w:rsidP="002E1515">
            <w:pPr>
              <w:jc w:val="center"/>
              <w:rPr>
                <w:b/>
                <w:bCs/>
                <w:color w:val="000000"/>
              </w:rPr>
            </w:pPr>
            <w:r w:rsidRPr="00D34A64">
              <w:rPr>
                <w:b/>
                <w:bCs/>
                <w:color w:val="000000"/>
                <w:sz w:val="22"/>
                <w:szCs w:val="22"/>
              </w:rPr>
              <w:t>584.3</w:t>
            </w:r>
            <w:r>
              <w:rPr>
                <w:b/>
                <w:bCs/>
                <w:color w:val="000000"/>
                <w:sz w:val="22"/>
                <w:szCs w:val="22"/>
              </w:rPr>
              <w:t>6</w:t>
            </w:r>
          </w:p>
        </w:tc>
        <w:tc>
          <w:tcPr>
            <w:tcW w:w="1940" w:type="dxa"/>
            <w:tcBorders>
              <w:top w:val="single" w:sz="8" w:space="0" w:color="auto"/>
              <w:left w:val="single" w:sz="8" w:space="0" w:color="auto"/>
              <w:bottom w:val="single" w:sz="8" w:space="0" w:color="000000"/>
              <w:right w:val="single" w:sz="8" w:space="0" w:color="auto"/>
            </w:tcBorders>
            <w:shd w:val="clear" w:color="auto" w:fill="auto"/>
            <w:noWrap/>
            <w:hideMark/>
          </w:tcPr>
          <w:p w:rsidR="002E1515" w:rsidRPr="00D34A64" w:rsidRDefault="002E1515" w:rsidP="002E1515">
            <w:pPr>
              <w:jc w:val="center"/>
              <w:rPr>
                <w:b/>
                <w:bCs/>
                <w:color w:val="000000"/>
              </w:rPr>
            </w:pPr>
            <w:r w:rsidRPr="00D34A64">
              <w:rPr>
                <w:b/>
                <w:bCs/>
                <w:color w:val="000000"/>
                <w:sz w:val="22"/>
                <w:szCs w:val="22"/>
              </w:rPr>
              <w:t>7.00%</w:t>
            </w:r>
          </w:p>
        </w:tc>
      </w:tr>
    </w:tbl>
    <w:p w:rsidR="002E1515" w:rsidRDefault="002E1515" w:rsidP="006C467D">
      <w:pPr>
        <w:ind w:left="720"/>
        <w:jc w:val="both"/>
        <w:rPr>
          <w:highlight w:val="yellow"/>
        </w:rPr>
      </w:pPr>
    </w:p>
    <w:p w:rsidR="002E1515" w:rsidRDefault="002E1515" w:rsidP="006C7BB9">
      <w:pPr>
        <w:jc w:val="both"/>
        <w:rPr>
          <w:highlight w:val="yellow"/>
        </w:rPr>
      </w:pPr>
    </w:p>
    <w:p w:rsidR="002E1515" w:rsidRDefault="002E1515" w:rsidP="006C467D">
      <w:pPr>
        <w:ind w:left="720"/>
        <w:jc w:val="both"/>
        <w:rPr>
          <w:highlight w:val="yellow"/>
        </w:rPr>
      </w:pPr>
    </w:p>
    <w:p w:rsidR="009011E5" w:rsidRPr="009011E5" w:rsidRDefault="009011E5" w:rsidP="009011E5"/>
    <w:p w:rsidR="009011E5" w:rsidRPr="009011E5" w:rsidRDefault="009011E5" w:rsidP="00BD07E4">
      <w:pPr>
        <w:numPr>
          <w:ilvl w:val="0"/>
          <w:numId w:val="21"/>
        </w:numPr>
        <w:spacing w:after="240"/>
        <w:rPr>
          <w:b/>
          <w:color w:val="FF0000"/>
        </w:rPr>
      </w:pPr>
      <w:r w:rsidRPr="009011E5">
        <w:rPr>
          <w:b/>
        </w:rPr>
        <w:t xml:space="preserve">Income, Expense, Gains and Losses on Financial Instruments </w:t>
      </w:r>
    </w:p>
    <w:p w:rsidR="009011E5" w:rsidRDefault="009011E5" w:rsidP="009011E5">
      <w:pPr>
        <w:spacing w:after="240"/>
        <w:ind w:left="720"/>
        <w:jc w:val="both"/>
      </w:pPr>
      <w:r w:rsidRPr="00442EEE">
        <w:t>The gains and losses during 201</w:t>
      </w:r>
      <w:r>
        <w:t>1</w:t>
      </w:r>
      <w:r w:rsidRPr="00442EEE">
        <w:t>/1</w:t>
      </w:r>
      <w:r>
        <w:t>2</w:t>
      </w:r>
      <w:r w:rsidRPr="00442EEE">
        <w:t xml:space="preserve"> on financial instruments, which have been recognised in the Comprehensive Income and Expenditure Account, are as shown in the following table:</w:t>
      </w:r>
    </w:p>
    <w:tbl>
      <w:tblPr>
        <w:tblW w:w="10881" w:type="dxa"/>
        <w:tblLayout w:type="fixed"/>
        <w:tblLook w:val="04A0"/>
      </w:tblPr>
      <w:tblGrid>
        <w:gridCol w:w="845"/>
        <w:gridCol w:w="846"/>
        <w:gridCol w:w="308"/>
        <w:gridCol w:w="803"/>
        <w:gridCol w:w="850"/>
        <w:gridCol w:w="992"/>
        <w:gridCol w:w="993"/>
        <w:gridCol w:w="992"/>
        <w:gridCol w:w="850"/>
        <w:gridCol w:w="993"/>
        <w:gridCol w:w="992"/>
        <w:gridCol w:w="283"/>
        <w:gridCol w:w="13"/>
        <w:gridCol w:w="1121"/>
      </w:tblGrid>
      <w:tr w:rsidR="009011E5" w:rsidRPr="009011E5" w:rsidTr="000A05FC">
        <w:trPr>
          <w:trHeight w:val="480"/>
        </w:trPr>
        <w:tc>
          <w:tcPr>
            <w:tcW w:w="845" w:type="dxa"/>
            <w:tcBorders>
              <w:top w:val="nil"/>
              <w:left w:val="nil"/>
              <w:bottom w:val="nil"/>
              <w:right w:val="nil"/>
            </w:tcBorders>
            <w:shd w:val="clear" w:color="auto" w:fill="auto"/>
            <w:noWrap/>
            <w:vAlign w:val="bottom"/>
            <w:hideMark/>
          </w:tcPr>
          <w:p w:rsidR="009011E5" w:rsidRPr="009011E5" w:rsidRDefault="009011E5" w:rsidP="00A52C33">
            <w:pPr>
              <w:rPr>
                <w:rFonts w:ascii="Calibri" w:hAnsi="Calibri" w:cs="Times New Roman"/>
                <w:sz w:val="20"/>
                <w:szCs w:val="20"/>
              </w:rPr>
            </w:pPr>
          </w:p>
        </w:tc>
        <w:tc>
          <w:tcPr>
            <w:tcW w:w="846" w:type="dxa"/>
            <w:tcBorders>
              <w:top w:val="nil"/>
              <w:left w:val="nil"/>
              <w:bottom w:val="nil"/>
              <w:right w:val="nil"/>
            </w:tcBorders>
            <w:shd w:val="clear" w:color="auto" w:fill="auto"/>
            <w:noWrap/>
            <w:vAlign w:val="bottom"/>
            <w:hideMark/>
          </w:tcPr>
          <w:p w:rsidR="009011E5" w:rsidRPr="009011E5" w:rsidRDefault="009011E5" w:rsidP="00A52C33">
            <w:pPr>
              <w:rPr>
                <w:rFonts w:ascii="Calibri" w:hAnsi="Calibri" w:cs="Times New Roman"/>
                <w:sz w:val="20"/>
                <w:szCs w:val="20"/>
              </w:rPr>
            </w:pPr>
          </w:p>
        </w:tc>
        <w:tc>
          <w:tcPr>
            <w:tcW w:w="308" w:type="dxa"/>
            <w:tcBorders>
              <w:top w:val="nil"/>
              <w:left w:val="nil"/>
              <w:bottom w:val="nil"/>
              <w:right w:val="nil"/>
            </w:tcBorders>
            <w:shd w:val="clear" w:color="auto" w:fill="auto"/>
            <w:noWrap/>
            <w:vAlign w:val="bottom"/>
            <w:hideMark/>
          </w:tcPr>
          <w:p w:rsidR="009011E5" w:rsidRPr="009011E5" w:rsidRDefault="009011E5" w:rsidP="00A52C33">
            <w:pPr>
              <w:rPr>
                <w:rFonts w:ascii="Calibri" w:hAnsi="Calibri" w:cs="Times New Roman"/>
                <w:sz w:val="20"/>
                <w:szCs w:val="20"/>
              </w:rPr>
            </w:pPr>
          </w:p>
        </w:tc>
        <w:tc>
          <w:tcPr>
            <w:tcW w:w="463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1E5" w:rsidRPr="009011E5" w:rsidRDefault="009011E5" w:rsidP="00A52C33">
            <w:pPr>
              <w:jc w:val="center"/>
              <w:rPr>
                <w:rFonts w:ascii="Calibri" w:hAnsi="Calibri" w:cs="Times New Roman"/>
                <w:b/>
                <w:bCs/>
                <w:sz w:val="20"/>
                <w:szCs w:val="20"/>
              </w:rPr>
            </w:pPr>
            <w:r w:rsidRPr="009011E5">
              <w:rPr>
                <w:rFonts w:ascii="Calibri" w:hAnsi="Calibri" w:cs="Times New Roman"/>
                <w:b/>
                <w:bCs/>
                <w:sz w:val="20"/>
                <w:szCs w:val="20"/>
              </w:rPr>
              <w:t>2011/12</w:t>
            </w:r>
            <w:r w:rsidR="00CC3B63">
              <w:rPr>
                <w:rFonts w:ascii="Calibri" w:hAnsi="Calibri" w:cs="Times New Roman"/>
                <w:b/>
                <w:bCs/>
                <w:sz w:val="20"/>
                <w:szCs w:val="20"/>
              </w:rPr>
              <w:t xml:space="preserve"> £000</w:t>
            </w:r>
          </w:p>
        </w:tc>
        <w:tc>
          <w:tcPr>
            <w:tcW w:w="4252" w:type="dxa"/>
            <w:gridSpan w:val="6"/>
            <w:tcBorders>
              <w:top w:val="single" w:sz="4" w:space="0" w:color="auto"/>
              <w:left w:val="nil"/>
              <w:bottom w:val="single" w:sz="4" w:space="0" w:color="auto"/>
              <w:right w:val="single" w:sz="4" w:space="0" w:color="auto"/>
            </w:tcBorders>
            <w:shd w:val="clear" w:color="auto" w:fill="auto"/>
            <w:noWrap/>
            <w:vAlign w:val="bottom"/>
            <w:hideMark/>
          </w:tcPr>
          <w:p w:rsidR="009011E5" w:rsidRPr="009011E5" w:rsidRDefault="009011E5" w:rsidP="00A52C33">
            <w:pPr>
              <w:jc w:val="center"/>
              <w:rPr>
                <w:rFonts w:ascii="Calibri" w:hAnsi="Calibri" w:cs="Times New Roman"/>
                <w:b/>
                <w:bCs/>
                <w:sz w:val="20"/>
                <w:szCs w:val="20"/>
              </w:rPr>
            </w:pPr>
            <w:r w:rsidRPr="009011E5">
              <w:rPr>
                <w:rFonts w:ascii="Calibri" w:hAnsi="Calibri" w:cs="Times New Roman"/>
                <w:b/>
                <w:bCs/>
                <w:sz w:val="20"/>
                <w:szCs w:val="20"/>
              </w:rPr>
              <w:t>2010/11</w:t>
            </w:r>
            <w:r w:rsidR="00CC3B63">
              <w:rPr>
                <w:rFonts w:ascii="Calibri" w:hAnsi="Calibri" w:cs="Times New Roman"/>
                <w:b/>
                <w:bCs/>
                <w:sz w:val="20"/>
                <w:szCs w:val="20"/>
              </w:rPr>
              <w:t xml:space="preserve"> £000</w:t>
            </w:r>
          </w:p>
        </w:tc>
      </w:tr>
      <w:tr w:rsidR="009011E5" w:rsidRPr="009011E5" w:rsidTr="000A05FC">
        <w:trPr>
          <w:trHeight w:val="3538"/>
        </w:trPr>
        <w:tc>
          <w:tcPr>
            <w:tcW w:w="845" w:type="dxa"/>
            <w:tcBorders>
              <w:top w:val="nil"/>
              <w:left w:val="nil"/>
              <w:bottom w:val="nil"/>
              <w:right w:val="nil"/>
            </w:tcBorders>
            <w:shd w:val="clear" w:color="auto" w:fill="auto"/>
            <w:noWrap/>
            <w:vAlign w:val="bottom"/>
            <w:hideMark/>
          </w:tcPr>
          <w:p w:rsidR="009011E5" w:rsidRPr="009011E5" w:rsidRDefault="009011E5" w:rsidP="00A52C33">
            <w:pPr>
              <w:rPr>
                <w:rFonts w:ascii="Calibri" w:hAnsi="Calibri" w:cs="Times New Roman"/>
                <w:sz w:val="20"/>
                <w:szCs w:val="20"/>
              </w:rPr>
            </w:pPr>
          </w:p>
        </w:tc>
        <w:tc>
          <w:tcPr>
            <w:tcW w:w="846" w:type="dxa"/>
            <w:tcBorders>
              <w:top w:val="nil"/>
              <w:left w:val="nil"/>
              <w:bottom w:val="nil"/>
              <w:right w:val="nil"/>
            </w:tcBorders>
            <w:shd w:val="clear" w:color="auto" w:fill="auto"/>
            <w:noWrap/>
            <w:vAlign w:val="bottom"/>
            <w:hideMark/>
          </w:tcPr>
          <w:p w:rsidR="009011E5" w:rsidRPr="009011E5" w:rsidRDefault="009011E5" w:rsidP="00A52C33">
            <w:pPr>
              <w:rPr>
                <w:rFonts w:ascii="Calibri" w:hAnsi="Calibri" w:cs="Times New Roman"/>
                <w:sz w:val="20"/>
                <w:szCs w:val="20"/>
              </w:rPr>
            </w:pPr>
          </w:p>
        </w:tc>
        <w:tc>
          <w:tcPr>
            <w:tcW w:w="308" w:type="dxa"/>
            <w:tcBorders>
              <w:top w:val="nil"/>
              <w:left w:val="nil"/>
              <w:bottom w:val="nil"/>
              <w:right w:val="nil"/>
            </w:tcBorders>
            <w:shd w:val="clear" w:color="auto" w:fill="auto"/>
            <w:noWrap/>
            <w:vAlign w:val="bottom"/>
            <w:hideMark/>
          </w:tcPr>
          <w:p w:rsidR="009011E5" w:rsidRPr="009011E5" w:rsidRDefault="009011E5" w:rsidP="00A52C33">
            <w:pPr>
              <w:rPr>
                <w:rFonts w:ascii="Calibri" w:hAnsi="Calibri" w:cs="Times New Roman"/>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011E5" w:rsidRPr="009011E5" w:rsidRDefault="009011E5" w:rsidP="00A52C33">
            <w:pPr>
              <w:jc w:val="center"/>
              <w:rPr>
                <w:rFonts w:ascii="Calibri" w:hAnsi="Calibri" w:cs="Times New Roman"/>
                <w:sz w:val="20"/>
                <w:szCs w:val="20"/>
              </w:rPr>
            </w:pPr>
            <w:r w:rsidRPr="009011E5">
              <w:rPr>
                <w:rFonts w:ascii="Calibri" w:hAnsi="Calibri" w:cs="Times New Roman"/>
                <w:sz w:val="20"/>
                <w:szCs w:val="20"/>
              </w:rPr>
              <w:t>Financial Liabilities Measure at Amortised Cost</w:t>
            </w:r>
          </w:p>
        </w:tc>
        <w:tc>
          <w:tcPr>
            <w:tcW w:w="850" w:type="dxa"/>
            <w:tcBorders>
              <w:top w:val="single" w:sz="4" w:space="0" w:color="auto"/>
              <w:left w:val="nil"/>
              <w:bottom w:val="single" w:sz="4" w:space="0" w:color="auto"/>
              <w:right w:val="single" w:sz="4" w:space="0" w:color="auto"/>
            </w:tcBorders>
            <w:shd w:val="clear" w:color="auto" w:fill="auto"/>
            <w:textDirection w:val="btLr"/>
            <w:vAlign w:val="bottom"/>
            <w:hideMark/>
          </w:tcPr>
          <w:p w:rsidR="009011E5" w:rsidRPr="009011E5" w:rsidRDefault="009011E5" w:rsidP="00A52C33">
            <w:pPr>
              <w:jc w:val="center"/>
              <w:rPr>
                <w:rFonts w:ascii="Calibri" w:hAnsi="Calibri" w:cs="Times New Roman"/>
                <w:sz w:val="20"/>
                <w:szCs w:val="20"/>
              </w:rPr>
            </w:pPr>
            <w:r w:rsidRPr="009011E5">
              <w:rPr>
                <w:rFonts w:ascii="Calibri" w:hAnsi="Calibri" w:cs="Times New Roman"/>
                <w:sz w:val="20"/>
                <w:szCs w:val="20"/>
              </w:rPr>
              <w:t>Financial Assets: Loans &amp; Receivables</w:t>
            </w:r>
          </w:p>
        </w:tc>
        <w:tc>
          <w:tcPr>
            <w:tcW w:w="992" w:type="dxa"/>
            <w:tcBorders>
              <w:top w:val="single" w:sz="4" w:space="0" w:color="auto"/>
              <w:left w:val="nil"/>
              <w:bottom w:val="single" w:sz="4" w:space="0" w:color="auto"/>
              <w:right w:val="single" w:sz="4" w:space="0" w:color="auto"/>
            </w:tcBorders>
            <w:shd w:val="clear" w:color="auto" w:fill="auto"/>
            <w:textDirection w:val="btLr"/>
            <w:vAlign w:val="bottom"/>
            <w:hideMark/>
          </w:tcPr>
          <w:p w:rsidR="009011E5" w:rsidRPr="009011E5" w:rsidRDefault="009011E5" w:rsidP="00A52C33">
            <w:pPr>
              <w:jc w:val="center"/>
              <w:rPr>
                <w:rFonts w:ascii="Calibri" w:hAnsi="Calibri" w:cs="Times New Roman"/>
                <w:sz w:val="20"/>
                <w:szCs w:val="20"/>
              </w:rPr>
            </w:pPr>
            <w:r w:rsidRPr="009011E5">
              <w:rPr>
                <w:rFonts w:ascii="Calibri" w:hAnsi="Calibri" w:cs="Times New Roman"/>
                <w:sz w:val="20"/>
                <w:szCs w:val="20"/>
              </w:rPr>
              <w:t>Financial Assets: Available for Sale</w:t>
            </w:r>
          </w:p>
        </w:tc>
        <w:tc>
          <w:tcPr>
            <w:tcW w:w="993" w:type="dxa"/>
            <w:tcBorders>
              <w:top w:val="single" w:sz="4" w:space="0" w:color="auto"/>
              <w:left w:val="nil"/>
              <w:bottom w:val="single" w:sz="4" w:space="0" w:color="auto"/>
              <w:right w:val="nil"/>
            </w:tcBorders>
            <w:shd w:val="clear" w:color="auto" w:fill="auto"/>
            <w:textDirection w:val="btLr"/>
            <w:vAlign w:val="bottom"/>
            <w:hideMark/>
          </w:tcPr>
          <w:p w:rsidR="009011E5" w:rsidRPr="009011E5" w:rsidRDefault="009011E5" w:rsidP="00A52C33">
            <w:pPr>
              <w:jc w:val="center"/>
              <w:rPr>
                <w:rFonts w:ascii="Calibri" w:hAnsi="Calibri" w:cs="Times New Roman"/>
                <w:sz w:val="20"/>
                <w:szCs w:val="20"/>
              </w:rPr>
            </w:pPr>
            <w:r w:rsidRPr="009011E5">
              <w:rPr>
                <w:rFonts w:ascii="Calibri" w:hAnsi="Calibri" w:cs="Times New Roman"/>
                <w:sz w:val="20"/>
                <w:szCs w:val="20"/>
              </w:rPr>
              <w:t>Assets and Liabilities at Fair Value through Profit &amp; Loss</w:t>
            </w:r>
          </w:p>
        </w:tc>
        <w:tc>
          <w:tcPr>
            <w:tcW w:w="992" w:type="dxa"/>
            <w:tcBorders>
              <w:top w:val="single" w:sz="8" w:space="0" w:color="auto"/>
              <w:left w:val="single" w:sz="8" w:space="0" w:color="auto"/>
              <w:bottom w:val="nil"/>
              <w:right w:val="single" w:sz="8" w:space="0" w:color="auto"/>
            </w:tcBorders>
            <w:shd w:val="clear" w:color="auto" w:fill="auto"/>
            <w:textDirection w:val="btLr"/>
            <w:vAlign w:val="bottom"/>
            <w:hideMark/>
          </w:tcPr>
          <w:p w:rsidR="009011E5" w:rsidRPr="009011E5" w:rsidRDefault="009011E5" w:rsidP="00A52C33">
            <w:pPr>
              <w:jc w:val="center"/>
              <w:rPr>
                <w:rFonts w:ascii="Calibri" w:hAnsi="Calibri" w:cs="Times New Roman"/>
                <w:b/>
                <w:bCs/>
                <w:sz w:val="20"/>
                <w:szCs w:val="20"/>
              </w:rPr>
            </w:pPr>
            <w:r w:rsidRPr="009011E5">
              <w:rPr>
                <w:rFonts w:ascii="Calibri" w:hAnsi="Calibri" w:cs="Times New Roman"/>
                <w:b/>
                <w:bCs/>
                <w:sz w:val="20"/>
                <w:szCs w:val="20"/>
              </w:rPr>
              <w:t>Total</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011E5" w:rsidRPr="009011E5" w:rsidRDefault="009011E5" w:rsidP="00A52C33">
            <w:pPr>
              <w:jc w:val="center"/>
              <w:rPr>
                <w:rFonts w:ascii="Calibri" w:hAnsi="Calibri" w:cs="Times New Roman"/>
                <w:sz w:val="20"/>
                <w:szCs w:val="20"/>
              </w:rPr>
            </w:pPr>
            <w:r w:rsidRPr="009011E5">
              <w:rPr>
                <w:rFonts w:ascii="Calibri" w:hAnsi="Calibri" w:cs="Times New Roman"/>
                <w:sz w:val="20"/>
                <w:szCs w:val="20"/>
              </w:rPr>
              <w:t>Financial Liabilities Measure at Amortised Cost</w:t>
            </w:r>
          </w:p>
        </w:tc>
        <w:tc>
          <w:tcPr>
            <w:tcW w:w="993" w:type="dxa"/>
            <w:tcBorders>
              <w:top w:val="single" w:sz="4" w:space="0" w:color="auto"/>
              <w:left w:val="nil"/>
              <w:bottom w:val="single" w:sz="4" w:space="0" w:color="auto"/>
              <w:right w:val="single" w:sz="4" w:space="0" w:color="auto"/>
            </w:tcBorders>
            <w:shd w:val="clear" w:color="auto" w:fill="auto"/>
            <w:textDirection w:val="btLr"/>
            <w:vAlign w:val="bottom"/>
            <w:hideMark/>
          </w:tcPr>
          <w:p w:rsidR="009011E5" w:rsidRPr="009011E5" w:rsidRDefault="009011E5" w:rsidP="00A52C33">
            <w:pPr>
              <w:jc w:val="center"/>
              <w:rPr>
                <w:rFonts w:ascii="Calibri" w:hAnsi="Calibri" w:cs="Times New Roman"/>
                <w:sz w:val="20"/>
                <w:szCs w:val="20"/>
              </w:rPr>
            </w:pPr>
            <w:r w:rsidRPr="009011E5">
              <w:rPr>
                <w:rFonts w:ascii="Calibri" w:hAnsi="Calibri" w:cs="Times New Roman"/>
                <w:sz w:val="20"/>
                <w:szCs w:val="20"/>
              </w:rPr>
              <w:t>Financial Assets: Loans &amp; Receivables</w:t>
            </w:r>
          </w:p>
        </w:tc>
        <w:tc>
          <w:tcPr>
            <w:tcW w:w="992" w:type="dxa"/>
            <w:tcBorders>
              <w:top w:val="single" w:sz="4" w:space="0" w:color="auto"/>
              <w:left w:val="nil"/>
              <w:bottom w:val="single" w:sz="4" w:space="0" w:color="auto"/>
              <w:right w:val="single" w:sz="4" w:space="0" w:color="auto"/>
            </w:tcBorders>
            <w:shd w:val="clear" w:color="auto" w:fill="auto"/>
            <w:textDirection w:val="btLr"/>
            <w:vAlign w:val="bottom"/>
            <w:hideMark/>
          </w:tcPr>
          <w:p w:rsidR="009011E5" w:rsidRPr="009011E5" w:rsidRDefault="009011E5" w:rsidP="00A52C33">
            <w:pPr>
              <w:jc w:val="center"/>
              <w:rPr>
                <w:rFonts w:ascii="Calibri" w:hAnsi="Calibri" w:cs="Times New Roman"/>
                <w:sz w:val="20"/>
                <w:szCs w:val="20"/>
              </w:rPr>
            </w:pPr>
            <w:r w:rsidRPr="009011E5">
              <w:rPr>
                <w:rFonts w:ascii="Calibri" w:hAnsi="Calibri" w:cs="Times New Roman"/>
                <w:sz w:val="20"/>
                <w:szCs w:val="20"/>
              </w:rPr>
              <w:t>Financial Assets: Available for Sale</w:t>
            </w:r>
          </w:p>
        </w:tc>
        <w:tc>
          <w:tcPr>
            <w:tcW w:w="283" w:type="dxa"/>
            <w:tcBorders>
              <w:top w:val="single" w:sz="4" w:space="0" w:color="auto"/>
              <w:left w:val="nil"/>
              <w:bottom w:val="single" w:sz="4" w:space="0" w:color="auto"/>
              <w:right w:val="nil"/>
            </w:tcBorders>
            <w:shd w:val="clear" w:color="auto" w:fill="auto"/>
            <w:textDirection w:val="btLr"/>
            <w:vAlign w:val="bottom"/>
            <w:hideMark/>
          </w:tcPr>
          <w:p w:rsidR="009011E5" w:rsidRPr="009011E5" w:rsidRDefault="009011E5" w:rsidP="00A52C33">
            <w:pPr>
              <w:jc w:val="center"/>
              <w:rPr>
                <w:rFonts w:ascii="Calibri" w:hAnsi="Calibri" w:cs="Times New Roman"/>
                <w:sz w:val="20"/>
                <w:szCs w:val="20"/>
              </w:rPr>
            </w:pPr>
            <w:r w:rsidRPr="009011E5">
              <w:rPr>
                <w:rFonts w:ascii="Calibri" w:hAnsi="Calibri" w:cs="Times New Roman"/>
                <w:sz w:val="20"/>
                <w:szCs w:val="20"/>
              </w:rPr>
              <w:t>Assets and Liabilities at Fair Value through Profit &amp; Loss</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extDirection w:val="btLr"/>
            <w:vAlign w:val="bottom"/>
            <w:hideMark/>
          </w:tcPr>
          <w:p w:rsidR="009011E5" w:rsidRPr="009011E5" w:rsidRDefault="009011E5" w:rsidP="00A52C33">
            <w:pPr>
              <w:jc w:val="center"/>
              <w:rPr>
                <w:rFonts w:ascii="Calibri" w:hAnsi="Calibri" w:cs="Times New Roman"/>
                <w:b/>
                <w:bCs/>
                <w:sz w:val="20"/>
                <w:szCs w:val="20"/>
              </w:rPr>
            </w:pPr>
            <w:r w:rsidRPr="009011E5">
              <w:rPr>
                <w:rFonts w:ascii="Calibri" w:hAnsi="Calibri" w:cs="Times New Roman"/>
                <w:b/>
                <w:bCs/>
                <w:sz w:val="20"/>
                <w:szCs w:val="20"/>
              </w:rPr>
              <w:t>Total</w:t>
            </w:r>
          </w:p>
        </w:tc>
      </w:tr>
      <w:tr w:rsidR="009011E5" w:rsidRPr="009011E5" w:rsidTr="000A05FC">
        <w:trPr>
          <w:trHeight w:val="334"/>
        </w:trPr>
        <w:tc>
          <w:tcPr>
            <w:tcW w:w="1999" w:type="dxa"/>
            <w:gridSpan w:val="3"/>
            <w:tcBorders>
              <w:top w:val="nil"/>
              <w:left w:val="nil"/>
              <w:bottom w:val="nil"/>
              <w:right w:val="nil"/>
            </w:tcBorders>
            <w:shd w:val="clear" w:color="auto" w:fill="auto"/>
            <w:noWrap/>
            <w:vAlign w:val="bottom"/>
            <w:hideMark/>
          </w:tcPr>
          <w:p w:rsidR="009011E5" w:rsidRPr="009011E5" w:rsidRDefault="009011E5" w:rsidP="00A52C33">
            <w:pPr>
              <w:rPr>
                <w:rFonts w:ascii="Calibri" w:hAnsi="Calibri" w:cs="Times New Roman"/>
                <w:sz w:val="20"/>
                <w:szCs w:val="20"/>
              </w:rPr>
            </w:pPr>
            <w:r w:rsidRPr="009011E5">
              <w:rPr>
                <w:rFonts w:ascii="Calibri" w:hAnsi="Calibri" w:cs="Times New Roman"/>
                <w:sz w:val="20"/>
                <w:szCs w:val="20"/>
              </w:rPr>
              <w:t>Interest Expense</w:t>
            </w:r>
          </w:p>
        </w:tc>
        <w:tc>
          <w:tcPr>
            <w:tcW w:w="803" w:type="dxa"/>
            <w:tcBorders>
              <w:top w:val="nil"/>
              <w:left w:val="single" w:sz="4" w:space="0" w:color="auto"/>
              <w:bottom w:val="nil"/>
              <w:right w:val="single" w:sz="4" w:space="0" w:color="auto"/>
            </w:tcBorders>
            <w:shd w:val="clear" w:color="auto" w:fill="auto"/>
            <w:noWrap/>
            <w:vAlign w:val="bottom"/>
            <w:hideMark/>
          </w:tcPr>
          <w:p w:rsidR="009011E5" w:rsidRPr="009011E5" w:rsidRDefault="009011E5" w:rsidP="000A05FC">
            <w:pPr>
              <w:jc w:val="right"/>
              <w:rPr>
                <w:rFonts w:ascii="Calibri" w:hAnsi="Calibri" w:cs="Times New Roman"/>
                <w:sz w:val="20"/>
                <w:szCs w:val="20"/>
              </w:rPr>
            </w:pPr>
            <w:r w:rsidRPr="009011E5">
              <w:rPr>
                <w:rFonts w:ascii="Calibri" w:hAnsi="Calibri" w:cs="Times New Roman"/>
                <w:sz w:val="20"/>
                <w:szCs w:val="20"/>
              </w:rPr>
              <w:t>16,793</w:t>
            </w:r>
          </w:p>
        </w:tc>
        <w:tc>
          <w:tcPr>
            <w:tcW w:w="850" w:type="dxa"/>
            <w:tcBorders>
              <w:top w:val="nil"/>
              <w:left w:val="nil"/>
              <w:bottom w:val="nil"/>
              <w:right w:val="single" w:sz="4" w:space="0" w:color="auto"/>
            </w:tcBorders>
            <w:shd w:val="clear" w:color="auto" w:fill="auto"/>
            <w:noWrap/>
            <w:vAlign w:val="bottom"/>
            <w:hideMark/>
          </w:tcPr>
          <w:p w:rsidR="009011E5" w:rsidRPr="009011E5" w:rsidRDefault="00933A46" w:rsidP="000A05FC">
            <w:pPr>
              <w:jc w:val="right"/>
              <w:rPr>
                <w:rFonts w:ascii="Calibri" w:hAnsi="Calibri" w:cs="Times New Roman"/>
                <w:sz w:val="20"/>
                <w:szCs w:val="20"/>
              </w:rPr>
            </w:pPr>
            <w:r>
              <w:rPr>
                <w:rFonts w:ascii="Calibri" w:hAnsi="Calibri" w:cs="Times New Roman"/>
                <w:sz w:val="20"/>
                <w:szCs w:val="20"/>
              </w:rPr>
              <w:t>-</w:t>
            </w:r>
            <w:r w:rsidR="009011E5" w:rsidRPr="009011E5">
              <w:rPr>
                <w:rFonts w:ascii="Calibri" w:hAnsi="Calibri" w:cs="Times New Roman"/>
                <w:sz w:val="20"/>
                <w:szCs w:val="20"/>
              </w:rPr>
              <w:t> </w:t>
            </w:r>
          </w:p>
        </w:tc>
        <w:tc>
          <w:tcPr>
            <w:tcW w:w="992" w:type="dxa"/>
            <w:tcBorders>
              <w:top w:val="nil"/>
              <w:left w:val="nil"/>
              <w:bottom w:val="nil"/>
              <w:right w:val="single" w:sz="4" w:space="0" w:color="auto"/>
            </w:tcBorders>
            <w:shd w:val="clear" w:color="auto" w:fill="auto"/>
            <w:noWrap/>
            <w:vAlign w:val="bottom"/>
            <w:hideMark/>
          </w:tcPr>
          <w:p w:rsidR="009011E5" w:rsidRPr="009011E5" w:rsidRDefault="00933A46" w:rsidP="000A05FC">
            <w:pPr>
              <w:jc w:val="right"/>
              <w:rPr>
                <w:rFonts w:ascii="Calibri" w:hAnsi="Calibri" w:cs="Times New Roman"/>
                <w:sz w:val="20"/>
                <w:szCs w:val="20"/>
              </w:rPr>
            </w:pPr>
            <w:r>
              <w:rPr>
                <w:rFonts w:ascii="Calibri" w:hAnsi="Calibri" w:cs="Times New Roman"/>
                <w:sz w:val="20"/>
                <w:szCs w:val="20"/>
              </w:rPr>
              <w:t>-</w:t>
            </w:r>
          </w:p>
        </w:tc>
        <w:tc>
          <w:tcPr>
            <w:tcW w:w="993" w:type="dxa"/>
            <w:tcBorders>
              <w:top w:val="nil"/>
              <w:left w:val="nil"/>
              <w:bottom w:val="nil"/>
              <w:right w:val="nil"/>
            </w:tcBorders>
            <w:shd w:val="clear" w:color="auto" w:fill="auto"/>
            <w:noWrap/>
            <w:vAlign w:val="bottom"/>
            <w:hideMark/>
          </w:tcPr>
          <w:p w:rsidR="009011E5" w:rsidRPr="009011E5" w:rsidRDefault="00933A46" w:rsidP="000A05FC">
            <w:pPr>
              <w:jc w:val="right"/>
              <w:rPr>
                <w:rFonts w:ascii="Calibri" w:hAnsi="Calibri" w:cs="Times New Roman"/>
                <w:sz w:val="20"/>
                <w:szCs w:val="20"/>
              </w:rPr>
            </w:pPr>
            <w:r>
              <w:rPr>
                <w:rFonts w:ascii="Calibri" w:hAnsi="Calibri" w:cs="Times New Roman"/>
                <w:sz w:val="20"/>
                <w:szCs w:val="20"/>
              </w:rPr>
              <w:t>-</w:t>
            </w:r>
          </w:p>
        </w:tc>
        <w:tc>
          <w:tcPr>
            <w:tcW w:w="992" w:type="dxa"/>
            <w:tcBorders>
              <w:top w:val="single" w:sz="8" w:space="0" w:color="auto"/>
              <w:left w:val="single" w:sz="8" w:space="0" w:color="auto"/>
              <w:bottom w:val="nil"/>
              <w:right w:val="single" w:sz="8" w:space="0" w:color="auto"/>
            </w:tcBorders>
            <w:shd w:val="clear" w:color="auto" w:fill="auto"/>
            <w:noWrap/>
            <w:vAlign w:val="bottom"/>
            <w:hideMark/>
          </w:tcPr>
          <w:p w:rsidR="009011E5" w:rsidRPr="009011E5" w:rsidRDefault="009011E5" w:rsidP="000A05FC">
            <w:pPr>
              <w:jc w:val="right"/>
              <w:rPr>
                <w:rFonts w:ascii="Calibri" w:hAnsi="Calibri" w:cs="Times New Roman"/>
                <w:sz w:val="20"/>
                <w:szCs w:val="20"/>
              </w:rPr>
            </w:pPr>
            <w:r w:rsidRPr="009011E5">
              <w:rPr>
                <w:rFonts w:ascii="Calibri" w:hAnsi="Calibri" w:cs="Times New Roman"/>
                <w:sz w:val="20"/>
                <w:szCs w:val="20"/>
              </w:rPr>
              <w:t xml:space="preserve"> 16,793 </w:t>
            </w:r>
          </w:p>
        </w:tc>
        <w:tc>
          <w:tcPr>
            <w:tcW w:w="850" w:type="dxa"/>
            <w:tcBorders>
              <w:top w:val="nil"/>
              <w:left w:val="single" w:sz="4" w:space="0" w:color="auto"/>
              <w:bottom w:val="nil"/>
              <w:right w:val="single" w:sz="4" w:space="0" w:color="auto"/>
            </w:tcBorders>
            <w:shd w:val="clear" w:color="auto" w:fill="auto"/>
            <w:noWrap/>
            <w:vAlign w:val="bottom"/>
            <w:hideMark/>
          </w:tcPr>
          <w:p w:rsidR="009011E5" w:rsidRPr="009011E5" w:rsidRDefault="009011E5" w:rsidP="000A05FC">
            <w:pPr>
              <w:jc w:val="right"/>
              <w:rPr>
                <w:rFonts w:ascii="Calibri" w:hAnsi="Calibri" w:cs="Times New Roman"/>
                <w:sz w:val="20"/>
                <w:szCs w:val="20"/>
              </w:rPr>
            </w:pPr>
            <w:r w:rsidRPr="009011E5">
              <w:rPr>
                <w:rFonts w:ascii="Calibri" w:hAnsi="Calibri" w:cs="Times New Roman"/>
                <w:sz w:val="20"/>
                <w:szCs w:val="20"/>
              </w:rPr>
              <w:t xml:space="preserve">18,608 </w:t>
            </w:r>
          </w:p>
        </w:tc>
        <w:tc>
          <w:tcPr>
            <w:tcW w:w="993" w:type="dxa"/>
            <w:tcBorders>
              <w:top w:val="nil"/>
              <w:left w:val="nil"/>
              <w:bottom w:val="nil"/>
              <w:right w:val="single" w:sz="4" w:space="0" w:color="auto"/>
            </w:tcBorders>
            <w:shd w:val="clear" w:color="auto" w:fill="auto"/>
            <w:noWrap/>
            <w:vAlign w:val="bottom"/>
            <w:hideMark/>
          </w:tcPr>
          <w:p w:rsidR="009011E5" w:rsidRPr="009011E5" w:rsidRDefault="000A05FC" w:rsidP="000A05FC">
            <w:pPr>
              <w:jc w:val="right"/>
              <w:rPr>
                <w:rFonts w:ascii="Calibri" w:hAnsi="Calibri" w:cs="Times New Roman"/>
                <w:sz w:val="20"/>
                <w:szCs w:val="20"/>
              </w:rPr>
            </w:pPr>
            <w:r>
              <w:rPr>
                <w:rFonts w:ascii="Calibri" w:hAnsi="Calibri" w:cs="Times New Roman"/>
                <w:sz w:val="20"/>
                <w:szCs w:val="20"/>
              </w:rPr>
              <w:t xml:space="preserve"> -</w:t>
            </w:r>
          </w:p>
        </w:tc>
        <w:tc>
          <w:tcPr>
            <w:tcW w:w="992" w:type="dxa"/>
            <w:tcBorders>
              <w:top w:val="nil"/>
              <w:left w:val="nil"/>
              <w:bottom w:val="nil"/>
              <w:right w:val="single" w:sz="4" w:space="0" w:color="auto"/>
            </w:tcBorders>
            <w:shd w:val="clear" w:color="auto" w:fill="auto"/>
            <w:noWrap/>
            <w:vAlign w:val="bottom"/>
            <w:hideMark/>
          </w:tcPr>
          <w:p w:rsidR="009011E5" w:rsidRPr="009011E5" w:rsidRDefault="000A05FC" w:rsidP="000A05FC">
            <w:pPr>
              <w:jc w:val="right"/>
              <w:rPr>
                <w:rFonts w:ascii="Calibri" w:hAnsi="Calibri" w:cs="Times New Roman"/>
                <w:sz w:val="20"/>
                <w:szCs w:val="20"/>
              </w:rPr>
            </w:pPr>
            <w:r>
              <w:rPr>
                <w:rFonts w:ascii="Calibri" w:hAnsi="Calibri" w:cs="Times New Roman"/>
                <w:sz w:val="20"/>
                <w:szCs w:val="20"/>
              </w:rPr>
              <w:t xml:space="preserve"> -</w:t>
            </w:r>
          </w:p>
        </w:tc>
        <w:tc>
          <w:tcPr>
            <w:tcW w:w="296" w:type="dxa"/>
            <w:gridSpan w:val="2"/>
            <w:tcBorders>
              <w:top w:val="nil"/>
              <w:left w:val="nil"/>
              <w:bottom w:val="nil"/>
              <w:right w:val="nil"/>
            </w:tcBorders>
            <w:shd w:val="clear" w:color="auto" w:fill="auto"/>
            <w:noWrap/>
            <w:vAlign w:val="bottom"/>
            <w:hideMark/>
          </w:tcPr>
          <w:p w:rsidR="009011E5" w:rsidRPr="009011E5" w:rsidRDefault="009011E5" w:rsidP="000A05FC">
            <w:pPr>
              <w:jc w:val="right"/>
              <w:rPr>
                <w:rFonts w:ascii="Calibri" w:hAnsi="Calibri" w:cs="Times New Roman"/>
                <w:sz w:val="20"/>
                <w:szCs w:val="20"/>
              </w:rPr>
            </w:pPr>
            <w:r w:rsidRPr="009011E5">
              <w:rPr>
                <w:rFonts w:ascii="Calibri" w:hAnsi="Calibri" w:cs="Times New Roman"/>
                <w:sz w:val="20"/>
                <w:szCs w:val="20"/>
              </w:rPr>
              <w:t xml:space="preserve">-   </w:t>
            </w:r>
          </w:p>
        </w:tc>
        <w:tc>
          <w:tcPr>
            <w:tcW w:w="1121" w:type="dxa"/>
            <w:tcBorders>
              <w:top w:val="nil"/>
              <w:left w:val="single" w:sz="8" w:space="0" w:color="auto"/>
              <w:bottom w:val="nil"/>
              <w:right w:val="single" w:sz="8" w:space="0" w:color="auto"/>
            </w:tcBorders>
            <w:shd w:val="clear" w:color="auto" w:fill="auto"/>
            <w:noWrap/>
            <w:vAlign w:val="bottom"/>
            <w:hideMark/>
          </w:tcPr>
          <w:p w:rsidR="009011E5" w:rsidRPr="009011E5" w:rsidRDefault="009011E5" w:rsidP="000A05FC">
            <w:pPr>
              <w:jc w:val="right"/>
              <w:rPr>
                <w:rFonts w:ascii="Calibri" w:hAnsi="Calibri" w:cs="Times New Roman"/>
                <w:sz w:val="20"/>
                <w:szCs w:val="20"/>
              </w:rPr>
            </w:pPr>
            <w:r w:rsidRPr="009011E5">
              <w:rPr>
                <w:rFonts w:ascii="Calibri" w:hAnsi="Calibri" w:cs="Times New Roman"/>
                <w:sz w:val="20"/>
                <w:szCs w:val="20"/>
              </w:rPr>
              <w:t xml:space="preserve"> 18,608 </w:t>
            </w:r>
          </w:p>
        </w:tc>
      </w:tr>
      <w:tr w:rsidR="009011E5" w:rsidRPr="009011E5" w:rsidTr="000A05FC">
        <w:trPr>
          <w:trHeight w:val="456"/>
        </w:trPr>
        <w:tc>
          <w:tcPr>
            <w:tcW w:w="1999" w:type="dxa"/>
            <w:gridSpan w:val="3"/>
            <w:tcBorders>
              <w:top w:val="nil"/>
              <w:left w:val="nil"/>
              <w:bottom w:val="nil"/>
              <w:right w:val="nil"/>
            </w:tcBorders>
            <w:shd w:val="clear" w:color="auto" w:fill="auto"/>
            <w:noWrap/>
            <w:vAlign w:val="bottom"/>
            <w:hideMark/>
          </w:tcPr>
          <w:p w:rsidR="009011E5" w:rsidRPr="009011E5" w:rsidRDefault="009011E5" w:rsidP="00A52C33">
            <w:pPr>
              <w:rPr>
                <w:rFonts w:ascii="Calibri" w:hAnsi="Calibri" w:cs="Times New Roman"/>
                <w:sz w:val="20"/>
                <w:szCs w:val="20"/>
              </w:rPr>
            </w:pPr>
            <w:r w:rsidRPr="009011E5">
              <w:rPr>
                <w:rFonts w:ascii="Calibri" w:hAnsi="Calibri" w:cs="Times New Roman"/>
                <w:sz w:val="20"/>
                <w:szCs w:val="20"/>
              </w:rPr>
              <w:t>Losses on Derecognition</w:t>
            </w:r>
          </w:p>
        </w:tc>
        <w:tc>
          <w:tcPr>
            <w:tcW w:w="803" w:type="dxa"/>
            <w:tcBorders>
              <w:top w:val="nil"/>
              <w:left w:val="single" w:sz="4" w:space="0" w:color="auto"/>
              <w:bottom w:val="nil"/>
              <w:right w:val="single" w:sz="4" w:space="0" w:color="auto"/>
            </w:tcBorders>
            <w:shd w:val="clear" w:color="auto" w:fill="auto"/>
            <w:noWrap/>
            <w:vAlign w:val="bottom"/>
            <w:hideMark/>
          </w:tcPr>
          <w:p w:rsidR="009011E5" w:rsidRPr="009011E5" w:rsidRDefault="009011E5" w:rsidP="000A05FC">
            <w:pPr>
              <w:jc w:val="right"/>
              <w:rPr>
                <w:rFonts w:ascii="Calibri" w:hAnsi="Calibri" w:cs="Times New Roman"/>
                <w:sz w:val="20"/>
                <w:szCs w:val="20"/>
              </w:rPr>
            </w:pPr>
            <w:r w:rsidRPr="009011E5">
              <w:rPr>
                <w:rFonts w:ascii="Calibri" w:hAnsi="Calibri" w:cs="Times New Roman"/>
                <w:sz w:val="20"/>
                <w:szCs w:val="20"/>
              </w:rPr>
              <w:t> </w:t>
            </w:r>
          </w:p>
        </w:tc>
        <w:tc>
          <w:tcPr>
            <w:tcW w:w="850" w:type="dxa"/>
            <w:tcBorders>
              <w:top w:val="nil"/>
              <w:left w:val="nil"/>
              <w:bottom w:val="nil"/>
              <w:right w:val="single" w:sz="4" w:space="0" w:color="auto"/>
            </w:tcBorders>
            <w:shd w:val="clear" w:color="auto" w:fill="auto"/>
            <w:noWrap/>
            <w:vAlign w:val="bottom"/>
            <w:hideMark/>
          </w:tcPr>
          <w:p w:rsidR="009011E5" w:rsidRPr="009011E5" w:rsidRDefault="009011E5" w:rsidP="000A05FC">
            <w:pPr>
              <w:jc w:val="right"/>
              <w:rPr>
                <w:rFonts w:ascii="Calibri" w:hAnsi="Calibri" w:cs="Times New Roman"/>
                <w:sz w:val="20"/>
                <w:szCs w:val="20"/>
              </w:rPr>
            </w:pPr>
            <w:r w:rsidRPr="009011E5">
              <w:rPr>
                <w:rFonts w:ascii="Calibri" w:hAnsi="Calibri" w:cs="Times New Roman"/>
                <w:sz w:val="20"/>
                <w:szCs w:val="20"/>
              </w:rPr>
              <w:t> </w:t>
            </w:r>
          </w:p>
        </w:tc>
        <w:tc>
          <w:tcPr>
            <w:tcW w:w="992" w:type="dxa"/>
            <w:tcBorders>
              <w:top w:val="nil"/>
              <w:left w:val="nil"/>
              <w:bottom w:val="nil"/>
              <w:right w:val="single" w:sz="4" w:space="0" w:color="auto"/>
            </w:tcBorders>
            <w:shd w:val="clear" w:color="auto" w:fill="auto"/>
            <w:noWrap/>
            <w:vAlign w:val="bottom"/>
            <w:hideMark/>
          </w:tcPr>
          <w:p w:rsidR="009011E5" w:rsidRPr="009011E5" w:rsidRDefault="009011E5" w:rsidP="000A05FC">
            <w:pPr>
              <w:jc w:val="right"/>
              <w:rPr>
                <w:rFonts w:ascii="Calibri" w:hAnsi="Calibri" w:cs="Times New Roman"/>
                <w:sz w:val="20"/>
                <w:szCs w:val="20"/>
              </w:rPr>
            </w:pPr>
            <w:r w:rsidRPr="009011E5">
              <w:rPr>
                <w:rFonts w:ascii="Calibri" w:hAnsi="Calibri" w:cs="Times New Roman"/>
                <w:sz w:val="20"/>
                <w:szCs w:val="20"/>
              </w:rPr>
              <w:t> </w:t>
            </w:r>
          </w:p>
        </w:tc>
        <w:tc>
          <w:tcPr>
            <w:tcW w:w="993" w:type="dxa"/>
            <w:tcBorders>
              <w:top w:val="nil"/>
              <w:left w:val="nil"/>
              <w:bottom w:val="nil"/>
              <w:right w:val="nil"/>
            </w:tcBorders>
            <w:shd w:val="clear" w:color="auto" w:fill="auto"/>
            <w:noWrap/>
            <w:vAlign w:val="bottom"/>
            <w:hideMark/>
          </w:tcPr>
          <w:p w:rsidR="009011E5" w:rsidRPr="009011E5" w:rsidRDefault="009011E5" w:rsidP="000A05FC">
            <w:pPr>
              <w:jc w:val="right"/>
              <w:rPr>
                <w:rFonts w:ascii="Calibri" w:hAnsi="Calibri" w:cs="Times New Roman"/>
                <w:sz w:val="20"/>
                <w:szCs w:val="20"/>
              </w:rPr>
            </w:pPr>
            <w:r w:rsidRPr="009011E5">
              <w:rPr>
                <w:rFonts w:ascii="Calibri" w:hAnsi="Calibri" w:cs="Times New Roman"/>
                <w:sz w:val="20"/>
                <w:szCs w:val="20"/>
              </w:rPr>
              <w:t xml:space="preserve">           </w:t>
            </w:r>
          </w:p>
        </w:tc>
        <w:tc>
          <w:tcPr>
            <w:tcW w:w="992" w:type="dxa"/>
            <w:tcBorders>
              <w:top w:val="nil"/>
              <w:left w:val="single" w:sz="8" w:space="0" w:color="auto"/>
              <w:bottom w:val="nil"/>
              <w:right w:val="single" w:sz="8" w:space="0" w:color="auto"/>
            </w:tcBorders>
            <w:shd w:val="clear" w:color="auto" w:fill="auto"/>
            <w:noWrap/>
            <w:vAlign w:val="bottom"/>
            <w:hideMark/>
          </w:tcPr>
          <w:p w:rsidR="009011E5" w:rsidRPr="009011E5" w:rsidRDefault="009011E5"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850" w:type="dxa"/>
            <w:tcBorders>
              <w:top w:val="nil"/>
              <w:left w:val="single" w:sz="4" w:space="0" w:color="auto"/>
              <w:bottom w:val="nil"/>
              <w:right w:val="single" w:sz="4" w:space="0" w:color="auto"/>
            </w:tcBorders>
            <w:shd w:val="clear" w:color="auto" w:fill="auto"/>
            <w:noWrap/>
            <w:vAlign w:val="bottom"/>
            <w:hideMark/>
          </w:tcPr>
          <w:p w:rsidR="009011E5" w:rsidRPr="009011E5" w:rsidRDefault="009011E5" w:rsidP="000A05FC">
            <w:pPr>
              <w:jc w:val="right"/>
              <w:rPr>
                <w:rFonts w:ascii="Calibri" w:hAnsi="Calibri" w:cs="Times New Roman"/>
                <w:sz w:val="20"/>
                <w:szCs w:val="20"/>
              </w:rPr>
            </w:pPr>
            <w:r w:rsidRPr="009011E5">
              <w:rPr>
                <w:rFonts w:ascii="Calibri" w:hAnsi="Calibri" w:cs="Times New Roman"/>
                <w:sz w:val="20"/>
                <w:szCs w:val="20"/>
              </w:rPr>
              <w:t xml:space="preserve">         30,115 </w:t>
            </w:r>
          </w:p>
        </w:tc>
        <w:tc>
          <w:tcPr>
            <w:tcW w:w="993" w:type="dxa"/>
            <w:tcBorders>
              <w:top w:val="nil"/>
              <w:left w:val="nil"/>
              <w:bottom w:val="nil"/>
              <w:right w:val="single" w:sz="4" w:space="0" w:color="auto"/>
            </w:tcBorders>
            <w:shd w:val="clear" w:color="auto" w:fill="auto"/>
            <w:noWrap/>
            <w:vAlign w:val="bottom"/>
            <w:hideMark/>
          </w:tcPr>
          <w:p w:rsidR="009011E5" w:rsidRPr="009011E5" w:rsidRDefault="009011E5"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992" w:type="dxa"/>
            <w:tcBorders>
              <w:top w:val="nil"/>
              <w:left w:val="nil"/>
              <w:bottom w:val="nil"/>
              <w:right w:val="single" w:sz="4" w:space="0" w:color="auto"/>
            </w:tcBorders>
            <w:shd w:val="clear" w:color="auto" w:fill="auto"/>
            <w:noWrap/>
            <w:vAlign w:val="bottom"/>
            <w:hideMark/>
          </w:tcPr>
          <w:p w:rsidR="009011E5" w:rsidRPr="009011E5" w:rsidRDefault="009011E5"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296" w:type="dxa"/>
            <w:gridSpan w:val="2"/>
            <w:tcBorders>
              <w:top w:val="nil"/>
              <w:left w:val="nil"/>
              <w:bottom w:val="nil"/>
              <w:right w:val="nil"/>
            </w:tcBorders>
            <w:shd w:val="clear" w:color="auto" w:fill="auto"/>
            <w:noWrap/>
            <w:vAlign w:val="bottom"/>
            <w:hideMark/>
          </w:tcPr>
          <w:p w:rsidR="009011E5" w:rsidRPr="009011E5" w:rsidRDefault="009011E5"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1121" w:type="dxa"/>
            <w:tcBorders>
              <w:top w:val="nil"/>
              <w:left w:val="single" w:sz="8" w:space="0" w:color="auto"/>
              <w:bottom w:val="nil"/>
              <w:right w:val="single" w:sz="8" w:space="0" w:color="auto"/>
            </w:tcBorders>
            <w:shd w:val="clear" w:color="auto" w:fill="auto"/>
            <w:noWrap/>
            <w:vAlign w:val="bottom"/>
            <w:hideMark/>
          </w:tcPr>
          <w:p w:rsidR="009011E5" w:rsidRPr="009011E5" w:rsidRDefault="009011E5" w:rsidP="000A05FC">
            <w:pPr>
              <w:jc w:val="right"/>
              <w:rPr>
                <w:rFonts w:ascii="Calibri" w:hAnsi="Calibri" w:cs="Times New Roman"/>
                <w:sz w:val="20"/>
                <w:szCs w:val="20"/>
              </w:rPr>
            </w:pPr>
            <w:r w:rsidRPr="009011E5">
              <w:rPr>
                <w:rFonts w:ascii="Calibri" w:hAnsi="Calibri" w:cs="Times New Roman"/>
                <w:sz w:val="20"/>
                <w:szCs w:val="20"/>
              </w:rPr>
              <w:t xml:space="preserve">         30,115 </w:t>
            </w:r>
          </w:p>
        </w:tc>
      </w:tr>
      <w:tr w:rsidR="00933A46" w:rsidRPr="009011E5" w:rsidTr="000A05FC">
        <w:trPr>
          <w:trHeight w:val="508"/>
        </w:trPr>
        <w:tc>
          <w:tcPr>
            <w:tcW w:w="1999" w:type="dxa"/>
            <w:gridSpan w:val="3"/>
            <w:tcBorders>
              <w:top w:val="nil"/>
              <w:left w:val="nil"/>
              <w:bottom w:val="nil"/>
              <w:right w:val="nil"/>
            </w:tcBorders>
            <w:shd w:val="clear" w:color="auto" w:fill="auto"/>
            <w:noWrap/>
            <w:vAlign w:val="bottom"/>
            <w:hideMark/>
          </w:tcPr>
          <w:p w:rsidR="00933A46" w:rsidRPr="009011E5" w:rsidRDefault="00933A46" w:rsidP="00A52C33">
            <w:pPr>
              <w:rPr>
                <w:rFonts w:ascii="Calibri" w:hAnsi="Calibri" w:cs="Times New Roman"/>
                <w:sz w:val="20"/>
                <w:szCs w:val="20"/>
              </w:rPr>
            </w:pPr>
            <w:r w:rsidRPr="009011E5">
              <w:rPr>
                <w:rFonts w:ascii="Calibri" w:hAnsi="Calibri" w:cs="Times New Roman"/>
                <w:sz w:val="20"/>
                <w:szCs w:val="20"/>
              </w:rPr>
              <w:t>Reductions in Fair Value</w:t>
            </w:r>
          </w:p>
        </w:tc>
        <w:tc>
          <w:tcPr>
            <w:tcW w:w="803" w:type="dxa"/>
            <w:tcBorders>
              <w:top w:val="nil"/>
              <w:left w:val="single" w:sz="4" w:space="0" w:color="auto"/>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850" w:type="dxa"/>
            <w:tcBorders>
              <w:top w:val="nil"/>
              <w:left w:val="nil"/>
              <w:bottom w:val="nil"/>
              <w:right w:val="single" w:sz="4" w:space="0" w:color="auto"/>
            </w:tcBorders>
            <w:shd w:val="clear" w:color="auto" w:fill="auto"/>
            <w:noWrap/>
            <w:vAlign w:val="bottom"/>
            <w:hideMark/>
          </w:tcPr>
          <w:p w:rsidR="00933A46" w:rsidRPr="009011E5" w:rsidRDefault="00933A46" w:rsidP="00933A46">
            <w:pPr>
              <w:jc w:val="right"/>
              <w:rPr>
                <w:rFonts w:ascii="Calibri" w:hAnsi="Calibri" w:cs="Times New Roman"/>
                <w:sz w:val="20"/>
                <w:szCs w:val="20"/>
              </w:rPr>
            </w:pPr>
            <w:r>
              <w:rPr>
                <w:rFonts w:ascii="Calibri" w:hAnsi="Calibri" w:cs="Times New Roman"/>
                <w:sz w:val="20"/>
                <w:szCs w:val="20"/>
              </w:rPr>
              <w:t>-</w:t>
            </w:r>
            <w:r w:rsidRPr="009011E5">
              <w:rPr>
                <w:rFonts w:ascii="Calibri" w:hAnsi="Calibri" w:cs="Times New Roman"/>
                <w:sz w:val="20"/>
                <w:szCs w:val="20"/>
              </w:rPr>
              <w:t> </w:t>
            </w:r>
          </w:p>
        </w:tc>
        <w:tc>
          <w:tcPr>
            <w:tcW w:w="992" w:type="dxa"/>
            <w:tcBorders>
              <w:top w:val="nil"/>
              <w:left w:val="nil"/>
              <w:bottom w:val="nil"/>
              <w:right w:val="single" w:sz="4" w:space="0" w:color="auto"/>
            </w:tcBorders>
            <w:shd w:val="clear" w:color="auto" w:fill="auto"/>
            <w:noWrap/>
            <w:vAlign w:val="bottom"/>
            <w:hideMark/>
          </w:tcPr>
          <w:p w:rsidR="00933A46" w:rsidRPr="009011E5" w:rsidRDefault="00933A46" w:rsidP="00933A46">
            <w:pPr>
              <w:jc w:val="right"/>
              <w:rPr>
                <w:rFonts w:ascii="Calibri" w:hAnsi="Calibri" w:cs="Times New Roman"/>
                <w:sz w:val="20"/>
                <w:szCs w:val="20"/>
              </w:rPr>
            </w:pPr>
            <w:r>
              <w:rPr>
                <w:rFonts w:ascii="Calibri" w:hAnsi="Calibri" w:cs="Times New Roman"/>
                <w:sz w:val="20"/>
                <w:szCs w:val="20"/>
              </w:rPr>
              <w:t>-</w:t>
            </w:r>
          </w:p>
        </w:tc>
        <w:tc>
          <w:tcPr>
            <w:tcW w:w="993" w:type="dxa"/>
            <w:tcBorders>
              <w:top w:val="nil"/>
              <w:left w:val="nil"/>
              <w:bottom w:val="nil"/>
              <w:right w:val="nil"/>
            </w:tcBorders>
            <w:shd w:val="clear" w:color="auto" w:fill="auto"/>
            <w:noWrap/>
            <w:vAlign w:val="bottom"/>
            <w:hideMark/>
          </w:tcPr>
          <w:p w:rsidR="00933A46" w:rsidRPr="009011E5" w:rsidRDefault="00933A46" w:rsidP="00933A46">
            <w:pPr>
              <w:jc w:val="right"/>
              <w:rPr>
                <w:rFonts w:ascii="Calibri" w:hAnsi="Calibri" w:cs="Times New Roman"/>
                <w:sz w:val="20"/>
                <w:szCs w:val="20"/>
              </w:rPr>
            </w:pPr>
            <w:r>
              <w:rPr>
                <w:rFonts w:ascii="Calibri" w:hAnsi="Calibri" w:cs="Times New Roman"/>
                <w:sz w:val="20"/>
                <w:szCs w:val="20"/>
              </w:rPr>
              <w:t>-</w:t>
            </w:r>
          </w:p>
        </w:tc>
        <w:tc>
          <w:tcPr>
            <w:tcW w:w="992" w:type="dxa"/>
            <w:tcBorders>
              <w:top w:val="nil"/>
              <w:left w:val="single" w:sz="8" w:space="0" w:color="auto"/>
              <w:bottom w:val="nil"/>
              <w:right w:val="single" w:sz="8"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850" w:type="dxa"/>
            <w:tcBorders>
              <w:top w:val="nil"/>
              <w:left w:val="single" w:sz="4" w:space="0" w:color="auto"/>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993"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992"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296" w:type="dxa"/>
            <w:gridSpan w:val="2"/>
            <w:tcBorders>
              <w:top w:val="nil"/>
              <w:left w:val="nil"/>
              <w:bottom w:val="nil"/>
              <w:right w:val="nil"/>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1121" w:type="dxa"/>
            <w:tcBorders>
              <w:top w:val="nil"/>
              <w:left w:val="single" w:sz="8" w:space="0" w:color="auto"/>
              <w:bottom w:val="nil"/>
              <w:right w:val="single" w:sz="8"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r>
      <w:tr w:rsidR="00933A46" w:rsidRPr="009011E5" w:rsidTr="000A05FC">
        <w:trPr>
          <w:trHeight w:val="275"/>
        </w:trPr>
        <w:tc>
          <w:tcPr>
            <w:tcW w:w="1999" w:type="dxa"/>
            <w:gridSpan w:val="3"/>
            <w:tcBorders>
              <w:top w:val="nil"/>
              <w:left w:val="nil"/>
              <w:bottom w:val="nil"/>
              <w:right w:val="nil"/>
            </w:tcBorders>
            <w:shd w:val="clear" w:color="auto" w:fill="auto"/>
            <w:noWrap/>
            <w:vAlign w:val="bottom"/>
            <w:hideMark/>
          </w:tcPr>
          <w:p w:rsidR="00933A46" w:rsidRPr="009011E5" w:rsidRDefault="00933A46" w:rsidP="00A52C33">
            <w:pPr>
              <w:rPr>
                <w:rFonts w:ascii="Calibri" w:hAnsi="Calibri" w:cs="Times New Roman"/>
                <w:sz w:val="20"/>
                <w:szCs w:val="20"/>
              </w:rPr>
            </w:pPr>
            <w:r w:rsidRPr="009011E5">
              <w:rPr>
                <w:rFonts w:ascii="Calibri" w:hAnsi="Calibri" w:cs="Times New Roman"/>
                <w:sz w:val="20"/>
                <w:szCs w:val="20"/>
              </w:rPr>
              <w:t>Impairment Losses</w:t>
            </w:r>
          </w:p>
        </w:tc>
        <w:tc>
          <w:tcPr>
            <w:tcW w:w="803" w:type="dxa"/>
            <w:tcBorders>
              <w:top w:val="nil"/>
              <w:left w:val="single" w:sz="4" w:space="0" w:color="auto"/>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w:t>
            </w:r>
            <w:r>
              <w:rPr>
                <w:rFonts w:ascii="Calibri" w:hAnsi="Calibri" w:cs="Times New Roman"/>
                <w:sz w:val="20"/>
                <w:szCs w:val="20"/>
              </w:rPr>
              <w:t xml:space="preserve"> -</w:t>
            </w:r>
          </w:p>
        </w:tc>
        <w:tc>
          <w:tcPr>
            <w:tcW w:w="850"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w:t>
            </w:r>
          </w:p>
        </w:tc>
        <w:tc>
          <w:tcPr>
            <w:tcW w:w="992"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w:t>
            </w:r>
          </w:p>
        </w:tc>
        <w:tc>
          <w:tcPr>
            <w:tcW w:w="993" w:type="dxa"/>
            <w:tcBorders>
              <w:top w:val="nil"/>
              <w:left w:val="nil"/>
              <w:bottom w:val="nil"/>
              <w:right w:val="nil"/>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w:t>
            </w:r>
          </w:p>
        </w:tc>
        <w:tc>
          <w:tcPr>
            <w:tcW w:w="992" w:type="dxa"/>
            <w:tcBorders>
              <w:top w:val="nil"/>
              <w:left w:val="single" w:sz="8" w:space="0" w:color="auto"/>
              <w:bottom w:val="nil"/>
              <w:right w:val="single" w:sz="8"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850" w:type="dxa"/>
            <w:tcBorders>
              <w:top w:val="nil"/>
              <w:left w:val="single" w:sz="4" w:space="0" w:color="auto"/>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977 </w:t>
            </w:r>
          </w:p>
        </w:tc>
        <w:tc>
          <w:tcPr>
            <w:tcW w:w="993"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992"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296" w:type="dxa"/>
            <w:gridSpan w:val="2"/>
            <w:tcBorders>
              <w:top w:val="nil"/>
              <w:left w:val="nil"/>
              <w:bottom w:val="nil"/>
              <w:right w:val="nil"/>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1121" w:type="dxa"/>
            <w:tcBorders>
              <w:top w:val="nil"/>
              <w:left w:val="single" w:sz="8" w:space="0" w:color="auto"/>
              <w:bottom w:val="nil"/>
              <w:right w:val="single" w:sz="8"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977 </w:t>
            </w:r>
          </w:p>
        </w:tc>
      </w:tr>
      <w:tr w:rsidR="00933A46" w:rsidRPr="009011E5" w:rsidTr="000A05FC">
        <w:trPr>
          <w:trHeight w:val="456"/>
        </w:trPr>
        <w:tc>
          <w:tcPr>
            <w:tcW w:w="1999" w:type="dxa"/>
            <w:gridSpan w:val="3"/>
            <w:tcBorders>
              <w:top w:val="nil"/>
              <w:left w:val="nil"/>
              <w:bottom w:val="nil"/>
              <w:right w:val="nil"/>
            </w:tcBorders>
            <w:shd w:val="clear" w:color="auto" w:fill="auto"/>
            <w:noWrap/>
            <w:vAlign w:val="bottom"/>
            <w:hideMark/>
          </w:tcPr>
          <w:p w:rsidR="00933A46" w:rsidRPr="009011E5" w:rsidRDefault="00933A46" w:rsidP="00A52C33">
            <w:pPr>
              <w:rPr>
                <w:rFonts w:ascii="Calibri" w:hAnsi="Calibri" w:cs="Times New Roman"/>
                <w:sz w:val="20"/>
                <w:szCs w:val="20"/>
              </w:rPr>
            </w:pPr>
            <w:r w:rsidRPr="009011E5">
              <w:rPr>
                <w:rFonts w:ascii="Calibri" w:hAnsi="Calibri" w:cs="Times New Roman"/>
                <w:sz w:val="20"/>
                <w:szCs w:val="20"/>
              </w:rPr>
              <w:t>Fee Expense</w:t>
            </w:r>
          </w:p>
        </w:tc>
        <w:tc>
          <w:tcPr>
            <w:tcW w:w="803" w:type="dxa"/>
            <w:tcBorders>
              <w:top w:val="nil"/>
              <w:left w:val="single" w:sz="4" w:space="0" w:color="auto"/>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194 </w:t>
            </w:r>
          </w:p>
        </w:tc>
        <w:tc>
          <w:tcPr>
            <w:tcW w:w="850" w:type="dxa"/>
            <w:tcBorders>
              <w:top w:val="nil"/>
              <w:left w:val="nil"/>
              <w:bottom w:val="nil"/>
              <w:right w:val="single" w:sz="4" w:space="0" w:color="auto"/>
            </w:tcBorders>
            <w:shd w:val="clear" w:color="auto" w:fill="auto"/>
            <w:noWrap/>
            <w:vAlign w:val="bottom"/>
            <w:hideMark/>
          </w:tcPr>
          <w:p w:rsidR="00933A46" w:rsidRPr="009011E5" w:rsidRDefault="00933A46" w:rsidP="00933A46">
            <w:pPr>
              <w:jc w:val="right"/>
              <w:rPr>
                <w:rFonts w:ascii="Calibri" w:hAnsi="Calibri" w:cs="Times New Roman"/>
                <w:sz w:val="20"/>
                <w:szCs w:val="20"/>
              </w:rPr>
            </w:pPr>
            <w:r>
              <w:rPr>
                <w:rFonts w:ascii="Calibri" w:hAnsi="Calibri" w:cs="Times New Roman"/>
                <w:sz w:val="20"/>
                <w:szCs w:val="20"/>
              </w:rPr>
              <w:t>-</w:t>
            </w:r>
            <w:r w:rsidRPr="009011E5">
              <w:rPr>
                <w:rFonts w:ascii="Calibri" w:hAnsi="Calibri" w:cs="Times New Roman"/>
                <w:sz w:val="20"/>
                <w:szCs w:val="20"/>
              </w:rPr>
              <w:t> </w:t>
            </w:r>
          </w:p>
        </w:tc>
        <w:tc>
          <w:tcPr>
            <w:tcW w:w="992" w:type="dxa"/>
            <w:tcBorders>
              <w:top w:val="nil"/>
              <w:left w:val="nil"/>
              <w:bottom w:val="nil"/>
              <w:right w:val="single" w:sz="4" w:space="0" w:color="auto"/>
            </w:tcBorders>
            <w:shd w:val="clear" w:color="auto" w:fill="auto"/>
            <w:noWrap/>
            <w:vAlign w:val="bottom"/>
            <w:hideMark/>
          </w:tcPr>
          <w:p w:rsidR="00933A46" w:rsidRPr="009011E5" w:rsidRDefault="00933A46" w:rsidP="00933A46">
            <w:pPr>
              <w:jc w:val="right"/>
              <w:rPr>
                <w:rFonts w:ascii="Calibri" w:hAnsi="Calibri" w:cs="Times New Roman"/>
                <w:sz w:val="20"/>
                <w:szCs w:val="20"/>
              </w:rPr>
            </w:pPr>
            <w:r>
              <w:rPr>
                <w:rFonts w:ascii="Calibri" w:hAnsi="Calibri" w:cs="Times New Roman"/>
                <w:sz w:val="20"/>
                <w:szCs w:val="20"/>
              </w:rPr>
              <w:t>-</w:t>
            </w:r>
          </w:p>
        </w:tc>
        <w:tc>
          <w:tcPr>
            <w:tcW w:w="993" w:type="dxa"/>
            <w:tcBorders>
              <w:top w:val="nil"/>
              <w:left w:val="nil"/>
              <w:bottom w:val="nil"/>
              <w:right w:val="nil"/>
            </w:tcBorders>
            <w:shd w:val="clear" w:color="auto" w:fill="auto"/>
            <w:noWrap/>
            <w:vAlign w:val="bottom"/>
            <w:hideMark/>
          </w:tcPr>
          <w:p w:rsidR="00933A46" w:rsidRPr="009011E5" w:rsidRDefault="00933A46" w:rsidP="00933A46">
            <w:pPr>
              <w:jc w:val="right"/>
              <w:rPr>
                <w:rFonts w:ascii="Calibri" w:hAnsi="Calibri" w:cs="Times New Roman"/>
                <w:sz w:val="20"/>
                <w:szCs w:val="20"/>
              </w:rPr>
            </w:pPr>
            <w:r>
              <w:rPr>
                <w:rFonts w:ascii="Calibri" w:hAnsi="Calibri" w:cs="Times New Roman"/>
                <w:sz w:val="20"/>
                <w:szCs w:val="20"/>
              </w:rPr>
              <w:t>-</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194 </w:t>
            </w:r>
          </w:p>
        </w:tc>
        <w:tc>
          <w:tcPr>
            <w:tcW w:w="850" w:type="dxa"/>
            <w:tcBorders>
              <w:top w:val="nil"/>
              <w:left w:val="single" w:sz="4" w:space="0" w:color="auto"/>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299 </w:t>
            </w:r>
          </w:p>
        </w:tc>
        <w:tc>
          <w:tcPr>
            <w:tcW w:w="993"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992"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296" w:type="dxa"/>
            <w:gridSpan w:val="2"/>
            <w:tcBorders>
              <w:top w:val="nil"/>
              <w:left w:val="nil"/>
              <w:bottom w:val="nil"/>
              <w:right w:val="nil"/>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1121" w:type="dxa"/>
            <w:tcBorders>
              <w:top w:val="nil"/>
              <w:left w:val="single" w:sz="8" w:space="0" w:color="auto"/>
              <w:bottom w:val="nil"/>
              <w:right w:val="single" w:sz="8"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299 </w:t>
            </w:r>
          </w:p>
        </w:tc>
      </w:tr>
      <w:tr w:rsidR="00933A46" w:rsidRPr="009011E5" w:rsidTr="000A05FC">
        <w:trPr>
          <w:trHeight w:val="1128"/>
        </w:trPr>
        <w:tc>
          <w:tcPr>
            <w:tcW w:w="1999" w:type="dxa"/>
            <w:gridSpan w:val="3"/>
            <w:tcBorders>
              <w:top w:val="nil"/>
              <w:left w:val="nil"/>
              <w:bottom w:val="nil"/>
              <w:right w:val="nil"/>
            </w:tcBorders>
            <w:shd w:val="clear" w:color="auto" w:fill="auto"/>
            <w:vAlign w:val="bottom"/>
            <w:hideMark/>
          </w:tcPr>
          <w:p w:rsidR="00933A46" w:rsidRPr="009011E5" w:rsidRDefault="00933A46" w:rsidP="00A52C33">
            <w:pPr>
              <w:rPr>
                <w:rFonts w:ascii="Calibri" w:hAnsi="Calibri" w:cs="Times New Roman"/>
                <w:b/>
                <w:bCs/>
                <w:sz w:val="20"/>
                <w:szCs w:val="20"/>
              </w:rPr>
            </w:pPr>
            <w:r w:rsidRPr="009011E5">
              <w:rPr>
                <w:rFonts w:ascii="Calibri" w:hAnsi="Calibri" w:cs="Times New Roman"/>
                <w:b/>
                <w:bCs/>
                <w:sz w:val="20"/>
                <w:szCs w:val="20"/>
              </w:rPr>
              <w:t>Total Expense in Surplus/Deficit on the Provision of Services</w:t>
            </w:r>
          </w:p>
        </w:tc>
        <w:tc>
          <w:tcPr>
            <w:tcW w:w="80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b/>
                <w:sz w:val="20"/>
                <w:szCs w:val="20"/>
              </w:rPr>
            </w:pPr>
            <w:r w:rsidRPr="009011E5">
              <w:rPr>
                <w:rFonts w:ascii="Calibri" w:hAnsi="Calibri" w:cs="Times New Roman"/>
                <w:b/>
                <w:sz w:val="20"/>
                <w:szCs w:val="20"/>
              </w:rPr>
              <w:t xml:space="preserve">         16,987</w:t>
            </w:r>
          </w:p>
        </w:tc>
        <w:tc>
          <w:tcPr>
            <w:tcW w:w="850" w:type="dxa"/>
            <w:tcBorders>
              <w:top w:val="single" w:sz="4" w:space="0" w:color="auto"/>
              <w:left w:val="nil"/>
              <w:bottom w:val="single" w:sz="8" w:space="0" w:color="auto"/>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b/>
                <w:sz w:val="20"/>
                <w:szCs w:val="20"/>
              </w:rPr>
            </w:pPr>
            <w:r w:rsidRPr="009011E5">
              <w:rPr>
                <w:rFonts w:ascii="Calibri" w:hAnsi="Calibri" w:cs="Times New Roman"/>
                <w:b/>
                <w:sz w:val="20"/>
                <w:szCs w:val="20"/>
              </w:rPr>
              <w:t xml:space="preserve">                -   </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b/>
                <w:sz w:val="20"/>
                <w:szCs w:val="20"/>
              </w:rPr>
            </w:pPr>
            <w:r w:rsidRPr="009011E5">
              <w:rPr>
                <w:rFonts w:ascii="Calibri" w:hAnsi="Calibri" w:cs="Times New Roman"/>
                <w:b/>
                <w:sz w:val="20"/>
                <w:szCs w:val="20"/>
              </w:rPr>
              <w:t xml:space="preserve">                -   </w:t>
            </w:r>
          </w:p>
        </w:tc>
        <w:tc>
          <w:tcPr>
            <w:tcW w:w="993" w:type="dxa"/>
            <w:tcBorders>
              <w:top w:val="single" w:sz="4" w:space="0" w:color="auto"/>
              <w:left w:val="nil"/>
              <w:bottom w:val="single" w:sz="8" w:space="0" w:color="auto"/>
              <w:right w:val="nil"/>
            </w:tcBorders>
            <w:shd w:val="clear" w:color="auto" w:fill="auto"/>
            <w:noWrap/>
            <w:vAlign w:val="bottom"/>
            <w:hideMark/>
          </w:tcPr>
          <w:p w:rsidR="00933A46" w:rsidRPr="009011E5" w:rsidRDefault="00933A46" w:rsidP="000A05FC">
            <w:pPr>
              <w:jc w:val="right"/>
              <w:rPr>
                <w:rFonts w:ascii="Calibri" w:hAnsi="Calibri" w:cs="Times New Roman"/>
                <w:b/>
                <w:sz w:val="20"/>
                <w:szCs w:val="20"/>
              </w:rPr>
            </w:pPr>
            <w:r w:rsidRPr="009011E5">
              <w:rPr>
                <w:rFonts w:ascii="Calibri" w:hAnsi="Calibri" w:cs="Times New Roman"/>
                <w:b/>
                <w:sz w:val="20"/>
                <w:szCs w:val="20"/>
              </w:rPr>
              <w:t xml:space="preserve">           -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933A46" w:rsidRPr="009011E5" w:rsidRDefault="00933A46" w:rsidP="000A05FC">
            <w:pPr>
              <w:jc w:val="right"/>
              <w:rPr>
                <w:rFonts w:ascii="Calibri" w:hAnsi="Calibri" w:cs="Times New Roman"/>
                <w:b/>
                <w:sz w:val="20"/>
                <w:szCs w:val="20"/>
              </w:rPr>
            </w:pPr>
            <w:r w:rsidRPr="009011E5">
              <w:rPr>
                <w:rFonts w:ascii="Calibri" w:hAnsi="Calibri" w:cs="Times New Roman"/>
                <w:b/>
                <w:sz w:val="20"/>
                <w:szCs w:val="20"/>
              </w:rPr>
              <w:t xml:space="preserve">         16,987 </w:t>
            </w:r>
          </w:p>
        </w:tc>
        <w:tc>
          <w:tcPr>
            <w:tcW w:w="85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b/>
                <w:sz w:val="20"/>
                <w:szCs w:val="20"/>
              </w:rPr>
            </w:pPr>
            <w:r w:rsidRPr="009011E5">
              <w:rPr>
                <w:rFonts w:ascii="Calibri" w:hAnsi="Calibri" w:cs="Times New Roman"/>
                <w:b/>
                <w:sz w:val="20"/>
                <w:szCs w:val="20"/>
              </w:rPr>
              <w:t xml:space="preserve">         49,999 </w:t>
            </w:r>
          </w:p>
        </w:tc>
        <w:tc>
          <w:tcPr>
            <w:tcW w:w="993" w:type="dxa"/>
            <w:tcBorders>
              <w:top w:val="single" w:sz="4" w:space="0" w:color="auto"/>
              <w:left w:val="nil"/>
              <w:bottom w:val="single" w:sz="8" w:space="0" w:color="auto"/>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b/>
                <w:sz w:val="20"/>
                <w:szCs w:val="20"/>
              </w:rPr>
            </w:pPr>
            <w:r w:rsidRPr="009011E5">
              <w:rPr>
                <w:rFonts w:ascii="Calibri" w:hAnsi="Calibri" w:cs="Times New Roman"/>
                <w:b/>
                <w:sz w:val="20"/>
                <w:szCs w:val="20"/>
              </w:rPr>
              <w:t xml:space="preserve">                  -   </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b/>
                <w:sz w:val="20"/>
                <w:szCs w:val="20"/>
              </w:rPr>
            </w:pPr>
            <w:r w:rsidRPr="009011E5">
              <w:rPr>
                <w:rFonts w:ascii="Calibri" w:hAnsi="Calibri" w:cs="Times New Roman"/>
                <w:b/>
                <w:sz w:val="20"/>
                <w:szCs w:val="20"/>
              </w:rPr>
              <w:t xml:space="preserve">                -   </w:t>
            </w:r>
          </w:p>
        </w:tc>
        <w:tc>
          <w:tcPr>
            <w:tcW w:w="296" w:type="dxa"/>
            <w:gridSpan w:val="2"/>
            <w:tcBorders>
              <w:top w:val="single" w:sz="4" w:space="0" w:color="auto"/>
              <w:left w:val="nil"/>
              <w:bottom w:val="single" w:sz="8" w:space="0" w:color="auto"/>
              <w:right w:val="nil"/>
            </w:tcBorders>
            <w:shd w:val="clear" w:color="auto" w:fill="auto"/>
            <w:noWrap/>
            <w:vAlign w:val="bottom"/>
            <w:hideMark/>
          </w:tcPr>
          <w:p w:rsidR="00933A46" w:rsidRPr="009011E5" w:rsidRDefault="00933A46" w:rsidP="000A05FC">
            <w:pPr>
              <w:jc w:val="right"/>
              <w:rPr>
                <w:rFonts w:ascii="Calibri" w:hAnsi="Calibri" w:cs="Times New Roman"/>
                <w:b/>
                <w:sz w:val="20"/>
                <w:szCs w:val="20"/>
              </w:rPr>
            </w:pPr>
            <w:r w:rsidRPr="009011E5">
              <w:rPr>
                <w:rFonts w:ascii="Calibri" w:hAnsi="Calibri" w:cs="Times New Roman"/>
                <w:b/>
                <w:sz w:val="20"/>
                <w:szCs w:val="20"/>
              </w:rPr>
              <w:t xml:space="preserve">               -   </w:t>
            </w:r>
          </w:p>
        </w:tc>
        <w:tc>
          <w:tcPr>
            <w:tcW w:w="112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33A46" w:rsidRPr="009011E5" w:rsidRDefault="00933A46" w:rsidP="000A05FC">
            <w:pPr>
              <w:jc w:val="right"/>
              <w:rPr>
                <w:rFonts w:ascii="Calibri" w:hAnsi="Calibri" w:cs="Times New Roman"/>
                <w:b/>
                <w:sz w:val="20"/>
                <w:szCs w:val="20"/>
              </w:rPr>
            </w:pPr>
            <w:r w:rsidRPr="009011E5">
              <w:rPr>
                <w:rFonts w:ascii="Calibri" w:hAnsi="Calibri" w:cs="Times New Roman"/>
                <w:b/>
                <w:sz w:val="20"/>
                <w:szCs w:val="20"/>
              </w:rPr>
              <w:t xml:space="preserve">         49,999 </w:t>
            </w:r>
          </w:p>
        </w:tc>
      </w:tr>
      <w:tr w:rsidR="00933A46" w:rsidRPr="009011E5" w:rsidTr="000A05FC">
        <w:trPr>
          <w:trHeight w:val="131"/>
        </w:trPr>
        <w:tc>
          <w:tcPr>
            <w:tcW w:w="1999" w:type="dxa"/>
            <w:gridSpan w:val="3"/>
            <w:tcBorders>
              <w:top w:val="nil"/>
              <w:left w:val="nil"/>
              <w:bottom w:val="nil"/>
              <w:right w:val="nil"/>
            </w:tcBorders>
            <w:shd w:val="clear" w:color="auto" w:fill="auto"/>
            <w:noWrap/>
            <w:vAlign w:val="bottom"/>
            <w:hideMark/>
          </w:tcPr>
          <w:p w:rsidR="00933A46" w:rsidRPr="009011E5" w:rsidRDefault="00933A46" w:rsidP="00A52C33">
            <w:pPr>
              <w:rPr>
                <w:rFonts w:ascii="Calibri" w:hAnsi="Calibri" w:cs="Times New Roman"/>
                <w:sz w:val="20"/>
                <w:szCs w:val="20"/>
              </w:rPr>
            </w:pPr>
          </w:p>
        </w:tc>
        <w:tc>
          <w:tcPr>
            <w:tcW w:w="803" w:type="dxa"/>
            <w:tcBorders>
              <w:top w:val="nil"/>
              <w:left w:val="single" w:sz="4" w:space="0" w:color="auto"/>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w:t>
            </w:r>
          </w:p>
        </w:tc>
        <w:tc>
          <w:tcPr>
            <w:tcW w:w="850"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w:t>
            </w:r>
          </w:p>
        </w:tc>
        <w:tc>
          <w:tcPr>
            <w:tcW w:w="992"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w:t>
            </w:r>
          </w:p>
        </w:tc>
        <w:tc>
          <w:tcPr>
            <w:tcW w:w="993" w:type="dxa"/>
            <w:tcBorders>
              <w:top w:val="nil"/>
              <w:left w:val="nil"/>
              <w:bottom w:val="nil"/>
              <w:right w:val="nil"/>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w:t>
            </w:r>
          </w:p>
        </w:tc>
        <w:tc>
          <w:tcPr>
            <w:tcW w:w="992" w:type="dxa"/>
            <w:tcBorders>
              <w:top w:val="nil"/>
              <w:left w:val="single" w:sz="8" w:space="0" w:color="auto"/>
              <w:bottom w:val="nil"/>
              <w:right w:val="single" w:sz="8"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w:t>
            </w:r>
          </w:p>
        </w:tc>
        <w:tc>
          <w:tcPr>
            <w:tcW w:w="850" w:type="dxa"/>
            <w:tcBorders>
              <w:top w:val="nil"/>
              <w:left w:val="single" w:sz="4" w:space="0" w:color="auto"/>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w:t>
            </w:r>
          </w:p>
        </w:tc>
        <w:tc>
          <w:tcPr>
            <w:tcW w:w="993"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w:t>
            </w:r>
          </w:p>
        </w:tc>
        <w:tc>
          <w:tcPr>
            <w:tcW w:w="992"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w:t>
            </w:r>
          </w:p>
        </w:tc>
        <w:tc>
          <w:tcPr>
            <w:tcW w:w="296" w:type="dxa"/>
            <w:gridSpan w:val="2"/>
            <w:tcBorders>
              <w:top w:val="nil"/>
              <w:left w:val="nil"/>
              <w:bottom w:val="nil"/>
              <w:right w:val="nil"/>
            </w:tcBorders>
            <w:shd w:val="clear" w:color="auto" w:fill="auto"/>
            <w:noWrap/>
            <w:vAlign w:val="bottom"/>
            <w:hideMark/>
          </w:tcPr>
          <w:p w:rsidR="00933A46" w:rsidRPr="009011E5" w:rsidRDefault="00933A46" w:rsidP="000A05FC">
            <w:pPr>
              <w:jc w:val="right"/>
              <w:rPr>
                <w:rFonts w:ascii="Calibri" w:hAnsi="Calibri" w:cs="Times New Roman"/>
                <w:sz w:val="20"/>
                <w:szCs w:val="20"/>
              </w:rPr>
            </w:pPr>
          </w:p>
        </w:tc>
        <w:tc>
          <w:tcPr>
            <w:tcW w:w="1121" w:type="dxa"/>
            <w:tcBorders>
              <w:top w:val="nil"/>
              <w:left w:val="single" w:sz="8" w:space="0" w:color="auto"/>
              <w:bottom w:val="nil"/>
              <w:right w:val="single" w:sz="8"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w:t>
            </w:r>
          </w:p>
        </w:tc>
      </w:tr>
      <w:tr w:rsidR="00933A46" w:rsidRPr="009011E5" w:rsidTr="000A05FC">
        <w:trPr>
          <w:trHeight w:val="534"/>
        </w:trPr>
        <w:tc>
          <w:tcPr>
            <w:tcW w:w="1999" w:type="dxa"/>
            <w:gridSpan w:val="3"/>
            <w:tcBorders>
              <w:top w:val="nil"/>
              <w:left w:val="nil"/>
              <w:bottom w:val="nil"/>
              <w:right w:val="nil"/>
            </w:tcBorders>
            <w:shd w:val="clear" w:color="auto" w:fill="auto"/>
            <w:noWrap/>
            <w:vAlign w:val="bottom"/>
            <w:hideMark/>
          </w:tcPr>
          <w:p w:rsidR="00933A46" w:rsidRPr="009011E5" w:rsidRDefault="00933A46" w:rsidP="00A52C33">
            <w:pPr>
              <w:rPr>
                <w:rFonts w:ascii="Calibri" w:hAnsi="Calibri" w:cs="Times New Roman"/>
                <w:sz w:val="20"/>
                <w:szCs w:val="20"/>
              </w:rPr>
            </w:pPr>
            <w:r w:rsidRPr="009011E5">
              <w:rPr>
                <w:rFonts w:ascii="Calibri" w:hAnsi="Calibri" w:cs="Times New Roman"/>
                <w:sz w:val="20"/>
                <w:szCs w:val="20"/>
              </w:rPr>
              <w:t>Interest Income</w:t>
            </w:r>
          </w:p>
        </w:tc>
        <w:tc>
          <w:tcPr>
            <w:tcW w:w="803" w:type="dxa"/>
            <w:tcBorders>
              <w:top w:val="nil"/>
              <w:left w:val="single" w:sz="4" w:space="0" w:color="auto"/>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850"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(8,785) </w:t>
            </w:r>
          </w:p>
        </w:tc>
        <w:tc>
          <w:tcPr>
            <w:tcW w:w="992"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Pr>
                <w:rFonts w:ascii="Calibri" w:hAnsi="Calibri" w:cs="Times New Roman"/>
                <w:sz w:val="20"/>
                <w:szCs w:val="20"/>
              </w:rPr>
              <w:t>(2,081</w:t>
            </w:r>
            <w:r w:rsidRPr="009011E5">
              <w:rPr>
                <w:rFonts w:ascii="Calibri" w:hAnsi="Calibri" w:cs="Times New Roman"/>
                <w:sz w:val="20"/>
                <w:szCs w:val="20"/>
              </w:rPr>
              <w:t xml:space="preserve">) </w:t>
            </w:r>
          </w:p>
        </w:tc>
        <w:tc>
          <w:tcPr>
            <w:tcW w:w="993" w:type="dxa"/>
            <w:tcBorders>
              <w:top w:val="nil"/>
              <w:left w:val="nil"/>
              <w:bottom w:val="nil"/>
              <w:right w:val="nil"/>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(2,088) </w:t>
            </w:r>
          </w:p>
        </w:tc>
        <w:tc>
          <w:tcPr>
            <w:tcW w:w="992" w:type="dxa"/>
            <w:tcBorders>
              <w:top w:val="nil"/>
              <w:left w:val="single" w:sz="8" w:space="0" w:color="auto"/>
              <w:bottom w:val="nil"/>
              <w:right w:val="single" w:sz="8"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(12,954) </w:t>
            </w:r>
          </w:p>
        </w:tc>
        <w:tc>
          <w:tcPr>
            <w:tcW w:w="850" w:type="dxa"/>
            <w:tcBorders>
              <w:top w:val="nil"/>
              <w:left w:val="single" w:sz="4" w:space="0" w:color="auto"/>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993"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(11,881) </w:t>
            </w:r>
          </w:p>
        </w:tc>
        <w:tc>
          <w:tcPr>
            <w:tcW w:w="992"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(5,758) </w:t>
            </w:r>
          </w:p>
        </w:tc>
        <w:tc>
          <w:tcPr>
            <w:tcW w:w="296" w:type="dxa"/>
            <w:gridSpan w:val="2"/>
            <w:tcBorders>
              <w:top w:val="nil"/>
              <w:left w:val="nil"/>
              <w:bottom w:val="nil"/>
              <w:right w:val="nil"/>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1121" w:type="dxa"/>
            <w:tcBorders>
              <w:top w:val="nil"/>
              <w:left w:val="single" w:sz="8" w:space="0" w:color="auto"/>
              <w:bottom w:val="nil"/>
              <w:right w:val="single" w:sz="8"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(17,639) </w:t>
            </w:r>
          </w:p>
        </w:tc>
      </w:tr>
      <w:tr w:rsidR="00933A46" w:rsidRPr="009011E5" w:rsidTr="000A05FC">
        <w:trPr>
          <w:trHeight w:val="999"/>
        </w:trPr>
        <w:tc>
          <w:tcPr>
            <w:tcW w:w="1999" w:type="dxa"/>
            <w:gridSpan w:val="3"/>
            <w:tcBorders>
              <w:top w:val="nil"/>
              <w:left w:val="nil"/>
              <w:bottom w:val="nil"/>
              <w:right w:val="nil"/>
            </w:tcBorders>
            <w:shd w:val="clear" w:color="auto" w:fill="auto"/>
            <w:vAlign w:val="bottom"/>
            <w:hideMark/>
          </w:tcPr>
          <w:p w:rsidR="00933A46" w:rsidRPr="009011E5" w:rsidRDefault="00933A46" w:rsidP="00A52C33">
            <w:pPr>
              <w:rPr>
                <w:rFonts w:ascii="Calibri" w:hAnsi="Calibri" w:cs="Times New Roman"/>
                <w:sz w:val="20"/>
                <w:szCs w:val="20"/>
              </w:rPr>
            </w:pPr>
            <w:r w:rsidRPr="009011E5">
              <w:rPr>
                <w:rFonts w:ascii="Calibri" w:hAnsi="Calibri" w:cs="Times New Roman"/>
                <w:sz w:val="20"/>
                <w:szCs w:val="20"/>
              </w:rPr>
              <w:lastRenderedPageBreak/>
              <w:t>Interest income accrued on impaired financial assets</w:t>
            </w:r>
          </w:p>
        </w:tc>
        <w:tc>
          <w:tcPr>
            <w:tcW w:w="803" w:type="dxa"/>
            <w:tcBorders>
              <w:top w:val="nil"/>
              <w:left w:val="single" w:sz="4" w:space="0" w:color="auto"/>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Pr>
                <w:rFonts w:ascii="Calibri" w:hAnsi="Calibri" w:cs="Times New Roman"/>
                <w:sz w:val="20"/>
                <w:szCs w:val="20"/>
              </w:rPr>
              <w:t>-</w:t>
            </w:r>
            <w:r w:rsidRPr="009011E5">
              <w:rPr>
                <w:rFonts w:ascii="Calibri" w:hAnsi="Calibri" w:cs="Times New Roman"/>
                <w:sz w:val="20"/>
                <w:szCs w:val="20"/>
              </w:rPr>
              <w:t> </w:t>
            </w:r>
          </w:p>
        </w:tc>
        <w:tc>
          <w:tcPr>
            <w:tcW w:w="850"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Pr>
                <w:rFonts w:ascii="Calibri" w:hAnsi="Calibri" w:cs="Times New Roman"/>
                <w:sz w:val="20"/>
                <w:szCs w:val="20"/>
              </w:rPr>
              <w:t>-</w:t>
            </w:r>
            <w:r w:rsidRPr="009011E5">
              <w:rPr>
                <w:rFonts w:ascii="Calibri" w:hAnsi="Calibri" w:cs="Times New Roman"/>
                <w:sz w:val="20"/>
                <w:szCs w:val="20"/>
              </w:rPr>
              <w:t> </w:t>
            </w:r>
          </w:p>
        </w:tc>
        <w:tc>
          <w:tcPr>
            <w:tcW w:w="992"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Pr>
                <w:rFonts w:ascii="Calibri" w:hAnsi="Calibri" w:cs="Times New Roman"/>
                <w:sz w:val="20"/>
                <w:szCs w:val="20"/>
              </w:rPr>
              <w:t>-</w:t>
            </w:r>
          </w:p>
        </w:tc>
        <w:tc>
          <w:tcPr>
            <w:tcW w:w="993" w:type="dxa"/>
            <w:tcBorders>
              <w:top w:val="nil"/>
              <w:left w:val="nil"/>
              <w:bottom w:val="nil"/>
              <w:right w:val="nil"/>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(4)</w:t>
            </w:r>
          </w:p>
        </w:tc>
        <w:tc>
          <w:tcPr>
            <w:tcW w:w="992" w:type="dxa"/>
            <w:tcBorders>
              <w:top w:val="nil"/>
              <w:left w:val="single" w:sz="8" w:space="0" w:color="auto"/>
              <w:bottom w:val="nil"/>
              <w:right w:val="single" w:sz="8"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Pr>
                <w:rFonts w:ascii="Calibri" w:hAnsi="Calibri" w:cs="Times New Roman"/>
                <w:sz w:val="20"/>
                <w:szCs w:val="20"/>
              </w:rPr>
              <w:t>(4)</w:t>
            </w:r>
          </w:p>
        </w:tc>
        <w:tc>
          <w:tcPr>
            <w:tcW w:w="850" w:type="dxa"/>
            <w:tcBorders>
              <w:top w:val="nil"/>
              <w:left w:val="single" w:sz="4" w:space="0" w:color="auto"/>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p w:rsidR="00933A46" w:rsidRPr="009011E5" w:rsidRDefault="00933A46" w:rsidP="000A05FC">
            <w:pPr>
              <w:jc w:val="right"/>
              <w:rPr>
                <w:rFonts w:ascii="Calibri" w:hAnsi="Calibri" w:cs="Times New Roman"/>
                <w:sz w:val="20"/>
                <w:szCs w:val="20"/>
              </w:rPr>
            </w:pPr>
          </w:p>
        </w:tc>
        <w:tc>
          <w:tcPr>
            <w:tcW w:w="993"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(105) </w:t>
            </w:r>
          </w:p>
        </w:tc>
        <w:tc>
          <w:tcPr>
            <w:tcW w:w="992"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296" w:type="dxa"/>
            <w:gridSpan w:val="2"/>
            <w:tcBorders>
              <w:top w:val="nil"/>
              <w:left w:val="nil"/>
              <w:bottom w:val="nil"/>
              <w:right w:val="nil"/>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1121" w:type="dxa"/>
            <w:tcBorders>
              <w:top w:val="nil"/>
              <w:left w:val="single" w:sz="8" w:space="0" w:color="auto"/>
              <w:bottom w:val="nil"/>
              <w:right w:val="single" w:sz="8"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(105) </w:t>
            </w:r>
          </w:p>
        </w:tc>
      </w:tr>
      <w:tr w:rsidR="00933A46" w:rsidRPr="009011E5" w:rsidTr="000A05FC">
        <w:trPr>
          <w:trHeight w:val="412"/>
        </w:trPr>
        <w:tc>
          <w:tcPr>
            <w:tcW w:w="1999" w:type="dxa"/>
            <w:gridSpan w:val="3"/>
            <w:tcBorders>
              <w:top w:val="nil"/>
              <w:left w:val="nil"/>
              <w:bottom w:val="nil"/>
              <w:right w:val="nil"/>
            </w:tcBorders>
            <w:shd w:val="clear" w:color="auto" w:fill="auto"/>
            <w:noWrap/>
            <w:vAlign w:val="bottom"/>
            <w:hideMark/>
          </w:tcPr>
          <w:p w:rsidR="00933A46" w:rsidRPr="009011E5" w:rsidRDefault="00933A46" w:rsidP="00A52C33">
            <w:pPr>
              <w:rPr>
                <w:rFonts w:ascii="Calibri" w:hAnsi="Calibri" w:cs="Times New Roman"/>
                <w:sz w:val="20"/>
                <w:szCs w:val="20"/>
              </w:rPr>
            </w:pPr>
            <w:r w:rsidRPr="009011E5">
              <w:rPr>
                <w:rFonts w:ascii="Calibri" w:hAnsi="Calibri" w:cs="Times New Roman"/>
                <w:sz w:val="20"/>
                <w:szCs w:val="20"/>
              </w:rPr>
              <w:t>Increases in fair value</w:t>
            </w:r>
          </w:p>
          <w:p w:rsidR="00933A46" w:rsidRPr="009011E5" w:rsidRDefault="00933A46" w:rsidP="00A52C33">
            <w:pPr>
              <w:rPr>
                <w:rFonts w:ascii="Calibri" w:hAnsi="Calibri" w:cs="Times New Roman"/>
                <w:sz w:val="20"/>
                <w:szCs w:val="20"/>
              </w:rPr>
            </w:pPr>
            <w:r w:rsidRPr="009011E5">
              <w:rPr>
                <w:rFonts w:ascii="Calibri" w:hAnsi="Calibri" w:cs="Times New Roman"/>
                <w:sz w:val="20"/>
                <w:szCs w:val="20"/>
              </w:rPr>
              <w:t>Decrease in Fair Value</w:t>
            </w:r>
          </w:p>
        </w:tc>
        <w:tc>
          <w:tcPr>
            <w:tcW w:w="803" w:type="dxa"/>
            <w:tcBorders>
              <w:top w:val="nil"/>
              <w:left w:val="single" w:sz="4" w:space="0" w:color="auto"/>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Pr>
                <w:rFonts w:ascii="Calibri" w:hAnsi="Calibri" w:cs="Times New Roman"/>
                <w:sz w:val="20"/>
                <w:szCs w:val="20"/>
              </w:rPr>
              <w:t>-</w:t>
            </w:r>
            <w:r w:rsidRPr="009011E5">
              <w:rPr>
                <w:rFonts w:ascii="Calibri" w:hAnsi="Calibri" w:cs="Times New Roman"/>
                <w:sz w:val="20"/>
                <w:szCs w:val="20"/>
              </w:rPr>
              <w:t> </w:t>
            </w:r>
          </w:p>
        </w:tc>
        <w:tc>
          <w:tcPr>
            <w:tcW w:w="850"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Pr>
                <w:rFonts w:ascii="Calibri" w:hAnsi="Calibri" w:cs="Times New Roman"/>
                <w:sz w:val="20"/>
                <w:szCs w:val="20"/>
              </w:rPr>
              <w:t>-</w:t>
            </w:r>
            <w:r w:rsidRPr="009011E5">
              <w:rPr>
                <w:rFonts w:ascii="Calibri" w:hAnsi="Calibri" w:cs="Times New Roman"/>
                <w:sz w:val="20"/>
                <w:szCs w:val="20"/>
              </w:rPr>
              <w:t> </w:t>
            </w:r>
          </w:p>
        </w:tc>
        <w:tc>
          <w:tcPr>
            <w:tcW w:w="992"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Pr>
                <w:rFonts w:ascii="Calibri" w:hAnsi="Calibri" w:cs="Times New Roman"/>
                <w:sz w:val="20"/>
                <w:szCs w:val="20"/>
              </w:rPr>
              <w:t>-</w:t>
            </w:r>
          </w:p>
        </w:tc>
        <w:tc>
          <w:tcPr>
            <w:tcW w:w="993" w:type="dxa"/>
            <w:tcBorders>
              <w:top w:val="nil"/>
              <w:left w:val="nil"/>
              <w:bottom w:val="nil"/>
              <w:right w:val="nil"/>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19,732</w:t>
            </w:r>
          </w:p>
        </w:tc>
        <w:tc>
          <w:tcPr>
            <w:tcW w:w="992" w:type="dxa"/>
            <w:tcBorders>
              <w:top w:val="nil"/>
              <w:left w:val="single" w:sz="8" w:space="0" w:color="auto"/>
              <w:bottom w:val="nil"/>
              <w:right w:val="single" w:sz="8"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19,732</w:t>
            </w:r>
          </w:p>
        </w:tc>
        <w:tc>
          <w:tcPr>
            <w:tcW w:w="850" w:type="dxa"/>
            <w:tcBorders>
              <w:top w:val="nil"/>
              <w:left w:val="single" w:sz="4" w:space="0" w:color="auto"/>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w:t>
            </w:r>
          </w:p>
        </w:tc>
        <w:tc>
          <w:tcPr>
            <w:tcW w:w="993"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992"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296" w:type="dxa"/>
            <w:gridSpan w:val="2"/>
            <w:tcBorders>
              <w:top w:val="nil"/>
              <w:left w:val="nil"/>
              <w:bottom w:val="nil"/>
              <w:right w:val="nil"/>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1121" w:type="dxa"/>
            <w:tcBorders>
              <w:top w:val="nil"/>
              <w:left w:val="single" w:sz="8" w:space="0" w:color="auto"/>
              <w:bottom w:val="nil"/>
              <w:right w:val="single" w:sz="8"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r>
      <w:tr w:rsidR="00933A46" w:rsidRPr="009011E5" w:rsidTr="000A05FC">
        <w:trPr>
          <w:trHeight w:val="249"/>
        </w:trPr>
        <w:tc>
          <w:tcPr>
            <w:tcW w:w="1999" w:type="dxa"/>
            <w:gridSpan w:val="3"/>
            <w:tcBorders>
              <w:top w:val="nil"/>
              <w:left w:val="nil"/>
              <w:bottom w:val="nil"/>
              <w:right w:val="nil"/>
            </w:tcBorders>
            <w:shd w:val="clear" w:color="auto" w:fill="auto"/>
            <w:noWrap/>
            <w:vAlign w:val="bottom"/>
            <w:hideMark/>
          </w:tcPr>
          <w:p w:rsidR="00933A46" w:rsidRPr="009011E5" w:rsidRDefault="00933A46" w:rsidP="00A52C33">
            <w:pPr>
              <w:rPr>
                <w:rFonts w:ascii="Calibri" w:hAnsi="Calibri" w:cs="Times New Roman"/>
                <w:sz w:val="20"/>
                <w:szCs w:val="20"/>
              </w:rPr>
            </w:pPr>
            <w:r w:rsidRPr="009011E5">
              <w:rPr>
                <w:rFonts w:ascii="Calibri" w:hAnsi="Calibri" w:cs="Times New Roman"/>
                <w:sz w:val="20"/>
                <w:szCs w:val="20"/>
              </w:rPr>
              <w:t>Gains on derecognition</w:t>
            </w:r>
          </w:p>
        </w:tc>
        <w:tc>
          <w:tcPr>
            <w:tcW w:w="803" w:type="dxa"/>
            <w:tcBorders>
              <w:top w:val="nil"/>
              <w:left w:val="single" w:sz="4" w:space="0" w:color="auto"/>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Pr>
                <w:rFonts w:ascii="Calibri" w:hAnsi="Calibri" w:cs="Times New Roman"/>
                <w:sz w:val="20"/>
                <w:szCs w:val="20"/>
              </w:rPr>
              <w:t>-</w:t>
            </w:r>
            <w:r w:rsidRPr="009011E5">
              <w:rPr>
                <w:rFonts w:ascii="Calibri" w:hAnsi="Calibri" w:cs="Times New Roman"/>
                <w:sz w:val="20"/>
                <w:szCs w:val="20"/>
              </w:rPr>
              <w:t> </w:t>
            </w:r>
          </w:p>
        </w:tc>
        <w:tc>
          <w:tcPr>
            <w:tcW w:w="850"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Pr>
                <w:rFonts w:ascii="Calibri" w:hAnsi="Calibri" w:cs="Times New Roman"/>
                <w:sz w:val="20"/>
                <w:szCs w:val="20"/>
              </w:rPr>
              <w:t>-</w:t>
            </w:r>
            <w:r w:rsidRPr="009011E5">
              <w:rPr>
                <w:rFonts w:ascii="Calibri" w:hAnsi="Calibri" w:cs="Times New Roman"/>
                <w:sz w:val="20"/>
                <w:szCs w:val="20"/>
              </w:rPr>
              <w:t> </w:t>
            </w:r>
          </w:p>
        </w:tc>
        <w:tc>
          <w:tcPr>
            <w:tcW w:w="992"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(7,000) </w:t>
            </w:r>
          </w:p>
        </w:tc>
        <w:tc>
          <w:tcPr>
            <w:tcW w:w="993" w:type="dxa"/>
            <w:tcBorders>
              <w:top w:val="nil"/>
              <w:left w:val="nil"/>
              <w:bottom w:val="nil"/>
              <w:right w:val="nil"/>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(49,138) </w:t>
            </w:r>
          </w:p>
        </w:tc>
        <w:tc>
          <w:tcPr>
            <w:tcW w:w="992" w:type="dxa"/>
            <w:tcBorders>
              <w:top w:val="nil"/>
              <w:left w:val="single" w:sz="8" w:space="0" w:color="auto"/>
              <w:bottom w:val="nil"/>
              <w:right w:val="single" w:sz="8"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(56,138) </w:t>
            </w:r>
          </w:p>
        </w:tc>
        <w:tc>
          <w:tcPr>
            <w:tcW w:w="850" w:type="dxa"/>
            <w:tcBorders>
              <w:top w:val="nil"/>
              <w:left w:val="single" w:sz="4" w:space="0" w:color="auto"/>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(452) </w:t>
            </w:r>
          </w:p>
        </w:tc>
        <w:tc>
          <w:tcPr>
            <w:tcW w:w="993"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992"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296" w:type="dxa"/>
            <w:gridSpan w:val="2"/>
            <w:tcBorders>
              <w:top w:val="nil"/>
              <w:left w:val="nil"/>
              <w:bottom w:val="nil"/>
              <w:right w:val="nil"/>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1121" w:type="dxa"/>
            <w:tcBorders>
              <w:top w:val="nil"/>
              <w:left w:val="single" w:sz="8" w:space="0" w:color="auto"/>
              <w:bottom w:val="nil"/>
              <w:right w:val="single" w:sz="8"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(452) </w:t>
            </w:r>
          </w:p>
        </w:tc>
      </w:tr>
      <w:tr w:rsidR="00933A46" w:rsidRPr="009011E5" w:rsidTr="000A05FC">
        <w:trPr>
          <w:trHeight w:val="249"/>
        </w:trPr>
        <w:tc>
          <w:tcPr>
            <w:tcW w:w="1999" w:type="dxa"/>
            <w:gridSpan w:val="3"/>
            <w:tcBorders>
              <w:top w:val="nil"/>
              <w:left w:val="nil"/>
              <w:bottom w:val="nil"/>
              <w:right w:val="nil"/>
            </w:tcBorders>
            <w:shd w:val="clear" w:color="auto" w:fill="auto"/>
            <w:noWrap/>
            <w:vAlign w:val="bottom"/>
            <w:hideMark/>
          </w:tcPr>
          <w:p w:rsidR="00933A46" w:rsidRPr="009011E5" w:rsidRDefault="00933A46" w:rsidP="00A52C33">
            <w:pPr>
              <w:rPr>
                <w:rFonts w:ascii="Calibri" w:hAnsi="Calibri" w:cs="Times New Roman"/>
                <w:sz w:val="20"/>
                <w:szCs w:val="20"/>
              </w:rPr>
            </w:pPr>
            <w:r w:rsidRPr="009011E5">
              <w:rPr>
                <w:rFonts w:ascii="Calibri" w:hAnsi="Calibri" w:cs="Times New Roman"/>
                <w:sz w:val="20"/>
                <w:szCs w:val="20"/>
              </w:rPr>
              <w:t>Losses on derecognition</w:t>
            </w:r>
          </w:p>
        </w:tc>
        <w:tc>
          <w:tcPr>
            <w:tcW w:w="803" w:type="dxa"/>
            <w:tcBorders>
              <w:top w:val="nil"/>
              <w:left w:val="single" w:sz="4" w:space="0" w:color="auto"/>
              <w:bottom w:val="nil"/>
              <w:right w:val="single" w:sz="4" w:space="0" w:color="auto"/>
            </w:tcBorders>
            <w:shd w:val="clear" w:color="auto" w:fill="auto"/>
            <w:noWrap/>
            <w:vAlign w:val="bottom"/>
            <w:hideMark/>
          </w:tcPr>
          <w:p w:rsidR="00933A46" w:rsidRPr="009011E5" w:rsidRDefault="00933A46" w:rsidP="00933A46">
            <w:pPr>
              <w:jc w:val="right"/>
              <w:rPr>
                <w:rFonts w:ascii="Calibri" w:hAnsi="Calibri" w:cs="Times New Roman"/>
                <w:sz w:val="20"/>
                <w:szCs w:val="20"/>
              </w:rPr>
            </w:pPr>
            <w:r>
              <w:rPr>
                <w:rFonts w:ascii="Calibri" w:hAnsi="Calibri" w:cs="Times New Roman"/>
                <w:sz w:val="20"/>
                <w:szCs w:val="20"/>
              </w:rPr>
              <w:t>-</w:t>
            </w:r>
            <w:r w:rsidRPr="009011E5">
              <w:rPr>
                <w:rFonts w:ascii="Calibri" w:hAnsi="Calibri" w:cs="Times New Roman"/>
                <w:sz w:val="20"/>
                <w:szCs w:val="20"/>
              </w:rPr>
              <w:t> </w:t>
            </w:r>
          </w:p>
        </w:tc>
        <w:tc>
          <w:tcPr>
            <w:tcW w:w="850" w:type="dxa"/>
            <w:tcBorders>
              <w:top w:val="nil"/>
              <w:left w:val="nil"/>
              <w:bottom w:val="nil"/>
              <w:right w:val="single" w:sz="4" w:space="0" w:color="auto"/>
            </w:tcBorders>
            <w:shd w:val="clear" w:color="auto" w:fill="auto"/>
            <w:noWrap/>
            <w:vAlign w:val="bottom"/>
            <w:hideMark/>
          </w:tcPr>
          <w:p w:rsidR="00933A46" w:rsidRPr="009011E5" w:rsidRDefault="00933A46" w:rsidP="00933A46">
            <w:pPr>
              <w:jc w:val="right"/>
              <w:rPr>
                <w:rFonts w:ascii="Calibri" w:hAnsi="Calibri" w:cs="Times New Roman"/>
                <w:sz w:val="20"/>
                <w:szCs w:val="20"/>
              </w:rPr>
            </w:pPr>
            <w:r>
              <w:rPr>
                <w:rFonts w:ascii="Calibri" w:hAnsi="Calibri" w:cs="Times New Roman"/>
                <w:sz w:val="20"/>
                <w:szCs w:val="20"/>
              </w:rPr>
              <w:t>-</w:t>
            </w:r>
            <w:r w:rsidRPr="009011E5">
              <w:rPr>
                <w:rFonts w:ascii="Calibri" w:hAnsi="Calibri" w:cs="Times New Roman"/>
                <w:sz w:val="20"/>
                <w:szCs w:val="20"/>
              </w:rPr>
              <w:t> </w:t>
            </w:r>
          </w:p>
        </w:tc>
        <w:tc>
          <w:tcPr>
            <w:tcW w:w="992" w:type="dxa"/>
            <w:tcBorders>
              <w:top w:val="nil"/>
              <w:left w:val="nil"/>
              <w:bottom w:val="nil"/>
              <w:right w:val="single" w:sz="4" w:space="0" w:color="auto"/>
            </w:tcBorders>
            <w:shd w:val="clear" w:color="auto" w:fill="auto"/>
            <w:noWrap/>
            <w:vAlign w:val="bottom"/>
            <w:hideMark/>
          </w:tcPr>
          <w:p w:rsidR="00933A46" w:rsidRPr="009011E5" w:rsidRDefault="00933A46" w:rsidP="00933A46">
            <w:pPr>
              <w:jc w:val="right"/>
              <w:rPr>
                <w:rFonts w:ascii="Calibri" w:hAnsi="Calibri" w:cs="Times New Roman"/>
                <w:sz w:val="20"/>
                <w:szCs w:val="20"/>
              </w:rPr>
            </w:pPr>
            <w:r>
              <w:rPr>
                <w:rFonts w:ascii="Calibri" w:hAnsi="Calibri" w:cs="Times New Roman"/>
                <w:sz w:val="20"/>
                <w:szCs w:val="20"/>
              </w:rPr>
              <w:t>-</w:t>
            </w:r>
          </w:p>
        </w:tc>
        <w:tc>
          <w:tcPr>
            <w:tcW w:w="993" w:type="dxa"/>
            <w:tcBorders>
              <w:top w:val="nil"/>
              <w:left w:val="nil"/>
              <w:bottom w:val="nil"/>
              <w:right w:val="nil"/>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2,375</w:t>
            </w:r>
          </w:p>
        </w:tc>
        <w:tc>
          <w:tcPr>
            <w:tcW w:w="992" w:type="dxa"/>
            <w:tcBorders>
              <w:top w:val="nil"/>
              <w:left w:val="single" w:sz="8" w:space="0" w:color="auto"/>
              <w:bottom w:val="nil"/>
              <w:right w:val="single" w:sz="8"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2,375</w:t>
            </w:r>
          </w:p>
        </w:tc>
        <w:tc>
          <w:tcPr>
            <w:tcW w:w="850" w:type="dxa"/>
            <w:tcBorders>
              <w:top w:val="nil"/>
              <w:left w:val="single" w:sz="4" w:space="0" w:color="auto"/>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p>
        </w:tc>
        <w:tc>
          <w:tcPr>
            <w:tcW w:w="993"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p>
        </w:tc>
        <w:tc>
          <w:tcPr>
            <w:tcW w:w="992"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p>
        </w:tc>
        <w:tc>
          <w:tcPr>
            <w:tcW w:w="296" w:type="dxa"/>
            <w:gridSpan w:val="2"/>
            <w:tcBorders>
              <w:top w:val="nil"/>
              <w:left w:val="nil"/>
              <w:bottom w:val="nil"/>
              <w:right w:val="nil"/>
            </w:tcBorders>
            <w:shd w:val="clear" w:color="auto" w:fill="auto"/>
            <w:noWrap/>
            <w:vAlign w:val="bottom"/>
            <w:hideMark/>
          </w:tcPr>
          <w:p w:rsidR="00933A46" w:rsidRPr="009011E5" w:rsidRDefault="00933A46" w:rsidP="000A05FC">
            <w:pPr>
              <w:jc w:val="right"/>
              <w:rPr>
                <w:rFonts w:ascii="Calibri" w:hAnsi="Calibri" w:cs="Times New Roman"/>
                <w:sz w:val="20"/>
                <w:szCs w:val="20"/>
              </w:rPr>
            </w:pPr>
          </w:p>
        </w:tc>
        <w:tc>
          <w:tcPr>
            <w:tcW w:w="1121" w:type="dxa"/>
            <w:tcBorders>
              <w:top w:val="nil"/>
              <w:left w:val="single" w:sz="8" w:space="0" w:color="auto"/>
              <w:bottom w:val="nil"/>
              <w:right w:val="single" w:sz="8"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p>
        </w:tc>
      </w:tr>
      <w:tr w:rsidR="00933A46" w:rsidRPr="009011E5" w:rsidTr="000A05FC">
        <w:trPr>
          <w:trHeight w:val="282"/>
        </w:trPr>
        <w:tc>
          <w:tcPr>
            <w:tcW w:w="1999" w:type="dxa"/>
            <w:gridSpan w:val="3"/>
            <w:tcBorders>
              <w:top w:val="nil"/>
              <w:left w:val="nil"/>
              <w:bottom w:val="nil"/>
              <w:right w:val="nil"/>
            </w:tcBorders>
            <w:shd w:val="clear" w:color="auto" w:fill="auto"/>
            <w:noWrap/>
            <w:vAlign w:val="bottom"/>
            <w:hideMark/>
          </w:tcPr>
          <w:p w:rsidR="00933A46" w:rsidRPr="009011E5" w:rsidRDefault="00933A46" w:rsidP="00A52C33">
            <w:pPr>
              <w:rPr>
                <w:rFonts w:ascii="Calibri" w:hAnsi="Calibri" w:cs="Times New Roman"/>
                <w:sz w:val="20"/>
                <w:szCs w:val="20"/>
              </w:rPr>
            </w:pPr>
            <w:r w:rsidRPr="009011E5">
              <w:rPr>
                <w:rFonts w:ascii="Calibri" w:hAnsi="Calibri" w:cs="Times New Roman"/>
                <w:sz w:val="20"/>
                <w:szCs w:val="20"/>
              </w:rPr>
              <w:t>Fee income</w:t>
            </w:r>
          </w:p>
        </w:tc>
        <w:tc>
          <w:tcPr>
            <w:tcW w:w="803" w:type="dxa"/>
            <w:tcBorders>
              <w:top w:val="nil"/>
              <w:left w:val="single" w:sz="4" w:space="0" w:color="auto"/>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w:t>
            </w:r>
          </w:p>
        </w:tc>
        <w:tc>
          <w:tcPr>
            <w:tcW w:w="850"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w:t>
            </w:r>
          </w:p>
        </w:tc>
        <w:tc>
          <w:tcPr>
            <w:tcW w:w="992"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w:t>
            </w:r>
          </w:p>
        </w:tc>
        <w:tc>
          <w:tcPr>
            <w:tcW w:w="993" w:type="dxa"/>
            <w:tcBorders>
              <w:top w:val="nil"/>
              <w:left w:val="nil"/>
              <w:bottom w:val="nil"/>
              <w:right w:val="nil"/>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w:t>
            </w:r>
          </w:p>
        </w:tc>
        <w:tc>
          <w:tcPr>
            <w:tcW w:w="992" w:type="dxa"/>
            <w:tcBorders>
              <w:top w:val="nil"/>
              <w:left w:val="single" w:sz="8" w:space="0" w:color="auto"/>
              <w:bottom w:val="nil"/>
              <w:right w:val="single" w:sz="8"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850" w:type="dxa"/>
            <w:tcBorders>
              <w:top w:val="nil"/>
              <w:left w:val="single" w:sz="4" w:space="0" w:color="auto"/>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993"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992"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296" w:type="dxa"/>
            <w:gridSpan w:val="2"/>
            <w:tcBorders>
              <w:top w:val="nil"/>
              <w:left w:val="nil"/>
              <w:bottom w:val="nil"/>
              <w:right w:val="nil"/>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1121" w:type="dxa"/>
            <w:tcBorders>
              <w:top w:val="nil"/>
              <w:left w:val="single" w:sz="8" w:space="0" w:color="auto"/>
              <w:bottom w:val="nil"/>
              <w:right w:val="single" w:sz="8"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r>
      <w:tr w:rsidR="00933A46" w:rsidRPr="009011E5" w:rsidTr="000A05FC">
        <w:trPr>
          <w:trHeight w:val="754"/>
        </w:trPr>
        <w:tc>
          <w:tcPr>
            <w:tcW w:w="1999" w:type="dxa"/>
            <w:gridSpan w:val="3"/>
            <w:tcBorders>
              <w:top w:val="nil"/>
              <w:left w:val="nil"/>
              <w:bottom w:val="nil"/>
              <w:right w:val="nil"/>
            </w:tcBorders>
            <w:shd w:val="clear" w:color="auto" w:fill="auto"/>
            <w:vAlign w:val="bottom"/>
            <w:hideMark/>
          </w:tcPr>
          <w:p w:rsidR="00933A46" w:rsidRPr="009011E5" w:rsidRDefault="00933A46" w:rsidP="00A52C33">
            <w:pPr>
              <w:rPr>
                <w:rFonts w:ascii="Calibri" w:hAnsi="Calibri" w:cs="Times New Roman"/>
                <w:b/>
                <w:bCs/>
                <w:sz w:val="20"/>
                <w:szCs w:val="20"/>
              </w:rPr>
            </w:pPr>
            <w:r w:rsidRPr="009011E5">
              <w:rPr>
                <w:rFonts w:ascii="Calibri" w:hAnsi="Calibri" w:cs="Times New Roman"/>
                <w:b/>
                <w:bCs/>
                <w:sz w:val="20"/>
                <w:szCs w:val="20"/>
              </w:rPr>
              <w:t>Total income in Surplus/Deficit on the Provision of Services</w:t>
            </w:r>
          </w:p>
        </w:tc>
        <w:tc>
          <w:tcPr>
            <w:tcW w:w="80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b/>
                <w:sz w:val="20"/>
                <w:szCs w:val="20"/>
              </w:rPr>
            </w:pPr>
            <w:r w:rsidRPr="009011E5">
              <w:rPr>
                <w:rFonts w:ascii="Calibri" w:hAnsi="Calibri" w:cs="Times New Roman"/>
                <w:b/>
                <w:sz w:val="20"/>
                <w:szCs w:val="20"/>
              </w:rPr>
              <w:t xml:space="preserve">                  -   </w:t>
            </w:r>
          </w:p>
        </w:tc>
        <w:tc>
          <w:tcPr>
            <w:tcW w:w="850" w:type="dxa"/>
            <w:tcBorders>
              <w:top w:val="single" w:sz="4" w:space="0" w:color="auto"/>
              <w:left w:val="nil"/>
              <w:bottom w:val="single" w:sz="8" w:space="0" w:color="auto"/>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b/>
                <w:sz w:val="20"/>
                <w:szCs w:val="20"/>
              </w:rPr>
            </w:pPr>
            <w:r w:rsidRPr="009011E5">
              <w:rPr>
                <w:rFonts w:ascii="Calibri" w:hAnsi="Calibri" w:cs="Times New Roman"/>
                <w:b/>
                <w:sz w:val="20"/>
                <w:szCs w:val="20"/>
              </w:rPr>
              <w:t xml:space="preserve">(8,785) </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b/>
                <w:sz w:val="20"/>
                <w:szCs w:val="20"/>
              </w:rPr>
            </w:pPr>
            <w:r w:rsidRPr="009011E5">
              <w:rPr>
                <w:rFonts w:ascii="Calibri" w:hAnsi="Calibri" w:cs="Times New Roman"/>
                <w:b/>
                <w:sz w:val="20"/>
                <w:szCs w:val="20"/>
              </w:rPr>
              <w:t xml:space="preserve">(9,081) </w:t>
            </w:r>
          </w:p>
        </w:tc>
        <w:tc>
          <w:tcPr>
            <w:tcW w:w="993" w:type="dxa"/>
            <w:tcBorders>
              <w:top w:val="single" w:sz="4" w:space="0" w:color="auto"/>
              <w:left w:val="nil"/>
              <w:bottom w:val="single" w:sz="8" w:space="0" w:color="auto"/>
              <w:right w:val="nil"/>
            </w:tcBorders>
            <w:shd w:val="clear" w:color="auto" w:fill="auto"/>
            <w:noWrap/>
            <w:vAlign w:val="bottom"/>
            <w:hideMark/>
          </w:tcPr>
          <w:p w:rsidR="00933A46" w:rsidRPr="009011E5" w:rsidRDefault="00933A46" w:rsidP="000A05FC">
            <w:pPr>
              <w:jc w:val="right"/>
              <w:rPr>
                <w:rFonts w:ascii="Calibri" w:hAnsi="Calibri" w:cs="Times New Roman"/>
                <w:b/>
                <w:sz w:val="20"/>
                <w:szCs w:val="20"/>
              </w:rPr>
            </w:pPr>
            <w:r w:rsidRPr="009011E5">
              <w:rPr>
                <w:rFonts w:ascii="Calibri" w:hAnsi="Calibri" w:cs="Times New Roman"/>
                <w:b/>
                <w:sz w:val="20"/>
                <w:szCs w:val="20"/>
              </w:rPr>
              <w:t xml:space="preserve">(29,123) </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33A46" w:rsidRPr="009011E5" w:rsidRDefault="00933A46" w:rsidP="000A05FC">
            <w:pPr>
              <w:jc w:val="right"/>
              <w:rPr>
                <w:rFonts w:ascii="Calibri" w:hAnsi="Calibri" w:cs="Times New Roman"/>
                <w:b/>
                <w:sz w:val="20"/>
                <w:szCs w:val="20"/>
              </w:rPr>
            </w:pPr>
            <w:r>
              <w:rPr>
                <w:rFonts w:ascii="Calibri" w:hAnsi="Calibri" w:cs="Times New Roman"/>
                <w:b/>
                <w:sz w:val="20"/>
                <w:szCs w:val="20"/>
              </w:rPr>
              <w:t>(46</w:t>
            </w:r>
            <w:r w:rsidRPr="009011E5">
              <w:rPr>
                <w:rFonts w:ascii="Calibri" w:hAnsi="Calibri" w:cs="Times New Roman"/>
                <w:b/>
                <w:sz w:val="20"/>
                <w:szCs w:val="20"/>
              </w:rPr>
              <w:t xml:space="preserve">,989) </w:t>
            </w:r>
          </w:p>
        </w:tc>
        <w:tc>
          <w:tcPr>
            <w:tcW w:w="85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b/>
                <w:sz w:val="20"/>
                <w:szCs w:val="20"/>
              </w:rPr>
            </w:pPr>
            <w:r w:rsidRPr="009011E5">
              <w:rPr>
                <w:rFonts w:ascii="Calibri" w:hAnsi="Calibri" w:cs="Times New Roman"/>
                <w:b/>
                <w:sz w:val="20"/>
                <w:szCs w:val="20"/>
              </w:rPr>
              <w:t xml:space="preserve">(452) </w:t>
            </w:r>
          </w:p>
        </w:tc>
        <w:tc>
          <w:tcPr>
            <w:tcW w:w="993" w:type="dxa"/>
            <w:tcBorders>
              <w:top w:val="single" w:sz="4" w:space="0" w:color="auto"/>
              <w:left w:val="nil"/>
              <w:bottom w:val="single" w:sz="8" w:space="0" w:color="auto"/>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b/>
                <w:sz w:val="20"/>
                <w:szCs w:val="20"/>
              </w:rPr>
            </w:pPr>
            <w:r w:rsidRPr="009011E5">
              <w:rPr>
                <w:rFonts w:ascii="Calibri" w:hAnsi="Calibri" w:cs="Times New Roman"/>
                <w:b/>
                <w:sz w:val="20"/>
                <w:szCs w:val="20"/>
              </w:rPr>
              <w:t xml:space="preserve">(11,986) </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b/>
                <w:sz w:val="20"/>
                <w:szCs w:val="20"/>
              </w:rPr>
            </w:pPr>
            <w:r w:rsidRPr="009011E5">
              <w:rPr>
                <w:rFonts w:ascii="Calibri" w:hAnsi="Calibri" w:cs="Times New Roman"/>
                <w:b/>
                <w:sz w:val="20"/>
                <w:szCs w:val="20"/>
              </w:rPr>
              <w:t xml:space="preserve">(5,758) </w:t>
            </w:r>
          </w:p>
        </w:tc>
        <w:tc>
          <w:tcPr>
            <w:tcW w:w="296" w:type="dxa"/>
            <w:gridSpan w:val="2"/>
            <w:tcBorders>
              <w:top w:val="single" w:sz="4" w:space="0" w:color="auto"/>
              <w:left w:val="nil"/>
              <w:bottom w:val="single" w:sz="8" w:space="0" w:color="auto"/>
              <w:right w:val="nil"/>
            </w:tcBorders>
            <w:shd w:val="clear" w:color="auto" w:fill="auto"/>
            <w:noWrap/>
            <w:vAlign w:val="bottom"/>
            <w:hideMark/>
          </w:tcPr>
          <w:p w:rsidR="00933A46" w:rsidRPr="009011E5" w:rsidRDefault="00933A46" w:rsidP="000A05FC">
            <w:pPr>
              <w:jc w:val="right"/>
              <w:rPr>
                <w:rFonts w:ascii="Calibri" w:hAnsi="Calibri" w:cs="Times New Roman"/>
                <w:b/>
                <w:sz w:val="20"/>
                <w:szCs w:val="20"/>
              </w:rPr>
            </w:pPr>
            <w:r w:rsidRPr="009011E5">
              <w:rPr>
                <w:rFonts w:ascii="Calibri" w:hAnsi="Calibri" w:cs="Times New Roman"/>
                <w:b/>
                <w:sz w:val="20"/>
                <w:szCs w:val="20"/>
              </w:rPr>
              <w:t xml:space="preserve">               -   </w:t>
            </w:r>
          </w:p>
        </w:tc>
        <w:tc>
          <w:tcPr>
            <w:tcW w:w="112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33A46" w:rsidRPr="009011E5" w:rsidRDefault="00933A46" w:rsidP="000A05FC">
            <w:pPr>
              <w:jc w:val="right"/>
              <w:rPr>
                <w:rFonts w:ascii="Calibri" w:hAnsi="Calibri" w:cs="Times New Roman"/>
                <w:b/>
                <w:sz w:val="20"/>
                <w:szCs w:val="20"/>
              </w:rPr>
            </w:pPr>
            <w:r w:rsidRPr="009011E5">
              <w:rPr>
                <w:rFonts w:ascii="Calibri" w:hAnsi="Calibri" w:cs="Times New Roman"/>
                <w:b/>
                <w:sz w:val="20"/>
                <w:szCs w:val="20"/>
              </w:rPr>
              <w:t xml:space="preserve">(18,196) </w:t>
            </w:r>
          </w:p>
        </w:tc>
      </w:tr>
      <w:tr w:rsidR="00933A46" w:rsidRPr="009011E5" w:rsidTr="000A05FC">
        <w:trPr>
          <w:trHeight w:val="456"/>
        </w:trPr>
        <w:tc>
          <w:tcPr>
            <w:tcW w:w="1999" w:type="dxa"/>
            <w:gridSpan w:val="3"/>
            <w:tcBorders>
              <w:top w:val="nil"/>
              <w:left w:val="nil"/>
              <w:bottom w:val="nil"/>
              <w:right w:val="nil"/>
            </w:tcBorders>
            <w:shd w:val="clear" w:color="auto" w:fill="auto"/>
            <w:noWrap/>
            <w:vAlign w:val="bottom"/>
            <w:hideMark/>
          </w:tcPr>
          <w:p w:rsidR="00933A46" w:rsidRPr="009011E5" w:rsidRDefault="00933A46" w:rsidP="00A52C33">
            <w:pPr>
              <w:rPr>
                <w:rFonts w:ascii="Calibri" w:hAnsi="Calibri" w:cs="Times New Roman"/>
                <w:sz w:val="20"/>
                <w:szCs w:val="20"/>
              </w:rPr>
            </w:pPr>
          </w:p>
        </w:tc>
        <w:tc>
          <w:tcPr>
            <w:tcW w:w="803" w:type="dxa"/>
            <w:tcBorders>
              <w:top w:val="nil"/>
              <w:left w:val="single" w:sz="4" w:space="0" w:color="auto"/>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w:t>
            </w:r>
          </w:p>
        </w:tc>
        <w:tc>
          <w:tcPr>
            <w:tcW w:w="850"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w:t>
            </w:r>
          </w:p>
        </w:tc>
        <w:tc>
          <w:tcPr>
            <w:tcW w:w="992"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w:t>
            </w:r>
          </w:p>
        </w:tc>
        <w:tc>
          <w:tcPr>
            <w:tcW w:w="993" w:type="dxa"/>
            <w:tcBorders>
              <w:top w:val="nil"/>
              <w:left w:val="nil"/>
              <w:bottom w:val="nil"/>
              <w:right w:val="nil"/>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w:t>
            </w:r>
          </w:p>
        </w:tc>
        <w:tc>
          <w:tcPr>
            <w:tcW w:w="992" w:type="dxa"/>
            <w:tcBorders>
              <w:top w:val="nil"/>
              <w:left w:val="single" w:sz="8" w:space="0" w:color="auto"/>
              <w:bottom w:val="nil"/>
              <w:right w:val="single" w:sz="8"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w:t>
            </w:r>
          </w:p>
        </w:tc>
        <w:tc>
          <w:tcPr>
            <w:tcW w:w="850" w:type="dxa"/>
            <w:tcBorders>
              <w:top w:val="nil"/>
              <w:left w:val="single" w:sz="4" w:space="0" w:color="auto"/>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w:t>
            </w:r>
          </w:p>
        </w:tc>
        <w:tc>
          <w:tcPr>
            <w:tcW w:w="993"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w:t>
            </w:r>
          </w:p>
        </w:tc>
        <w:tc>
          <w:tcPr>
            <w:tcW w:w="992"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w:t>
            </w:r>
          </w:p>
        </w:tc>
        <w:tc>
          <w:tcPr>
            <w:tcW w:w="296" w:type="dxa"/>
            <w:gridSpan w:val="2"/>
            <w:tcBorders>
              <w:top w:val="nil"/>
              <w:left w:val="nil"/>
              <w:bottom w:val="nil"/>
              <w:right w:val="nil"/>
            </w:tcBorders>
            <w:shd w:val="clear" w:color="auto" w:fill="auto"/>
            <w:noWrap/>
            <w:vAlign w:val="bottom"/>
            <w:hideMark/>
          </w:tcPr>
          <w:p w:rsidR="00933A46" w:rsidRPr="009011E5" w:rsidRDefault="00933A46" w:rsidP="000A05FC">
            <w:pPr>
              <w:jc w:val="right"/>
              <w:rPr>
                <w:rFonts w:ascii="Calibri" w:hAnsi="Calibri" w:cs="Times New Roman"/>
                <w:sz w:val="20"/>
                <w:szCs w:val="20"/>
              </w:rPr>
            </w:pPr>
          </w:p>
        </w:tc>
        <w:tc>
          <w:tcPr>
            <w:tcW w:w="1121" w:type="dxa"/>
            <w:tcBorders>
              <w:top w:val="nil"/>
              <w:left w:val="single" w:sz="8" w:space="0" w:color="auto"/>
              <w:bottom w:val="nil"/>
              <w:right w:val="single" w:sz="8"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w:t>
            </w:r>
          </w:p>
        </w:tc>
      </w:tr>
      <w:tr w:rsidR="00933A46" w:rsidRPr="009011E5" w:rsidTr="000A05FC">
        <w:trPr>
          <w:trHeight w:val="363"/>
        </w:trPr>
        <w:tc>
          <w:tcPr>
            <w:tcW w:w="1999" w:type="dxa"/>
            <w:gridSpan w:val="3"/>
            <w:tcBorders>
              <w:top w:val="nil"/>
              <w:left w:val="nil"/>
              <w:bottom w:val="nil"/>
              <w:right w:val="nil"/>
            </w:tcBorders>
            <w:shd w:val="clear" w:color="auto" w:fill="auto"/>
            <w:noWrap/>
            <w:vAlign w:val="bottom"/>
            <w:hideMark/>
          </w:tcPr>
          <w:p w:rsidR="00933A46" w:rsidRPr="009011E5" w:rsidRDefault="00933A46" w:rsidP="00A52C33">
            <w:pPr>
              <w:rPr>
                <w:rFonts w:ascii="Calibri" w:hAnsi="Calibri" w:cs="Times New Roman"/>
                <w:sz w:val="20"/>
                <w:szCs w:val="20"/>
              </w:rPr>
            </w:pPr>
            <w:r w:rsidRPr="009011E5">
              <w:rPr>
                <w:rFonts w:ascii="Calibri" w:hAnsi="Calibri" w:cs="Times New Roman"/>
                <w:sz w:val="20"/>
                <w:szCs w:val="20"/>
              </w:rPr>
              <w:t>Gains on revaluation</w:t>
            </w:r>
          </w:p>
        </w:tc>
        <w:tc>
          <w:tcPr>
            <w:tcW w:w="803" w:type="dxa"/>
            <w:tcBorders>
              <w:top w:val="nil"/>
              <w:left w:val="single" w:sz="4" w:space="0" w:color="auto"/>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w:t>
            </w:r>
          </w:p>
        </w:tc>
        <w:tc>
          <w:tcPr>
            <w:tcW w:w="850"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w:t>
            </w:r>
          </w:p>
        </w:tc>
        <w:tc>
          <w:tcPr>
            <w:tcW w:w="992"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(7,159)</w:t>
            </w:r>
          </w:p>
        </w:tc>
        <w:tc>
          <w:tcPr>
            <w:tcW w:w="993" w:type="dxa"/>
            <w:tcBorders>
              <w:top w:val="nil"/>
              <w:left w:val="nil"/>
              <w:bottom w:val="nil"/>
              <w:right w:val="nil"/>
            </w:tcBorders>
            <w:shd w:val="clear" w:color="auto" w:fill="auto"/>
            <w:noWrap/>
            <w:vAlign w:val="bottom"/>
            <w:hideMark/>
          </w:tcPr>
          <w:p w:rsidR="00933A46" w:rsidRPr="009011E5" w:rsidRDefault="00933A46" w:rsidP="000A05FC">
            <w:pPr>
              <w:jc w:val="right"/>
              <w:rPr>
                <w:rFonts w:ascii="Calibri" w:hAnsi="Calibri" w:cs="Times New Roman"/>
                <w:sz w:val="20"/>
                <w:szCs w:val="20"/>
              </w:rPr>
            </w:pPr>
          </w:p>
        </w:tc>
        <w:tc>
          <w:tcPr>
            <w:tcW w:w="992" w:type="dxa"/>
            <w:tcBorders>
              <w:top w:val="nil"/>
              <w:left w:val="single" w:sz="8" w:space="0" w:color="auto"/>
              <w:bottom w:val="nil"/>
              <w:right w:val="single" w:sz="8"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(7,159)</w:t>
            </w:r>
          </w:p>
        </w:tc>
        <w:tc>
          <w:tcPr>
            <w:tcW w:w="850" w:type="dxa"/>
            <w:tcBorders>
              <w:top w:val="nil"/>
              <w:left w:val="single" w:sz="4" w:space="0" w:color="auto"/>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993"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992"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296" w:type="dxa"/>
            <w:gridSpan w:val="2"/>
            <w:tcBorders>
              <w:top w:val="nil"/>
              <w:left w:val="nil"/>
              <w:bottom w:val="nil"/>
              <w:right w:val="nil"/>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1121" w:type="dxa"/>
            <w:tcBorders>
              <w:top w:val="nil"/>
              <w:left w:val="single" w:sz="8" w:space="0" w:color="auto"/>
              <w:bottom w:val="nil"/>
              <w:right w:val="single" w:sz="8"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r>
      <w:tr w:rsidR="00933A46" w:rsidRPr="009011E5" w:rsidTr="000A05FC">
        <w:trPr>
          <w:trHeight w:val="397"/>
        </w:trPr>
        <w:tc>
          <w:tcPr>
            <w:tcW w:w="1999" w:type="dxa"/>
            <w:gridSpan w:val="3"/>
            <w:tcBorders>
              <w:top w:val="nil"/>
              <w:left w:val="nil"/>
              <w:bottom w:val="nil"/>
              <w:right w:val="nil"/>
            </w:tcBorders>
            <w:shd w:val="clear" w:color="auto" w:fill="auto"/>
            <w:noWrap/>
            <w:vAlign w:val="bottom"/>
            <w:hideMark/>
          </w:tcPr>
          <w:p w:rsidR="00933A46" w:rsidRPr="009011E5" w:rsidRDefault="00933A46" w:rsidP="00A52C33">
            <w:pPr>
              <w:rPr>
                <w:rFonts w:ascii="Calibri" w:hAnsi="Calibri" w:cs="Times New Roman"/>
                <w:sz w:val="20"/>
                <w:szCs w:val="20"/>
              </w:rPr>
            </w:pPr>
            <w:r w:rsidRPr="009011E5">
              <w:rPr>
                <w:rFonts w:ascii="Calibri" w:hAnsi="Calibri" w:cs="Times New Roman"/>
                <w:sz w:val="20"/>
                <w:szCs w:val="20"/>
              </w:rPr>
              <w:t>Losses on revaluation</w:t>
            </w:r>
          </w:p>
        </w:tc>
        <w:tc>
          <w:tcPr>
            <w:tcW w:w="803" w:type="dxa"/>
            <w:tcBorders>
              <w:top w:val="nil"/>
              <w:left w:val="single" w:sz="4" w:space="0" w:color="auto"/>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w:t>
            </w:r>
          </w:p>
        </w:tc>
        <w:tc>
          <w:tcPr>
            <w:tcW w:w="850"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w:t>
            </w:r>
          </w:p>
        </w:tc>
        <w:tc>
          <w:tcPr>
            <w:tcW w:w="992"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479 </w:t>
            </w:r>
          </w:p>
        </w:tc>
        <w:tc>
          <w:tcPr>
            <w:tcW w:w="993" w:type="dxa"/>
            <w:tcBorders>
              <w:top w:val="nil"/>
              <w:left w:val="nil"/>
              <w:bottom w:val="nil"/>
              <w:right w:val="nil"/>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w:t>
            </w:r>
          </w:p>
        </w:tc>
        <w:tc>
          <w:tcPr>
            <w:tcW w:w="992" w:type="dxa"/>
            <w:tcBorders>
              <w:top w:val="nil"/>
              <w:left w:val="single" w:sz="8" w:space="0" w:color="auto"/>
              <w:bottom w:val="nil"/>
              <w:right w:val="single" w:sz="8"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479</w:t>
            </w:r>
          </w:p>
        </w:tc>
        <w:tc>
          <w:tcPr>
            <w:tcW w:w="850" w:type="dxa"/>
            <w:tcBorders>
              <w:top w:val="nil"/>
              <w:left w:val="single" w:sz="4" w:space="0" w:color="auto"/>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993"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992"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296" w:type="dxa"/>
            <w:gridSpan w:val="2"/>
            <w:tcBorders>
              <w:top w:val="nil"/>
              <w:left w:val="nil"/>
              <w:bottom w:val="nil"/>
              <w:right w:val="nil"/>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1121" w:type="dxa"/>
            <w:tcBorders>
              <w:top w:val="nil"/>
              <w:left w:val="single" w:sz="8" w:space="0" w:color="auto"/>
              <w:bottom w:val="nil"/>
              <w:right w:val="single" w:sz="8"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r>
      <w:tr w:rsidR="00933A46" w:rsidRPr="009011E5" w:rsidTr="000A05FC">
        <w:trPr>
          <w:trHeight w:val="1745"/>
        </w:trPr>
        <w:tc>
          <w:tcPr>
            <w:tcW w:w="1999" w:type="dxa"/>
            <w:gridSpan w:val="3"/>
            <w:tcBorders>
              <w:top w:val="nil"/>
              <w:left w:val="nil"/>
              <w:bottom w:val="nil"/>
              <w:right w:val="nil"/>
            </w:tcBorders>
            <w:shd w:val="clear" w:color="auto" w:fill="auto"/>
            <w:vAlign w:val="bottom"/>
            <w:hideMark/>
          </w:tcPr>
          <w:p w:rsidR="00933A46" w:rsidRPr="009011E5" w:rsidRDefault="00933A46" w:rsidP="00A52C33">
            <w:pPr>
              <w:rPr>
                <w:rFonts w:ascii="Calibri" w:hAnsi="Calibri" w:cs="Times New Roman"/>
                <w:sz w:val="20"/>
                <w:szCs w:val="20"/>
              </w:rPr>
            </w:pPr>
            <w:r w:rsidRPr="009011E5">
              <w:rPr>
                <w:rFonts w:ascii="Calibri" w:hAnsi="Calibri" w:cs="Times New Roman"/>
                <w:sz w:val="20"/>
                <w:szCs w:val="20"/>
              </w:rPr>
              <w:t>Amounts recycled to the Surplus/ Deficit on the Provision of Services after impairment</w:t>
            </w:r>
          </w:p>
        </w:tc>
        <w:tc>
          <w:tcPr>
            <w:tcW w:w="803" w:type="dxa"/>
            <w:tcBorders>
              <w:top w:val="nil"/>
              <w:left w:val="single" w:sz="4" w:space="0" w:color="auto"/>
              <w:bottom w:val="nil"/>
              <w:right w:val="single" w:sz="4" w:space="0" w:color="auto"/>
            </w:tcBorders>
            <w:shd w:val="clear" w:color="auto" w:fill="auto"/>
            <w:noWrap/>
            <w:vAlign w:val="bottom"/>
            <w:hideMark/>
          </w:tcPr>
          <w:p w:rsidR="00933A46" w:rsidRPr="009011E5" w:rsidRDefault="00933A46" w:rsidP="00933A46">
            <w:pPr>
              <w:jc w:val="right"/>
              <w:rPr>
                <w:rFonts w:ascii="Calibri" w:hAnsi="Calibri" w:cs="Times New Roman"/>
                <w:sz w:val="20"/>
                <w:szCs w:val="20"/>
              </w:rPr>
            </w:pPr>
            <w:r>
              <w:rPr>
                <w:rFonts w:ascii="Calibri" w:hAnsi="Calibri" w:cs="Times New Roman"/>
                <w:sz w:val="20"/>
                <w:szCs w:val="20"/>
              </w:rPr>
              <w:t>-</w:t>
            </w:r>
            <w:r w:rsidRPr="009011E5">
              <w:rPr>
                <w:rFonts w:ascii="Calibri" w:hAnsi="Calibri" w:cs="Times New Roman"/>
                <w:sz w:val="20"/>
                <w:szCs w:val="20"/>
              </w:rPr>
              <w:t> </w:t>
            </w:r>
          </w:p>
        </w:tc>
        <w:tc>
          <w:tcPr>
            <w:tcW w:w="850" w:type="dxa"/>
            <w:tcBorders>
              <w:top w:val="nil"/>
              <w:left w:val="nil"/>
              <w:bottom w:val="nil"/>
              <w:right w:val="single" w:sz="4" w:space="0" w:color="auto"/>
            </w:tcBorders>
            <w:shd w:val="clear" w:color="auto" w:fill="auto"/>
            <w:noWrap/>
            <w:vAlign w:val="bottom"/>
            <w:hideMark/>
          </w:tcPr>
          <w:p w:rsidR="00933A46" w:rsidRPr="009011E5" w:rsidRDefault="00933A46" w:rsidP="00933A46">
            <w:pPr>
              <w:jc w:val="right"/>
              <w:rPr>
                <w:rFonts w:ascii="Calibri" w:hAnsi="Calibri" w:cs="Times New Roman"/>
                <w:sz w:val="20"/>
                <w:szCs w:val="20"/>
              </w:rPr>
            </w:pPr>
            <w:r>
              <w:rPr>
                <w:rFonts w:ascii="Calibri" w:hAnsi="Calibri" w:cs="Times New Roman"/>
                <w:sz w:val="20"/>
                <w:szCs w:val="20"/>
              </w:rPr>
              <w:t>-</w:t>
            </w:r>
            <w:r w:rsidRPr="009011E5">
              <w:rPr>
                <w:rFonts w:ascii="Calibri" w:hAnsi="Calibri" w:cs="Times New Roman"/>
                <w:sz w:val="20"/>
                <w:szCs w:val="20"/>
              </w:rPr>
              <w:t> </w:t>
            </w:r>
          </w:p>
        </w:tc>
        <w:tc>
          <w:tcPr>
            <w:tcW w:w="992" w:type="dxa"/>
            <w:tcBorders>
              <w:top w:val="nil"/>
              <w:left w:val="nil"/>
              <w:bottom w:val="nil"/>
              <w:right w:val="single" w:sz="4" w:space="0" w:color="auto"/>
            </w:tcBorders>
            <w:shd w:val="clear" w:color="auto" w:fill="auto"/>
            <w:noWrap/>
            <w:vAlign w:val="bottom"/>
            <w:hideMark/>
          </w:tcPr>
          <w:p w:rsidR="00933A46" w:rsidRPr="009011E5" w:rsidRDefault="00933A46" w:rsidP="00933A46">
            <w:pPr>
              <w:jc w:val="right"/>
              <w:rPr>
                <w:rFonts w:ascii="Calibri" w:hAnsi="Calibri" w:cs="Times New Roman"/>
                <w:sz w:val="20"/>
                <w:szCs w:val="20"/>
              </w:rPr>
            </w:pPr>
            <w:r>
              <w:rPr>
                <w:rFonts w:ascii="Calibri" w:hAnsi="Calibri" w:cs="Times New Roman"/>
                <w:sz w:val="20"/>
                <w:szCs w:val="20"/>
              </w:rPr>
              <w:t>-</w:t>
            </w:r>
          </w:p>
        </w:tc>
        <w:tc>
          <w:tcPr>
            <w:tcW w:w="993" w:type="dxa"/>
            <w:tcBorders>
              <w:top w:val="nil"/>
              <w:left w:val="nil"/>
              <w:bottom w:val="nil"/>
              <w:right w:val="nil"/>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Pr>
                <w:rFonts w:ascii="Calibri" w:hAnsi="Calibri" w:cs="Times New Roman"/>
                <w:sz w:val="20"/>
                <w:szCs w:val="20"/>
              </w:rPr>
              <w:t>-</w:t>
            </w:r>
            <w:r w:rsidRPr="009011E5">
              <w:rPr>
                <w:rFonts w:ascii="Calibri" w:hAnsi="Calibri" w:cs="Times New Roman"/>
                <w:sz w:val="20"/>
                <w:szCs w:val="20"/>
              </w:rPr>
              <w:t> </w:t>
            </w:r>
          </w:p>
        </w:tc>
        <w:tc>
          <w:tcPr>
            <w:tcW w:w="992" w:type="dxa"/>
            <w:tcBorders>
              <w:top w:val="nil"/>
              <w:left w:val="single" w:sz="8" w:space="0" w:color="auto"/>
              <w:bottom w:val="nil"/>
              <w:right w:val="single" w:sz="8"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Pr>
                <w:rFonts w:ascii="Calibri" w:hAnsi="Calibri" w:cs="Times New Roman"/>
                <w:sz w:val="20"/>
                <w:szCs w:val="20"/>
              </w:rPr>
              <w:t>-</w:t>
            </w:r>
          </w:p>
        </w:tc>
        <w:tc>
          <w:tcPr>
            <w:tcW w:w="850" w:type="dxa"/>
            <w:tcBorders>
              <w:top w:val="nil"/>
              <w:left w:val="single" w:sz="4" w:space="0" w:color="auto"/>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993"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992" w:type="dxa"/>
            <w:tcBorders>
              <w:top w:val="nil"/>
              <w:left w:val="nil"/>
              <w:bottom w:val="nil"/>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296" w:type="dxa"/>
            <w:gridSpan w:val="2"/>
            <w:tcBorders>
              <w:top w:val="nil"/>
              <w:left w:val="nil"/>
              <w:bottom w:val="nil"/>
              <w:right w:val="nil"/>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1121" w:type="dxa"/>
            <w:tcBorders>
              <w:top w:val="nil"/>
              <w:left w:val="single" w:sz="8" w:space="0" w:color="auto"/>
              <w:bottom w:val="nil"/>
              <w:right w:val="single" w:sz="8"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r>
      <w:tr w:rsidR="00933A46" w:rsidRPr="009011E5" w:rsidTr="000A05FC">
        <w:trPr>
          <w:trHeight w:val="1053"/>
        </w:trPr>
        <w:tc>
          <w:tcPr>
            <w:tcW w:w="1999" w:type="dxa"/>
            <w:gridSpan w:val="3"/>
            <w:tcBorders>
              <w:top w:val="nil"/>
              <w:left w:val="nil"/>
              <w:bottom w:val="nil"/>
              <w:right w:val="nil"/>
            </w:tcBorders>
            <w:shd w:val="clear" w:color="auto" w:fill="auto"/>
            <w:vAlign w:val="bottom"/>
            <w:hideMark/>
          </w:tcPr>
          <w:p w:rsidR="00933A46" w:rsidRPr="009011E5" w:rsidRDefault="00933A46" w:rsidP="00A52C33">
            <w:pPr>
              <w:rPr>
                <w:rFonts w:ascii="Calibri" w:hAnsi="Calibri" w:cs="Times New Roman"/>
                <w:b/>
                <w:bCs/>
                <w:sz w:val="20"/>
                <w:szCs w:val="20"/>
              </w:rPr>
            </w:pPr>
            <w:r w:rsidRPr="009011E5">
              <w:rPr>
                <w:rFonts w:ascii="Calibri" w:hAnsi="Calibri" w:cs="Times New Roman"/>
                <w:b/>
                <w:bCs/>
                <w:sz w:val="20"/>
                <w:szCs w:val="20"/>
              </w:rPr>
              <w:t>Surplus/Deficit arising on revaluation of financial assets in Other Comprehensive Income &amp; Expenditure</w:t>
            </w:r>
          </w:p>
        </w:tc>
        <w:tc>
          <w:tcPr>
            <w:tcW w:w="80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Pr>
                <w:rFonts w:ascii="Calibri" w:hAnsi="Calibri" w:cs="Times New Roman"/>
                <w:sz w:val="20"/>
                <w:szCs w:val="20"/>
              </w:rPr>
              <w:t>-</w:t>
            </w:r>
            <w:r w:rsidRPr="009011E5">
              <w:rPr>
                <w:rFonts w:ascii="Calibri" w:hAnsi="Calibri" w:cs="Times New Roman"/>
                <w:sz w:val="20"/>
                <w:szCs w:val="20"/>
              </w:rPr>
              <w:t> </w:t>
            </w:r>
          </w:p>
        </w:tc>
        <w:tc>
          <w:tcPr>
            <w:tcW w:w="850" w:type="dxa"/>
            <w:tcBorders>
              <w:top w:val="single" w:sz="4" w:space="0" w:color="auto"/>
              <w:left w:val="nil"/>
              <w:bottom w:val="single" w:sz="8" w:space="0" w:color="auto"/>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Pr>
                <w:rFonts w:ascii="Calibri" w:hAnsi="Calibri" w:cs="Times New Roman"/>
                <w:sz w:val="20"/>
                <w:szCs w:val="20"/>
              </w:rPr>
              <w:t>-</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(6,680)</w:t>
            </w:r>
          </w:p>
        </w:tc>
        <w:tc>
          <w:tcPr>
            <w:tcW w:w="993" w:type="dxa"/>
            <w:tcBorders>
              <w:top w:val="single" w:sz="4" w:space="0" w:color="auto"/>
              <w:left w:val="nil"/>
              <w:bottom w:val="single" w:sz="8" w:space="0" w:color="auto"/>
              <w:right w:val="nil"/>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Pr>
                <w:rFonts w:ascii="Calibri" w:hAnsi="Calibri" w:cs="Times New Roman"/>
                <w:sz w:val="20"/>
                <w:szCs w:val="20"/>
              </w:rPr>
              <w:t>-</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(6,680) </w:t>
            </w:r>
          </w:p>
        </w:tc>
        <w:tc>
          <w:tcPr>
            <w:tcW w:w="85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993" w:type="dxa"/>
            <w:tcBorders>
              <w:top w:val="single" w:sz="4" w:space="0" w:color="auto"/>
              <w:left w:val="nil"/>
              <w:bottom w:val="single" w:sz="8" w:space="0" w:color="auto"/>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7,159 </w:t>
            </w:r>
          </w:p>
        </w:tc>
        <w:tc>
          <w:tcPr>
            <w:tcW w:w="296" w:type="dxa"/>
            <w:gridSpan w:val="2"/>
            <w:tcBorders>
              <w:top w:val="single" w:sz="4" w:space="0" w:color="auto"/>
              <w:left w:val="nil"/>
              <w:bottom w:val="single" w:sz="8" w:space="0" w:color="auto"/>
              <w:right w:val="nil"/>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   </w:t>
            </w:r>
          </w:p>
        </w:tc>
        <w:tc>
          <w:tcPr>
            <w:tcW w:w="112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33A46" w:rsidRPr="009011E5" w:rsidRDefault="00933A46" w:rsidP="000A05FC">
            <w:pPr>
              <w:jc w:val="right"/>
              <w:rPr>
                <w:rFonts w:ascii="Calibri" w:hAnsi="Calibri" w:cs="Times New Roman"/>
                <w:sz w:val="20"/>
                <w:szCs w:val="20"/>
              </w:rPr>
            </w:pPr>
            <w:r w:rsidRPr="009011E5">
              <w:rPr>
                <w:rFonts w:ascii="Calibri" w:hAnsi="Calibri" w:cs="Times New Roman"/>
                <w:sz w:val="20"/>
                <w:szCs w:val="20"/>
              </w:rPr>
              <w:t xml:space="preserve">           7,159 </w:t>
            </w:r>
          </w:p>
        </w:tc>
      </w:tr>
      <w:tr w:rsidR="00933A46" w:rsidRPr="009011E5" w:rsidTr="000A05FC">
        <w:trPr>
          <w:trHeight w:val="456"/>
        </w:trPr>
        <w:tc>
          <w:tcPr>
            <w:tcW w:w="1999" w:type="dxa"/>
            <w:gridSpan w:val="3"/>
            <w:tcBorders>
              <w:top w:val="nil"/>
              <w:left w:val="nil"/>
              <w:bottom w:val="nil"/>
              <w:right w:val="nil"/>
            </w:tcBorders>
            <w:shd w:val="clear" w:color="auto" w:fill="auto"/>
            <w:noWrap/>
            <w:vAlign w:val="bottom"/>
            <w:hideMark/>
          </w:tcPr>
          <w:p w:rsidR="00933A46" w:rsidRPr="009011E5" w:rsidRDefault="00933A46" w:rsidP="00A52C33">
            <w:pPr>
              <w:rPr>
                <w:rFonts w:ascii="Calibri" w:hAnsi="Calibri" w:cs="Times New Roman"/>
                <w:b/>
                <w:bCs/>
                <w:sz w:val="20"/>
                <w:szCs w:val="20"/>
              </w:rPr>
            </w:pPr>
            <w:r w:rsidRPr="009011E5">
              <w:rPr>
                <w:rFonts w:ascii="Calibri" w:hAnsi="Calibri" w:cs="Times New Roman"/>
                <w:b/>
                <w:bCs/>
                <w:sz w:val="20"/>
                <w:szCs w:val="20"/>
              </w:rPr>
              <w:t>Net Gain/(Loss) for the Year</w:t>
            </w:r>
          </w:p>
        </w:tc>
        <w:tc>
          <w:tcPr>
            <w:tcW w:w="80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b/>
                <w:sz w:val="20"/>
                <w:szCs w:val="20"/>
              </w:rPr>
            </w:pPr>
            <w:r w:rsidRPr="009011E5">
              <w:rPr>
                <w:rFonts w:ascii="Calibri" w:hAnsi="Calibri" w:cs="Times New Roman"/>
                <w:b/>
                <w:sz w:val="20"/>
                <w:szCs w:val="20"/>
              </w:rPr>
              <w:t xml:space="preserve">         16,987</w:t>
            </w:r>
          </w:p>
        </w:tc>
        <w:tc>
          <w:tcPr>
            <w:tcW w:w="850" w:type="dxa"/>
            <w:tcBorders>
              <w:top w:val="single" w:sz="4" w:space="0" w:color="auto"/>
              <w:left w:val="nil"/>
              <w:bottom w:val="single" w:sz="8" w:space="0" w:color="auto"/>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b/>
                <w:sz w:val="20"/>
                <w:szCs w:val="20"/>
              </w:rPr>
            </w:pPr>
            <w:r w:rsidRPr="009011E5">
              <w:rPr>
                <w:rFonts w:ascii="Calibri" w:hAnsi="Calibri" w:cs="Times New Roman"/>
                <w:b/>
                <w:sz w:val="20"/>
                <w:szCs w:val="20"/>
              </w:rPr>
              <w:t xml:space="preserve">(8,785) </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b/>
                <w:sz w:val="20"/>
                <w:szCs w:val="20"/>
              </w:rPr>
            </w:pPr>
            <w:r w:rsidRPr="009011E5">
              <w:rPr>
                <w:rFonts w:ascii="Calibri" w:hAnsi="Calibri" w:cs="Times New Roman"/>
                <w:b/>
                <w:sz w:val="20"/>
                <w:szCs w:val="20"/>
              </w:rPr>
              <w:t xml:space="preserve">(15,761) </w:t>
            </w:r>
          </w:p>
        </w:tc>
        <w:tc>
          <w:tcPr>
            <w:tcW w:w="993" w:type="dxa"/>
            <w:tcBorders>
              <w:top w:val="single" w:sz="4" w:space="0" w:color="auto"/>
              <w:left w:val="nil"/>
              <w:bottom w:val="single" w:sz="8" w:space="0" w:color="auto"/>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b/>
                <w:sz w:val="20"/>
                <w:szCs w:val="20"/>
              </w:rPr>
            </w:pPr>
            <w:r w:rsidRPr="009011E5">
              <w:rPr>
                <w:rFonts w:ascii="Calibri" w:hAnsi="Calibri" w:cs="Times New Roman"/>
                <w:b/>
                <w:sz w:val="20"/>
                <w:szCs w:val="20"/>
              </w:rPr>
              <w:t xml:space="preserve">(29,123) </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b/>
                <w:sz w:val="20"/>
                <w:szCs w:val="20"/>
              </w:rPr>
            </w:pPr>
            <w:r w:rsidRPr="009011E5">
              <w:rPr>
                <w:rFonts w:ascii="Calibri" w:hAnsi="Calibri" w:cs="Times New Roman"/>
                <w:b/>
                <w:sz w:val="20"/>
                <w:szCs w:val="20"/>
              </w:rPr>
              <w:t xml:space="preserve">(36,682)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b/>
                <w:sz w:val="20"/>
                <w:szCs w:val="20"/>
              </w:rPr>
            </w:pPr>
            <w:r w:rsidRPr="009011E5">
              <w:rPr>
                <w:rFonts w:ascii="Calibri" w:hAnsi="Calibri" w:cs="Times New Roman"/>
                <w:b/>
                <w:sz w:val="20"/>
                <w:szCs w:val="20"/>
              </w:rPr>
              <w:t xml:space="preserve">         49,547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b/>
                <w:sz w:val="20"/>
                <w:szCs w:val="20"/>
              </w:rPr>
            </w:pPr>
            <w:r w:rsidRPr="009011E5">
              <w:rPr>
                <w:rFonts w:ascii="Calibri" w:hAnsi="Calibri" w:cs="Times New Roman"/>
                <w:b/>
                <w:sz w:val="20"/>
                <w:szCs w:val="20"/>
              </w:rPr>
              <w:t xml:space="preserve">(11,986)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b/>
                <w:sz w:val="20"/>
                <w:szCs w:val="20"/>
              </w:rPr>
            </w:pPr>
            <w:r w:rsidRPr="009011E5">
              <w:rPr>
                <w:rFonts w:ascii="Calibri" w:hAnsi="Calibri" w:cs="Times New Roman"/>
                <w:b/>
                <w:sz w:val="20"/>
                <w:szCs w:val="20"/>
              </w:rPr>
              <w:t xml:space="preserve">         1,401 </w:t>
            </w:r>
          </w:p>
        </w:tc>
        <w:tc>
          <w:tcPr>
            <w:tcW w:w="2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b/>
                <w:sz w:val="20"/>
                <w:szCs w:val="20"/>
              </w:rPr>
            </w:pPr>
            <w:r w:rsidRPr="009011E5">
              <w:rPr>
                <w:rFonts w:ascii="Calibri" w:hAnsi="Calibri" w:cs="Times New Roman"/>
                <w:b/>
                <w:sz w:val="20"/>
                <w:szCs w:val="20"/>
              </w:rPr>
              <w:t xml:space="preserve">               -   </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933A46" w:rsidRPr="009011E5" w:rsidRDefault="00933A46" w:rsidP="000A05FC">
            <w:pPr>
              <w:jc w:val="right"/>
              <w:rPr>
                <w:rFonts w:ascii="Calibri" w:hAnsi="Calibri" w:cs="Times New Roman"/>
                <w:b/>
                <w:sz w:val="20"/>
                <w:szCs w:val="20"/>
              </w:rPr>
            </w:pPr>
            <w:r w:rsidRPr="009011E5">
              <w:rPr>
                <w:rFonts w:ascii="Calibri" w:hAnsi="Calibri" w:cs="Times New Roman"/>
                <w:b/>
                <w:sz w:val="20"/>
                <w:szCs w:val="20"/>
              </w:rPr>
              <w:t xml:space="preserve">         38,962 </w:t>
            </w:r>
          </w:p>
        </w:tc>
      </w:tr>
    </w:tbl>
    <w:p w:rsidR="002E1515" w:rsidRDefault="002E1515" w:rsidP="006C467D">
      <w:pPr>
        <w:ind w:left="720"/>
        <w:jc w:val="both"/>
        <w:rPr>
          <w:highlight w:val="yellow"/>
        </w:rPr>
      </w:pPr>
    </w:p>
    <w:p w:rsidR="002E1515" w:rsidRDefault="002E1515" w:rsidP="006C467D">
      <w:pPr>
        <w:ind w:left="720"/>
        <w:jc w:val="both"/>
        <w:rPr>
          <w:highlight w:val="yellow"/>
        </w:rPr>
      </w:pPr>
    </w:p>
    <w:p w:rsidR="002E1515" w:rsidRPr="009011E5" w:rsidRDefault="002E1515" w:rsidP="006C467D">
      <w:pPr>
        <w:ind w:left="720"/>
        <w:jc w:val="both"/>
      </w:pPr>
    </w:p>
    <w:p w:rsidR="002E1515" w:rsidRPr="009011E5" w:rsidRDefault="002E1515" w:rsidP="006C467D">
      <w:pPr>
        <w:ind w:left="720"/>
        <w:jc w:val="both"/>
      </w:pPr>
    </w:p>
    <w:p w:rsidR="004B797E" w:rsidRPr="009011E5" w:rsidRDefault="004B797E" w:rsidP="00BD07E4">
      <w:pPr>
        <w:numPr>
          <w:ilvl w:val="0"/>
          <w:numId w:val="21"/>
        </w:numPr>
        <w:spacing w:after="240"/>
      </w:pPr>
      <w:r w:rsidRPr="009011E5">
        <w:rPr>
          <w:b/>
        </w:rPr>
        <w:t>Treatme</w:t>
      </w:r>
      <w:r w:rsidR="006C7BB9">
        <w:rPr>
          <w:b/>
        </w:rPr>
        <w:t>nt of Icelandic Deposits in 2011/12</w:t>
      </w:r>
      <w:r w:rsidRPr="009011E5">
        <w:rPr>
          <w:b/>
        </w:rPr>
        <w:t xml:space="preserve"> Accounts</w:t>
      </w:r>
    </w:p>
    <w:p w:rsidR="009011E5" w:rsidRDefault="009011E5" w:rsidP="00E353CF">
      <w:pPr>
        <w:pStyle w:val="ListParagraph"/>
        <w:widowControl w:val="0"/>
        <w:suppressAutoHyphens/>
        <w:jc w:val="both"/>
      </w:pPr>
      <w:r w:rsidRPr="009011E5">
        <w:rPr>
          <w:szCs w:val="22"/>
        </w:rPr>
        <w:t xml:space="preserve">Lancashire </w:t>
      </w:r>
      <w:r w:rsidR="001F1A1A">
        <w:rPr>
          <w:szCs w:val="22"/>
        </w:rPr>
        <w:t>County Council</w:t>
      </w:r>
      <w:r w:rsidRPr="009011E5">
        <w:rPr>
          <w:szCs w:val="22"/>
        </w:rPr>
        <w:t xml:space="preserve"> had £6.436m on deposit with the Icelandic Bank Landsbanki Is when it collapsed in October 2008.  The </w:t>
      </w:r>
      <w:r w:rsidR="001F1A1A">
        <w:rPr>
          <w:szCs w:val="22"/>
        </w:rPr>
        <w:t>County Council</w:t>
      </w:r>
      <w:r w:rsidRPr="009011E5">
        <w:rPr>
          <w:szCs w:val="22"/>
        </w:rPr>
        <w:t xml:space="preserve"> was one of many UK and Dutch Local Authorities with such deposits, all of whom were granted priority creditor status by the Icelandic Supreme Court at a hearing in Reykjavik on 14 and 15 of September 2011.  </w:t>
      </w:r>
      <w:r w:rsidRPr="00815C08">
        <w:t>The Winding Up Board announced on 9 March 2012</w:t>
      </w:r>
      <w:r>
        <w:t xml:space="preserve"> </w:t>
      </w:r>
      <w:r w:rsidRPr="00815C08">
        <w:t>that it anticipated recoveries in the Landsbanki Administration would exceed the book value of recognised priority claims by around ISK 121bn, taking into account the sale of its holding in Iceland Foods.  Estimated recoveries are some 9% higher than the value of priority claims</w:t>
      </w:r>
      <w:r>
        <w:t>,</w:t>
      </w:r>
      <w:r w:rsidRPr="00815C08">
        <w:t xml:space="preserve"> and it is therefore now considered likely that UK local authorities will recover 100% of their deposits, subject to </w:t>
      </w:r>
      <w:r w:rsidRPr="00815C08">
        <w:lastRenderedPageBreak/>
        <w:t>potential future exchange rate fluctuations.</w:t>
      </w:r>
    </w:p>
    <w:p w:rsidR="009011E5" w:rsidRDefault="009011E5" w:rsidP="00E353CF">
      <w:pPr>
        <w:pStyle w:val="ListParagraph"/>
        <w:widowControl w:val="0"/>
        <w:suppressAutoHyphens/>
        <w:jc w:val="both"/>
      </w:pPr>
    </w:p>
    <w:p w:rsidR="009011E5" w:rsidRDefault="009011E5" w:rsidP="00E353CF">
      <w:pPr>
        <w:pStyle w:val="ListParagraph"/>
        <w:widowControl w:val="0"/>
        <w:suppressAutoHyphens/>
        <w:jc w:val="both"/>
      </w:pPr>
      <w:r>
        <w:t>The winding up board made its first distribution on 7 December 2011</w:t>
      </w:r>
      <w:r w:rsidR="006C7BB9">
        <w:t xml:space="preserve"> </w:t>
      </w:r>
      <w:r>
        <w:t xml:space="preserve">and a second distribution on 25 May 2012. Approximately 42% of the total claim has now been repaid. </w:t>
      </w:r>
    </w:p>
    <w:p w:rsidR="009011E5" w:rsidRDefault="009011E5" w:rsidP="00E353CF">
      <w:pPr>
        <w:pStyle w:val="ListParagraph"/>
        <w:widowControl w:val="0"/>
        <w:suppressAutoHyphens/>
        <w:jc w:val="both"/>
      </w:pPr>
    </w:p>
    <w:p w:rsidR="009011E5" w:rsidRDefault="009011E5" w:rsidP="00E353CF">
      <w:pPr>
        <w:pStyle w:val="ListParagraph"/>
        <w:widowControl w:val="0"/>
        <w:suppressAutoHyphens/>
        <w:jc w:val="both"/>
      </w:pPr>
      <w:r>
        <w:t>The table below shows the combined amount of the distributions and the amount outstanding.</w:t>
      </w:r>
    </w:p>
    <w:tbl>
      <w:tblPr>
        <w:tblW w:w="6961" w:type="dxa"/>
        <w:jc w:val="center"/>
        <w:tblLook w:val="04A0"/>
      </w:tblPr>
      <w:tblGrid>
        <w:gridCol w:w="4693"/>
        <w:gridCol w:w="2268"/>
      </w:tblGrid>
      <w:tr w:rsidR="009011E5" w:rsidRPr="006B44AD" w:rsidTr="000A05FC">
        <w:trPr>
          <w:trHeight w:val="300"/>
          <w:jc w:val="center"/>
        </w:trPr>
        <w:tc>
          <w:tcPr>
            <w:tcW w:w="4693" w:type="dxa"/>
            <w:tcBorders>
              <w:top w:val="nil"/>
              <w:left w:val="nil"/>
              <w:bottom w:val="nil"/>
              <w:right w:val="nil"/>
            </w:tcBorders>
            <w:shd w:val="clear" w:color="auto" w:fill="auto"/>
            <w:noWrap/>
            <w:vAlign w:val="bottom"/>
            <w:hideMark/>
          </w:tcPr>
          <w:p w:rsidR="009011E5" w:rsidRPr="006B44AD" w:rsidRDefault="009011E5" w:rsidP="00342F70"/>
        </w:tc>
        <w:tc>
          <w:tcPr>
            <w:tcW w:w="2268" w:type="dxa"/>
            <w:tcBorders>
              <w:top w:val="nil"/>
              <w:left w:val="nil"/>
              <w:bottom w:val="nil"/>
              <w:right w:val="nil"/>
            </w:tcBorders>
            <w:shd w:val="clear" w:color="auto" w:fill="auto"/>
            <w:noWrap/>
            <w:vAlign w:val="bottom"/>
            <w:hideMark/>
          </w:tcPr>
          <w:p w:rsidR="009011E5" w:rsidRPr="006B44AD" w:rsidRDefault="009011E5" w:rsidP="00A52C33">
            <w:pPr>
              <w:ind w:left="567"/>
              <w:jc w:val="center"/>
            </w:pPr>
            <w:r w:rsidRPr="006B44AD">
              <w:t>£</w:t>
            </w:r>
          </w:p>
        </w:tc>
      </w:tr>
      <w:tr w:rsidR="009011E5" w:rsidRPr="006B44AD" w:rsidTr="000A05FC">
        <w:trPr>
          <w:trHeight w:val="300"/>
          <w:jc w:val="center"/>
        </w:trPr>
        <w:tc>
          <w:tcPr>
            <w:tcW w:w="4693" w:type="dxa"/>
            <w:tcBorders>
              <w:top w:val="nil"/>
              <w:left w:val="nil"/>
              <w:bottom w:val="nil"/>
              <w:right w:val="nil"/>
            </w:tcBorders>
            <w:shd w:val="clear" w:color="auto" w:fill="auto"/>
            <w:noWrap/>
            <w:vAlign w:val="bottom"/>
            <w:hideMark/>
          </w:tcPr>
          <w:p w:rsidR="009011E5" w:rsidRPr="006B44AD" w:rsidRDefault="009011E5" w:rsidP="00A52C33">
            <w:pPr>
              <w:ind w:left="567"/>
            </w:pPr>
            <w:r w:rsidRPr="006B44AD">
              <w:t>CLAIM</w:t>
            </w:r>
          </w:p>
        </w:tc>
        <w:tc>
          <w:tcPr>
            <w:tcW w:w="2268" w:type="dxa"/>
            <w:tcBorders>
              <w:top w:val="nil"/>
              <w:left w:val="nil"/>
              <w:bottom w:val="nil"/>
              <w:right w:val="nil"/>
            </w:tcBorders>
            <w:shd w:val="clear" w:color="auto" w:fill="auto"/>
            <w:noWrap/>
            <w:vAlign w:val="bottom"/>
            <w:hideMark/>
          </w:tcPr>
          <w:p w:rsidR="009011E5" w:rsidRPr="006B44AD" w:rsidRDefault="009011E5" w:rsidP="00A52C33">
            <w:pPr>
              <w:ind w:left="567"/>
            </w:pPr>
          </w:p>
        </w:tc>
      </w:tr>
      <w:tr w:rsidR="009011E5" w:rsidRPr="006B44AD" w:rsidTr="000A05FC">
        <w:trPr>
          <w:trHeight w:val="300"/>
          <w:jc w:val="center"/>
        </w:trPr>
        <w:tc>
          <w:tcPr>
            <w:tcW w:w="4693" w:type="dxa"/>
            <w:tcBorders>
              <w:top w:val="nil"/>
              <w:left w:val="nil"/>
              <w:bottom w:val="nil"/>
              <w:right w:val="nil"/>
            </w:tcBorders>
            <w:shd w:val="clear" w:color="auto" w:fill="auto"/>
            <w:noWrap/>
            <w:vAlign w:val="bottom"/>
            <w:hideMark/>
          </w:tcPr>
          <w:p w:rsidR="009011E5" w:rsidRPr="006B44AD" w:rsidRDefault="009011E5" w:rsidP="00A52C33">
            <w:pPr>
              <w:ind w:left="567"/>
            </w:pPr>
            <w:r w:rsidRPr="006B44AD">
              <w:t>Principal</w:t>
            </w:r>
          </w:p>
        </w:tc>
        <w:tc>
          <w:tcPr>
            <w:tcW w:w="2268" w:type="dxa"/>
            <w:tcBorders>
              <w:top w:val="nil"/>
              <w:left w:val="nil"/>
              <w:bottom w:val="nil"/>
              <w:right w:val="nil"/>
            </w:tcBorders>
            <w:shd w:val="clear" w:color="auto" w:fill="auto"/>
            <w:noWrap/>
            <w:vAlign w:val="bottom"/>
            <w:hideMark/>
          </w:tcPr>
          <w:p w:rsidR="009011E5" w:rsidRPr="006B44AD" w:rsidRDefault="009011E5" w:rsidP="00A52C33">
            <w:pPr>
              <w:ind w:left="567"/>
              <w:jc w:val="right"/>
            </w:pPr>
            <w:r w:rsidRPr="006B44AD">
              <w:t>6,435,808.29</w:t>
            </w:r>
          </w:p>
        </w:tc>
      </w:tr>
      <w:tr w:rsidR="009011E5" w:rsidRPr="006B44AD" w:rsidTr="000A05FC">
        <w:trPr>
          <w:trHeight w:val="300"/>
          <w:jc w:val="center"/>
        </w:trPr>
        <w:tc>
          <w:tcPr>
            <w:tcW w:w="4693" w:type="dxa"/>
            <w:tcBorders>
              <w:top w:val="nil"/>
              <w:left w:val="nil"/>
              <w:bottom w:val="nil"/>
              <w:right w:val="nil"/>
            </w:tcBorders>
            <w:shd w:val="clear" w:color="auto" w:fill="auto"/>
            <w:noWrap/>
            <w:vAlign w:val="bottom"/>
            <w:hideMark/>
          </w:tcPr>
          <w:p w:rsidR="009011E5" w:rsidRPr="006B44AD" w:rsidRDefault="009011E5" w:rsidP="00A52C33">
            <w:pPr>
              <w:ind w:left="567"/>
            </w:pPr>
            <w:r w:rsidRPr="006B44AD">
              <w:t>Interest</w:t>
            </w:r>
          </w:p>
        </w:tc>
        <w:tc>
          <w:tcPr>
            <w:tcW w:w="2268" w:type="dxa"/>
            <w:tcBorders>
              <w:top w:val="nil"/>
              <w:left w:val="nil"/>
              <w:bottom w:val="nil"/>
              <w:right w:val="nil"/>
            </w:tcBorders>
            <w:shd w:val="clear" w:color="auto" w:fill="auto"/>
            <w:noWrap/>
            <w:vAlign w:val="bottom"/>
            <w:hideMark/>
          </w:tcPr>
          <w:p w:rsidR="009011E5" w:rsidRPr="006B44AD" w:rsidRDefault="009011E5" w:rsidP="00A52C33">
            <w:pPr>
              <w:ind w:left="567"/>
              <w:jc w:val="right"/>
            </w:pPr>
            <w:r w:rsidRPr="006B44AD">
              <w:t>93,384.46</w:t>
            </w:r>
          </w:p>
        </w:tc>
      </w:tr>
      <w:tr w:rsidR="009011E5" w:rsidRPr="006B44AD" w:rsidTr="000A05FC">
        <w:trPr>
          <w:trHeight w:val="300"/>
          <w:jc w:val="center"/>
        </w:trPr>
        <w:tc>
          <w:tcPr>
            <w:tcW w:w="4693" w:type="dxa"/>
            <w:tcBorders>
              <w:top w:val="nil"/>
              <w:left w:val="nil"/>
              <w:bottom w:val="nil"/>
              <w:right w:val="nil"/>
            </w:tcBorders>
            <w:shd w:val="clear" w:color="auto" w:fill="auto"/>
            <w:noWrap/>
            <w:vAlign w:val="bottom"/>
            <w:hideMark/>
          </w:tcPr>
          <w:p w:rsidR="009011E5" w:rsidRPr="006B44AD" w:rsidRDefault="009011E5" w:rsidP="00A52C33">
            <w:pPr>
              <w:ind w:left="567"/>
            </w:pPr>
            <w:r w:rsidRPr="006B44AD">
              <w:t>TOTAL CLAIM</w:t>
            </w:r>
          </w:p>
        </w:tc>
        <w:tc>
          <w:tcPr>
            <w:tcW w:w="2268" w:type="dxa"/>
            <w:tcBorders>
              <w:top w:val="nil"/>
              <w:left w:val="nil"/>
              <w:bottom w:val="nil"/>
              <w:right w:val="nil"/>
            </w:tcBorders>
            <w:shd w:val="clear" w:color="auto" w:fill="auto"/>
            <w:noWrap/>
            <w:vAlign w:val="bottom"/>
            <w:hideMark/>
          </w:tcPr>
          <w:p w:rsidR="009011E5" w:rsidRPr="006B44AD" w:rsidRDefault="009011E5" w:rsidP="00A52C33">
            <w:pPr>
              <w:ind w:left="567"/>
              <w:jc w:val="right"/>
            </w:pPr>
            <w:r w:rsidRPr="006B44AD">
              <w:t>6,529,192.75</w:t>
            </w:r>
          </w:p>
        </w:tc>
      </w:tr>
      <w:tr w:rsidR="009011E5" w:rsidRPr="006B44AD" w:rsidTr="000A05FC">
        <w:trPr>
          <w:trHeight w:val="300"/>
          <w:jc w:val="center"/>
        </w:trPr>
        <w:tc>
          <w:tcPr>
            <w:tcW w:w="4693" w:type="dxa"/>
            <w:tcBorders>
              <w:top w:val="nil"/>
              <w:left w:val="nil"/>
              <w:bottom w:val="nil"/>
              <w:right w:val="nil"/>
            </w:tcBorders>
            <w:shd w:val="clear" w:color="auto" w:fill="auto"/>
            <w:noWrap/>
            <w:vAlign w:val="bottom"/>
            <w:hideMark/>
          </w:tcPr>
          <w:p w:rsidR="009011E5" w:rsidRPr="006B44AD" w:rsidRDefault="009011E5" w:rsidP="00A52C33">
            <w:pPr>
              <w:ind w:left="567"/>
            </w:pPr>
          </w:p>
        </w:tc>
        <w:tc>
          <w:tcPr>
            <w:tcW w:w="2268" w:type="dxa"/>
            <w:tcBorders>
              <w:top w:val="nil"/>
              <w:left w:val="nil"/>
              <w:bottom w:val="nil"/>
              <w:right w:val="nil"/>
            </w:tcBorders>
            <w:shd w:val="clear" w:color="auto" w:fill="auto"/>
            <w:noWrap/>
            <w:vAlign w:val="bottom"/>
            <w:hideMark/>
          </w:tcPr>
          <w:p w:rsidR="009011E5" w:rsidRPr="006B44AD" w:rsidRDefault="009011E5" w:rsidP="00A52C33">
            <w:pPr>
              <w:ind w:left="567"/>
              <w:jc w:val="right"/>
            </w:pPr>
          </w:p>
        </w:tc>
      </w:tr>
      <w:tr w:rsidR="009011E5" w:rsidRPr="006B44AD" w:rsidTr="000A05FC">
        <w:trPr>
          <w:trHeight w:val="300"/>
          <w:jc w:val="center"/>
        </w:trPr>
        <w:tc>
          <w:tcPr>
            <w:tcW w:w="4693" w:type="dxa"/>
            <w:tcBorders>
              <w:top w:val="nil"/>
              <w:left w:val="nil"/>
              <w:bottom w:val="nil"/>
              <w:right w:val="nil"/>
            </w:tcBorders>
            <w:shd w:val="clear" w:color="auto" w:fill="auto"/>
            <w:noWrap/>
            <w:vAlign w:val="bottom"/>
            <w:hideMark/>
          </w:tcPr>
          <w:p w:rsidR="009011E5" w:rsidRPr="006B44AD" w:rsidRDefault="009011E5" w:rsidP="00A52C33">
            <w:pPr>
              <w:ind w:left="567"/>
            </w:pPr>
            <w:r w:rsidRPr="006B44AD">
              <w:t>DISTRIBUTION</w:t>
            </w:r>
            <w:r>
              <w:t>S RECEIVED TO DATE:</w:t>
            </w:r>
            <w:r w:rsidRPr="006B44AD">
              <w:t xml:space="preserve"> </w:t>
            </w:r>
          </w:p>
        </w:tc>
        <w:tc>
          <w:tcPr>
            <w:tcW w:w="2268" w:type="dxa"/>
            <w:tcBorders>
              <w:top w:val="nil"/>
              <w:left w:val="nil"/>
              <w:bottom w:val="nil"/>
              <w:right w:val="nil"/>
            </w:tcBorders>
            <w:shd w:val="clear" w:color="auto" w:fill="auto"/>
            <w:noWrap/>
            <w:vAlign w:val="bottom"/>
            <w:hideMark/>
          </w:tcPr>
          <w:p w:rsidR="009011E5" w:rsidRPr="006B44AD" w:rsidRDefault="009011E5" w:rsidP="00A52C33">
            <w:pPr>
              <w:ind w:left="567"/>
              <w:jc w:val="right"/>
            </w:pPr>
          </w:p>
        </w:tc>
      </w:tr>
      <w:tr w:rsidR="009011E5" w:rsidRPr="006B44AD" w:rsidTr="000A05FC">
        <w:trPr>
          <w:trHeight w:val="300"/>
          <w:jc w:val="center"/>
        </w:trPr>
        <w:tc>
          <w:tcPr>
            <w:tcW w:w="4693" w:type="dxa"/>
            <w:tcBorders>
              <w:top w:val="nil"/>
              <w:left w:val="nil"/>
              <w:bottom w:val="nil"/>
              <w:right w:val="nil"/>
            </w:tcBorders>
            <w:shd w:val="clear" w:color="auto" w:fill="auto"/>
            <w:noWrap/>
            <w:vAlign w:val="bottom"/>
            <w:hideMark/>
          </w:tcPr>
          <w:p w:rsidR="009011E5" w:rsidRPr="006B44AD" w:rsidRDefault="009011E5" w:rsidP="00A52C33">
            <w:pPr>
              <w:ind w:left="567"/>
            </w:pPr>
            <w:r w:rsidRPr="006B44AD">
              <w:t>Principal</w:t>
            </w:r>
          </w:p>
        </w:tc>
        <w:tc>
          <w:tcPr>
            <w:tcW w:w="2268" w:type="dxa"/>
            <w:tcBorders>
              <w:top w:val="nil"/>
              <w:left w:val="nil"/>
              <w:bottom w:val="nil"/>
              <w:right w:val="nil"/>
            </w:tcBorders>
            <w:shd w:val="clear" w:color="auto" w:fill="auto"/>
            <w:noWrap/>
            <w:vAlign w:val="bottom"/>
            <w:hideMark/>
          </w:tcPr>
          <w:p w:rsidR="009011E5" w:rsidRPr="006B44AD" w:rsidRDefault="009011E5" w:rsidP="00A52C33">
            <w:pPr>
              <w:ind w:left="567"/>
              <w:jc w:val="right"/>
            </w:pPr>
            <w:r>
              <w:t>2,678,448.63</w:t>
            </w:r>
          </w:p>
        </w:tc>
      </w:tr>
      <w:tr w:rsidR="009011E5" w:rsidRPr="006B44AD" w:rsidTr="000A05FC">
        <w:trPr>
          <w:trHeight w:val="300"/>
          <w:jc w:val="center"/>
        </w:trPr>
        <w:tc>
          <w:tcPr>
            <w:tcW w:w="4693" w:type="dxa"/>
            <w:tcBorders>
              <w:top w:val="nil"/>
              <w:left w:val="nil"/>
              <w:bottom w:val="nil"/>
              <w:right w:val="nil"/>
            </w:tcBorders>
            <w:shd w:val="clear" w:color="auto" w:fill="auto"/>
            <w:noWrap/>
            <w:vAlign w:val="bottom"/>
            <w:hideMark/>
          </w:tcPr>
          <w:p w:rsidR="009011E5" w:rsidRPr="006B44AD" w:rsidRDefault="009011E5" w:rsidP="00A52C33">
            <w:pPr>
              <w:ind w:left="567"/>
            </w:pPr>
            <w:r w:rsidRPr="006B44AD">
              <w:t>Interest</w:t>
            </w:r>
          </w:p>
        </w:tc>
        <w:tc>
          <w:tcPr>
            <w:tcW w:w="2268" w:type="dxa"/>
            <w:tcBorders>
              <w:top w:val="nil"/>
              <w:left w:val="nil"/>
              <w:bottom w:val="nil"/>
              <w:right w:val="nil"/>
            </w:tcBorders>
            <w:shd w:val="clear" w:color="auto" w:fill="auto"/>
            <w:noWrap/>
            <w:vAlign w:val="bottom"/>
            <w:hideMark/>
          </w:tcPr>
          <w:p w:rsidR="009011E5" w:rsidRPr="006B44AD" w:rsidRDefault="009011E5" w:rsidP="00A52C33">
            <w:pPr>
              <w:ind w:left="567"/>
              <w:jc w:val="right"/>
            </w:pPr>
            <w:r>
              <w:t>38,864.66</w:t>
            </w:r>
          </w:p>
        </w:tc>
      </w:tr>
      <w:tr w:rsidR="009011E5" w:rsidRPr="006B44AD" w:rsidTr="000A05FC">
        <w:trPr>
          <w:trHeight w:val="300"/>
          <w:jc w:val="center"/>
        </w:trPr>
        <w:tc>
          <w:tcPr>
            <w:tcW w:w="4693" w:type="dxa"/>
            <w:tcBorders>
              <w:top w:val="nil"/>
              <w:left w:val="nil"/>
              <w:bottom w:val="nil"/>
              <w:right w:val="nil"/>
            </w:tcBorders>
            <w:shd w:val="clear" w:color="auto" w:fill="auto"/>
            <w:noWrap/>
            <w:vAlign w:val="bottom"/>
            <w:hideMark/>
          </w:tcPr>
          <w:p w:rsidR="009011E5" w:rsidRPr="006B44AD" w:rsidRDefault="009011E5" w:rsidP="00A52C33">
            <w:pPr>
              <w:ind w:left="567"/>
            </w:pPr>
            <w:r w:rsidRPr="006B44AD">
              <w:t>TOTAL DISTRIBUTION</w:t>
            </w:r>
            <w:r>
              <w:t>S</w:t>
            </w:r>
          </w:p>
        </w:tc>
        <w:tc>
          <w:tcPr>
            <w:tcW w:w="2268" w:type="dxa"/>
            <w:tcBorders>
              <w:top w:val="nil"/>
              <w:left w:val="nil"/>
              <w:bottom w:val="nil"/>
              <w:right w:val="nil"/>
            </w:tcBorders>
            <w:shd w:val="clear" w:color="auto" w:fill="auto"/>
            <w:noWrap/>
            <w:vAlign w:val="bottom"/>
            <w:hideMark/>
          </w:tcPr>
          <w:p w:rsidR="009011E5" w:rsidRPr="006B44AD" w:rsidRDefault="009011E5" w:rsidP="00A52C33">
            <w:pPr>
              <w:ind w:left="567"/>
              <w:jc w:val="right"/>
            </w:pPr>
            <w:r>
              <w:t>2,717,313.29</w:t>
            </w:r>
          </w:p>
        </w:tc>
      </w:tr>
      <w:tr w:rsidR="009011E5" w:rsidRPr="006B44AD" w:rsidTr="000A05FC">
        <w:trPr>
          <w:trHeight w:val="300"/>
          <w:jc w:val="center"/>
        </w:trPr>
        <w:tc>
          <w:tcPr>
            <w:tcW w:w="4693" w:type="dxa"/>
            <w:tcBorders>
              <w:top w:val="nil"/>
              <w:left w:val="nil"/>
              <w:bottom w:val="nil"/>
              <w:right w:val="nil"/>
            </w:tcBorders>
            <w:shd w:val="clear" w:color="auto" w:fill="auto"/>
            <w:noWrap/>
            <w:vAlign w:val="bottom"/>
            <w:hideMark/>
          </w:tcPr>
          <w:p w:rsidR="009011E5" w:rsidRPr="006B44AD" w:rsidRDefault="009011E5" w:rsidP="00A52C33">
            <w:pPr>
              <w:ind w:left="567"/>
            </w:pPr>
          </w:p>
        </w:tc>
        <w:tc>
          <w:tcPr>
            <w:tcW w:w="2268" w:type="dxa"/>
            <w:tcBorders>
              <w:top w:val="nil"/>
              <w:left w:val="nil"/>
              <w:bottom w:val="nil"/>
              <w:right w:val="nil"/>
            </w:tcBorders>
            <w:shd w:val="clear" w:color="auto" w:fill="auto"/>
            <w:noWrap/>
            <w:vAlign w:val="bottom"/>
            <w:hideMark/>
          </w:tcPr>
          <w:p w:rsidR="009011E5" w:rsidRPr="006B44AD" w:rsidRDefault="009011E5" w:rsidP="00A52C33">
            <w:pPr>
              <w:ind w:left="567"/>
              <w:jc w:val="right"/>
            </w:pPr>
          </w:p>
        </w:tc>
      </w:tr>
      <w:tr w:rsidR="009011E5" w:rsidRPr="006B44AD" w:rsidTr="000A05FC">
        <w:trPr>
          <w:trHeight w:val="300"/>
          <w:jc w:val="center"/>
        </w:trPr>
        <w:tc>
          <w:tcPr>
            <w:tcW w:w="4693" w:type="dxa"/>
            <w:tcBorders>
              <w:top w:val="nil"/>
              <w:left w:val="nil"/>
              <w:bottom w:val="nil"/>
              <w:right w:val="nil"/>
            </w:tcBorders>
            <w:shd w:val="clear" w:color="auto" w:fill="auto"/>
            <w:noWrap/>
            <w:vAlign w:val="bottom"/>
            <w:hideMark/>
          </w:tcPr>
          <w:p w:rsidR="009011E5" w:rsidRPr="006B44AD" w:rsidRDefault="009011E5" w:rsidP="00A52C33">
            <w:pPr>
              <w:ind w:left="567"/>
            </w:pPr>
            <w:r>
              <w:t xml:space="preserve">CLAIM </w:t>
            </w:r>
            <w:r w:rsidRPr="006B44AD">
              <w:t>OUTSTANDING</w:t>
            </w:r>
          </w:p>
        </w:tc>
        <w:tc>
          <w:tcPr>
            <w:tcW w:w="2268" w:type="dxa"/>
            <w:tcBorders>
              <w:top w:val="nil"/>
              <w:left w:val="nil"/>
              <w:bottom w:val="nil"/>
              <w:right w:val="nil"/>
            </w:tcBorders>
            <w:shd w:val="clear" w:color="auto" w:fill="auto"/>
            <w:noWrap/>
            <w:vAlign w:val="bottom"/>
            <w:hideMark/>
          </w:tcPr>
          <w:p w:rsidR="009011E5" w:rsidRPr="006B44AD" w:rsidRDefault="009011E5" w:rsidP="00A52C33">
            <w:pPr>
              <w:ind w:left="567"/>
              <w:jc w:val="right"/>
            </w:pPr>
            <w:r>
              <w:t>3,811,879.46</w:t>
            </w:r>
          </w:p>
        </w:tc>
      </w:tr>
    </w:tbl>
    <w:p w:rsidR="009011E5" w:rsidRDefault="009011E5" w:rsidP="009011E5">
      <w:pPr>
        <w:widowControl w:val="0"/>
        <w:suppressAutoHyphens/>
      </w:pPr>
    </w:p>
    <w:p w:rsidR="009011E5" w:rsidRDefault="009011E5" w:rsidP="009011E5">
      <w:pPr>
        <w:pStyle w:val="ListParagraph"/>
        <w:widowControl w:val="0"/>
        <w:suppressAutoHyphens/>
      </w:pPr>
      <w:r>
        <w:t xml:space="preserve">The exact timing and amounts of future distributions is not known at this stage. </w:t>
      </w:r>
    </w:p>
    <w:p w:rsidR="009011E5" w:rsidRDefault="009011E5" w:rsidP="009011E5">
      <w:pPr>
        <w:pStyle w:val="ListParagraph"/>
        <w:widowControl w:val="0"/>
        <w:suppressAutoHyphens/>
      </w:pPr>
    </w:p>
    <w:p w:rsidR="009011E5" w:rsidRDefault="009011E5" w:rsidP="009011E5">
      <w:pPr>
        <w:pStyle w:val="ListParagraph"/>
        <w:widowControl w:val="0"/>
        <w:suppressAutoHyphens/>
      </w:pPr>
      <w:r>
        <w:t>The deposit is treated as an impaired asset on the balance sheet and the carrying value is written down as distributions are received.</w:t>
      </w:r>
    </w:p>
    <w:p w:rsidR="00DE51C0" w:rsidRDefault="00DE51C0" w:rsidP="00BC6A99">
      <w:pPr>
        <w:spacing w:after="240"/>
        <w:jc w:val="both"/>
        <w:rPr>
          <w:highlight w:val="yellow"/>
        </w:rPr>
      </w:pPr>
    </w:p>
    <w:p w:rsidR="006C467D" w:rsidRPr="009011E5" w:rsidRDefault="006C467D" w:rsidP="00BD07E4">
      <w:pPr>
        <w:numPr>
          <w:ilvl w:val="0"/>
          <w:numId w:val="21"/>
        </w:numPr>
        <w:spacing w:after="240"/>
        <w:jc w:val="both"/>
      </w:pPr>
      <w:r w:rsidRPr="009011E5">
        <w:rPr>
          <w:b/>
        </w:rPr>
        <w:t xml:space="preserve">Fair </w:t>
      </w:r>
      <w:r w:rsidR="00F60719" w:rsidRPr="009011E5">
        <w:rPr>
          <w:b/>
        </w:rPr>
        <w:t>V</w:t>
      </w:r>
      <w:r w:rsidRPr="009011E5">
        <w:rPr>
          <w:b/>
        </w:rPr>
        <w:t xml:space="preserve">alue of </w:t>
      </w:r>
      <w:r w:rsidR="00F60719" w:rsidRPr="009011E5">
        <w:rPr>
          <w:b/>
        </w:rPr>
        <w:t>F</w:t>
      </w:r>
      <w:r w:rsidRPr="009011E5">
        <w:rPr>
          <w:b/>
        </w:rPr>
        <w:t xml:space="preserve">inancial </w:t>
      </w:r>
      <w:r w:rsidR="00F60719" w:rsidRPr="009011E5">
        <w:rPr>
          <w:b/>
        </w:rPr>
        <w:t>Assets and Liabilities</w:t>
      </w:r>
    </w:p>
    <w:p w:rsidR="009011E5" w:rsidRPr="00442EEE" w:rsidRDefault="009011E5" w:rsidP="009011E5">
      <w:pPr>
        <w:pStyle w:val="ListParagraph"/>
        <w:jc w:val="both"/>
      </w:pPr>
      <w:r w:rsidRPr="009011E5">
        <w:rPr>
          <w:color w:val="000000"/>
        </w:rPr>
        <w:t>Financial liabilities, financial assets represented by loans and receivables and long-term debtors and creditors are carried in the Balance Sheet at amortised cost. Their fair value can be</w:t>
      </w:r>
      <w:r w:rsidRPr="009011E5">
        <w:rPr>
          <w:i/>
          <w:iCs/>
          <w:color w:val="000000"/>
        </w:rPr>
        <w:t xml:space="preserve"> </w:t>
      </w:r>
      <w:r w:rsidRPr="009011E5">
        <w:rPr>
          <w:color w:val="000000"/>
        </w:rPr>
        <w:t>assessed by calculating the present value of the cash flows that will take place over the remaining term of the instruments. The available for sale assets and fair value through profit and loss assets are already carried in the balance sheet at their fair value. The Fair values are shown in the table below.</w:t>
      </w:r>
    </w:p>
    <w:p w:rsidR="009011E5" w:rsidRDefault="009011E5" w:rsidP="009011E5"/>
    <w:p w:rsidR="009011E5" w:rsidRPr="00442EEE" w:rsidRDefault="009011E5" w:rsidP="009011E5"/>
    <w:tbl>
      <w:tblPr>
        <w:tblW w:w="7320" w:type="dxa"/>
        <w:tblInd w:w="1384" w:type="dxa"/>
        <w:tblCellMar>
          <w:left w:w="0" w:type="dxa"/>
          <w:right w:w="0" w:type="dxa"/>
        </w:tblCellMar>
        <w:tblLook w:val="04A0"/>
      </w:tblPr>
      <w:tblGrid>
        <w:gridCol w:w="2205"/>
        <w:gridCol w:w="1297"/>
        <w:gridCol w:w="1133"/>
        <w:gridCol w:w="1415"/>
        <w:gridCol w:w="1270"/>
      </w:tblGrid>
      <w:tr w:rsidR="009011E5" w:rsidTr="00A52C33">
        <w:tc>
          <w:tcPr>
            <w:tcW w:w="22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11E5" w:rsidRDefault="009011E5" w:rsidP="00A52C33">
            <w:pPr>
              <w:spacing w:after="240" w:line="276" w:lineRule="auto"/>
              <w:rPr>
                <w:rFonts w:eastAsiaTheme="minorHAnsi"/>
              </w:rPr>
            </w:pPr>
          </w:p>
        </w:tc>
        <w:tc>
          <w:tcPr>
            <w:tcW w:w="243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11E5" w:rsidRDefault="009011E5" w:rsidP="00A52C33">
            <w:pPr>
              <w:spacing w:after="240" w:line="276" w:lineRule="auto"/>
              <w:jc w:val="center"/>
              <w:rPr>
                <w:rFonts w:eastAsiaTheme="minorHAnsi"/>
              </w:rPr>
            </w:pPr>
            <w:r>
              <w:t>31</w:t>
            </w:r>
            <w:r>
              <w:rPr>
                <w:vertAlign w:val="superscript"/>
              </w:rPr>
              <w:t>st</w:t>
            </w:r>
            <w:r>
              <w:t xml:space="preserve"> March 2012</w:t>
            </w:r>
          </w:p>
        </w:tc>
        <w:tc>
          <w:tcPr>
            <w:tcW w:w="26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11E5" w:rsidRDefault="009011E5" w:rsidP="00A52C33">
            <w:pPr>
              <w:spacing w:after="240" w:line="276" w:lineRule="auto"/>
              <w:jc w:val="center"/>
              <w:rPr>
                <w:rFonts w:eastAsiaTheme="minorHAnsi"/>
              </w:rPr>
            </w:pPr>
            <w:r>
              <w:t>31</w:t>
            </w:r>
            <w:r>
              <w:rPr>
                <w:vertAlign w:val="superscript"/>
              </w:rPr>
              <w:t>st</w:t>
            </w:r>
            <w:r>
              <w:t xml:space="preserve"> March 2011</w:t>
            </w:r>
          </w:p>
        </w:tc>
      </w:tr>
      <w:tr w:rsidR="009011E5" w:rsidTr="00A52C33">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11E5" w:rsidRDefault="009011E5" w:rsidP="00A52C33">
            <w:pPr>
              <w:spacing w:after="240" w:line="276" w:lineRule="auto"/>
              <w:rPr>
                <w:rFonts w:eastAsiaTheme="minorHAnsi"/>
              </w:rPr>
            </w:pP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1E5" w:rsidRDefault="009011E5" w:rsidP="00A52C33">
            <w:pPr>
              <w:spacing w:after="240" w:line="276" w:lineRule="auto"/>
              <w:jc w:val="right"/>
              <w:rPr>
                <w:rFonts w:eastAsiaTheme="minorHAnsi"/>
              </w:rPr>
            </w:pPr>
            <w:r>
              <w:t>Amortised Cost</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1E5" w:rsidRDefault="009011E5" w:rsidP="00A52C33">
            <w:pPr>
              <w:spacing w:after="240" w:line="276" w:lineRule="auto"/>
              <w:jc w:val="right"/>
              <w:rPr>
                <w:rFonts w:eastAsiaTheme="minorHAnsi"/>
              </w:rPr>
            </w:pPr>
            <w:r>
              <w:t>Fair Value</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1E5" w:rsidRDefault="009011E5" w:rsidP="00A52C33">
            <w:pPr>
              <w:spacing w:after="240" w:line="276" w:lineRule="auto"/>
              <w:jc w:val="right"/>
              <w:rPr>
                <w:rFonts w:eastAsiaTheme="minorHAnsi"/>
              </w:rPr>
            </w:pPr>
            <w:r>
              <w:t>Amortised Cost</w:t>
            </w: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1E5" w:rsidRDefault="009011E5" w:rsidP="00A52C33">
            <w:pPr>
              <w:spacing w:after="240" w:line="276" w:lineRule="auto"/>
              <w:jc w:val="right"/>
              <w:rPr>
                <w:rFonts w:eastAsiaTheme="minorHAnsi"/>
              </w:rPr>
            </w:pPr>
            <w:r>
              <w:t>Fair Value</w:t>
            </w:r>
          </w:p>
        </w:tc>
      </w:tr>
      <w:tr w:rsidR="009011E5" w:rsidTr="00A52C33">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11E5" w:rsidRDefault="009011E5" w:rsidP="00A52C33">
            <w:pPr>
              <w:spacing w:after="240" w:line="276" w:lineRule="auto"/>
              <w:rPr>
                <w:rFonts w:eastAsiaTheme="minorHAnsi"/>
              </w:rPr>
            </w:pP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1E5" w:rsidRDefault="009011E5" w:rsidP="00A52C33">
            <w:pPr>
              <w:spacing w:after="240" w:line="276" w:lineRule="auto"/>
              <w:jc w:val="center"/>
              <w:rPr>
                <w:rFonts w:eastAsiaTheme="minorHAnsi"/>
              </w:rPr>
            </w:pPr>
            <w:r>
              <w:t>£m</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9011E5" w:rsidRDefault="009011E5" w:rsidP="00A52C33">
            <w:pPr>
              <w:spacing w:line="276" w:lineRule="auto"/>
              <w:jc w:val="center"/>
              <w:rPr>
                <w:rFonts w:eastAsiaTheme="minorHAnsi"/>
              </w:rPr>
            </w:pPr>
            <w:r>
              <w:t>£m</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9011E5" w:rsidRDefault="009011E5" w:rsidP="00A52C33">
            <w:pPr>
              <w:spacing w:line="276" w:lineRule="auto"/>
              <w:jc w:val="center"/>
              <w:rPr>
                <w:rFonts w:eastAsiaTheme="minorHAnsi"/>
              </w:rPr>
            </w:pPr>
            <w:r>
              <w:t>£m</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9011E5" w:rsidRDefault="009011E5" w:rsidP="00A52C33">
            <w:pPr>
              <w:spacing w:line="276" w:lineRule="auto"/>
              <w:jc w:val="center"/>
              <w:rPr>
                <w:rFonts w:eastAsiaTheme="minorHAnsi"/>
              </w:rPr>
            </w:pPr>
            <w:r>
              <w:t>£m</w:t>
            </w:r>
          </w:p>
        </w:tc>
      </w:tr>
      <w:tr w:rsidR="009011E5" w:rsidTr="00A52C33">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1E5" w:rsidRDefault="009011E5" w:rsidP="00A52C33">
            <w:pPr>
              <w:spacing w:after="240" w:line="276" w:lineRule="auto"/>
              <w:rPr>
                <w:rFonts w:eastAsiaTheme="minorHAnsi"/>
              </w:rPr>
            </w:pPr>
            <w:r>
              <w:t xml:space="preserve">Loans from the Public Works Loan Board </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1E5" w:rsidRDefault="00605688" w:rsidP="00A52C33">
            <w:pPr>
              <w:spacing w:after="240" w:line="276" w:lineRule="auto"/>
              <w:jc w:val="right"/>
              <w:rPr>
                <w:rFonts w:eastAsiaTheme="minorHAnsi"/>
              </w:rPr>
            </w:pPr>
            <w:r>
              <w:t>393.</w:t>
            </w:r>
            <w:r w:rsidR="009011E5">
              <w:t>438</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1E5" w:rsidRDefault="00605688" w:rsidP="00A52C33">
            <w:pPr>
              <w:spacing w:after="240" w:line="276" w:lineRule="auto"/>
              <w:jc w:val="right"/>
              <w:rPr>
                <w:rFonts w:eastAsiaTheme="minorHAnsi"/>
              </w:rPr>
            </w:pPr>
            <w:r>
              <w:t>449.</w:t>
            </w:r>
            <w:r w:rsidR="009011E5">
              <w:t>404</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1E5" w:rsidRDefault="009011E5" w:rsidP="00605688">
            <w:pPr>
              <w:spacing w:after="240" w:line="276" w:lineRule="auto"/>
              <w:jc w:val="right"/>
              <w:rPr>
                <w:rFonts w:eastAsiaTheme="minorHAnsi"/>
              </w:rPr>
            </w:pPr>
            <w:r>
              <w:t>403</w:t>
            </w:r>
            <w:r w:rsidR="00605688">
              <w:t>.</w:t>
            </w:r>
            <w:r>
              <w:t>966</w:t>
            </w: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1E5" w:rsidRDefault="00605688" w:rsidP="00A52C33">
            <w:pPr>
              <w:spacing w:after="240" w:line="276" w:lineRule="auto"/>
              <w:jc w:val="right"/>
              <w:rPr>
                <w:rFonts w:eastAsiaTheme="minorHAnsi"/>
              </w:rPr>
            </w:pPr>
            <w:r>
              <w:t>423.</w:t>
            </w:r>
            <w:r w:rsidR="009011E5">
              <w:t>890</w:t>
            </w:r>
          </w:p>
        </w:tc>
      </w:tr>
      <w:tr w:rsidR="009011E5" w:rsidTr="00A52C33">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1E5" w:rsidRDefault="009011E5" w:rsidP="00A52C33">
            <w:pPr>
              <w:spacing w:after="240" w:line="276" w:lineRule="auto"/>
              <w:rPr>
                <w:rFonts w:eastAsiaTheme="minorHAnsi"/>
              </w:rPr>
            </w:pPr>
            <w:r>
              <w:lastRenderedPageBreak/>
              <w:t>Market Debt</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1E5" w:rsidRDefault="00605688" w:rsidP="00A52C33">
            <w:pPr>
              <w:spacing w:after="240" w:line="276" w:lineRule="auto"/>
              <w:jc w:val="right"/>
              <w:rPr>
                <w:rFonts w:eastAsiaTheme="minorHAnsi"/>
              </w:rPr>
            </w:pPr>
            <w:r>
              <w:t>420.</w:t>
            </w:r>
            <w:r w:rsidR="009011E5">
              <w:t>200</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1E5" w:rsidRDefault="00605688" w:rsidP="00A52C33">
            <w:pPr>
              <w:spacing w:after="240" w:line="276" w:lineRule="auto"/>
              <w:jc w:val="right"/>
              <w:rPr>
                <w:rFonts w:eastAsiaTheme="minorHAnsi"/>
              </w:rPr>
            </w:pPr>
            <w:r>
              <w:t>434.</w:t>
            </w:r>
            <w:r w:rsidR="009011E5">
              <w:t>968</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1E5" w:rsidRDefault="009011E5" w:rsidP="00A52C33">
            <w:pPr>
              <w:spacing w:after="240" w:line="276" w:lineRule="auto"/>
              <w:jc w:val="right"/>
              <w:rPr>
                <w:rFonts w:eastAsiaTheme="minorHAnsi"/>
              </w:rPr>
            </w:pPr>
            <w:r>
              <w:t>388.141</w:t>
            </w: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1E5" w:rsidRDefault="009011E5" w:rsidP="00A52C33">
            <w:pPr>
              <w:spacing w:after="240" w:line="276" w:lineRule="auto"/>
              <w:jc w:val="right"/>
              <w:rPr>
                <w:rFonts w:eastAsiaTheme="minorHAnsi"/>
              </w:rPr>
            </w:pPr>
            <w:r>
              <w:t>383.978</w:t>
            </w:r>
          </w:p>
        </w:tc>
      </w:tr>
      <w:tr w:rsidR="009011E5" w:rsidTr="00A52C33">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1E5" w:rsidRDefault="009011E5" w:rsidP="00A52C33">
            <w:pPr>
              <w:spacing w:after="240" w:line="276" w:lineRule="auto"/>
              <w:rPr>
                <w:rFonts w:eastAsiaTheme="minorHAnsi"/>
              </w:rPr>
            </w:pPr>
            <w:r>
              <w:t>Long/Short Term Investments</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1E5" w:rsidRDefault="00605688" w:rsidP="00A52C33">
            <w:pPr>
              <w:spacing w:after="240" w:line="276" w:lineRule="auto"/>
              <w:jc w:val="right"/>
              <w:rPr>
                <w:rFonts w:eastAsiaTheme="minorHAnsi"/>
              </w:rPr>
            </w:pPr>
            <w:r>
              <w:t>584.</w:t>
            </w:r>
            <w:r w:rsidR="009011E5">
              <w:t>355</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1E5" w:rsidRDefault="00605688" w:rsidP="00A52C33">
            <w:pPr>
              <w:spacing w:after="240" w:line="276" w:lineRule="auto"/>
              <w:jc w:val="right"/>
              <w:rPr>
                <w:rFonts w:eastAsiaTheme="minorHAnsi"/>
              </w:rPr>
            </w:pPr>
            <w:r>
              <w:t>582.</w:t>
            </w:r>
            <w:r w:rsidR="009011E5">
              <w:t>124</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1E5" w:rsidRDefault="009011E5" w:rsidP="00A52C33">
            <w:pPr>
              <w:spacing w:after="240" w:line="276" w:lineRule="auto"/>
              <w:jc w:val="right"/>
              <w:rPr>
                <w:rFonts w:eastAsiaTheme="minorHAnsi"/>
              </w:rPr>
            </w:pPr>
            <w:r>
              <w:t>482.362</w:t>
            </w: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1E5" w:rsidRDefault="009011E5" w:rsidP="00A52C33">
            <w:pPr>
              <w:spacing w:after="240" w:line="276" w:lineRule="auto"/>
              <w:jc w:val="right"/>
              <w:rPr>
                <w:rFonts w:eastAsiaTheme="minorHAnsi"/>
              </w:rPr>
            </w:pPr>
            <w:r>
              <w:t>480.420</w:t>
            </w:r>
          </w:p>
        </w:tc>
      </w:tr>
    </w:tbl>
    <w:p w:rsidR="009011E5" w:rsidRPr="00442EEE" w:rsidRDefault="009011E5" w:rsidP="009011E5">
      <w:pPr>
        <w:pStyle w:val="ListParagraph"/>
        <w:spacing w:after="240"/>
      </w:pPr>
      <w:r w:rsidRPr="00442EEE">
        <w:t xml:space="preserve"> </w:t>
      </w:r>
    </w:p>
    <w:p w:rsidR="009011E5" w:rsidRDefault="009011E5" w:rsidP="009011E5">
      <w:pPr>
        <w:pStyle w:val="ListParagraph"/>
        <w:jc w:val="both"/>
      </w:pPr>
      <w:r w:rsidRPr="00442EEE">
        <w:t xml:space="preserve">The fair value of our PWLB loans is the amount that would have been payable had those loans been repaid to the PWLB on the balance sheet date rather than on their contracted future maturity date. This valuation takes into account the premiums that would be payable or discounts receivable on early repayment of loans to the PWLB. These premiums and discounts depend on the rate and period of each individual loan and on the rates for loans with similar periods to maturity prevailing at the balance sheet date. Where the duration of a financial instrument is less than one year, its fair value may be deemed to be the same as its nominal value. </w:t>
      </w:r>
    </w:p>
    <w:p w:rsidR="009011E5" w:rsidRPr="00442EEE" w:rsidRDefault="009011E5" w:rsidP="009011E5">
      <w:pPr>
        <w:pStyle w:val="ListParagraph"/>
        <w:jc w:val="both"/>
      </w:pPr>
    </w:p>
    <w:p w:rsidR="009011E5" w:rsidRDefault="009011E5" w:rsidP="009011E5">
      <w:pPr>
        <w:pStyle w:val="ListParagraph"/>
        <w:jc w:val="both"/>
      </w:pPr>
      <w:r w:rsidRPr="00442EEE">
        <w:t xml:space="preserve">The fair value of our market debt is </w:t>
      </w:r>
      <w:r>
        <w:t>slightly higher</w:t>
      </w:r>
      <w:r w:rsidRPr="00442EEE">
        <w:t xml:space="preserve"> than the carrying amount, reflecting the fact that the authority's portfolio of market loans is generally at rates </w:t>
      </w:r>
      <w:r>
        <w:t>higher</w:t>
      </w:r>
      <w:r w:rsidRPr="00442EEE">
        <w:t xml:space="preserve"> than the prevailing rates at the Balance Sheet date. This shows a notional future </w:t>
      </w:r>
      <w:r>
        <w:t>loss</w:t>
      </w:r>
      <w:r w:rsidRPr="00442EEE">
        <w:t xml:space="preserve"> (based on economic conditions at 31</w:t>
      </w:r>
      <w:r w:rsidR="00933A46">
        <w:t xml:space="preserve"> </w:t>
      </w:r>
      <w:r w:rsidRPr="00442EEE">
        <w:t>March 201</w:t>
      </w:r>
      <w:r>
        <w:t>2</w:t>
      </w:r>
      <w:r w:rsidRPr="00442EEE">
        <w:t xml:space="preserve">) arising from a commitment to pay interest to lenders </w:t>
      </w:r>
      <w:r>
        <w:t>above</w:t>
      </w:r>
      <w:r w:rsidRPr="00442EEE">
        <w:t xml:space="preserve"> current market rates. </w:t>
      </w:r>
    </w:p>
    <w:p w:rsidR="009011E5" w:rsidRDefault="009011E5" w:rsidP="009011E5">
      <w:pPr>
        <w:pStyle w:val="ListParagraph"/>
        <w:jc w:val="both"/>
      </w:pPr>
    </w:p>
    <w:p w:rsidR="009011E5" w:rsidRPr="00442EEE" w:rsidRDefault="009011E5" w:rsidP="009011E5">
      <w:pPr>
        <w:pStyle w:val="ListParagraph"/>
        <w:jc w:val="both"/>
      </w:pPr>
      <w:r w:rsidRPr="00442EEE">
        <w:t>The fair value of our investments is slightly lower because the portfolio includes a number of fixed rate loans where the interest rate receivable is slightly lower than the rates available for similar investments at the balance sheet date.</w:t>
      </w:r>
    </w:p>
    <w:p w:rsidR="009011E5" w:rsidRPr="009011E5" w:rsidRDefault="009011E5" w:rsidP="009011E5">
      <w:pPr>
        <w:spacing w:after="240"/>
        <w:jc w:val="both"/>
      </w:pPr>
    </w:p>
    <w:p w:rsidR="006C467D" w:rsidRPr="00A52C33" w:rsidRDefault="00E016AE" w:rsidP="00BD07E4">
      <w:pPr>
        <w:numPr>
          <w:ilvl w:val="0"/>
          <w:numId w:val="21"/>
        </w:numPr>
        <w:spacing w:after="240"/>
        <w:jc w:val="both"/>
      </w:pPr>
      <w:r w:rsidRPr="00A52C33">
        <w:rPr>
          <w:b/>
        </w:rPr>
        <w:t>Nature and Extent of Risks Arising From Financial Instruments</w:t>
      </w:r>
      <w:r w:rsidR="006C467D" w:rsidRPr="00A52C33">
        <w:rPr>
          <w:b/>
        </w:rPr>
        <w:t xml:space="preserve"> </w:t>
      </w:r>
    </w:p>
    <w:p w:rsidR="00A52C33" w:rsidRDefault="00A52C33" w:rsidP="006C467D">
      <w:pPr>
        <w:ind w:left="709"/>
        <w:rPr>
          <w:highlight w:val="yellow"/>
        </w:rPr>
      </w:pPr>
    </w:p>
    <w:p w:rsidR="00A52C33" w:rsidRPr="00442EEE" w:rsidRDefault="00A52C33" w:rsidP="00A52C33">
      <w:pPr>
        <w:ind w:left="426" w:firstLine="294"/>
        <w:jc w:val="both"/>
      </w:pPr>
      <w:r w:rsidRPr="00442EEE">
        <w:t>The authority's activities expose it to a variety of financial risks:</w:t>
      </w:r>
    </w:p>
    <w:p w:rsidR="00A52C33" w:rsidRPr="00442EEE" w:rsidRDefault="00A52C33" w:rsidP="00A52C33">
      <w:pPr>
        <w:ind w:left="426"/>
        <w:jc w:val="both"/>
      </w:pPr>
    </w:p>
    <w:p w:rsidR="00A52C33" w:rsidRPr="00442EEE" w:rsidRDefault="00A52C33" w:rsidP="00BD07E4">
      <w:pPr>
        <w:numPr>
          <w:ilvl w:val="0"/>
          <w:numId w:val="47"/>
        </w:numPr>
        <w:jc w:val="both"/>
      </w:pPr>
      <w:r w:rsidRPr="00442EEE">
        <w:t>Credit risk – the possibility that other parties might fail to pay amounts due to the authority</w:t>
      </w:r>
    </w:p>
    <w:p w:rsidR="00A52C33" w:rsidRPr="00442EEE" w:rsidRDefault="00A52C33" w:rsidP="00BD07E4">
      <w:pPr>
        <w:numPr>
          <w:ilvl w:val="0"/>
          <w:numId w:val="47"/>
        </w:numPr>
        <w:jc w:val="both"/>
      </w:pPr>
      <w:r w:rsidRPr="00442EEE">
        <w:t>Liquidity risk – the possibility that the Authority might not have funds available to meet its commitments to make payments</w:t>
      </w:r>
    </w:p>
    <w:p w:rsidR="00A52C33" w:rsidRPr="00442EEE" w:rsidRDefault="00A52C33" w:rsidP="00BD07E4">
      <w:pPr>
        <w:numPr>
          <w:ilvl w:val="0"/>
          <w:numId w:val="47"/>
        </w:numPr>
        <w:jc w:val="both"/>
      </w:pPr>
      <w:r w:rsidRPr="00442EEE">
        <w:t>Market risk – the possibility that financial loss might arise for the Authority as a result of changes in such measures as interest rates and stock movements.</w:t>
      </w:r>
    </w:p>
    <w:p w:rsidR="00A52C33" w:rsidRPr="00442EEE" w:rsidRDefault="00A52C33" w:rsidP="00A52C33">
      <w:pPr>
        <w:ind w:left="1146"/>
        <w:jc w:val="both"/>
      </w:pPr>
    </w:p>
    <w:p w:rsidR="00A52C33" w:rsidRPr="00442EEE" w:rsidRDefault="00A52C33" w:rsidP="00A52C33">
      <w:pPr>
        <w:ind w:left="426"/>
        <w:jc w:val="both"/>
      </w:pPr>
      <w:r w:rsidRPr="00442EEE">
        <w:t xml:space="preserve">The Authority's overall risk management programme focuses on the unpredictability of financial markets and seeks to minimise potential adverse effects on the resources available to fund services. Risk management is carried out by a central treasury team, under policies approved by the </w:t>
      </w:r>
      <w:r w:rsidR="001F1A1A">
        <w:t>County Council</w:t>
      </w:r>
      <w:r w:rsidRPr="00442EEE">
        <w:t xml:space="preserve"> in the annual treasury management strategy.</w:t>
      </w:r>
    </w:p>
    <w:p w:rsidR="00A52C33" w:rsidRDefault="00A52C33" w:rsidP="00A52C33">
      <w:pPr>
        <w:jc w:val="both"/>
        <w:rPr>
          <w:b/>
        </w:rPr>
      </w:pPr>
    </w:p>
    <w:p w:rsidR="00A52C33" w:rsidRPr="00442EEE" w:rsidRDefault="00A52C33" w:rsidP="00A52C33">
      <w:pPr>
        <w:jc w:val="both"/>
        <w:rPr>
          <w:b/>
        </w:rPr>
      </w:pPr>
    </w:p>
    <w:p w:rsidR="00A52C33" w:rsidRPr="00442EEE" w:rsidRDefault="00A52C33" w:rsidP="00A52C33">
      <w:pPr>
        <w:ind w:left="426"/>
        <w:jc w:val="both"/>
        <w:rPr>
          <w:b/>
          <w:color w:val="0000FF"/>
        </w:rPr>
      </w:pPr>
      <w:r w:rsidRPr="00442EEE">
        <w:rPr>
          <w:b/>
        </w:rPr>
        <w:t xml:space="preserve">Credit Risk </w:t>
      </w:r>
    </w:p>
    <w:p w:rsidR="00A52C33" w:rsidRPr="00442EEE" w:rsidRDefault="00A52C33" w:rsidP="00A52C33">
      <w:pPr>
        <w:ind w:left="720"/>
        <w:jc w:val="both"/>
      </w:pPr>
    </w:p>
    <w:p w:rsidR="00A52C33" w:rsidRPr="00442EEE" w:rsidRDefault="00A52C33" w:rsidP="00A52C33">
      <w:pPr>
        <w:ind w:left="426"/>
        <w:jc w:val="both"/>
      </w:pPr>
      <w:r w:rsidRPr="00442EEE">
        <w:t xml:space="preserve">Credit risk arises from deposits with banks and financial institutions, as well as credit exposures to the </w:t>
      </w:r>
      <w:r w:rsidR="001F1A1A">
        <w:t>County Council</w:t>
      </w:r>
      <w:r w:rsidRPr="00442EEE">
        <w:t>'s customers.</w:t>
      </w:r>
    </w:p>
    <w:p w:rsidR="00A52C33" w:rsidRPr="00442EEE" w:rsidRDefault="00A52C33" w:rsidP="00A52C33">
      <w:pPr>
        <w:ind w:left="426"/>
        <w:jc w:val="both"/>
      </w:pPr>
    </w:p>
    <w:p w:rsidR="00A52C33" w:rsidRPr="00442EEE" w:rsidRDefault="00A52C33" w:rsidP="00A52C33">
      <w:pPr>
        <w:ind w:left="426"/>
        <w:jc w:val="both"/>
      </w:pPr>
      <w:r w:rsidRPr="00442EEE">
        <w:lastRenderedPageBreak/>
        <w:t xml:space="preserve">With regard to financial institutions the risk is minimised through the Annual Investment Strategy, which requires that deposits are not made with an institution unless it meets identified minimum credit criteria, as laid down by the </w:t>
      </w:r>
      <w:r>
        <w:t>three main</w:t>
      </w:r>
      <w:r w:rsidRPr="00442EEE">
        <w:t xml:space="preserve"> credit rating </w:t>
      </w:r>
      <w:r>
        <w:t>agencies</w:t>
      </w:r>
      <w:r w:rsidRPr="00442EEE">
        <w:t xml:space="preserve">. The strategy also imposes a maximum sum and duration which the </w:t>
      </w:r>
      <w:r w:rsidR="001F1A1A">
        <w:t>County Council</w:t>
      </w:r>
      <w:r w:rsidRPr="00442EEE">
        <w:t xml:space="preserve"> can be invested in an institution depending upon the quality of credit rating. However, in the past credit ratings have been proved to be fallible, and so in addition the treasury team constantly monitor other market information such as credit default swap spreads and equity prices.</w:t>
      </w:r>
    </w:p>
    <w:p w:rsidR="00A52C33" w:rsidRPr="00442EEE" w:rsidRDefault="00A52C33" w:rsidP="00A52C33">
      <w:pPr>
        <w:jc w:val="both"/>
      </w:pPr>
    </w:p>
    <w:p w:rsidR="00A52C33" w:rsidRDefault="00A52C33" w:rsidP="00A52C33">
      <w:pPr>
        <w:ind w:left="426"/>
        <w:jc w:val="both"/>
      </w:pPr>
      <w:r w:rsidRPr="00442EEE">
        <w:t xml:space="preserve">A main principle of the </w:t>
      </w:r>
      <w:r>
        <w:t>2011-12</w:t>
      </w:r>
      <w:r w:rsidRPr="00442EEE">
        <w:t xml:space="preserve"> credit risk strategy was to invest mainly in UK </w:t>
      </w:r>
      <w:r>
        <w:t xml:space="preserve">Government credit through </w:t>
      </w:r>
      <w:r w:rsidRPr="00442EEE">
        <w:t>nationalised' banks and Government guaranteed bonds</w:t>
      </w:r>
      <w:r>
        <w:t>.</w:t>
      </w:r>
      <w:r w:rsidRPr="00442EEE">
        <w:t xml:space="preserve"> </w:t>
      </w:r>
      <w:r>
        <w:t>In addition, one of the bank loans is collateralised (backed by UK Government securities), providing further access to government credit quality.</w:t>
      </w:r>
    </w:p>
    <w:p w:rsidR="00A52C33" w:rsidRPr="00442EEE" w:rsidRDefault="00A52C33" w:rsidP="00A52C33">
      <w:pPr>
        <w:ind w:left="426"/>
        <w:jc w:val="both"/>
      </w:pPr>
    </w:p>
    <w:p w:rsidR="00A52C33" w:rsidRDefault="00A52C33" w:rsidP="00A52C33">
      <w:pPr>
        <w:ind w:left="426"/>
        <w:jc w:val="both"/>
      </w:pPr>
      <w:r w:rsidRPr="00442EEE">
        <w:t xml:space="preserve">The table below summarises the </w:t>
      </w:r>
      <w:r w:rsidR="001F1A1A">
        <w:t>County Council</w:t>
      </w:r>
      <w:r w:rsidRPr="00442EEE">
        <w:t>'s investments at 31 March 201</w:t>
      </w:r>
      <w:r>
        <w:t>2</w:t>
      </w:r>
      <w:r w:rsidRPr="00442EEE">
        <w:t xml:space="preserve"> (values exclude impairments and accrued interest), in terms of credit ratings. The historic default rate for the individual investment category is applied to each group to give an overall measure of the value at risk. The chance of a default is currently calculated as £0.8</w:t>
      </w:r>
      <w:r>
        <w:t>4</w:t>
      </w:r>
      <w:r w:rsidRPr="00442EEE">
        <w:t xml:space="preserve"> million in £</w:t>
      </w:r>
      <w:r>
        <w:t>573</w:t>
      </w:r>
      <w:r w:rsidRPr="00442EEE">
        <w:t xml:space="preserve"> million or 0.1</w:t>
      </w:r>
      <w:r>
        <w:t>5</w:t>
      </w:r>
      <w:r w:rsidRPr="00442EEE">
        <w:t>% which is considered to be very low, especially considering the current turbulent financial environment.</w:t>
      </w:r>
    </w:p>
    <w:p w:rsidR="00A52C33" w:rsidRDefault="00A52C33" w:rsidP="00A52C33">
      <w:pPr>
        <w:ind w:left="426"/>
        <w:jc w:val="both"/>
      </w:pPr>
    </w:p>
    <w:p w:rsidR="00A52C33" w:rsidRDefault="00A52C33" w:rsidP="00A52C33">
      <w:pPr>
        <w:ind w:left="-284"/>
        <w:jc w:val="both"/>
      </w:pPr>
      <w:r>
        <w:rPr>
          <w:noProof/>
        </w:rPr>
        <w:drawing>
          <wp:inline distT="0" distB="0" distL="0" distR="0">
            <wp:extent cx="6645910" cy="1524143"/>
            <wp:effectExtent l="19050" t="0" r="254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6645910" cy="1524143"/>
                    </a:xfrm>
                    <a:prstGeom prst="rect">
                      <a:avLst/>
                    </a:prstGeom>
                    <a:noFill/>
                    <a:ln w="9525">
                      <a:noFill/>
                      <a:miter lim="800000"/>
                      <a:headEnd/>
                      <a:tailEnd/>
                    </a:ln>
                  </pic:spPr>
                </pic:pic>
              </a:graphicData>
            </a:graphic>
          </wp:inline>
        </w:drawing>
      </w:r>
    </w:p>
    <w:p w:rsidR="00E016AE" w:rsidRPr="00286C0E" w:rsidRDefault="00E016AE" w:rsidP="006C467D">
      <w:pPr>
        <w:ind w:left="709"/>
        <w:rPr>
          <w:highlight w:val="yellow"/>
        </w:rPr>
      </w:pPr>
    </w:p>
    <w:p w:rsidR="006C467D" w:rsidRPr="00685B98" w:rsidRDefault="006C467D" w:rsidP="00FE4136">
      <w:pPr>
        <w:ind w:left="720"/>
        <w:jc w:val="both"/>
      </w:pPr>
      <w:r w:rsidRPr="00685B98">
        <w:t>In the context of credit risk, trade debtors are treated as financial instruments.  Trade debtors represent money owed to the council by individuals who use our services and other organisations to whom we have provided goods or services.</w:t>
      </w:r>
    </w:p>
    <w:p w:rsidR="006C467D" w:rsidRPr="00685B98" w:rsidRDefault="006C467D" w:rsidP="006C467D">
      <w:pPr>
        <w:ind w:left="720"/>
        <w:jc w:val="both"/>
      </w:pPr>
    </w:p>
    <w:p w:rsidR="00DD680B" w:rsidRPr="00685B98" w:rsidRDefault="006C467D" w:rsidP="006C467D">
      <w:pPr>
        <w:ind w:left="720"/>
        <w:jc w:val="both"/>
      </w:pPr>
      <w:r w:rsidRPr="00685B98">
        <w:t xml:space="preserve">The following analysis summarises the authority’s potential maximum exposure to credit risk, based on experience of default and therefore potential uncollectability over the last five financial years. </w:t>
      </w:r>
    </w:p>
    <w:p w:rsidR="006C467D" w:rsidRPr="00685B98" w:rsidRDefault="006C467D" w:rsidP="006C467D"/>
    <w:tbl>
      <w:tblPr>
        <w:tblW w:w="0" w:type="auto"/>
        <w:tblInd w:w="828" w:type="dxa"/>
        <w:tblLook w:val="01E0"/>
      </w:tblPr>
      <w:tblGrid>
        <w:gridCol w:w="1738"/>
        <w:gridCol w:w="1719"/>
        <w:gridCol w:w="1679"/>
        <w:gridCol w:w="1900"/>
        <w:gridCol w:w="2251"/>
      </w:tblGrid>
      <w:tr w:rsidR="006C467D" w:rsidRPr="00685B98" w:rsidTr="002A0CC8">
        <w:trPr>
          <w:trHeight w:val="1997"/>
        </w:trPr>
        <w:tc>
          <w:tcPr>
            <w:tcW w:w="1738" w:type="dxa"/>
          </w:tcPr>
          <w:p w:rsidR="006C467D" w:rsidRPr="00685B98" w:rsidRDefault="006C467D" w:rsidP="00975DE4"/>
        </w:tc>
        <w:tc>
          <w:tcPr>
            <w:tcW w:w="1719" w:type="dxa"/>
          </w:tcPr>
          <w:p w:rsidR="006C467D" w:rsidRPr="00685B98" w:rsidRDefault="006C467D" w:rsidP="00F51F5F">
            <w:pPr>
              <w:jc w:val="center"/>
            </w:pPr>
            <w:r w:rsidRPr="00685B98">
              <w:t>Total Trade Debtors at 31 March 201</w:t>
            </w:r>
            <w:r w:rsidR="00782214" w:rsidRPr="00685B98">
              <w:t>2</w:t>
            </w:r>
          </w:p>
        </w:tc>
        <w:tc>
          <w:tcPr>
            <w:tcW w:w="1679" w:type="dxa"/>
          </w:tcPr>
          <w:p w:rsidR="006C467D" w:rsidRPr="00685B98" w:rsidRDefault="006C467D" w:rsidP="00975DE4">
            <w:pPr>
              <w:jc w:val="center"/>
            </w:pPr>
            <w:r w:rsidRPr="00685B98">
              <w:t>Historical experience of default (i.e. 5 yr average % of debt older than 30 days)</w:t>
            </w:r>
          </w:p>
        </w:tc>
        <w:tc>
          <w:tcPr>
            <w:tcW w:w="1900" w:type="dxa"/>
          </w:tcPr>
          <w:p w:rsidR="006C467D" w:rsidRPr="00685B98" w:rsidRDefault="006C467D" w:rsidP="00975DE4">
            <w:pPr>
              <w:jc w:val="center"/>
            </w:pPr>
            <w:r w:rsidRPr="00685B98">
              <w:t>Historical experience of debt that could become uncollectible</w:t>
            </w:r>
          </w:p>
          <w:p w:rsidR="006C467D" w:rsidRPr="00685B98" w:rsidRDefault="006C467D" w:rsidP="00975DE4">
            <w:pPr>
              <w:jc w:val="center"/>
            </w:pPr>
            <w:r w:rsidRPr="00685B98">
              <w:t>(i.e. over 180 days old)</w:t>
            </w:r>
          </w:p>
        </w:tc>
        <w:tc>
          <w:tcPr>
            <w:tcW w:w="2251" w:type="dxa"/>
          </w:tcPr>
          <w:p w:rsidR="006C467D" w:rsidRPr="00685B98" w:rsidRDefault="006C467D" w:rsidP="00975DE4">
            <w:pPr>
              <w:jc w:val="center"/>
            </w:pPr>
            <w:r w:rsidRPr="00685B98">
              <w:t>Estimated maximum exposure to default and uncollectability based on historical average</w:t>
            </w:r>
          </w:p>
        </w:tc>
      </w:tr>
      <w:tr w:rsidR="006C467D" w:rsidRPr="00685B98" w:rsidTr="002A0CC8">
        <w:trPr>
          <w:trHeight w:val="297"/>
        </w:trPr>
        <w:tc>
          <w:tcPr>
            <w:tcW w:w="1738" w:type="dxa"/>
          </w:tcPr>
          <w:p w:rsidR="006C467D" w:rsidRPr="00685B98" w:rsidRDefault="006C467D" w:rsidP="00975DE4"/>
        </w:tc>
        <w:tc>
          <w:tcPr>
            <w:tcW w:w="1719" w:type="dxa"/>
          </w:tcPr>
          <w:p w:rsidR="006C467D" w:rsidRPr="00685B98" w:rsidRDefault="006C467D" w:rsidP="00975DE4">
            <w:pPr>
              <w:jc w:val="center"/>
            </w:pPr>
            <w:r w:rsidRPr="00685B98">
              <w:t>£000</w:t>
            </w:r>
          </w:p>
        </w:tc>
        <w:tc>
          <w:tcPr>
            <w:tcW w:w="1679" w:type="dxa"/>
          </w:tcPr>
          <w:p w:rsidR="006C467D" w:rsidRPr="00685B98" w:rsidRDefault="006C467D" w:rsidP="00975DE4">
            <w:pPr>
              <w:jc w:val="center"/>
            </w:pPr>
            <w:r w:rsidRPr="00685B98">
              <w:t>%</w:t>
            </w:r>
          </w:p>
        </w:tc>
        <w:tc>
          <w:tcPr>
            <w:tcW w:w="1900" w:type="dxa"/>
          </w:tcPr>
          <w:p w:rsidR="006C467D" w:rsidRPr="00685B98" w:rsidRDefault="006C467D" w:rsidP="00975DE4">
            <w:pPr>
              <w:jc w:val="center"/>
            </w:pPr>
            <w:r w:rsidRPr="00685B98">
              <w:t>%</w:t>
            </w:r>
          </w:p>
        </w:tc>
        <w:tc>
          <w:tcPr>
            <w:tcW w:w="2251" w:type="dxa"/>
          </w:tcPr>
          <w:p w:rsidR="006C467D" w:rsidRPr="00685B98" w:rsidRDefault="006C467D" w:rsidP="00975DE4">
            <w:pPr>
              <w:jc w:val="center"/>
            </w:pPr>
            <w:r w:rsidRPr="00685B98">
              <w:t>£000</w:t>
            </w:r>
          </w:p>
        </w:tc>
      </w:tr>
      <w:tr w:rsidR="006C467D" w:rsidRPr="00685B98" w:rsidTr="002A0CC8">
        <w:trPr>
          <w:trHeight w:val="297"/>
        </w:trPr>
        <w:tc>
          <w:tcPr>
            <w:tcW w:w="1738" w:type="dxa"/>
          </w:tcPr>
          <w:p w:rsidR="006C467D" w:rsidRPr="00685B98" w:rsidRDefault="006C467D" w:rsidP="00975DE4"/>
        </w:tc>
        <w:tc>
          <w:tcPr>
            <w:tcW w:w="1719" w:type="dxa"/>
          </w:tcPr>
          <w:p w:rsidR="006C467D" w:rsidRPr="00685B98" w:rsidRDefault="006C467D" w:rsidP="00975DE4">
            <w:pPr>
              <w:jc w:val="center"/>
            </w:pPr>
            <w:r w:rsidRPr="00685B98">
              <w:t>A</w:t>
            </w:r>
          </w:p>
        </w:tc>
        <w:tc>
          <w:tcPr>
            <w:tcW w:w="1679" w:type="dxa"/>
          </w:tcPr>
          <w:p w:rsidR="006C467D" w:rsidRPr="00685B98" w:rsidRDefault="006C467D" w:rsidP="00975DE4">
            <w:pPr>
              <w:jc w:val="center"/>
            </w:pPr>
            <w:r w:rsidRPr="00685B98">
              <w:t>B</w:t>
            </w:r>
          </w:p>
        </w:tc>
        <w:tc>
          <w:tcPr>
            <w:tcW w:w="1900" w:type="dxa"/>
          </w:tcPr>
          <w:p w:rsidR="006C467D" w:rsidRPr="00685B98" w:rsidRDefault="006C467D" w:rsidP="00975DE4">
            <w:pPr>
              <w:jc w:val="center"/>
            </w:pPr>
            <w:r w:rsidRPr="00685B98">
              <w:t>C</w:t>
            </w:r>
          </w:p>
        </w:tc>
        <w:tc>
          <w:tcPr>
            <w:tcW w:w="2251" w:type="dxa"/>
          </w:tcPr>
          <w:p w:rsidR="006C467D" w:rsidRPr="00685B98" w:rsidRDefault="006C467D" w:rsidP="00975DE4">
            <w:pPr>
              <w:jc w:val="center"/>
            </w:pPr>
            <w:r w:rsidRPr="00685B98">
              <w:t>(A X C)</w:t>
            </w:r>
          </w:p>
        </w:tc>
      </w:tr>
      <w:tr w:rsidR="006C467D" w:rsidRPr="00685B98" w:rsidTr="00481144">
        <w:trPr>
          <w:trHeight w:val="297"/>
        </w:trPr>
        <w:tc>
          <w:tcPr>
            <w:tcW w:w="1738" w:type="dxa"/>
            <w:vAlign w:val="center"/>
          </w:tcPr>
          <w:p w:rsidR="006C467D" w:rsidRPr="00685B98" w:rsidRDefault="00181BAF" w:rsidP="00481144">
            <w:r w:rsidRPr="00685B98">
              <w:t>The position at 31 March 201</w:t>
            </w:r>
            <w:r w:rsidR="00782214" w:rsidRPr="00685B98">
              <w:t>2</w:t>
            </w:r>
          </w:p>
        </w:tc>
        <w:tc>
          <w:tcPr>
            <w:tcW w:w="1719" w:type="dxa"/>
            <w:vAlign w:val="center"/>
          </w:tcPr>
          <w:p w:rsidR="006C467D" w:rsidRPr="00685B98" w:rsidRDefault="00074140" w:rsidP="00481144">
            <w:pPr>
              <w:jc w:val="center"/>
            </w:pPr>
            <w:r w:rsidRPr="00685B98">
              <w:t>35,933</w:t>
            </w:r>
          </w:p>
        </w:tc>
        <w:tc>
          <w:tcPr>
            <w:tcW w:w="1679" w:type="dxa"/>
            <w:vAlign w:val="center"/>
          </w:tcPr>
          <w:p w:rsidR="00280087" w:rsidRPr="00685B98" w:rsidRDefault="00074140" w:rsidP="00481144">
            <w:pPr>
              <w:jc w:val="center"/>
            </w:pPr>
            <w:r w:rsidRPr="00685B98">
              <w:t>41.3</w:t>
            </w:r>
          </w:p>
        </w:tc>
        <w:tc>
          <w:tcPr>
            <w:tcW w:w="1900" w:type="dxa"/>
            <w:vAlign w:val="center"/>
          </w:tcPr>
          <w:p w:rsidR="00280087" w:rsidRPr="00685B98" w:rsidRDefault="00074140" w:rsidP="00481144">
            <w:pPr>
              <w:jc w:val="center"/>
            </w:pPr>
            <w:r w:rsidRPr="00685B98">
              <w:t>17.6</w:t>
            </w:r>
          </w:p>
        </w:tc>
        <w:tc>
          <w:tcPr>
            <w:tcW w:w="2251" w:type="dxa"/>
            <w:vAlign w:val="center"/>
          </w:tcPr>
          <w:p w:rsidR="00280087" w:rsidRPr="00685B98" w:rsidRDefault="00074140" w:rsidP="00481144">
            <w:pPr>
              <w:jc w:val="center"/>
            </w:pPr>
            <w:r w:rsidRPr="00685B98">
              <w:t>6,324</w:t>
            </w:r>
          </w:p>
        </w:tc>
      </w:tr>
      <w:tr w:rsidR="000A05FC" w:rsidRPr="00685B98" w:rsidTr="00481144">
        <w:trPr>
          <w:trHeight w:val="297"/>
        </w:trPr>
        <w:tc>
          <w:tcPr>
            <w:tcW w:w="1738" w:type="dxa"/>
            <w:vAlign w:val="center"/>
          </w:tcPr>
          <w:p w:rsidR="000A05FC" w:rsidRPr="00685B98" w:rsidRDefault="000A05FC" w:rsidP="00481144">
            <w:r w:rsidRPr="00685B98">
              <w:t xml:space="preserve">The position </w:t>
            </w:r>
            <w:r w:rsidRPr="00685B98">
              <w:lastRenderedPageBreak/>
              <w:t>at 31 March 201</w:t>
            </w:r>
            <w:r>
              <w:t>1</w:t>
            </w:r>
          </w:p>
        </w:tc>
        <w:tc>
          <w:tcPr>
            <w:tcW w:w="1719" w:type="dxa"/>
            <w:vAlign w:val="center"/>
          </w:tcPr>
          <w:p w:rsidR="000A05FC" w:rsidRPr="00685B98" w:rsidRDefault="000A05FC" w:rsidP="00481144">
            <w:pPr>
              <w:jc w:val="center"/>
            </w:pPr>
            <w:r>
              <w:lastRenderedPageBreak/>
              <w:t>34,762</w:t>
            </w:r>
          </w:p>
        </w:tc>
        <w:tc>
          <w:tcPr>
            <w:tcW w:w="1679" w:type="dxa"/>
            <w:vAlign w:val="center"/>
          </w:tcPr>
          <w:p w:rsidR="000A05FC" w:rsidRPr="00685B98" w:rsidRDefault="000A05FC" w:rsidP="00481144">
            <w:pPr>
              <w:jc w:val="center"/>
            </w:pPr>
            <w:r>
              <w:t>38.5</w:t>
            </w:r>
          </w:p>
        </w:tc>
        <w:tc>
          <w:tcPr>
            <w:tcW w:w="1900" w:type="dxa"/>
            <w:vAlign w:val="center"/>
          </w:tcPr>
          <w:p w:rsidR="000A05FC" w:rsidRPr="00685B98" w:rsidRDefault="000A05FC" w:rsidP="00481144">
            <w:pPr>
              <w:jc w:val="center"/>
            </w:pPr>
            <w:r>
              <w:t>14.8</w:t>
            </w:r>
          </w:p>
        </w:tc>
        <w:tc>
          <w:tcPr>
            <w:tcW w:w="2251" w:type="dxa"/>
            <w:vAlign w:val="center"/>
          </w:tcPr>
          <w:p w:rsidR="000A05FC" w:rsidRPr="00685B98" w:rsidRDefault="000A05FC" w:rsidP="00481144">
            <w:pPr>
              <w:jc w:val="center"/>
            </w:pPr>
            <w:r>
              <w:t>5,145</w:t>
            </w:r>
          </w:p>
        </w:tc>
      </w:tr>
    </w:tbl>
    <w:p w:rsidR="006C467D" w:rsidRPr="00685B98" w:rsidRDefault="006C467D" w:rsidP="006C467D">
      <w:pPr>
        <w:ind w:left="720"/>
      </w:pPr>
    </w:p>
    <w:p w:rsidR="006C467D" w:rsidRPr="00685B98" w:rsidRDefault="006C467D" w:rsidP="006C467D">
      <w:pPr>
        <w:ind w:left="720"/>
      </w:pPr>
    </w:p>
    <w:p w:rsidR="006C467D" w:rsidRPr="00685B98" w:rsidRDefault="006C467D" w:rsidP="006C467D">
      <w:pPr>
        <w:ind w:left="720"/>
      </w:pPr>
      <w:r w:rsidRPr="00685B98">
        <w:t>The age profile of debt which is past the due for payment date (i.e. older than 30 days) can be analysed as follows:</w:t>
      </w:r>
    </w:p>
    <w:p w:rsidR="006C467D" w:rsidRPr="00685B98" w:rsidRDefault="006C467D" w:rsidP="006C467D">
      <w:pPr>
        <w:ind w:left="720"/>
      </w:pPr>
    </w:p>
    <w:p w:rsidR="006C467D" w:rsidRPr="00685B98" w:rsidRDefault="006C467D" w:rsidP="006C467D">
      <w:pPr>
        <w:ind w:left="720"/>
      </w:pPr>
    </w:p>
    <w:tbl>
      <w:tblPr>
        <w:tblW w:w="0" w:type="auto"/>
        <w:tblInd w:w="828" w:type="dxa"/>
        <w:tblLook w:val="01E0"/>
      </w:tblPr>
      <w:tblGrid>
        <w:gridCol w:w="2732"/>
        <w:gridCol w:w="1408"/>
        <w:gridCol w:w="1408"/>
      </w:tblGrid>
      <w:tr w:rsidR="004954F3" w:rsidRPr="00685B98" w:rsidTr="004954F3">
        <w:tc>
          <w:tcPr>
            <w:tcW w:w="2732" w:type="dxa"/>
          </w:tcPr>
          <w:p w:rsidR="004954F3" w:rsidRPr="00685B98" w:rsidRDefault="004954F3" w:rsidP="00975DE4">
            <w:pPr>
              <w:rPr>
                <w:b/>
              </w:rPr>
            </w:pPr>
            <w:r w:rsidRPr="00685B98">
              <w:rPr>
                <w:b/>
              </w:rPr>
              <w:t>31 March</w:t>
            </w:r>
          </w:p>
        </w:tc>
        <w:tc>
          <w:tcPr>
            <w:tcW w:w="1408" w:type="dxa"/>
          </w:tcPr>
          <w:p w:rsidR="004954F3" w:rsidRPr="00685B98" w:rsidRDefault="004954F3" w:rsidP="00782214">
            <w:pPr>
              <w:jc w:val="right"/>
              <w:rPr>
                <w:b/>
              </w:rPr>
            </w:pPr>
            <w:r w:rsidRPr="00685B98">
              <w:rPr>
                <w:b/>
              </w:rPr>
              <w:t>201</w:t>
            </w:r>
            <w:r w:rsidR="00782214" w:rsidRPr="00685B98">
              <w:rPr>
                <w:b/>
              </w:rPr>
              <w:t>2</w:t>
            </w:r>
          </w:p>
        </w:tc>
        <w:tc>
          <w:tcPr>
            <w:tcW w:w="1408" w:type="dxa"/>
          </w:tcPr>
          <w:p w:rsidR="004954F3" w:rsidRPr="00685B98" w:rsidRDefault="004954F3" w:rsidP="00782214">
            <w:pPr>
              <w:jc w:val="right"/>
              <w:rPr>
                <w:b/>
              </w:rPr>
            </w:pPr>
            <w:r w:rsidRPr="00685B98">
              <w:rPr>
                <w:b/>
              </w:rPr>
              <w:t>201</w:t>
            </w:r>
            <w:r w:rsidR="00782214" w:rsidRPr="00685B98">
              <w:rPr>
                <w:b/>
              </w:rPr>
              <w:t>1</w:t>
            </w:r>
          </w:p>
        </w:tc>
      </w:tr>
      <w:tr w:rsidR="004954F3" w:rsidRPr="00685B98" w:rsidTr="004954F3">
        <w:tc>
          <w:tcPr>
            <w:tcW w:w="2732" w:type="dxa"/>
          </w:tcPr>
          <w:p w:rsidR="004954F3" w:rsidRPr="00685B98" w:rsidRDefault="004954F3" w:rsidP="00975DE4"/>
        </w:tc>
        <w:tc>
          <w:tcPr>
            <w:tcW w:w="1408" w:type="dxa"/>
          </w:tcPr>
          <w:p w:rsidR="004954F3" w:rsidRPr="00685B98" w:rsidRDefault="004954F3" w:rsidP="00830E7E">
            <w:pPr>
              <w:jc w:val="right"/>
              <w:rPr>
                <w:b/>
              </w:rPr>
            </w:pPr>
            <w:r w:rsidRPr="00685B98">
              <w:rPr>
                <w:b/>
              </w:rPr>
              <w:t>£000</w:t>
            </w:r>
          </w:p>
        </w:tc>
        <w:tc>
          <w:tcPr>
            <w:tcW w:w="1408" w:type="dxa"/>
          </w:tcPr>
          <w:p w:rsidR="004954F3" w:rsidRPr="00685B98" w:rsidRDefault="004954F3" w:rsidP="00830E7E">
            <w:pPr>
              <w:jc w:val="right"/>
              <w:rPr>
                <w:b/>
              </w:rPr>
            </w:pPr>
            <w:r w:rsidRPr="00685B98">
              <w:rPr>
                <w:b/>
              </w:rPr>
              <w:t>£000</w:t>
            </w:r>
          </w:p>
        </w:tc>
      </w:tr>
      <w:tr w:rsidR="00782214" w:rsidRPr="00685B98" w:rsidTr="004954F3">
        <w:tc>
          <w:tcPr>
            <w:tcW w:w="2732" w:type="dxa"/>
          </w:tcPr>
          <w:p w:rsidR="00782214" w:rsidRPr="00685B98" w:rsidRDefault="00782214" w:rsidP="00975DE4">
            <w:r w:rsidRPr="00685B98">
              <w:t>Less than 3 months</w:t>
            </w:r>
          </w:p>
        </w:tc>
        <w:tc>
          <w:tcPr>
            <w:tcW w:w="1408" w:type="dxa"/>
          </w:tcPr>
          <w:p w:rsidR="00782214" w:rsidRPr="00685B98" w:rsidRDefault="00074140" w:rsidP="00830E7E">
            <w:pPr>
              <w:jc w:val="right"/>
            </w:pPr>
            <w:r w:rsidRPr="00685B98">
              <w:t>9,649</w:t>
            </w:r>
          </w:p>
        </w:tc>
        <w:tc>
          <w:tcPr>
            <w:tcW w:w="1408" w:type="dxa"/>
          </w:tcPr>
          <w:p w:rsidR="00782214" w:rsidRPr="00685B98" w:rsidRDefault="00782214" w:rsidP="00782214">
            <w:pPr>
              <w:jc w:val="right"/>
            </w:pPr>
            <w:r w:rsidRPr="00685B98">
              <w:t>4,290</w:t>
            </w:r>
          </w:p>
        </w:tc>
      </w:tr>
      <w:tr w:rsidR="00782214" w:rsidRPr="00685B98" w:rsidTr="004954F3">
        <w:tc>
          <w:tcPr>
            <w:tcW w:w="2732" w:type="dxa"/>
          </w:tcPr>
          <w:p w:rsidR="00782214" w:rsidRPr="00685B98" w:rsidRDefault="00782214" w:rsidP="00975DE4">
            <w:r w:rsidRPr="00685B98">
              <w:t>Three to six months</w:t>
            </w:r>
          </w:p>
        </w:tc>
        <w:tc>
          <w:tcPr>
            <w:tcW w:w="1408" w:type="dxa"/>
          </w:tcPr>
          <w:p w:rsidR="00782214" w:rsidRPr="00685B98" w:rsidRDefault="00074140" w:rsidP="00830E7E">
            <w:pPr>
              <w:jc w:val="right"/>
            </w:pPr>
            <w:r w:rsidRPr="00685B98">
              <w:t>1,869</w:t>
            </w:r>
          </w:p>
        </w:tc>
        <w:tc>
          <w:tcPr>
            <w:tcW w:w="1408" w:type="dxa"/>
          </w:tcPr>
          <w:p w:rsidR="00782214" w:rsidRPr="00685B98" w:rsidRDefault="00782214" w:rsidP="00782214">
            <w:pPr>
              <w:jc w:val="right"/>
            </w:pPr>
            <w:r w:rsidRPr="00685B98">
              <w:t>2,197</w:t>
            </w:r>
          </w:p>
        </w:tc>
      </w:tr>
      <w:tr w:rsidR="00782214" w:rsidRPr="00685B98" w:rsidTr="004954F3">
        <w:tc>
          <w:tcPr>
            <w:tcW w:w="2732" w:type="dxa"/>
          </w:tcPr>
          <w:p w:rsidR="00782214" w:rsidRPr="00685B98" w:rsidRDefault="00782214" w:rsidP="00975DE4">
            <w:r w:rsidRPr="00685B98">
              <w:t>Six months to one year</w:t>
            </w:r>
          </w:p>
        </w:tc>
        <w:tc>
          <w:tcPr>
            <w:tcW w:w="1408" w:type="dxa"/>
          </w:tcPr>
          <w:p w:rsidR="00782214" w:rsidRPr="00685B98" w:rsidRDefault="00074140" w:rsidP="00830E7E">
            <w:pPr>
              <w:jc w:val="right"/>
            </w:pPr>
            <w:r w:rsidRPr="00685B98">
              <w:t>2,970</w:t>
            </w:r>
          </w:p>
        </w:tc>
        <w:tc>
          <w:tcPr>
            <w:tcW w:w="1408" w:type="dxa"/>
          </w:tcPr>
          <w:p w:rsidR="00782214" w:rsidRPr="00685B98" w:rsidRDefault="00782214" w:rsidP="00782214">
            <w:pPr>
              <w:jc w:val="right"/>
            </w:pPr>
            <w:r w:rsidRPr="00685B98">
              <w:t>2,454</w:t>
            </w:r>
          </w:p>
        </w:tc>
      </w:tr>
      <w:tr w:rsidR="00782214" w:rsidRPr="00685B98" w:rsidTr="00302392">
        <w:tc>
          <w:tcPr>
            <w:tcW w:w="2732" w:type="dxa"/>
          </w:tcPr>
          <w:p w:rsidR="00782214" w:rsidRPr="00685B98" w:rsidRDefault="00782214" w:rsidP="00975DE4">
            <w:r w:rsidRPr="00685B98">
              <w:t>More than one year</w:t>
            </w:r>
          </w:p>
        </w:tc>
        <w:tc>
          <w:tcPr>
            <w:tcW w:w="1408" w:type="dxa"/>
            <w:tcBorders>
              <w:bottom w:val="single" w:sz="4" w:space="0" w:color="auto"/>
            </w:tcBorders>
          </w:tcPr>
          <w:p w:rsidR="00782214" w:rsidRPr="00685B98" w:rsidRDefault="00074140" w:rsidP="00830E7E">
            <w:pPr>
              <w:jc w:val="right"/>
            </w:pPr>
            <w:r w:rsidRPr="00685B98">
              <w:t>5,452</w:t>
            </w:r>
          </w:p>
        </w:tc>
        <w:tc>
          <w:tcPr>
            <w:tcW w:w="1408" w:type="dxa"/>
            <w:tcBorders>
              <w:bottom w:val="single" w:sz="4" w:space="0" w:color="auto"/>
            </w:tcBorders>
          </w:tcPr>
          <w:p w:rsidR="00782214" w:rsidRPr="00685B98" w:rsidRDefault="00782214" w:rsidP="00782214">
            <w:pPr>
              <w:jc w:val="right"/>
            </w:pPr>
            <w:r w:rsidRPr="00685B98">
              <w:t>5,516</w:t>
            </w:r>
          </w:p>
        </w:tc>
      </w:tr>
      <w:tr w:rsidR="00782214" w:rsidRPr="00286C0E" w:rsidTr="00302392">
        <w:tc>
          <w:tcPr>
            <w:tcW w:w="2732" w:type="dxa"/>
          </w:tcPr>
          <w:p w:rsidR="00782214" w:rsidRPr="00685B98" w:rsidRDefault="00782214" w:rsidP="00975DE4">
            <w:pPr>
              <w:rPr>
                <w:b/>
              </w:rPr>
            </w:pPr>
            <w:r w:rsidRPr="00685B98">
              <w:rPr>
                <w:b/>
              </w:rPr>
              <w:t>Total</w:t>
            </w:r>
          </w:p>
        </w:tc>
        <w:tc>
          <w:tcPr>
            <w:tcW w:w="1408" w:type="dxa"/>
            <w:tcBorders>
              <w:top w:val="single" w:sz="4" w:space="0" w:color="auto"/>
              <w:bottom w:val="double" w:sz="6" w:space="0" w:color="auto"/>
            </w:tcBorders>
          </w:tcPr>
          <w:p w:rsidR="00782214" w:rsidRPr="00685B98" w:rsidRDefault="00074140" w:rsidP="00830E7E">
            <w:pPr>
              <w:jc w:val="right"/>
              <w:rPr>
                <w:b/>
              </w:rPr>
            </w:pPr>
            <w:r w:rsidRPr="00685B98">
              <w:rPr>
                <w:b/>
              </w:rPr>
              <w:t>19,940</w:t>
            </w:r>
          </w:p>
        </w:tc>
        <w:tc>
          <w:tcPr>
            <w:tcW w:w="1408" w:type="dxa"/>
            <w:tcBorders>
              <w:top w:val="single" w:sz="4" w:space="0" w:color="auto"/>
              <w:bottom w:val="double" w:sz="6" w:space="0" w:color="auto"/>
            </w:tcBorders>
          </w:tcPr>
          <w:p w:rsidR="00782214" w:rsidRPr="00685B98" w:rsidRDefault="00782214" w:rsidP="00782214">
            <w:pPr>
              <w:jc w:val="right"/>
              <w:rPr>
                <w:b/>
              </w:rPr>
            </w:pPr>
            <w:r w:rsidRPr="00685B98">
              <w:rPr>
                <w:b/>
              </w:rPr>
              <w:t>14,457</w:t>
            </w:r>
          </w:p>
        </w:tc>
      </w:tr>
    </w:tbl>
    <w:p w:rsidR="00685B98" w:rsidRDefault="00685B98" w:rsidP="00074140">
      <w:pPr>
        <w:ind w:left="720"/>
        <w:jc w:val="both"/>
      </w:pPr>
    </w:p>
    <w:p w:rsidR="00074140" w:rsidRDefault="00074140" w:rsidP="00074140">
      <w:pPr>
        <w:ind w:left="720"/>
        <w:jc w:val="both"/>
      </w:pPr>
      <w:r w:rsidRPr="0047695B">
        <w:t>In addition to the above trade debtors, the council is also required to account for its share of the council tax owed to the 12 district council collection funds across Lancashire. As at 31 March 201</w:t>
      </w:r>
      <w:r>
        <w:t>2</w:t>
      </w:r>
      <w:r w:rsidRPr="0047695B">
        <w:t xml:space="preserve"> this amounted to </w:t>
      </w:r>
      <w:r w:rsidRPr="00DE447A">
        <w:t>£31.9 million (£</w:t>
      </w:r>
      <w:r w:rsidRPr="0047695B">
        <w:t>30.4</w:t>
      </w:r>
      <w:r w:rsidRPr="0047695B">
        <w:rPr>
          <w:color w:val="FF0000"/>
        </w:rPr>
        <w:t xml:space="preserve"> </w:t>
      </w:r>
      <w:r w:rsidRPr="0047695B">
        <w:t>million as at 31 March 20</w:t>
      </w:r>
      <w:r>
        <w:t>11</w:t>
      </w:r>
      <w:r w:rsidRPr="0047695B">
        <w:t>). This debt relates to several tax years and the treasurers of the district councils have based on their experience of collecting</w:t>
      </w:r>
      <w:r>
        <w:t xml:space="preserve"> this debt, taken a view </w:t>
      </w:r>
      <w:r w:rsidRPr="00DE447A">
        <w:t>that £14.4 million (45.1%) of this</w:t>
      </w:r>
      <w:r w:rsidRPr="0047695B">
        <w:t xml:space="preserve"> will n</w:t>
      </w:r>
      <w:r>
        <w:t xml:space="preserve">ot be collected (compared with </w:t>
      </w:r>
      <w:r w:rsidRPr="0047695B">
        <w:t>£13.3 million (43.8</w:t>
      </w:r>
      <w:r>
        <w:t>%) in 2010</w:t>
      </w:r>
      <w:r w:rsidRPr="0047695B">
        <w:t>/</w:t>
      </w:r>
      <w:r>
        <w:t>11</w:t>
      </w:r>
      <w:r w:rsidRPr="0047695B">
        <w:t xml:space="preserve">). These amounts need to be seen in the context of the total amount of council tax raised by the </w:t>
      </w:r>
      <w:r w:rsidR="001F1A1A">
        <w:t>County Council</w:t>
      </w:r>
      <w:r w:rsidRPr="0047695B">
        <w:t xml:space="preserve"> </w:t>
      </w:r>
      <w:r w:rsidRPr="00DE447A">
        <w:t>of £424.7 million</w:t>
      </w:r>
      <w:r w:rsidRPr="0047695B">
        <w:t xml:space="preserve"> and the amount owed at the end of the year represents </w:t>
      </w:r>
      <w:r>
        <w:t>7.5</w:t>
      </w:r>
      <w:r w:rsidRPr="00DE447A">
        <w:t>%</w:t>
      </w:r>
      <w:r w:rsidRPr="0047695B">
        <w:t xml:space="preserve"> of the tax raised in the year </w:t>
      </w:r>
      <w:r>
        <w:t>(</w:t>
      </w:r>
      <w:r w:rsidRPr="0047695B">
        <w:t xml:space="preserve">£423.6 million </w:t>
      </w:r>
      <w:r>
        <w:t xml:space="preserve">and </w:t>
      </w:r>
      <w:r w:rsidRPr="0047695B">
        <w:t>7.2</w:t>
      </w:r>
      <w:r>
        <w:t>% for 2010/11</w:t>
      </w:r>
      <w:r w:rsidRPr="0047695B">
        <w:t>).</w:t>
      </w:r>
    </w:p>
    <w:p w:rsidR="00074140" w:rsidRDefault="00074140" w:rsidP="00074140">
      <w:pPr>
        <w:ind w:left="720"/>
        <w:jc w:val="both"/>
      </w:pPr>
    </w:p>
    <w:p w:rsidR="00074140" w:rsidRDefault="00074140" w:rsidP="00074140">
      <w:pPr>
        <w:ind w:left="720"/>
        <w:jc w:val="both"/>
      </w:pPr>
      <w:r w:rsidRPr="004E5D57">
        <w:t xml:space="preserve">The </w:t>
      </w:r>
      <w:r w:rsidR="001F1A1A">
        <w:t>County Council</w:t>
      </w:r>
      <w:r w:rsidRPr="004E5D57">
        <w:t xml:space="preserve"> maintains a provision for bad and doubtful debts </w:t>
      </w:r>
      <w:r w:rsidR="00D311EE">
        <w:t>(see note 46</w:t>
      </w:r>
      <w:r w:rsidRPr="00CC3B63">
        <w:t>)</w:t>
      </w:r>
      <w:r w:rsidRPr="004E5D57">
        <w:t xml:space="preserve"> which at 31 March 2012 stood at some £</w:t>
      </w:r>
      <w:r>
        <w:t>22.4</w:t>
      </w:r>
      <w:r w:rsidRPr="004E5D57">
        <w:t xml:space="preserve"> million, (including £14.4 million for the councils share of council tax owed to the 12 district councils, as explained above).  This is broadly based on the total of debt that is more than six months old.  However, a significant proportion of such debt is considered collectable or is in the process of being paid and so as well as allocating predicted collection percentages to the various stages of debt recovery, designated Income Champions in each directorate also performed a more detailed assessment of the likely collection of such debts, resulting in the </w:t>
      </w:r>
      <w:r w:rsidR="001F1A1A">
        <w:t>County Council</w:t>
      </w:r>
      <w:r w:rsidRPr="004E5D57">
        <w:t>s proportion of the provision totalling £</w:t>
      </w:r>
      <w:r>
        <w:t xml:space="preserve">8 </w:t>
      </w:r>
      <w:r w:rsidRPr="004E5D57">
        <w:t>million (compared to £7.2 million for 2010/11).</w:t>
      </w:r>
    </w:p>
    <w:p w:rsidR="002C4D92" w:rsidRPr="00286C0E" w:rsidRDefault="002C4D92" w:rsidP="006C467D">
      <w:pPr>
        <w:ind w:left="720"/>
        <w:rPr>
          <w:b/>
          <w:highlight w:val="yellow"/>
        </w:rPr>
      </w:pPr>
    </w:p>
    <w:p w:rsidR="00FB29D0" w:rsidRPr="00442EEE" w:rsidRDefault="00FB29D0" w:rsidP="00FB29D0">
      <w:pPr>
        <w:ind w:left="720"/>
        <w:rPr>
          <w:b/>
          <w:i/>
          <w:color w:val="0000FF"/>
        </w:rPr>
      </w:pPr>
      <w:r w:rsidRPr="00442EEE">
        <w:rPr>
          <w:b/>
        </w:rPr>
        <w:t xml:space="preserve">Liquidity Risk </w:t>
      </w:r>
    </w:p>
    <w:p w:rsidR="00FB29D0" w:rsidRPr="00442EEE" w:rsidRDefault="00FB29D0" w:rsidP="00FB29D0">
      <w:pPr>
        <w:ind w:left="720"/>
        <w:rPr>
          <w:b/>
        </w:rPr>
      </w:pPr>
    </w:p>
    <w:p w:rsidR="00FB29D0" w:rsidRPr="00442EEE" w:rsidRDefault="00FB29D0" w:rsidP="00FB29D0">
      <w:pPr>
        <w:ind w:left="720"/>
        <w:jc w:val="both"/>
      </w:pPr>
      <w:r w:rsidRPr="00442EEE">
        <w:t xml:space="preserve">Liquidity risk is the danger that, at any time, we will have insufficient funds in our bank account to make the payments necessary to meet our financial obligations. </w:t>
      </w:r>
    </w:p>
    <w:p w:rsidR="00FB29D0" w:rsidRPr="00442EEE" w:rsidRDefault="00FB29D0" w:rsidP="00FB29D0">
      <w:pPr>
        <w:ind w:left="720"/>
        <w:jc w:val="both"/>
      </w:pPr>
      <w:r w:rsidRPr="00442EEE">
        <w:tab/>
      </w:r>
    </w:p>
    <w:p w:rsidR="00FB29D0" w:rsidRPr="00442EEE" w:rsidRDefault="00FB29D0" w:rsidP="00FB29D0">
      <w:pPr>
        <w:ind w:left="720"/>
        <w:jc w:val="both"/>
      </w:pPr>
      <w:r w:rsidRPr="00442EEE">
        <w:t xml:space="preserve">The </w:t>
      </w:r>
      <w:r w:rsidR="001F1A1A">
        <w:t>County Council</w:t>
      </w:r>
      <w:r w:rsidRPr="00442EEE">
        <w:t xml:space="preserve"> has a comprehensive cash flow management system </w:t>
      </w:r>
      <w:r>
        <w:t>which</w:t>
      </w:r>
      <w:r w:rsidRPr="00442EEE">
        <w:t xml:space="preserve"> seeks to ensure that cash is available as needed. If unexpected movements happen, the authority has ready access to borrowings from the money markets and the Public Works Loans Board. There is no significant risk that the </w:t>
      </w:r>
      <w:r w:rsidR="001F1A1A">
        <w:t>County Council</w:t>
      </w:r>
      <w:r w:rsidRPr="00442EEE">
        <w:t xml:space="preserve"> will be unable to raise finance to meet its commitments under financial instruments. Instead the risk is that the authority will be bound to replenish a significant proportion of its borrowing at a time of unfavourable interest rates.</w:t>
      </w:r>
    </w:p>
    <w:p w:rsidR="00FB29D0" w:rsidRPr="00442EEE" w:rsidRDefault="00FB29D0" w:rsidP="00FB29D0">
      <w:pPr>
        <w:ind w:left="720"/>
        <w:jc w:val="both"/>
      </w:pPr>
    </w:p>
    <w:p w:rsidR="00FB29D0" w:rsidRDefault="00FB29D0" w:rsidP="00FB29D0">
      <w:pPr>
        <w:ind w:left="720"/>
        <w:jc w:val="both"/>
      </w:pPr>
      <w:r w:rsidRPr="00442EEE">
        <w:t xml:space="preserve">Previous treasury management strategies have centred on long term fixed rate PWLB borrowing alongside a short term investment policy. This maturity mis-match became very </w:t>
      </w:r>
      <w:r w:rsidRPr="00442EEE">
        <w:lastRenderedPageBreak/>
        <w:t>expensive when short term rates fell to their current very low levels. The debt restructures undertaken in 2010-11 have reduced the amount of interest we pay on the debt but have also significantly altered the profile of the authority's outstanding debt.</w:t>
      </w:r>
    </w:p>
    <w:p w:rsidR="00FB29D0" w:rsidRDefault="00FB29D0" w:rsidP="00FB29D0">
      <w:pPr>
        <w:ind w:left="720"/>
        <w:jc w:val="both"/>
      </w:pPr>
    </w:p>
    <w:p w:rsidR="00FB29D0" w:rsidRPr="00442EEE" w:rsidRDefault="00FB29D0" w:rsidP="00FB29D0">
      <w:pPr>
        <w:ind w:left="720"/>
        <w:jc w:val="both"/>
      </w:pPr>
    </w:p>
    <w:p w:rsidR="00FB29D0" w:rsidRDefault="00FB29D0" w:rsidP="00FB29D0">
      <w:pPr>
        <w:ind w:left="720"/>
        <w:jc w:val="both"/>
      </w:pPr>
      <w:r w:rsidRPr="00442EEE">
        <w:t xml:space="preserve">The chart below shows the maturity profile of the </w:t>
      </w:r>
      <w:r w:rsidR="001F1A1A">
        <w:t>County Council</w:t>
      </w:r>
      <w:r w:rsidRPr="00442EEE">
        <w:t>'s debt at 31 March 201</w:t>
      </w:r>
      <w:r>
        <w:t>2</w:t>
      </w:r>
      <w:r w:rsidRPr="00442EEE">
        <w:t>.</w:t>
      </w:r>
    </w:p>
    <w:p w:rsidR="00FB29D0" w:rsidRDefault="00FB29D0" w:rsidP="00FB29D0">
      <w:pPr>
        <w:ind w:left="426" w:firstLine="294"/>
        <w:jc w:val="both"/>
      </w:pPr>
    </w:p>
    <w:p w:rsidR="00FB29D0" w:rsidRDefault="00FB29D0" w:rsidP="00FB29D0">
      <w:pPr>
        <w:ind w:left="284"/>
        <w:jc w:val="both"/>
      </w:pPr>
      <w:r w:rsidRPr="00DC346E">
        <w:rPr>
          <w:noProof/>
        </w:rPr>
        <w:drawing>
          <wp:inline distT="0" distB="0" distL="0" distR="0">
            <wp:extent cx="5821325" cy="2873829"/>
            <wp:effectExtent l="19050" t="0" r="27025" b="2721"/>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B29D0" w:rsidRDefault="00FB29D0" w:rsidP="00FB29D0">
      <w:pPr>
        <w:ind w:left="720"/>
        <w:jc w:val="both"/>
      </w:pPr>
      <w:r w:rsidRPr="00442EEE">
        <w:t>It can be seen that there is a large level of short term borrow</w:t>
      </w:r>
      <w:r w:rsidR="004A3149">
        <w:t xml:space="preserve">ing which needs to </w:t>
      </w:r>
      <w:r w:rsidR="00D311EE">
        <w:t xml:space="preserve">be </w:t>
      </w:r>
      <w:r w:rsidR="00D311EE" w:rsidRPr="00442EEE">
        <w:t>refinanced</w:t>
      </w:r>
      <w:r w:rsidRPr="00442EEE">
        <w:t xml:space="preserve"> </w:t>
      </w:r>
      <w:r w:rsidR="004A3149">
        <w:t xml:space="preserve">on a regular basis </w:t>
      </w:r>
      <w:r w:rsidRPr="00442EEE">
        <w:t>as part of the strategy to benefit from low short term rates, and it is this which gives rise to the interest rate risk, nevertheless, the risk is partly mitigated by maturing short term investments.</w:t>
      </w:r>
    </w:p>
    <w:p w:rsidR="00FB29D0" w:rsidRPr="00442EEE" w:rsidRDefault="00FB29D0" w:rsidP="00FB29D0">
      <w:pPr>
        <w:ind w:left="1146"/>
        <w:jc w:val="both"/>
        <w:rPr>
          <w:b/>
        </w:rPr>
      </w:pPr>
    </w:p>
    <w:p w:rsidR="00FB29D0" w:rsidRDefault="00FB29D0" w:rsidP="00FB29D0">
      <w:pPr>
        <w:ind w:left="720"/>
        <w:jc w:val="both"/>
      </w:pPr>
      <w:r w:rsidRPr="00442EEE">
        <w:t xml:space="preserve">The chart below shows the net refinancing risk, that is </w:t>
      </w:r>
      <w:r>
        <w:t xml:space="preserve">total </w:t>
      </w:r>
      <w:r w:rsidRPr="00442EEE">
        <w:t xml:space="preserve">borrowing less maturing </w:t>
      </w:r>
      <w:r>
        <w:t xml:space="preserve">or available for sale </w:t>
      </w:r>
      <w:r w:rsidRPr="00442EEE">
        <w:t>investments</w:t>
      </w:r>
      <w:r>
        <w:t>.</w:t>
      </w:r>
    </w:p>
    <w:p w:rsidR="00FB29D0" w:rsidRDefault="00FB29D0" w:rsidP="00FB29D0">
      <w:pPr>
        <w:ind w:left="426"/>
        <w:jc w:val="both"/>
      </w:pPr>
    </w:p>
    <w:p w:rsidR="00FB29D0" w:rsidRDefault="00FB29D0" w:rsidP="00FB29D0">
      <w:pPr>
        <w:ind w:left="426"/>
        <w:jc w:val="both"/>
      </w:pPr>
      <w:r w:rsidRPr="00DC346E">
        <w:rPr>
          <w:noProof/>
        </w:rPr>
        <w:drawing>
          <wp:inline distT="0" distB="0" distL="0" distR="0">
            <wp:extent cx="5549237" cy="2674961"/>
            <wp:effectExtent l="19050" t="0" r="13363"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B29D0" w:rsidRDefault="00FB29D0" w:rsidP="00FB29D0">
      <w:pPr>
        <w:ind w:left="426"/>
        <w:jc w:val="both"/>
      </w:pPr>
    </w:p>
    <w:p w:rsidR="00FB29D0" w:rsidRPr="00442EEE" w:rsidRDefault="00FB29D0" w:rsidP="00FB29D0">
      <w:pPr>
        <w:ind w:left="720"/>
        <w:jc w:val="both"/>
      </w:pPr>
      <w:r>
        <w:t>It can be seen that although there is a significant level of short term borrowing liquidity is available through longer term borrowing and maturing and, if required,  saleable investment assets,</w:t>
      </w:r>
    </w:p>
    <w:p w:rsidR="00FB29D0" w:rsidRPr="00442EEE" w:rsidRDefault="00FB29D0" w:rsidP="00FB29D0">
      <w:pPr>
        <w:ind w:left="720"/>
        <w:rPr>
          <w:b/>
        </w:rPr>
      </w:pPr>
    </w:p>
    <w:p w:rsidR="00FB29D0" w:rsidRPr="00442EEE" w:rsidRDefault="00FB29D0" w:rsidP="00E353CF">
      <w:pPr>
        <w:ind w:left="720"/>
        <w:jc w:val="both"/>
      </w:pPr>
      <w:r w:rsidRPr="00442EEE">
        <w:t xml:space="preserve">At some point the short term borrowing will be switched back again to long term debt, but for the immediate future this risk is carefully maintained. </w:t>
      </w:r>
    </w:p>
    <w:p w:rsidR="00FB29D0" w:rsidRPr="00442EEE" w:rsidRDefault="00FB29D0" w:rsidP="00E353CF">
      <w:pPr>
        <w:ind w:left="720"/>
        <w:jc w:val="both"/>
        <w:rPr>
          <w:b/>
        </w:rPr>
      </w:pPr>
    </w:p>
    <w:p w:rsidR="00FB29D0" w:rsidRPr="00442EEE" w:rsidRDefault="00FB29D0" w:rsidP="00FB29D0">
      <w:pPr>
        <w:ind w:left="720"/>
        <w:rPr>
          <w:b/>
        </w:rPr>
      </w:pPr>
      <w:r w:rsidRPr="00442EEE">
        <w:rPr>
          <w:b/>
        </w:rPr>
        <w:t>Market Risk</w:t>
      </w:r>
    </w:p>
    <w:p w:rsidR="00FB29D0" w:rsidRPr="00442EEE" w:rsidRDefault="00FB29D0" w:rsidP="00FB29D0">
      <w:pPr>
        <w:ind w:left="720"/>
      </w:pPr>
    </w:p>
    <w:p w:rsidR="00FB29D0" w:rsidRPr="00442EEE" w:rsidRDefault="00FB29D0" w:rsidP="00FB29D0">
      <w:pPr>
        <w:ind w:left="720"/>
        <w:jc w:val="both"/>
      </w:pPr>
      <w:r w:rsidRPr="00442EEE">
        <w:t xml:space="preserve">The market risk to which </w:t>
      </w:r>
      <w:r>
        <w:t xml:space="preserve">the </w:t>
      </w:r>
      <w:r w:rsidR="001F1A1A">
        <w:t>County Council</w:t>
      </w:r>
      <w:r w:rsidRPr="00442EEE">
        <w:t xml:space="preserve"> </w:t>
      </w:r>
      <w:r>
        <w:t>is</w:t>
      </w:r>
      <w:r w:rsidRPr="00442EEE">
        <w:t xml:space="preserve"> exposed in our financial instruments arises mainly from interest rate movements in financial markets. The different types of financial instruments that we hold are affected in different ways by changes in market interest rates.</w:t>
      </w:r>
    </w:p>
    <w:p w:rsidR="00FB29D0" w:rsidRPr="00442EEE" w:rsidRDefault="00FB29D0" w:rsidP="00FB29D0">
      <w:pPr>
        <w:ind w:left="720"/>
        <w:jc w:val="both"/>
      </w:pPr>
    </w:p>
    <w:p w:rsidR="00FB29D0" w:rsidRPr="00442EEE" w:rsidRDefault="00FB29D0" w:rsidP="00FB29D0">
      <w:pPr>
        <w:ind w:left="720"/>
        <w:jc w:val="both"/>
      </w:pPr>
      <w:r w:rsidRPr="00442EEE">
        <w:t xml:space="preserve">Movement in interest rates have a complex impact on the </w:t>
      </w:r>
      <w:r w:rsidR="001F1A1A">
        <w:t>County Council</w:t>
      </w:r>
      <w:r w:rsidRPr="00442EEE">
        <w:t>. For instance, a rise in interest rates would have the following effects:</w:t>
      </w:r>
    </w:p>
    <w:p w:rsidR="00FB29D0" w:rsidRPr="00442EEE" w:rsidRDefault="00FB29D0" w:rsidP="00FB29D0">
      <w:pPr>
        <w:ind w:left="720"/>
        <w:jc w:val="both"/>
      </w:pPr>
    </w:p>
    <w:p w:rsidR="00FB29D0" w:rsidRPr="00442EEE" w:rsidRDefault="00FB29D0" w:rsidP="00BD07E4">
      <w:pPr>
        <w:numPr>
          <w:ilvl w:val="0"/>
          <w:numId w:val="48"/>
        </w:numPr>
        <w:ind w:left="720"/>
        <w:jc w:val="both"/>
      </w:pPr>
      <w:r w:rsidRPr="00442EEE">
        <w:t>Borrowings at variable rates – the interest expense charged to the Surplus or Deficit on the Provision of Services will rise.</w:t>
      </w:r>
    </w:p>
    <w:p w:rsidR="00FB29D0" w:rsidRPr="00442EEE" w:rsidRDefault="00FB29D0" w:rsidP="00BD07E4">
      <w:pPr>
        <w:numPr>
          <w:ilvl w:val="0"/>
          <w:numId w:val="48"/>
        </w:numPr>
        <w:ind w:left="720"/>
        <w:jc w:val="both"/>
      </w:pPr>
      <w:r w:rsidRPr="00442EEE">
        <w:t>Borrowings at fixed rates – the fair value of the liabilities borrowings will fall</w:t>
      </w:r>
      <w:r>
        <w:t xml:space="preserve"> (this has no effect on the surplus or deficit on the Provision of Services.)</w:t>
      </w:r>
    </w:p>
    <w:p w:rsidR="00FB29D0" w:rsidRPr="00442EEE" w:rsidRDefault="00FB29D0" w:rsidP="00BD07E4">
      <w:pPr>
        <w:numPr>
          <w:ilvl w:val="0"/>
          <w:numId w:val="48"/>
        </w:numPr>
        <w:ind w:left="720"/>
        <w:jc w:val="both"/>
      </w:pPr>
      <w:r w:rsidRPr="00442EEE">
        <w:t>Investments at variable rates - the interest income credited to the Surplus or Deficit on the Provision of Services will rise.</w:t>
      </w:r>
    </w:p>
    <w:p w:rsidR="00FB29D0" w:rsidRDefault="00FB29D0" w:rsidP="00BD07E4">
      <w:pPr>
        <w:numPr>
          <w:ilvl w:val="0"/>
          <w:numId w:val="48"/>
        </w:numPr>
        <w:ind w:left="720"/>
        <w:jc w:val="both"/>
      </w:pPr>
      <w:r w:rsidRPr="00442EEE">
        <w:t>Investments at fixed rates – the fair value of the investments will fall.</w:t>
      </w:r>
    </w:p>
    <w:p w:rsidR="00FB29D0" w:rsidRDefault="00FB29D0" w:rsidP="00FB29D0">
      <w:pPr>
        <w:ind w:left="720"/>
        <w:jc w:val="both"/>
      </w:pPr>
    </w:p>
    <w:p w:rsidR="00FB29D0" w:rsidRPr="00F66297" w:rsidRDefault="00FB29D0" w:rsidP="00E353CF">
      <w:pPr>
        <w:autoSpaceDE w:val="0"/>
        <w:autoSpaceDN w:val="0"/>
        <w:ind w:left="720"/>
        <w:jc w:val="both"/>
      </w:pPr>
      <w:r w:rsidRPr="00F66297">
        <w:t>A fall in the fair value of fixed rate investments that are held for trading will result in a charge to the Surplus or Deficit on the Provision of Services, reducing the General Fund Balance.  A fall in the fair value Available-for-Sale investments will be reflected in Other Comprehensive Income.  A fall in the fair value of other investments will have no impact on the primary financial statements, but will be disclosed in the notes to the accounts.</w:t>
      </w:r>
    </w:p>
    <w:p w:rsidR="00FB29D0" w:rsidRPr="00442EEE" w:rsidRDefault="00FB29D0" w:rsidP="00E353CF">
      <w:pPr>
        <w:ind w:left="720"/>
        <w:jc w:val="both"/>
      </w:pPr>
    </w:p>
    <w:p w:rsidR="00FB29D0" w:rsidRPr="00442EEE" w:rsidRDefault="00FB29D0" w:rsidP="00E353CF">
      <w:pPr>
        <w:spacing w:after="240"/>
        <w:ind w:left="720"/>
        <w:jc w:val="both"/>
      </w:pPr>
      <w:r>
        <w:t xml:space="preserve">The </w:t>
      </w:r>
      <w:r w:rsidR="001F1A1A">
        <w:t>County Council</w:t>
      </w:r>
      <w:r>
        <w:t xml:space="preserve"> also holds </w:t>
      </w:r>
      <w:r w:rsidRPr="00442EEE">
        <w:t xml:space="preserve">index linked investments the fair value of which rises as inflation rises, and a Lender Option Borrower Option (LOBO) loan for which the </w:t>
      </w:r>
      <w:r>
        <w:t>expense charged to the Surplus or Deficit on the Provision of Services will fall as interest rates rise.</w:t>
      </w:r>
      <w:r w:rsidRPr="00442EEE">
        <w:t xml:space="preserve"> All of these instruments are part of a strategy to take advantage of current market conditions whilst managing interest rate risk. </w:t>
      </w:r>
    </w:p>
    <w:p w:rsidR="00FB29D0" w:rsidRPr="00442EEE" w:rsidRDefault="00FB29D0" w:rsidP="00FB29D0">
      <w:pPr>
        <w:spacing w:after="240"/>
        <w:ind w:left="720"/>
        <w:jc w:val="both"/>
      </w:pPr>
      <w:r w:rsidRPr="00442EEE">
        <w:t>The treasury management team is constantly refining the active strategy for assessing interest rate exposure and the results feed into the annual budget cycle allowing any adverse changes to be accommodated.</w:t>
      </w:r>
    </w:p>
    <w:p w:rsidR="00FB29D0" w:rsidRPr="00442EEE" w:rsidRDefault="00FB29D0" w:rsidP="00FB29D0">
      <w:pPr>
        <w:spacing w:after="240"/>
        <w:ind w:left="720"/>
        <w:jc w:val="both"/>
      </w:pPr>
      <w:r w:rsidRPr="00442EEE">
        <w:t>The table below attempts to quantify the interest rate risk looking back at the 31 March 201</w:t>
      </w:r>
      <w:r>
        <w:t>2</w:t>
      </w:r>
      <w:r w:rsidRPr="00442EEE">
        <w:t xml:space="preserve"> position.</w:t>
      </w:r>
    </w:p>
    <w:tbl>
      <w:tblPr>
        <w:tblpPr w:leftFromText="180" w:rightFromText="180" w:vertAnchor="text" w:horzAnchor="page" w:tblpX="1456" w:tblpY="245"/>
        <w:tblW w:w="9782" w:type="dxa"/>
        <w:tblLook w:val="04A0"/>
      </w:tblPr>
      <w:tblGrid>
        <w:gridCol w:w="8222"/>
        <w:gridCol w:w="1560"/>
      </w:tblGrid>
      <w:tr w:rsidR="004A3149" w:rsidRPr="00442EEE" w:rsidTr="002F5879">
        <w:trPr>
          <w:trHeight w:val="615"/>
        </w:trPr>
        <w:tc>
          <w:tcPr>
            <w:tcW w:w="8222" w:type="dxa"/>
            <w:tcBorders>
              <w:top w:val="nil"/>
              <w:left w:val="nil"/>
              <w:right w:val="nil"/>
            </w:tcBorders>
            <w:shd w:val="clear" w:color="auto" w:fill="auto"/>
            <w:noWrap/>
            <w:vAlign w:val="bottom"/>
            <w:hideMark/>
          </w:tcPr>
          <w:p w:rsidR="004A3149" w:rsidRPr="00442EEE" w:rsidRDefault="004A3149" w:rsidP="002F5879">
            <w:r w:rsidRPr="00442EEE">
              <w:t>The effect if interest rates were 1% higher with all other variables held constant:</w:t>
            </w:r>
          </w:p>
        </w:tc>
        <w:tc>
          <w:tcPr>
            <w:tcW w:w="1560" w:type="dxa"/>
            <w:tcBorders>
              <w:top w:val="nil"/>
              <w:left w:val="nil"/>
              <w:right w:val="nil"/>
            </w:tcBorders>
            <w:shd w:val="clear" w:color="auto" w:fill="auto"/>
            <w:noWrap/>
            <w:vAlign w:val="bottom"/>
            <w:hideMark/>
          </w:tcPr>
          <w:p w:rsidR="004A3149" w:rsidRPr="00442EEE" w:rsidRDefault="004A3149" w:rsidP="002F5879">
            <w:pPr>
              <w:jc w:val="center"/>
            </w:pPr>
            <w:r w:rsidRPr="00442EEE">
              <w:rPr>
                <w:b/>
                <w:bCs/>
              </w:rPr>
              <w:t>£000</w:t>
            </w:r>
          </w:p>
        </w:tc>
      </w:tr>
      <w:tr w:rsidR="00FB29D0" w:rsidRPr="00442EEE" w:rsidTr="002F5879">
        <w:trPr>
          <w:trHeight w:val="300"/>
        </w:trPr>
        <w:tc>
          <w:tcPr>
            <w:tcW w:w="8222" w:type="dxa"/>
            <w:tcBorders>
              <w:top w:val="nil"/>
              <w:left w:val="nil"/>
              <w:bottom w:val="nil"/>
            </w:tcBorders>
            <w:shd w:val="clear" w:color="auto" w:fill="auto"/>
            <w:noWrap/>
            <w:vAlign w:val="bottom"/>
            <w:hideMark/>
          </w:tcPr>
          <w:p w:rsidR="00FB29D0" w:rsidRDefault="00FB29D0" w:rsidP="002F5879"/>
          <w:p w:rsidR="00FB29D0" w:rsidRPr="00442EEE" w:rsidRDefault="00FB29D0" w:rsidP="002F5879">
            <w:r w:rsidRPr="00442EEE">
              <w:t>Increase in interest payable on variable rate borrowings</w:t>
            </w:r>
          </w:p>
        </w:tc>
        <w:tc>
          <w:tcPr>
            <w:tcW w:w="1560" w:type="dxa"/>
            <w:tcBorders>
              <w:top w:val="nil"/>
              <w:bottom w:val="nil"/>
            </w:tcBorders>
            <w:shd w:val="clear" w:color="auto" w:fill="auto"/>
            <w:noWrap/>
            <w:vAlign w:val="bottom"/>
            <w:hideMark/>
          </w:tcPr>
          <w:p w:rsidR="00FB29D0" w:rsidRPr="00442EEE" w:rsidRDefault="00FB29D0" w:rsidP="002F5879">
            <w:pPr>
              <w:jc w:val="center"/>
            </w:pPr>
            <w:r>
              <w:t>(3,304)</w:t>
            </w:r>
          </w:p>
        </w:tc>
      </w:tr>
      <w:tr w:rsidR="00FB29D0" w:rsidRPr="00442EEE" w:rsidTr="002F5879">
        <w:trPr>
          <w:trHeight w:val="300"/>
        </w:trPr>
        <w:tc>
          <w:tcPr>
            <w:tcW w:w="8222" w:type="dxa"/>
            <w:tcBorders>
              <w:top w:val="nil"/>
              <w:left w:val="nil"/>
              <w:bottom w:val="nil"/>
            </w:tcBorders>
            <w:shd w:val="clear" w:color="auto" w:fill="auto"/>
            <w:noWrap/>
            <w:vAlign w:val="bottom"/>
            <w:hideMark/>
          </w:tcPr>
          <w:p w:rsidR="00FB29D0" w:rsidRDefault="00FB29D0" w:rsidP="002F5879">
            <w:r w:rsidRPr="00442EEE">
              <w:t>Increase in interest receivable on variable rate investments</w:t>
            </w:r>
          </w:p>
          <w:p w:rsidR="00FB29D0" w:rsidRPr="00442EEE" w:rsidRDefault="00FB29D0" w:rsidP="002F5879"/>
        </w:tc>
        <w:tc>
          <w:tcPr>
            <w:tcW w:w="1560" w:type="dxa"/>
            <w:tcBorders>
              <w:top w:val="nil"/>
              <w:bottom w:val="nil"/>
            </w:tcBorders>
            <w:shd w:val="clear" w:color="auto" w:fill="auto"/>
            <w:noWrap/>
            <w:vAlign w:val="bottom"/>
            <w:hideMark/>
          </w:tcPr>
          <w:p w:rsidR="00FB29D0" w:rsidRPr="00442EEE" w:rsidRDefault="00FB29D0" w:rsidP="002F5879">
            <w:pPr>
              <w:jc w:val="center"/>
            </w:pPr>
          </w:p>
          <w:p w:rsidR="00FB29D0" w:rsidRDefault="00FB29D0" w:rsidP="002F5879">
            <w:pPr>
              <w:ind w:left="73"/>
              <w:jc w:val="center"/>
            </w:pPr>
            <w:r>
              <w:t>175</w:t>
            </w:r>
          </w:p>
          <w:p w:rsidR="00FB29D0" w:rsidRPr="00442EEE" w:rsidRDefault="00FB29D0" w:rsidP="002F5879">
            <w:pPr>
              <w:ind w:left="73"/>
              <w:jc w:val="center"/>
            </w:pPr>
          </w:p>
        </w:tc>
      </w:tr>
      <w:tr w:rsidR="00FB29D0" w:rsidRPr="00442EEE" w:rsidTr="002F5879">
        <w:trPr>
          <w:trHeight w:val="300"/>
        </w:trPr>
        <w:tc>
          <w:tcPr>
            <w:tcW w:w="8222" w:type="dxa"/>
            <w:tcBorders>
              <w:top w:val="nil"/>
              <w:left w:val="nil"/>
              <w:bottom w:val="nil"/>
            </w:tcBorders>
            <w:shd w:val="clear" w:color="auto" w:fill="auto"/>
            <w:noWrap/>
            <w:vAlign w:val="bottom"/>
            <w:hideMark/>
          </w:tcPr>
          <w:p w:rsidR="00FB29D0" w:rsidRPr="00442EEE" w:rsidRDefault="00FB29D0" w:rsidP="002F5879">
            <w:r>
              <w:t>Decrease in fair value of investments held for trading*</w:t>
            </w:r>
          </w:p>
        </w:tc>
        <w:tc>
          <w:tcPr>
            <w:tcW w:w="1560" w:type="dxa"/>
            <w:tcBorders>
              <w:top w:val="nil"/>
              <w:bottom w:val="nil"/>
            </w:tcBorders>
            <w:shd w:val="clear" w:color="auto" w:fill="auto"/>
            <w:noWrap/>
            <w:vAlign w:val="bottom"/>
            <w:hideMark/>
          </w:tcPr>
          <w:p w:rsidR="00FB29D0" w:rsidRPr="00442EEE" w:rsidRDefault="00FB29D0" w:rsidP="002F5879">
            <w:pPr>
              <w:jc w:val="center"/>
            </w:pPr>
            <w:r>
              <w:t>(45,508)</w:t>
            </w:r>
          </w:p>
        </w:tc>
      </w:tr>
      <w:tr w:rsidR="00FB29D0" w:rsidRPr="00442EEE" w:rsidTr="002F5879">
        <w:trPr>
          <w:trHeight w:val="300"/>
        </w:trPr>
        <w:tc>
          <w:tcPr>
            <w:tcW w:w="8222" w:type="dxa"/>
            <w:tcBorders>
              <w:top w:val="nil"/>
              <w:left w:val="nil"/>
              <w:bottom w:val="nil"/>
            </w:tcBorders>
            <w:shd w:val="clear" w:color="auto" w:fill="auto"/>
            <w:noWrap/>
            <w:vAlign w:val="bottom"/>
            <w:hideMark/>
          </w:tcPr>
          <w:p w:rsidR="00FB29D0" w:rsidRPr="00442EEE" w:rsidRDefault="00FB29D0" w:rsidP="002F5879"/>
        </w:tc>
        <w:tc>
          <w:tcPr>
            <w:tcW w:w="1560" w:type="dxa"/>
            <w:tcBorders>
              <w:top w:val="nil"/>
              <w:bottom w:val="nil"/>
            </w:tcBorders>
            <w:shd w:val="clear" w:color="auto" w:fill="auto"/>
            <w:noWrap/>
            <w:vAlign w:val="bottom"/>
            <w:hideMark/>
          </w:tcPr>
          <w:p w:rsidR="00FB29D0" w:rsidRPr="00442EEE" w:rsidRDefault="00FB29D0" w:rsidP="002F5879">
            <w:pPr>
              <w:jc w:val="center"/>
            </w:pPr>
          </w:p>
        </w:tc>
      </w:tr>
      <w:tr w:rsidR="00FB29D0" w:rsidRPr="00442EEE" w:rsidTr="002F5879">
        <w:trPr>
          <w:trHeight w:val="300"/>
        </w:trPr>
        <w:tc>
          <w:tcPr>
            <w:tcW w:w="8222" w:type="dxa"/>
            <w:tcBorders>
              <w:top w:val="nil"/>
              <w:left w:val="nil"/>
              <w:bottom w:val="nil"/>
            </w:tcBorders>
            <w:shd w:val="clear" w:color="auto" w:fill="auto"/>
            <w:noWrap/>
            <w:vAlign w:val="bottom"/>
            <w:hideMark/>
          </w:tcPr>
          <w:p w:rsidR="00FB29D0" w:rsidRPr="002D5553" w:rsidRDefault="00FB29D0" w:rsidP="002F5879">
            <w:pPr>
              <w:rPr>
                <w:b/>
              </w:rPr>
            </w:pPr>
            <w:r w:rsidRPr="002D5553">
              <w:rPr>
                <w:b/>
              </w:rPr>
              <w:lastRenderedPageBreak/>
              <w:t>Impact on surplus or deficit on the provision of services</w:t>
            </w:r>
          </w:p>
        </w:tc>
        <w:tc>
          <w:tcPr>
            <w:tcW w:w="1560" w:type="dxa"/>
            <w:shd w:val="clear" w:color="auto" w:fill="auto"/>
            <w:noWrap/>
            <w:vAlign w:val="bottom"/>
            <w:hideMark/>
          </w:tcPr>
          <w:p w:rsidR="00FB29D0" w:rsidRPr="00442EEE" w:rsidRDefault="00FB29D0" w:rsidP="002F5879">
            <w:pPr>
              <w:jc w:val="center"/>
              <w:rPr>
                <w:b/>
                <w:bCs/>
              </w:rPr>
            </w:pPr>
            <w:r>
              <w:rPr>
                <w:b/>
                <w:bCs/>
              </w:rPr>
              <w:t>(48,637)</w:t>
            </w:r>
          </w:p>
        </w:tc>
      </w:tr>
      <w:tr w:rsidR="002F5879" w:rsidRPr="00442EEE" w:rsidTr="002F5879">
        <w:trPr>
          <w:trHeight w:val="283"/>
        </w:trPr>
        <w:tc>
          <w:tcPr>
            <w:tcW w:w="8222" w:type="dxa"/>
            <w:tcBorders>
              <w:top w:val="nil"/>
              <w:left w:val="nil"/>
              <w:bottom w:val="nil"/>
            </w:tcBorders>
            <w:shd w:val="clear" w:color="auto" w:fill="auto"/>
            <w:noWrap/>
            <w:vAlign w:val="center"/>
            <w:hideMark/>
          </w:tcPr>
          <w:p w:rsidR="002F5879" w:rsidRDefault="002F5879" w:rsidP="002F5879"/>
          <w:p w:rsidR="002F5879" w:rsidRDefault="002F5879" w:rsidP="002F5879">
            <w:r w:rsidRPr="00442EEE">
              <w:t>Decrease in fair value of fixed rate available for sale  investment assets</w:t>
            </w:r>
          </w:p>
          <w:p w:rsidR="002F5879" w:rsidRPr="00442EEE" w:rsidRDefault="002F5879" w:rsidP="002F5879"/>
        </w:tc>
        <w:tc>
          <w:tcPr>
            <w:tcW w:w="1560" w:type="dxa"/>
            <w:tcBorders>
              <w:top w:val="nil"/>
              <w:bottom w:val="nil"/>
            </w:tcBorders>
            <w:shd w:val="clear" w:color="auto" w:fill="auto"/>
            <w:noWrap/>
            <w:vAlign w:val="center"/>
            <w:hideMark/>
          </w:tcPr>
          <w:p w:rsidR="002F5879" w:rsidRPr="00442EEE" w:rsidRDefault="002F5879" w:rsidP="002F5879">
            <w:pPr>
              <w:jc w:val="center"/>
            </w:pPr>
            <w:r w:rsidRPr="00442EEE">
              <w:t>(</w:t>
            </w:r>
            <w:r w:rsidR="00580A83">
              <w:t>3,202</w:t>
            </w:r>
            <w:r>
              <w:t>)</w:t>
            </w:r>
          </w:p>
        </w:tc>
      </w:tr>
      <w:tr w:rsidR="00FB29D0" w:rsidRPr="00442EEE" w:rsidTr="002F5879">
        <w:trPr>
          <w:trHeight w:val="300"/>
        </w:trPr>
        <w:tc>
          <w:tcPr>
            <w:tcW w:w="8222" w:type="dxa"/>
            <w:tcBorders>
              <w:top w:val="nil"/>
              <w:left w:val="nil"/>
              <w:bottom w:val="nil"/>
            </w:tcBorders>
            <w:shd w:val="clear" w:color="auto" w:fill="auto"/>
            <w:noWrap/>
            <w:vAlign w:val="bottom"/>
            <w:hideMark/>
          </w:tcPr>
          <w:p w:rsidR="00FB29D0" w:rsidRPr="00442EEE" w:rsidRDefault="00FB29D0" w:rsidP="002F5879">
            <w:r w:rsidRPr="00442EEE">
              <w:t>I</w:t>
            </w:r>
            <w:r w:rsidRPr="002D5553">
              <w:rPr>
                <w:b/>
              </w:rPr>
              <w:t>mpact on other Comprehensive Income &amp; Expenditure</w:t>
            </w:r>
          </w:p>
        </w:tc>
        <w:tc>
          <w:tcPr>
            <w:tcW w:w="1560" w:type="dxa"/>
            <w:shd w:val="clear" w:color="auto" w:fill="auto"/>
            <w:noWrap/>
            <w:vAlign w:val="bottom"/>
            <w:hideMark/>
          </w:tcPr>
          <w:p w:rsidR="00FB29D0" w:rsidRPr="002D5553" w:rsidRDefault="00FB29D0" w:rsidP="002F5879">
            <w:pPr>
              <w:jc w:val="center"/>
              <w:rPr>
                <w:b/>
                <w:bCs/>
              </w:rPr>
            </w:pPr>
            <w:r w:rsidRPr="002D5553">
              <w:rPr>
                <w:b/>
                <w:bCs/>
              </w:rPr>
              <w:t>(</w:t>
            </w:r>
            <w:r>
              <w:rPr>
                <w:b/>
                <w:bCs/>
              </w:rPr>
              <w:t>51</w:t>
            </w:r>
            <w:r w:rsidRPr="002D5553">
              <w:rPr>
                <w:b/>
                <w:bCs/>
              </w:rPr>
              <w:t>,</w:t>
            </w:r>
            <w:r>
              <w:rPr>
                <w:b/>
                <w:bCs/>
              </w:rPr>
              <w:t>839</w:t>
            </w:r>
            <w:r w:rsidRPr="002D5553">
              <w:rPr>
                <w:b/>
                <w:bCs/>
              </w:rPr>
              <w:t>)</w:t>
            </w:r>
          </w:p>
        </w:tc>
      </w:tr>
      <w:tr w:rsidR="00FB29D0" w:rsidRPr="00442EEE" w:rsidTr="002F5879">
        <w:trPr>
          <w:trHeight w:val="300"/>
        </w:trPr>
        <w:tc>
          <w:tcPr>
            <w:tcW w:w="8222" w:type="dxa"/>
            <w:tcBorders>
              <w:top w:val="nil"/>
              <w:left w:val="nil"/>
              <w:bottom w:val="nil"/>
            </w:tcBorders>
            <w:shd w:val="clear" w:color="auto" w:fill="auto"/>
            <w:noWrap/>
            <w:vAlign w:val="bottom"/>
            <w:hideMark/>
          </w:tcPr>
          <w:p w:rsidR="00FB29D0" w:rsidRDefault="00FB29D0" w:rsidP="002F5879"/>
          <w:p w:rsidR="00FB29D0" w:rsidRDefault="00FB29D0" w:rsidP="002F5879">
            <w:r w:rsidRPr="00442EEE">
              <w:t xml:space="preserve">Decrease in fair value of fixed rate loans and receivables investments (no impact on the Surplus or Deficit on the Provision of Services or Other Comprehensive Income and Expenditure.)  </w:t>
            </w:r>
          </w:p>
          <w:p w:rsidR="00FB29D0" w:rsidRPr="00442EEE" w:rsidRDefault="00FB29D0" w:rsidP="002F5879"/>
        </w:tc>
        <w:tc>
          <w:tcPr>
            <w:tcW w:w="1560" w:type="dxa"/>
            <w:shd w:val="clear" w:color="auto" w:fill="auto"/>
            <w:noWrap/>
            <w:vAlign w:val="bottom"/>
            <w:hideMark/>
          </w:tcPr>
          <w:p w:rsidR="00FB29D0" w:rsidRDefault="00FB29D0" w:rsidP="002F5879">
            <w:pPr>
              <w:jc w:val="center"/>
              <w:rPr>
                <w:bCs/>
              </w:rPr>
            </w:pPr>
            <w:r w:rsidRPr="00442EEE">
              <w:rPr>
                <w:bCs/>
              </w:rPr>
              <w:t>(</w:t>
            </w:r>
            <w:r>
              <w:rPr>
                <w:bCs/>
              </w:rPr>
              <w:t>1,825</w:t>
            </w:r>
            <w:r w:rsidRPr="00442EEE">
              <w:rPr>
                <w:bCs/>
              </w:rPr>
              <w:t>)</w:t>
            </w:r>
          </w:p>
          <w:p w:rsidR="00FB29D0" w:rsidRDefault="00FB29D0" w:rsidP="002F5879">
            <w:pPr>
              <w:jc w:val="center"/>
              <w:rPr>
                <w:bCs/>
              </w:rPr>
            </w:pPr>
          </w:p>
          <w:p w:rsidR="00FB29D0" w:rsidRPr="00442EEE" w:rsidRDefault="00FB29D0" w:rsidP="002F5879">
            <w:pPr>
              <w:jc w:val="center"/>
              <w:rPr>
                <w:b/>
                <w:bCs/>
              </w:rPr>
            </w:pPr>
          </w:p>
        </w:tc>
      </w:tr>
      <w:tr w:rsidR="00FB29D0" w:rsidRPr="00442EEE" w:rsidTr="002F5879">
        <w:trPr>
          <w:trHeight w:val="315"/>
        </w:trPr>
        <w:tc>
          <w:tcPr>
            <w:tcW w:w="8222" w:type="dxa"/>
            <w:tcBorders>
              <w:top w:val="nil"/>
              <w:left w:val="nil"/>
              <w:bottom w:val="nil"/>
            </w:tcBorders>
            <w:shd w:val="clear" w:color="auto" w:fill="auto"/>
            <w:noWrap/>
            <w:vAlign w:val="bottom"/>
            <w:hideMark/>
          </w:tcPr>
          <w:p w:rsidR="00FB29D0" w:rsidRDefault="00FB29D0" w:rsidP="002F5879">
            <w:r w:rsidRPr="00442EEE">
              <w:t xml:space="preserve">Decrease in fair value of fixed rate borrowings liabilities (no impact on the Surplus or Deficit on the Provision of Services or Other Comprehensive Income and Expenditure.)  </w:t>
            </w:r>
          </w:p>
          <w:p w:rsidR="00FB29D0" w:rsidRPr="00442EEE" w:rsidRDefault="00FB29D0" w:rsidP="002F5879"/>
        </w:tc>
        <w:tc>
          <w:tcPr>
            <w:tcW w:w="1560" w:type="dxa"/>
            <w:shd w:val="clear" w:color="auto" w:fill="auto"/>
            <w:noWrap/>
            <w:vAlign w:val="bottom"/>
            <w:hideMark/>
          </w:tcPr>
          <w:p w:rsidR="00FB29D0" w:rsidRDefault="00FB29D0" w:rsidP="002F5879">
            <w:pPr>
              <w:jc w:val="center"/>
            </w:pPr>
            <w:r>
              <w:t>30,285</w:t>
            </w:r>
          </w:p>
          <w:p w:rsidR="00FB29D0" w:rsidRDefault="00FB29D0" w:rsidP="002F5879">
            <w:pPr>
              <w:jc w:val="center"/>
            </w:pPr>
          </w:p>
          <w:p w:rsidR="00FB29D0" w:rsidRPr="00442EEE" w:rsidRDefault="00FB29D0" w:rsidP="002F5879">
            <w:pPr>
              <w:jc w:val="center"/>
            </w:pPr>
          </w:p>
        </w:tc>
      </w:tr>
    </w:tbl>
    <w:p w:rsidR="00FB29D0" w:rsidRPr="00442EEE" w:rsidRDefault="00FB29D0" w:rsidP="00FB29D0">
      <w:pPr>
        <w:ind w:left="426"/>
      </w:pPr>
    </w:p>
    <w:p w:rsidR="00FB29D0" w:rsidRDefault="00FB29D0" w:rsidP="00FB29D0"/>
    <w:p w:rsidR="00FB29D0" w:rsidRDefault="00FB29D0" w:rsidP="00FB29D0"/>
    <w:p w:rsidR="00FB29D0" w:rsidRDefault="00FB29D0" w:rsidP="00FB29D0"/>
    <w:p w:rsidR="00FB29D0" w:rsidRDefault="00FB29D0" w:rsidP="00FB29D0"/>
    <w:p w:rsidR="00FB29D0" w:rsidRDefault="00FB29D0" w:rsidP="00FB29D0"/>
    <w:p w:rsidR="00FB29D0" w:rsidRDefault="00FB29D0" w:rsidP="00FB29D0"/>
    <w:p w:rsidR="00FB29D0" w:rsidRDefault="00FB29D0" w:rsidP="00FB29D0"/>
    <w:p w:rsidR="00FB29D0" w:rsidRDefault="00FB29D0" w:rsidP="00FB29D0"/>
    <w:p w:rsidR="00FB29D0" w:rsidRDefault="00FB29D0" w:rsidP="00FB29D0"/>
    <w:p w:rsidR="00FB29D0" w:rsidRDefault="00FB29D0" w:rsidP="00FB29D0"/>
    <w:p w:rsidR="00FB29D0" w:rsidRDefault="00FB29D0" w:rsidP="00FB29D0"/>
    <w:p w:rsidR="00FB29D0" w:rsidRDefault="00FB29D0" w:rsidP="00FB29D0"/>
    <w:p w:rsidR="00FB29D0" w:rsidRDefault="00FB29D0" w:rsidP="00FB29D0"/>
    <w:p w:rsidR="00FB29D0" w:rsidRDefault="00FB29D0" w:rsidP="00FB29D0"/>
    <w:p w:rsidR="00FB29D0" w:rsidRDefault="00342F70" w:rsidP="00FB29D0">
      <w:pPr>
        <w:ind w:left="720"/>
      </w:pPr>
      <w:r>
        <w:t xml:space="preserve">* </w:t>
      </w:r>
      <w:r w:rsidR="00E353CF">
        <w:t>*Note tha</w:t>
      </w:r>
      <w:r w:rsidR="00FB29D0" w:rsidRPr="00E86657">
        <w:t>t a rise in interest rates is also likely to result in a rise in inflation expectations which will cause the fair value of index linked investments to rise and partly offset the charge to the Surplus or Deficit on the Provision of Services</w:t>
      </w:r>
      <w:r w:rsidR="00FB29D0">
        <w:t>.</w:t>
      </w:r>
    </w:p>
    <w:p w:rsidR="00FB29D0" w:rsidRDefault="00FB29D0" w:rsidP="00FB29D0">
      <w:pPr>
        <w:ind w:left="720"/>
      </w:pPr>
    </w:p>
    <w:p w:rsidR="00FB29D0" w:rsidRPr="00442EEE" w:rsidRDefault="00FB29D0" w:rsidP="00FB29D0">
      <w:pPr>
        <w:ind w:left="720"/>
        <w:jc w:val="both"/>
      </w:pPr>
      <w:r w:rsidRPr="00442EEE">
        <w:t>The impact of a 1% fall in interest rates would be as above but with the movements being reversed.</w:t>
      </w:r>
    </w:p>
    <w:p w:rsidR="00FB29D0" w:rsidRPr="00442EEE" w:rsidRDefault="00FB29D0" w:rsidP="00FB29D0">
      <w:pPr>
        <w:ind w:left="720"/>
        <w:jc w:val="both"/>
      </w:pPr>
    </w:p>
    <w:p w:rsidR="00E353CF" w:rsidRDefault="00FB29D0" w:rsidP="00FB29D0">
      <w:pPr>
        <w:ind w:left="720"/>
        <w:jc w:val="both"/>
      </w:pPr>
      <w:r w:rsidRPr="00442EEE">
        <w:t xml:space="preserve">The table illustrates the sensitivity inherent in the current portfolio to an interest rate rise. This is the consequence of the current short term borrowing policy which has provided the in year reduction in debt interest costs, and which is being carefully managed having regard to the potential for interest rates to rise. </w:t>
      </w:r>
    </w:p>
    <w:p w:rsidR="00E353CF" w:rsidRDefault="00E353CF" w:rsidP="00FB29D0">
      <w:pPr>
        <w:ind w:left="720"/>
        <w:jc w:val="both"/>
      </w:pPr>
    </w:p>
    <w:p w:rsidR="00FB29D0" w:rsidRPr="00442EEE" w:rsidRDefault="00FB29D0" w:rsidP="00FB29D0">
      <w:pPr>
        <w:ind w:left="720"/>
        <w:jc w:val="both"/>
      </w:pPr>
      <w:r w:rsidRPr="00442EEE">
        <w:t>This risk management process has begun with the inverse LOBO loan outlined above. Regarding the investment portfolio it is anticipated that, in the current environment, any interest rate rises would follow a prolonged period of rising inflation, and therefore the current holding of inflation linked AAA rated bonds would provide some protection against the operating cost inflation risk.</w:t>
      </w:r>
    </w:p>
    <w:p w:rsidR="00FB29D0" w:rsidRPr="00442EEE" w:rsidRDefault="00FB29D0" w:rsidP="00FB29D0">
      <w:pPr>
        <w:ind w:left="720"/>
        <w:jc w:val="both"/>
      </w:pPr>
    </w:p>
    <w:p w:rsidR="00FB29D0" w:rsidRPr="0069229B" w:rsidRDefault="00FB29D0" w:rsidP="0069229B">
      <w:pPr>
        <w:ind w:left="720"/>
        <w:jc w:val="both"/>
        <w:rPr>
          <w:b/>
        </w:rPr>
      </w:pPr>
      <w:r w:rsidRPr="0069229B">
        <w:rPr>
          <w:b/>
        </w:rPr>
        <w:t>Foreign Exchange Risk</w:t>
      </w:r>
    </w:p>
    <w:p w:rsidR="00FB29D0" w:rsidRPr="00442EEE" w:rsidRDefault="00FB29D0" w:rsidP="00FB29D0">
      <w:pPr>
        <w:ind w:left="720"/>
        <w:jc w:val="both"/>
      </w:pPr>
    </w:p>
    <w:p w:rsidR="00FB29D0" w:rsidRPr="00442EEE" w:rsidRDefault="00FB29D0" w:rsidP="0069229B">
      <w:pPr>
        <w:ind w:left="720"/>
        <w:jc w:val="both"/>
      </w:pPr>
      <w:r w:rsidRPr="00442EEE">
        <w:t xml:space="preserve">The Authority has no financial assets or </w:t>
      </w:r>
      <w:r w:rsidR="00F84EDD" w:rsidRPr="00442EEE">
        <w:t>liabilities denominated in foreign currencies and therefore have</w:t>
      </w:r>
      <w:r w:rsidRPr="00442EEE">
        <w:t xml:space="preserve"> no exposure to loss arising from movements in exchange rates.</w:t>
      </w:r>
    </w:p>
    <w:p w:rsidR="00FB29D0" w:rsidRDefault="00FB29D0" w:rsidP="0069229B">
      <w:pPr>
        <w:rPr>
          <w:highlight w:val="yellow"/>
        </w:rPr>
      </w:pPr>
    </w:p>
    <w:p w:rsidR="00A4015A" w:rsidRPr="00286C0E" w:rsidRDefault="00A4015A" w:rsidP="00A4015A">
      <w:pPr>
        <w:ind w:left="426"/>
        <w:rPr>
          <w:highlight w:val="yellow"/>
        </w:rPr>
      </w:pPr>
    </w:p>
    <w:p w:rsidR="00C06D8D" w:rsidRPr="00074140" w:rsidRDefault="00C06D8D" w:rsidP="00BD07E4">
      <w:pPr>
        <w:numPr>
          <w:ilvl w:val="0"/>
          <w:numId w:val="21"/>
        </w:numPr>
        <w:rPr>
          <w:b/>
        </w:rPr>
      </w:pPr>
      <w:r w:rsidRPr="00074140">
        <w:rPr>
          <w:b/>
        </w:rPr>
        <w:t>Euro account</w:t>
      </w:r>
    </w:p>
    <w:p w:rsidR="00C06D8D" w:rsidRPr="00286C0E" w:rsidRDefault="00C06D8D" w:rsidP="00C06D8D">
      <w:pPr>
        <w:rPr>
          <w:b/>
          <w:highlight w:val="yellow"/>
        </w:rPr>
      </w:pPr>
    </w:p>
    <w:p w:rsidR="00074140" w:rsidRPr="00442EEE" w:rsidRDefault="00074140" w:rsidP="00074140">
      <w:pPr>
        <w:ind w:left="720"/>
        <w:jc w:val="both"/>
        <w:rPr>
          <w:snapToGrid w:val="0"/>
          <w:lang w:eastAsia="en-US"/>
        </w:rPr>
      </w:pPr>
      <w:r w:rsidRPr="00442EEE">
        <w:t>In addition to the amounts shown on the balance sheet, we are responsi</w:t>
      </w:r>
      <w:r w:rsidR="003707DC">
        <w:t xml:space="preserve">ble for a small cash balance in </w:t>
      </w:r>
      <w:r w:rsidRPr="00442EEE">
        <w:t>euros. This is held in a separate bank account</w:t>
      </w:r>
      <w:r w:rsidRPr="00442EEE">
        <w:rPr>
          <w:snapToGrid w:val="0"/>
          <w:lang w:eastAsia="en-US"/>
        </w:rPr>
        <w:t xml:space="preserve"> on behalf of overseas partner organisations.</w:t>
      </w:r>
      <w:r w:rsidRPr="00442EEE">
        <w:t xml:space="preserve"> </w:t>
      </w:r>
      <w:r>
        <w:rPr>
          <w:snapToGrid w:val="0"/>
          <w:lang w:eastAsia="en-US"/>
        </w:rPr>
        <w:t>On 31 March 2012</w:t>
      </w:r>
      <w:r w:rsidRPr="00442EEE">
        <w:rPr>
          <w:snapToGrid w:val="0"/>
          <w:lang w:eastAsia="en-US"/>
        </w:rPr>
        <w:t xml:space="preserve"> t</w:t>
      </w:r>
      <w:r w:rsidRPr="00442EEE">
        <w:t xml:space="preserve">he balance in this account was </w:t>
      </w:r>
      <w:r w:rsidRPr="00442EEE">
        <w:rPr>
          <w:snapToGrid w:val="0"/>
          <w:lang w:eastAsia="en-US"/>
        </w:rPr>
        <w:t>€2</w:t>
      </w:r>
      <w:r>
        <w:rPr>
          <w:snapToGrid w:val="0"/>
          <w:lang w:eastAsia="en-US"/>
        </w:rPr>
        <w:t>57.98</w:t>
      </w:r>
      <w:r w:rsidRPr="00442EEE">
        <w:rPr>
          <w:snapToGrid w:val="0"/>
          <w:lang w:eastAsia="en-US"/>
        </w:rPr>
        <w:t xml:space="preserve"> (£</w:t>
      </w:r>
      <w:r>
        <w:rPr>
          <w:snapToGrid w:val="0"/>
          <w:lang w:eastAsia="en-US"/>
        </w:rPr>
        <w:t>215.15</w:t>
      </w:r>
      <w:r w:rsidRPr="00442EEE">
        <w:rPr>
          <w:snapToGrid w:val="0"/>
          <w:lang w:eastAsia="en-US"/>
        </w:rPr>
        <w:t>).</w:t>
      </w:r>
    </w:p>
    <w:p w:rsidR="00F84EDD" w:rsidRDefault="00F84EDD">
      <w:pPr>
        <w:rPr>
          <w:highlight w:val="yellow"/>
        </w:rPr>
      </w:pPr>
      <w:r>
        <w:rPr>
          <w:highlight w:val="yellow"/>
        </w:rPr>
        <w:br w:type="page"/>
      </w:r>
    </w:p>
    <w:p w:rsidR="009C46E9" w:rsidRPr="00286C0E" w:rsidRDefault="009C46E9" w:rsidP="0099529E">
      <w:pPr>
        <w:spacing w:after="240"/>
        <w:rPr>
          <w:highlight w:val="yellow"/>
        </w:rPr>
      </w:pPr>
    </w:p>
    <w:p w:rsidR="00F454EC" w:rsidRPr="00F2739E" w:rsidRDefault="00F454EC" w:rsidP="00BD07E4">
      <w:pPr>
        <w:numPr>
          <w:ilvl w:val="0"/>
          <w:numId w:val="21"/>
        </w:numPr>
        <w:spacing w:after="240"/>
        <w:rPr>
          <w:b/>
        </w:rPr>
      </w:pPr>
      <w:r w:rsidRPr="00F2739E">
        <w:rPr>
          <w:b/>
        </w:rPr>
        <w:t xml:space="preserve">Construction Contracts </w:t>
      </w:r>
    </w:p>
    <w:p w:rsidR="00B273CA" w:rsidRPr="00F2739E" w:rsidRDefault="00B273CA" w:rsidP="00B273CA">
      <w:pPr>
        <w:spacing w:after="240"/>
        <w:ind w:left="720"/>
        <w:rPr>
          <w:b/>
          <w:u w:val="single"/>
        </w:rPr>
      </w:pPr>
      <w:r w:rsidRPr="00F2739E">
        <w:rPr>
          <w:b/>
          <w:u w:val="single"/>
        </w:rPr>
        <w:t>Highways Model 3 Section 278 Agreements</w:t>
      </w:r>
    </w:p>
    <w:p w:rsidR="00FD6D42" w:rsidRDefault="00FD6D42" w:rsidP="00FD6D42">
      <w:pPr>
        <w:autoSpaceDE w:val="0"/>
        <w:autoSpaceDN w:val="0"/>
        <w:adjustRightInd w:val="0"/>
      </w:pPr>
      <w:r>
        <w:t>At 31</w:t>
      </w:r>
      <w:r w:rsidRPr="00F2739E">
        <w:t xml:space="preserve"> March 2012 the Authority had 98 construction contracts in progress: these were Model 3 - Section 278 agreements in which work is carried out on the existing adopted highway for the benefit of a third party usually 100% funded by the third party (e.g. new supermarket).  </w:t>
      </w:r>
    </w:p>
    <w:p w:rsidR="00FD6D42" w:rsidRDefault="00FD6D42" w:rsidP="00FD6D42">
      <w:pPr>
        <w:autoSpaceDE w:val="0"/>
        <w:autoSpaceDN w:val="0"/>
        <w:adjustRightInd w:val="0"/>
      </w:pPr>
    </w:p>
    <w:p w:rsidR="00FD6D42" w:rsidRDefault="00FD6D42" w:rsidP="00FD6D42">
      <w:pPr>
        <w:autoSpaceDE w:val="0"/>
        <w:autoSpaceDN w:val="0"/>
        <w:adjustRightInd w:val="0"/>
      </w:pPr>
      <w:r w:rsidRPr="00F2739E">
        <w:t xml:space="preserve">The value of the work completed at 31 March 2012 has been established by measuring the costs that have been incurred to date. Contract costs have been recognised as an expense when incurred and revenue has been recognised only to the extent of the contract costs incurred and that it is probable the revenue will </w:t>
      </w:r>
      <w:r w:rsidRPr="00A64B73">
        <w:t>be recoverable.  In both cases, any expected contract losses have been recognised immediately.  The completeness of the contracts is measured as part of the authority capital monitoring process.  The value of work due to complete is deemed to be the value paid in advance by developers, on the basis of detailed estimates provided to the developer by the county council for the works to be undertaken.</w:t>
      </w:r>
      <w:r>
        <w:t xml:space="preserve">  </w:t>
      </w:r>
      <w:r w:rsidRPr="00F2739E">
        <w:t>The amount due in rel</w:t>
      </w:r>
      <w:r>
        <w:t>ation to these contracts at 31</w:t>
      </w:r>
      <w:r w:rsidRPr="00F2739E">
        <w:t xml:space="preserve"> March 2012 is </w:t>
      </w:r>
      <w:r>
        <w:t>detailed in the table below.</w:t>
      </w:r>
    </w:p>
    <w:p w:rsidR="00F2739E" w:rsidRDefault="00F2739E" w:rsidP="00B273CA">
      <w:pPr>
        <w:autoSpaceDE w:val="0"/>
        <w:autoSpaceDN w:val="0"/>
        <w:adjustRightInd w:val="0"/>
        <w:ind w:left="720"/>
        <w:rPr>
          <w:highlight w:val="yellow"/>
        </w:rPr>
      </w:pPr>
    </w:p>
    <w:tbl>
      <w:tblPr>
        <w:tblW w:w="7337" w:type="dxa"/>
        <w:jc w:val="center"/>
        <w:tblLook w:val="04A0"/>
      </w:tblPr>
      <w:tblGrid>
        <w:gridCol w:w="4139"/>
        <w:gridCol w:w="3198"/>
      </w:tblGrid>
      <w:tr w:rsidR="00F2739E" w:rsidRPr="00F2739E" w:rsidTr="00481144">
        <w:trPr>
          <w:trHeight w:val="617"/>
          <w:jc w:val="center"/>
        </w:trPr>
        <w:tc>
          <w:tcPr>
            <w:tcW w:w="4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39E" w:rsidRPr="00F2739E" w:rsidRDefault="00F2739E" w:rsidP="00F2739E">
            <w:pPr>
              <w:rPr>
                <w:color w:val="000000"/>
              </w:rPr>
            </w:pPr>
            <w:r w:rsidRPr="00F2739E">
              <w:rPr>
                <w:color w:val="000000"/>
              </w:rPr>
              <w:t> </w:t>
            </w:r>
          </w:p>
        </w:tc>
        <w:tc>
          <w:tcPr>
            <w:tcW w:w="3198" w:type="dxa"/>
            <w:tcBorders>
              <w:top w:val="single" w:sz="4" w:space="0" w:color="auto"/>
              <w:left w:val="nil"/>
              <w:bottom w:val="single" w:sz="4" w:space="0" w:color="auto"/>
              <w:right w:val="single" w:sz="4" w:space="0" w:color="auto"/>
            </w:tcBorders>
            <w:shd w:val="clear" w:color="auto" w:fill="auto"/>
            <w:vAlign w:val="bottom"/>
            <w:hideMark/>
          </w:tcPr>
          <w:p w:rsidR="00F2739E" w:rsidRPr="00F2739E" w:rsidRDefault="00F2739E" w:rsidP="00F2739E">
            <w:pPr>
              <w:jc w:val="center"/>
              <w:rPr>
                <w:b/>
                <w:bCs/>
                <w:color w:val="000000"/>
              </w:rPr>
            </w:pPr>
            <w:r w:rsidRPr="00F2739E">
              <w:rPr>
                <w:b/>
                <w:bCs/>
                <w:color w:val="000000"/>
              </w:rPr>
              <w:t>Highways Model 3 - Section 278 Agreements</w:t>
            </w:r>
          </w:p>
        </w:tc>
      </w:tr>
      <w:tr w:rsidR="00F2739E" w:rsidRPr="00F2739E" w:rsidTr="00481144">
        <w:trPr>
          <w:trHeight w:val="206"/>
          <w:jc w:val="center"/>
        </w:trPr>
        <w:tc>
          <w:tcPr>
            <w:tcW w:w="4139" w:type="dxa"/>
            <w:tcBorders>
              <w:top w:val="nil"/>
              <w:left w:val="single" w:sz="4" w:space="0" w:color="auto"/>
              <w:bottom w:val="single" w:sz="4" w:space="0" w:color="auto"/>
              <w:right w:val="single" w:sz="4" w:space="0" w:color="auto"/>
            </w:tcBorders>
            <w:shd w:val="clear" w:color="auto" w:fill="auto"/>
            <w:noWrap/>
            <w:vAlign w:val="bottom"/>
            <w:hideMark/>
          </w:tcPr>
          <w:p w:rsidR="00F2739E" w:rsidRPr="00F2739E" w:rsidRDefault="00F2739E" w:rsidP="00F2739E">
            <w:pPr>
              <w:rPr>
                <w:color w:val="000000"/>
              </w:rPr>
            </w:pPr>
            <w:r w:rsidRPr="00F2739E">
              <w:rPr>
                <w:color w:val="000000"/>
              </w:rPr>
              <w:t> </w:t>
            </w:r>
          </w:p>
        </w:tc>
        <w:tc>
          <w:tcPr>
            <w:tcW w:w="3198" w:type="dxa"/>
            <w:tcBorders>
              <w:top w:val="nil"/>
              <w:left w:val="nil"/>
              <w:bottom w:val="single" w:sz="4" w:space="0" w:color="auto"/>
              <w:right w:val="single" w:sz="4" w:space="0" w:color="auto"/>
            </w:tcBorders>
            <w:shd w:val="clear" w:color="auto" w:fill="auto"/>
            <w:vAlign w:val="bottom"/>
            <w:hideMark/>
          </w:tcPr>
          <w:p w:rsidR="00F2739E" w:rsidRPr="00F2739E" w:rsidRDefault="00F2739E" w:rsidP="00F2739E">
            <w:pPr>
              <w:jc w:val="center"/>
              <w:rPr>
                <w:b/>
                <w:bCs/>
                <w:color w:val="000000"/>
              </w:rPr>
            </w:pPr>
            <w:r w:rsidRPr="00F2739E">
              <w:rPr>
                <w:b/>
                <w:bCs/>
                <w:color w:val="000000"/>
              </w:rPr>
              <w:t>£000</w:t>
            </w:r>
          </w:p>
        </w:tc>
      </w:tr>
      <w:tr w:rsidR="00F2739E" w:rsidRPr="00F2739E" w:rsidTr="00481144">
        <w:trPr>
          <w:trHeight w:val="196"/>
          <w:jc w:val="center"/>
        </w:trPr>
        <w:tc>
          <w:tcPr>
            <w:tcW w:w="4139" w:type="dxa"/>
            <w:tcBorders>
              <w:top w:val="nil"/>
              <w:left w:val="single" w:sz="4" w:space="0" w:color="auto"/>
              <w:bottom w:val="single" w:sz="4" w:space="0" w:color="auto"/>
              <w:right w:val="single" w:sz="4" w:space="0" w:color="auto"/>
            </w:tcBorders>
            <w:shd w:val="clear" w:color="auto" w:fill="auto"/>
            <w:noWrap/>
            <w:vAlign w:val="bottom"/>
            <w:hideMark/>
          </w:tcPr>
          <w:p w:rsidR="00F2739E" w:rsidRPr="00F2739E" w:rsidRDefault="00F2739E" w:rsidP="00F2739E">
            <w:pPr>
              <w:rPr>
                <w:color w:val="000000"/>
              </w:rPr>
            </w:pPr>
            <w:r w:rsidRPr="00F2739E">
              <w:rPr>
                <w:color w:val="000000"/>
              </w:rPr>
              <w:t>Costs Incurred to Date</w:t>
            </w:r>
          </w:p>
        </w:tc>
        <w:tc>
          <w:tcPr>
            <w:tcW w:w="3198" w:type="dxa"/>
            <w:tcBorders>
              <w:top w:val="nil"/>
              <w:left w:val="nil"/>
              <w:bottom w:val="single" w:sz="4" w:space="0" w:color="auto"/>
              <w:right w:val="single" w:sz="4" w:space="0" w:color="auto"/>
            </w:tcBorders>
            <w:shd w:val="clear" w:color="auto" w:fill="auto"/>
            <w:noWrap/>
            <w:vAlign w:val="bottom"/>
            <w:hideMark/>
          </w:tcPr>
          <w:p w:rsidR="00F2739E" w:rsidRPr="00F2739E" w:rsidRDefault="00F2739E" w:rsidP="00F2739E">
            <w:pPr>
              <w:rPr>
                <w:color w:val="000000"/>
              </w:rPr>
            </w:pPr>
            <w:r w:rsidRPr="00F2739E">
              <w:rPr>
                <w:color w:val="000000"/>
              </w:rPr>
              <w:t xml:space="preserve">                   34,480 </w:t>
            </w:r>
          </w:p>
        </w:tc>
      </w:tr>
      <w:tr w:rsidR="00F2739E" w:rsidRPr="00F2739E" w:rsidTr="00481144">
        <w:trPr>
          <w:trHeight w:val="196"/>
          <w:jc w:val="center"/>
        </w:trPr>
        <w:tc>
          <w:tcPr>
            <w:tcW w:w="4139" w:type="dxa"/>
            <w:tcBorders>
              <w:top w:val="nil"/>
              <w:left w:val="single" w:sz="4" w:space="0" w:color="auto"/>
              <w:bottom w:val="single" w:sz="4" w:space="0" w:color="auto"/>
              <w:right w:val="single" w:sz="4" w:space="0" w:color="auto"/>
            </w:tcBorders>
            <w:shd w:val="clear" w:color="auto" w:fill="auto"/>
            <w:noWrap/>
            <w:vAlign w:val="bottom"/>
            <w:hideMark/>
          </w:tcPr>
          <w:p w:rsidR="00F2739E" w:rsidRPr="00F2739E" w:rsidRDefault="00F2739E" w:rsidP="00F2739E">
            <w:pPr>
              <w:rPr>
                <w:color w:val="000000"/>
              </w:rPr>
            </w:pPr>
            <w:r w:rsidRPr="00F2739E">
              <w:rPr>
                <w:color w:val="000000"/>
              </w:rPr>
              <w:t> </w:t>
            </w:r>
          </w:p>
        </w:tc>
        <w:tc>
          <w:tcPr>
            <w:tcW w:w="3198" w:type="dxa"/>
            <w:tcBorders>
              <w:top w:val="nil"/>
              <w:left w:val="nil"/>
              <w:bottom w:val="single" w:sz="4" w:space="0" w:color="auto"/>
              <w:right w:val="single" w:sz="4" w:space="0" w:color="auto"/>
            </w:tcBorders>
            <w:shd w:val="clear" w:color="auto" w:fill="auto"/>
            <w:noWrap/>
            <w:vAlign w:val="bottom"/>
            <w:hideMark/>
          </w:tcPr>
          <w:p w:rsidR="00F2739E" w:rsidRPr="00F2739E" w:rsidRDefault="00F2739E" w:rsidP="00F2739E">
            <w:pPr>
              <w:rPr>
                <w:color w:val="000000"/>
              </w:rPr>
            </w:pPr>
            <w:r w:rsidRPr="00F2739E">
              <w:rPr>
                <w:color w:val="000000"/>
              </w:rPr>
              <w:t> </w:t>
            </w:r>
          </w:p>
        </w:tc>
      </w:tr>
      <w:tr w:rsidR="00F2739E" w:rsidRPr="00F2739E" w:rsidTr="00481144">
        <w:trPr>
          <w:trHeight w:val="196"/>
          <w:jc w:val="center"/>
        </w:trPr>
        <w:tc>
          <w:tcPr>
            <w:tcW w:w="4139" w:type="dxa"/>
            <w:tcBorders>
              <w:top w:val="nil"/>
              <w:left w:val="single" w:sz="4" w:space="0" w:color="auto"/>
              <w:bottom w:val="single" w:sz="4" w:space="0" w:color="auto"/>
              <w:right w:val="single" w:sz="4" w:space="0" w:color="auto"/>
            </w:tcBorders>
            <w:shd w:val="clear" w:color="auto" w:fill="auto"/>
            <w:noWrap/>
            <w:vAlign w:val="bottom"/>
            <w:hideMark/>
          </w:tcPr>
          <w:p w:rsidR="00F2739E" w:rsidRPr="00F2739E" w:rsidRDefault="00F2739E" w:rsidP="00F2739E">
            <w:pPr>
              <w:rPr>
                <w:color w:val="000000"/>
              </w:rPr>
            </w:pPr>
            <w:r w:rsidRPr="00F2739E">
              <w:rPr>
                <w:color w:val="000000"/>
              </w:rPr>
              <w:t>Revenue Recognised</w:t>
            </w:r>
          </w:p>
        </w:tc>
        <w:tc>
          <w:tcPr>
            <w:tcW w:w="3198" w:type="dxa"/>
            <w:tcBorders>
              <w:top w:val="nil"/>
              <w:left w:val="nil"/>
              <w:bottom w:val="single" w:sz="4" w:space="0" w:color="auto"/>
              <w:right w:val="single" w:sz="4" w:space="0" w:color="auto"/>
            </w:tcBorders>
            <w:shd w:val="clear" w:color="auto" w:fill="auto"/>
            <w:noWrap/>
            <w:vAlign w:val="bottom"/>
            <w:hideMark/>
          </w:tcPr>
          <w:p w:rsidR="00F2739E" w:rsidRPr="00F2739E" w:rsidRDefault="00F2739E" w:rsidP="00F2739E">
            <w:pPr>
              <w:rPr>
                <w:color w:val="000000"/>
              </w:rPr>
            </w:pPr>
            <w:r w:rsidRPr="00F2739E">
              <w:rPr>
                <w:color w:val="000000"/>
              </w:rPr>
              <w:t> </w:t>
            </w:r>
          </w:p>
        </w:tc>
      </w:tr>
      <w:tr w:rsidR="00F2739E" w:rsidRPr="00F2739E" w:rsidTr="00481144">
        <w:trPr>
          <w:trHeight w:val="196"/>
          <w:jc w:val="center"/>
        </w:trPr>
        <w:tc>
          <w:tcPr>
            <w:tcW w:w="4139" w:type="dxa"/>
            <w:tcBorders>
              <w:top w:val="nil"/>
              <w:left w:val="single" w:sz="4" w:space="0" w:color="auto"/>
              <w:bottom w:val="single" w:sz="4" w:space="0" w:color="auto"/>
              <w:right w:val="single" w:sz="4" w:space="0" w:color="auto"/>
            </w:tcBorders>
            <w:shd w:val="clear" w:color="auto" w:fill="auto"/>
            <w:noWrap/>
            <w:vAlign w:val="bottom"/>
            <w:hideMark/>
          </w:tcPr>
          <w:p w:rsidR="00F2739E" w:rsidRPr="00F2739E" w:rsidRDefault="00F2739E" w:rsidP="00F2739E">
            <w:pPr>
              <w:rPr>
                <w:color w:val="000000"/>
              </w:rPr>
            </w:pPr>
            <w:r w:rsidRPr="00F2739E">
              <w:rPr>
                <w:color w:val="000000"/>
              </w:rPr>
              <w:t>Before April 2011</w:t>
            </w:r>
          </w:p>
        </w:tc>
        <w:tc>
          <w:tcPr>
            <w:tcW w:w="3198" w:type="dxa"/>
            <w:tcBorders>
              <w:top w:val="nil"/>
              <w:left w:val="nil"/>
              <w:bottom w:val="single" w:sz="4" w:space="0" w:color="auto"/>
              <w:right w:val="single" w:sz="4" w:space="0" w:color="auto"/>
            </w:tcBorders>
            <w:shd w:val="clear" w:color="auto" w:fill="auto"/>
            <w:noWrap/>
            <w:vAlign w:val="bottom"/>
            <w:hideMark/>
          </w:tcPr>
          <w:p w:rsidR="00F2739E" w:rsidRPr="00F2739E" w:rsidRDefault="00F2739E" w:rsidP="00F2739E">
            <w:pPr>
              <w:rPr>
                <w:color w:val="000000"/>
              </w:rPr>
            </w:pPr>
            <w:r w:rsidRPr="00F2739E">
              <w:rPr>
                <w:color w:val="000000"/>
              </w:rPr>
              <w:t xml:space="preserve">                   31,219 </w:t>
            </w:r>
          </w:p>
        </w:tc>
      </w:tr>
      <w:tr w:rsidR="00F2739E" w:rsidRPr="00F2739E" w:rsidTr="00481144">
        <w:trPr>
          <w:trHeight w:val="196"/>
          <w:jc w:val="center"/>
        </w:trPr>
        <w:tc>
          <w:tcPr>
            <w:tcW w:w="4139" w:type="dxa"/>
            <w:tcBorders>
              <w:top w:val="nil"/>
              <w:left w:val="single" w:sz="4" w:space="0" w:color="auto"/>
              <w:bottom w:val="single" w:sz="4" w:space="0" w:color="auto"/>
              <w:right w:val="single" w:sz="4" w:space="0" w:color="auto"/>
            </w:tcBorders>
            <w:shd w:val="clear" w:color="auto" w:fill="auto"/>
            <w:noWrap/>
            <w:vAlign w:val="bottom"/>
            <w:hideMark/>
          </w:tcPr>
          <w:p w:rsidR="00F2739E" w:rsidRPr="00F2739E" w:rsidRDefault="00F2739E" w:rsidP="00F2739E">
            <w:pPr>
              <w:rPr>
                <w:color w:val="000000"/>
              </w:rPr>
            </w:pPr>
            <w:r w:rsidRPr="00F2739E">
              <w:rPr>
                <w:color w:val="000000"/>
              </w:rPr>
              <w:t>During 2011/12</w:t>
            </w:r>
          </w:p>
        </w:tc>
        <w:tc>
          <w:tcPr>
            <w:tcW w:w="3198" w:type="dxa"/>
            <w:tcBorders>
              <w:top w:val="nil"/>
              <w:left w:val="nil"/>
              <w:bottom w:val="single" w:sz="4" w:space="0" w:color="auto"/>
              <w:right w:val="single" w:sz="4" w:space="0" w:color="auto"/>
            </w:tcBorders>
            <w:shd w:val="clear" w:color="auto" w:fill="auto"/>
            <w:noWrap/>
            <w:vAlign w:val="bottom"/>
            <w:hideMark/>
          </w:tcPr>
          <w:p w:rsidR="00F2739E" w:rsidRPr="00F2739E" w:rsidRDefault="00F2739E" w:rsidP="00F2739E">
            <w:pPr>
              <w:rPr>
                <w:color w:val="000000"/>
              </w:rPr>
            </w:pPr>
            <w:r w:rsidRPr="00F2739E">
              <w:rPr>
                <w:color w:val="000000"/>
              </w:rPr>
              <w:t xml:space="preserve">                     3,142 </w:t>
            </w:r>
          </w:p>
        </w:tc>
      </w:tr>
      <w:tr w:rsidR="00F2739E" w:rsidRPr="00F2739E" w:rsidTr="00481144">
        <w:trPr>
          <w:trHeight w:val="206"/>
          <w:jc w:val="center"/>
        </w:trPr>
        <w:tc>
          <w:tcPr>
            <w:tcW w:w="4139" w:type="dxa"/>
            <w:tcBorders>
              <w:top w:val="nil"/>
              <w:left w:val="single" w:sz="4" w:space="0" w:color="auto"/>
              <w:bottom w:val="single" w:sz="4" w:space="0" w:color="auto"/>
              <w:right w:val="single" w:sz="4" w:space="0" w:color="auto"/>
            </w:tcBorders>
            <w:shd w:val="clear" w:color="auto" w:fill="auto"/>
            <w:noWrap/>
            <w:vAlign w:val="bottom"/>
            <w:hideMark/>
          </w:tcPr>
          <w:p w:rsidR="00F2739E" w:rsidRPr="00F2739E" w:rsidRDefault="00F2739E" w:rsidP="00F2739E">
            <w:pPr>
              <w:rPr>
                <w:b/>
                <w:bCs/>
                <w:color w:val="000000"/>
              </w:rPr>
            </w:pPr>
            <w:r w:rsidRPr="00F2739E">
              <w:rPr>
                <w:b/>
                <w:bCs/>
                <w:color w:val="000000"/>
              </w:rPr>
              <w:t>Loss</w:t>
            </w:r>
          </w:p>
        </w:tc>
        <w:tc>
          <w:tcPr>
            <w:tcW w:w="3198" w:type="dxa"/>
            <w:tcBorders>
              <w:top w:val="nil"/>
              <w:left w:val="nil"/>
              <w:bottom w:val="single" w:sz="4" w:space="0" w:color="auto"/>
              <w:right w:val="single" w:sz="4" w:space="0" w:color="auto"/>
            </w:tcBorders>
            <w:shd w:val="clear" w:color="auto" w:fill="auto"/>
            <w:noWrap/>
            <w:vAlign w:val="bottom"/>
            <w:hideMark/>
          </w:tcPr>
          <w:p w:rsidR="00F2739E" w:rsidRPr="00F2739E" w:rsidRDefault="00F2739E" w:rsidP="00F2739E">
            <w:pPr>
              <w:rPr>
                <w:b/>
                <w:bCs/>
                <w:color w:val="000000"/>
              </w:rPr>
            </w:pPr>
            <w:r w:rsidRPr="00F2739E">
              <w:rPr>
                <w:b/>
                <w:bCs/>
                <w:color w:val="000000"/>
              </w:rPr>
              <w:t xml:space="preserve">                        119 </w:t>
            </w:r>
          </w:p>
        </w:tc>
      </w:tr>
      <w:tr w:rsidR="00F2739E" w:rsidRPr="00F2739E" w:rsidTr="00481144">
        <w:trPr>
          <w:trHeight w:val="196"/>
          <w:jc w:val="center"/>
        </w:trPr>
        <w:tc>
          <w:tcPr>
            <w:tcW w:w="4139" w:type="dxa"/>
            <w:tcBorders>
              <w:top w:val="nil"/>
              <w:left w:val="single" w:sz="4" w:space="0" w:color="auto"/>
              <w:bottom w:val="single" w:sz="4" w:space="0" w:color="auto"/>
              <w:right w:val="single" w:sz="4" w:space="0" w:color="auto"/>
            </w:tcBorders>
            <w:shd w:val="clear" w:color="auto" w:fill="auto"/>
            <w:noWrap/>
            <w:vAlign w:val="bottom"/>
            <w:hideMark/>
          </w:tcPr>
          <w:p w:rsidR="00F2739E" w:rsidRPr="00F2739E" w:rsidRDefault="00F2739E" w:rsidP="00F2739E">
            <w:pPr>
              <w:rPr>
                <w:color w:val="000000"/>
              </w:rPr>
            </w:pPr>
            <w:r w:rsidRPr="00F2739E">
              <w:rPr>
                <w:color w:val="000000"/>
              </w:rPr>
              <w:t> </w:t>
            </w:r>
          </w:p>
        </w:tc>
        <w:tc>
          <w:tcPr>
            <w:tcW w:w="3198" w:type="dxa"/>
            <w:tcBorders>
              <w:top w:val="nil"/>
              <w:left w:val="nil"/>
              <w:bottom w:val="single" w:sz="4" w:space="0" w:color="auto"/>
              <w:right w:val="single" w:sz="4" w:space="0" w:color="auto"/>
            </w:tcBorders>
            <w:shd w:val="clear" w:color="auto" w:fill="auto"/>
            <w:noWrap/>
            <w:vAlign w:val="bottom"/>
            <w:hideMark/>
          </w:tcPr>
          <w:p w:rsidR="00F2739E" w:rsidRPr="00F2739E" w:rsidRDefault="00F2739E" w:rsidP="00F2739E">
            <w:pPr>
              <w:rPr>
                <w:color w:val="000000"/>
              </w:rPr>
            </w:pPr>
            <w:r w:rsidRPr="00F2739E">
              <w:rPr>
                <w:color w:val="000000"/>
              </w:rPr>
              <w:t> </w:t>
            </w:r>
          </w:p>
        </w:tc>
      </w:tr>
      <w:tr w:rsidR="00F2739E" w:rsidRPr="00F2739E" w:rsidTr="00481144">
        <w:trPr>
          <w:trHeight w:val="196"/>
          <w:jc w:val="center"/>
        </w:trPr>
        <w:tc>
          <w:tcPr>
            <w:tcW w:w="4139" w:type="dxa"/>
            <w:tcBorders>
              <w:top w:val="nil"/>
              <w:left w:val="single" w:sz="4" w:space="0" w:color="auto"/>
              <w:bottom w:val="single" w:sz="4" w:space="0" w:color="auto"/>
              <w:right w:val="single" w:sz="4" w:space="0" w:color="auto"/>
            </w:tcBorders>
            <w:shd w:val="clear" w:color="auto" w:fill="auto"/>
            <w:noWrap/>
            <w:vAlign w:val="bottom"/>
            <w:hideMark/>
          </w:tcPr>
          <w:p w:rsidR="00F2739E" w:rsidRPr="00F2739E" w:rsidRDefault="00F2739E" w:rsidP="00F2739E">
            <w:pPr>
              <w:rPr>
                <w:color w:val="000000"/>
              </w:rPr>
            </w:pPr>
            <w:r w:rsidRPr="00F2739E">
              <w:rPr>
                <w:color w:val="000000"/>
              </w:rPr>
              <w:t>Advances Received</w:t>
            </w:r>
          </w:p>
        </w:tc>
        <w:tc>
          <w:tcPr>
            <w:tcW w:w="3198" w:type="dxa"/>
            <w:tcBorders>
              <w:top w:val="nil"/>
              <w:left w:val="nil"/>
              <w:bottom w:val="single" w:sz="4" w:space="0" w:color="auto"/>
              <w:right w:val="single" w:sz="4" w:space="0" w:color="auto"/>
            </w:tcBorders>
            <w:shd w:val="clear" w:color="auto" w:fill="auto"/>
            <w:noWrap/>
            <w:vAlign w:val="bottom"/>
            <w:hideMark/>
          </w:tcPr>
          <w:p w:rsidR="00F2739E" w:rsidRPr="00F2739E" w:rsidRDefault="00F2739E" w:rsidP="00372C56">
            <w:pPr>
              <w:rPr>
                <w:color w:val="000000"/>
              </w:rPr>
            </w:pPr>
            <w:r w:rsidRPr="00F2739E">
              <w:rPr>
                <w:color w:val="000000"/>
              </w:rPr>
              <w:t xml:space="preserve">          </w:t>
            </w:r>
            <w:r w:rsidR="00372C56">
              <w:rPr>
                <w:color w:val="000000"/>
              </w:rPr>
              <w:t xml:space="preserve">          (</w:t>
            </w:r>
            <w:r w:rsidRPr="00F2739E">
              <w:rPr>
                <w:color w:val="000000"/>
              </w:rPr>
              <w:t>4,898</w:t>
            </w:r>
            <w:r w:rsidR="00372C56">
              <w:rPr>
                <w:color w:val="000000"/>
              </w:rPr>
              <w:t>)</w:t>
            </w:r>
            <w:r w:rsidRPr="00F2739E">
              <w:rPr>
                <w:color w:val="000000"/>
              </w:rPr>
              <w:t xml:space="preserve"> </w:t>
            </w:r>
          </w:p>
        </w:tc>
      </w:tr>
      <w:tr w:rsidR="00F2739E" w:rsidRPr="00F2739E" w:rsidTr="00481144">
        <w:trPr>
          <w:trHeight w:val="196"/>
          <w:jc w:val="center"/>
        </w:trPr>
        <w:tc>
          <w:tcPr>
            <w:tcW w:w="4139" w:type="dxa"/>
            <w:tcBorders>
              <w:top w:val="nil"/>
              <w:left w:val="single" w:sz="4" w:space="0" w:color="auto"/>
              <w:bottom w:val="single" w:sz="4" w:space="0" w:color="auto"/>
              <w:right w:val="single" w:sz="4" w:space="0" w:color="auto"/>
            </w:tcBorders>
            <w:shd w:val="clear" w:color="auto" w:fill="auto"/>
            <w:noWrap/>
            <w:vAlign w:val="bottom"/>
            <w:hideMark/>
          </w:tcPr>
          <w:p w:rsidR="00F2739E" w:rsidRPr="00F2739E" w:rsidRDefault="00F2739E" w:rsidP="00F2739E">
            <w:pPr>
              <w:rPr>
                <w:color w:val="000000"/>
              </w:rPr>
            </w:pPr>
            <w:r w:rsidRPr="00F2739E">
              <w:rPr>
                <w:color w:val="000000"/>
              </w:rPr>
              <w:t>Works to be Completed</w:t>
            </w:r>
          </w:p>
        </w:tc>
        <w:tc>
          <w:tcPr>
            <w:tcW w:w="3198" w:type="dxa"/>
            <w:tcBorders>
              <w:top w:val="nil"/>
              <w:left w:val="nil"/>
              <w:bottom w:val="single" w:sz="4" w:space="0" w:color="auto"/>
              <w:right w:val="single" w:sz="4" w:space="0" w:color="auto"/>
            </w:tcBorders>
            <w:shd w:val="clear" w:color="auto" w:fill="auto"/>
            <w:noWrap/>
            <w:vAlign w:val="bottom"/>
            <w:hideMark/>
          </w:tcPr>
          <w:p w:rsidR="00F2739E" w:rsidRPr="00F2739E" w:rsidRDefault="00F2739E" w:rsidP="00F2739E">
            <w:pPr>
              <w:rPr>
                <w:color w:val="000000"/>
              </w:rPr>
            </w:pPr>
            <w:r w:rsidRPr="00F2739E">
              <w:rPr>
                <w:color w:val="000000"/>
              </w:rPr>
              <w:t xml:space="preserve">                   </w:t>
            </w:r>
            <w:r w:rsidR="00372C56">
              <w:rPr>
                <w:color w:val="000000"/>
              </w:rPr>
              <w:t xml:space="preserve"> (</w:t>
            </w:r>
            <w:r w:rsidRPr="00F2739E">
              <w:rPr>
                <w:color w:val="000000"/>
              </w:rPr>
              <w:t>4,898</w:t>
            </w:r>
            <w:r w:rsidR="00372C56">
              <w:rPr>
                <w:color w:val="000000"/>
              </w:rPr>
              <w:t>)</w:t>
            </w:r>
            <w:r w:rsidRPr="00F2739E">
              <w:rPr>
                <w:color w:val="000000"/>
              </w:rPr>
              <w:t xml:space="preserve"> </w:t>
            </w:r>
          </w:p>
        </w:tc>
      </w:tr>
      <w:tr w:rsidR="00F2739E" w:rsidRPr="00F2739E" w:rsidTr="00481144">
        <w:trPr>
          <w:trHeight w:val="206"/>
          <w:jc w:val="center"/>
        </w:trPr>
        <w:tc>
          <w:tcPr>
            <w:tcW w:w="4139" w:type="dxa"/>
            <w:tcBorders>
              <w:top w:val="nil"/>
              <w:left w:val="single" w:sz="4" w:space="0" w:color="auto"/>
              <w:bottom w:val="single" w:sz="4" w:space="0" w:color="auto"/>
              <w:right w:val="single" w:sz="4" w:space="0" w:color="auto"/>
            </w:tcBorders>
            <w:shd w:val="clear" w:color="auto" w:fill="auto"/>
            <w:noWrap/>
            <w:vAlign w:val="bottom"/>
            <w:hideMark/>
          </w:tcPr>
          <w:p w:rsidR="00F2739E" w:rsidRPr="00F2739E" w:rsidRDefault="00F2739E" w:rsidP="00F2739E">
            <w:pPr>
              <w:rPr>
                <w:b/>
                <w:bCs/>
                <w:color w:val="000000"/>
              </w:rPr>
            </w:pPr>
            <w:r w:rsidRPr="00F2739E">
              <w:rPr>
                <w:b/>
                <w:bCs/>
                <w:color w:val="000000"/>
              </w:rPr>
              <w:t>Gross Amount Due</w:t>
            </w:r>
          </w:p>
        </w:tc>
        <w:tc>
          <w:tcPr>
            <w:tcW w:w="3198" w:type="dxa"/>
            <w:tcBorders>
              <w:top w:val="nil"/>
              <w:left w:val="nil"/>
              <w:bottom w:val="single" w:sz="4" w:space="0" w:color="auto"/>
              <w:right w:val="single" w:sz="4" w:space="0" w:color="auto"/>
            </w:tcBorders>
            <w:shd w:val="clear" w:color="auto" w:fill="auto"/>
            <w:noWrap/>
            <w:vAlign w:val="bottom"/>
            <w:hideMark/>
          </w:tcPr>
          <w:p w:rsidR="00F2739E" w:rsidRPr="00F2739E" w:rsidRDefault="00F2739E" w:rsidP="00F2739E">
            <w:pPr>
              <w:rPr>
                <w:b/>
                <w:bCs/>
                <w:color w:val="000000"/>
              </w:rPr>
            </w:pPr>
            <w:r w:rsidRPr="00F2739E">
              <w:rPr>
                <w:b/>
                <w:bCs/>
                <w:color w:val="000000"/>
              </w:rPr>
              <w:t xml:space="preserve">                            -   </w:t>
            </w:r>
          </w:p>
        </w:tc>
      </w:tr>
    </w:tbl>
    <w:p w:rsidR="00F2739E" w:rsidRDefault="00F2739E" w:rsidP="00B273CA">
      <w:pPr>
        <w:autoSpaceDE w:val="0"/>
        <w:autoSpaceDN w:val="0"/>
        <w:adjustRightInd w:val="0"/>
        <w:ind w:left="720"/>
        <w:rPr>
          <w:highlight w:val="yellow"/>
        </w:rPr>
      </w:pPr>
    </w:p>
    <w:p w:rsidR="00F2739E" w:rsidRPr="00286C0E" w:rsidRDefault="00F2739E" w:rsidP="00B273CA">
      <w:pPr>
        <w:autoSpaceDE w:val="0"/>
        <w:autoSpaceDN w:val="0"/>
        <w:adjustRightInd w:val="0"/>
        <w:ind w:left="720"/>
        <w:rPr>
          <w:highlight w:val="yellow"/>
        </w:rPr>
      </w:pPr>
    </w:p>
    <w:p w:rsidR="00B273CA" w:rsidRPr="00286C0E" w:rsidRDefault="00B273CA" w:rsidP="00B273CA">
      <w:pPr>
        <w:autoSpaceDE w:val="0"/>
        <w:autoSpaceDN w:val="0"/>
        <w:adjustRightInd w:val="0"/>
        <w:ind w:left="720"/>
        <w:rPr>
          <w:highlight w:val="yellow"/>
        </w:rPr>
      </w:pPr>
    </w:p>
    <w:p w:rsidR="008D0C94" w:rsidRPr="00286C0E" w:rsidRDefault="008D0C94" w:rsidP="00F454EC">
      <w:pPr>
        <w:spacing w:after="240"/>
        <w:rPr>
          <w:b/>
          <w:color w:val="FF0000"/>
          <w:highlight w:val="yellow"/>
        </w:rPr>
        <w:sectPr w:rsidR="008D0C94" w:rsidRPr="00286C0E" w:rsidSect="003018D5">
          <w:pgSz w:w="11906" w:h="16838" w:code="9"/>
          <w:pgMar w:top="720" w:right="720" w:bottom="720" w:left="720" w:header="709" w:footer="709" w:gutter="0"/>
          <w:cols w:space="708"/>
          <w:docGrid w:linePitch="360"/>
        </w:sectPr>
      </w:pPr>
    </w:p>
    <w:p w:rsidR="008D0C94" w:rsidRPr="00193DE5" w:rsidRDefault="008D0C94" w:rsidP="00330C0F">
      <w:pPr>
        <w:numPr>
          <w:ilvl w:val="0"/>
          <w:numId w:val="21"/>
        </w:numPr>
        <w:spacing w:after="240"/>
        <w:rPr>
          <w:b/>
        </w:rPr>
      </w:pPr>
      <w:r w:rsidRPr="00193DE5">
        <w:rPr>
          <w:b/>
        </w:rPr>
        <w:lastRenderedPageBreak/>
        <w:t>Inventories</w:t>
      </w:r>
    </w:p>
    <w:tbl>
      <w:tblPr>
        <w:tblW w:w="15080" w:type="dxa"/>
        <w:tblInd w:w="108" w:type="dxa"/>
        <w:tblLook w:val="04A0"/>
      </w:tblPr>
      <w:tblGrid>
        <w:gridCol w:w="5620"/>
        <w:gridCol w:w="1660"/>
        <w:gridCol w:w="1520"/>
        <w:gridCol w:w="1780"/>
        <w:gridCol w:w="1360"/>
        <w:gridCol w:w="1480"/>
        <w:gridCol w:w="1660"/>
      </w:tblGrid>
      <w:tr w:rsidR="00F344D2" w:rsidRPr="00F344D2" w:rsidTr="00F344D2">
        <w:trPr>
          <w:trHeight w:val="300"/>
        </w:trPr>
        <w:tc>
          <w:tcPr>
            <w:tcW w:w="5620" w:type="dxa"/>
            <w:shd w:val="clear" w:color="auto" w:fill="auto"/>
            <w:noWrap/>
            <w:vAlign w:val="bottom"/>
            <w:hideMark/>
          </w:tcPr>
          <w:p w:rsidR="00F344D2" w:rsidRPr="00F344D2" w:rsidRDefault="00F344D2" w:rsidP="00F344D2">
            <w:pPr>
              <w:rPr>
                <w:color w:val="000000"/>
              </w:rPr>
            </w:pPr>
          </w:p>
        </w:tc>
        <w:tc>
          <w:tcPr>
            <w:tcW w:w="3180" w:type="dxa"/>
            <w:gridSpan w:val="2"/>
            <w:shd w:val="clear" w:color="auto" w:fill="auto"/>
            <w:noWrap/>
            <w:vAlign w:val="bottom"/>
            <w:hideMark/>
          </w:tcPr>
          <w:p w:rsidR="001B4940" w:rsidRDefault="00F344D2" w:rsidP="00F344D2">
            <w:pPr>
              <w:jc w:val="center"/>
              <w:rPr>
                <w:color w:val="000000"/>
              </w:rPr>
            </w:pPr>
            <w:r w:rsidRPr="00F344D2">
              <w:rPr>
                <w:color w:val="000000"/>
              </w:rPr>
              <w:t>Consumables</w:t>
            </w:r>
            <w:r w:rsidR="001B4940">
              <w:rPr>
                <w:color w:val="000000"/>
              </w:rPr>
              <w:t xml:space="preserve"> </w:t>
            </w:r>
          </w:p>
          <w:p w:rsidR="00F344D2" w:rsidRPr="00F344D2" w:rsidRDefault="001B4940" w:rsidP="00F344D2">
            <w:pPr>
              <w:jc w:val="center"/>
              <w:rPr>
                <w:color w:val="000000"/>
              </w:rPr>
            </w:pPr>
            <w:r>
              <w:rPr>
                <w:color w:val="000000"/>
              </w:rPr>
              <w:t>£'000</w:t>
            </w:r>
          </w:p>
        </w:tc>
        <w:tc>
          <w:tcPr>
            <w:tcW w:w="3140" w:type="dxa"/>
            <w:gridSpan w:val="2"/>
            <w:shd w:val="clear" w:color="auto" w:fill="auto"/>
            <w:noWrap/>
            <w:vAlign w:val="bottom"/>
            <w:hideMark/>
          </w:tcPr>
          <w:p w:rsidR="00F344D2" w:rsidRPr="00F344D2" w:rsidRDefault="00F344D2" w:rsidP="00F344D2">
            <w:pPr>
              <w:jc w:val="center"/>
              <w:rPr>
                <w:color w:val="000000"/>
              </w:rPr>
            </w:pPr>
            <w:r w:rsidRPr="00F344D2">
              <w:rPr>
                <w:color w:val="000000"/>
              </w:rPr>
              <w:t xml:space="preserve">Maintenance Materials </w:t>
            </w:r>
            <w:r w:rsidR="001B4940">
              <w:rPr>
                <w:color w:val="000000"/>
              </w:rPr>
              <w:t>£000</w:t>
            </w:r>
          </w:p>
        </w:tc>
        <w:tc>
          <w:tcPr>
            <w:tcW w:w="3140" w:type="dxa"/>
            <w:gridSpan w:val="2"/>
            <w:shd w:val="clear" w:color="auto" w:fill="auto"/>
            <w:noWrap/>
            <w:vAlign w:val="bottom"/>
            <w:hideMark/>
          </w:tcPr>
          <w:p w:rsidR="00F344D2" w:rsidRDefault="00F344D2" w:rsidP="00F344D2">
            <w:pPr>
              <w:jc w:val="center"/>
              <w:rPr>
                <w:color w:val="000000"/>
              </w:rPr>
            </w:pPr>
            <w:r w:rsidRPr="00F344D2">
              <w:rPr>
                <w:color w:val="000000"/>
              </w:rPr>
              <w:t>Total</w:t>
            </w:r>
          </w:p>
          <w:p w:rsidR="001B4940" w:rsidRPr="00F344D2" w:rsidRDefault="001B4940" w:rsidP="00F344D2">
            <w:pPr>
              <w:jc w:val="center"/>
              <w:rPr>
                <w:color w:val="000000"/>
              </w:rPr>
            </w:pPr>
            <w:r>
              <w:rPr>
                <w:color w:val="000000"/>
              </w:rPr>
              <w:t>£000</w:t>
            </w:r>
          </w:p>
        </w:tc>
      </w:tr>
      <w:tr w:rsidR="00F344D2" w:rsidRPr="00F344D2" w:rsidTr="00933A46">
        <w:trPr>
          <w:trHeight w:val="900"/>
        </w:trPr>
        <w:tc>
          <w:tcPr>
            <w:tcW w:w="5620" w:type="dxa"/>
            <w:shd w:val="clear" w:color="auto" w:fill="auto"/>
            <w:vAlign w:val="bottom"/>
            <w:hideMark/>
          </w:tcPr>
          <w:p w:rsidR="00F344D2" w:rsidRPr="00F344D2" w:rsidRDefault="00F344D2" w:rsidP="00F344D2">
            <w:pPr>
              <w:jc w:val="center"/>
              <w:rPr>
                <w:color w:val="000000"/>
              </w:rPr>
            </w:pPr>
            <w:r w:rsidRPr="00F344D2">
              <w:rPr>
                <w:color w:val="000000"/>
              </w:rPr>
              <w:t> </w:t>
            </w:r>
          </w:p>
        </w:tc>
        <w:tc>
          <w:tcPr>
            <w:tcW w:w="1660" w:type="dxa"/>
            <w:shd w:val="clear" w:color="auto" w:fill="auto"/>
            <w:vAlign w:val="bottom"/>
            <w:hideMark/>
          </w:tcPr>
          <w:p w:rsidR="001B4940" w:rsidRDefault="001B4940" w:rsidP="00933A46">
            <w:pPr>
              <w:jc w:val="right"/>
              <w:rPr>
                <w:color w:val="000000"/>
              </w:rPr>
            </w:pPr>
          </w:p>
          <w:p w:rsidR="001B4940" w:rsidRPr="00F344D2" w:rsidRDefault="00F344D2" w:rsidP="001B4940">
            <w:pPr>
              <w:jc w:val="right"/>
              <w:rPr>
                <w:color w:val="000000"/>
              </w:rPr>
            </w:pPr>
            <w:r w:rsidRPr="00F344D2">
              <w:rPr>
                <w:color w:val="000000"/>
              </w:rPr>
              <w:t>31 March 2011</w:t>
            </w:r>
          </w:p>
        </w:tc>
        <w:tc>
          <w:tcPr>
            <w:tcW w:w="1520" w:type="dxa"/>
            <w:shd w:val="clear" w:color="auto" w:fill="auto"/>
            <w:vAlign w:val="bottom"/>
            <w:hideMark/>
          </w:tcPr>
          <w:p w:rsidR="00F344D2" w:rsidRPr="00F344D2" w:rsidRDefault="00342F70" w:rsidP="00933A46">
            <w:pPr>
              <w:jc w:val="right"/>
              <w:rPr>
                <w:color w:val="000000"/>
              </w:rPr>
            </w:pPr>
            <w:r>
              <w:rPr>
                <w:color w:val="000000"/>
              </w:rPr>
              <w:t>31</w:t>
            </w:r>
            <w:r w:rsidR="00F344D2" w:rsidRPr="00F344D2">
              <w:rPr>
                <w:color w:val="000000"/>
              </w:rPr>
              <w:t xml:space="preserve"> March 2012</w:t>
            </w:r>
          </w:p>
        </w:tc>
        <w:tc>
          <w:tcPr>
            <w:tcW w:w="1780" w:type="dxa"/>
            <w:shd w:val="clear" w:color="auto" w:fill="auto"/>
            <w:vAlign w:val="bottom"/>
            <w:hideMark/>
          </w:tcPr>
          <w:p w:rsidR="00F344D2" w:rsidRPr="00F344D2" w:rsidRDefault="00342F70" w:rsidP="00933A46">
            <w:pPr>
              <w:jc w:val="right"/>
              <w:rPr>
                <w:color w:val="000000"/>
              </w:rPr>
            </w:pPr>
            <w:r>
              <w:rPr>
                <w:color w:val="000000"/>
              </w:rPr>
              <w:t>31</w:t>
            </w:r>
            <w:r w:rsidR="00F344D2" w:rsidRPr="00F344D2">
              <w:rPr>
                <w:color w:val="000000"/>
              </w:rPr>
              <w:t xml:space="preserve"> March 2011</w:t>
            </w:r>
          </w:p>
        </w:tc>
        <w:tc>
          <w:tcPr>
            <w:tcW w:w="1360" w:type="dxa"/>
            <w:shd w:val="clear" w:color="auto" w:fill="auto"/>
            <w:vAlign w:val="bottom"/>
            <w:hideMark/>
          </w:tcPr>
          <w:p w:rsidR="00F344D2" w:rsidRPr="00F344D2" w:rsidRDefault="00342F70" w:rsidP="00933A46">
            <w:pPr>
              <w:jc w:val="right"/>
              <w:rPr>
                <w:color w:val="000000"/>
              </w:rPr>
            </w:pPr>
            <w:r>
              <w:rPr>
                <w:color w:val="000000"/>
              </w:rPr>
              <w:t>31</w:t>
            </w:r>
            <w:r w:rsidR="00F344D2" w:rsidRPr="00F344D2">
              <w:rPr>
                <w:color w:val="000000"/>
              </w:rPr>
              <w:t xml:space="preserve"> March 2012</w:t>
            </w:r>
          </w:p>
        </w:tc>
        <w:tc>
          <w:tcPr>
            <w:tcW w:w="1480" w:type="dxa"/>
            <w:shd w:val="clear" w:color="auto" w:fill="auto"/>
            <w:vAlign w:val="bottom"/>
            <w:hideMark/>
          </w:tcPr>
          <w:p w:rsidR="00F344D2" w:rsidRPr="00F344D2" w:rsidRDefault="00342F70" w:rsidP="00933A46">
            <w:pPr>
              <w:jc w:val="right"/>
              <w:rPr>
                <w:color w:val="000000"/>
              </w:rPr>
            </w:pPr>
            <w:r>
              <w:rPr>
                <w:color w:val="000000"/>
              </w:rPr>
              <w:t>31</w:t>
            </w:r>
            <w:r w:rsidR="00F344D2" w:rsidRPr="00F344D2">
              <w:rPr>
                <w:color w:val="000000"/>
              </w:rPr>
              <w:t xml:space="preserve"> March 2011</w:t>
            </w:r>
          </w:p>
        </w:tc>
        <w:tc>
          <w:tcPr>
            <w:tcW w:w="1660" w:type="dxa"/>
            <w:shd w:val="clear" w:color="auto" w:fill="auto"/>
            <w:vAlign w:val="bottom"/>
            <w:hideMark/>
          </w:tcPr>
          <w:p w:rsidR="00F344D2" w:rsidRPr="00F344D2" w:rsidRDefault="00342F70" w:rsidP="00933A46">
            <w:pPr>
              <w:jc w:val="right"/>
              <w:rPr>
                <w:color w:val="000000"/>
              </w:rPr>
            </w:pPr>
            <w:r>
              <w:rPr>
                <w:color w:val="000000"/>
              </w:rPr>
              <w:t>31</w:t>
            </w:r>
            <w:r w:rsidR="00F344D2" w:rsidRPr="00F344D2">
              <w:rPr>
                <w:color w:val="000000"/>
              </w:rPr>
              <w:t xml:space="preserve"> March 2012</w:t>
            </w:r>
          </w:p>
        </w:tc>
      </w:tr>
      <w:tr w:rsidR="00F344D2" w:rsidRPr="00F344D2" w:rsidTr="00F344D2">
        <w:trPr>
          <w:trHeight w:val="315"/>
        </w:trPr>
        <w:tc>
          <w:tcPr>
            <w:tcW w:w="5620" w:type="dxa"/>
            <w:shd w:val="clear" w:color="auto" w:fill="auto"/>
            <w:noWrap/>
            <w:vAlign w:val="bottom"/>
            <w:hideMark/>
          </w:tcPr>
          <w:p w:rsidR="00F344D2" w:rsidRPr="00F344D2" w:rsidRDefault="00F344D2" w:rsidP="00F344D2">
            <w:pPr>
              <w:rPr>
                <w:b/>
                <w:bCs/>
              </w:rPr>
            </w:pPr>
            <w:r w:rsidRPr="00F344D2">
              <w:rPr>
                <w:b/>
                <w:bCs/>
              </w:rPr>
              <w:t>Balance at Start of Year</w:t>
            </w:r>
          </w:p>
        </w:tc>
        <w:tc>
          <w:tcPr>
            <w:tcW w:w="1660" w:type="dxa"/>
            <w:shd w:val="clear" w:color="auto" w:fill="auto"/>
            <w:noWrap/>
            <w:vAlign w:val="bottom"/>
            <w:hideMark/>
          </w:tcPr>
          <w:p w:rsidR="00F344D2" w:rsidRPr="00F344D2" w:rsidRDefault="00F344D2" w:rsidP="00F344D2">
            <w:pPr>
              <w:jc w:val="right"/>
              <w:rPr>
                <w:color w:val="000000"/>
              </w:rPr>
            </w:pPr>
            <w:r w:rsidRPr="00F344D2">
              <w:rPr>
                <w:color w:val="000000"/>
              </w:rPr>
              <w:t>2,927</w:t>
            </w:r>
          </w:p>
        </w:tc>
        <w:tc>
          <w:tcPr>
            <w:tcW w:w="1520" w:type="dxa"/>
            <w:shd w:val="clear" w:color="auto" w:fill="auto"/>
            <w:noWrap/>
            <w:vAlign w:val="bottom"/>
            <w:hideMark/>
          </w:tcPr>
          <w:p w:rsidR="00F344D2" w:rsidRPr="00F344D2" w:rsidRDefault="00F344D2" w:rsidP="00F344D2">
            <w:pPr>
              <w:jc w:val="right"/>
              <w:rPr>
                <w:color w:val="000000"/>
              </w:rPr>
            </w:pPr>
            <w:r w:rsidRPr="00F344D2">
              <w:rPr>
                <w:color w:val="000000"/>
              </w:rPr>
              <w:t>2,828</w:t>
            </w:r>
          </w:p>
        </w:tc>
        <w:tc>
          <w:tcPr>
            <w:tcW w:w="1780" w:type="dxa"/>
            <w:shd w:val="clear" w:color="auto" w:fill="auto"/>
            <w:noWrap/>
            <w:vAlign w:val="bottom"/>
            <w:hideMark/>
          </w:tcPr>
          <w:p w:rsidR="00F344D2" w:rsidRPr="00F344D2" w:rsidRDefault="00F344D2" w:rsidP="00F344D2">
            <w:pPr>
              <w:jc w:val="right"/>
              <w:rPr>
                <w:color w:val="000000"/>
              </w:rPr>
            </w:pPr>
            <w:r w:rsidRPr="00F344D2">
              <w:rPr>
                <w:color w:val="000000"/>
              </w:rPr>
              <w:t>200</w:t>
            </w:r>
          </w:p>
        </w:tc>
        <w:tc>
          <w:tcPr>
            <w:tcW w:w="1360" w:type="dxa"/>
            <w:shd w:val="clear" w:color="auto" w:fill="auto"/>
            <w:noWrap/>
            <w:vAlign w:val="bottom"/>
            <w:hideMark/>
          </w:tcPr>
          <w:p w:rsidR="00F344D2" w:rsidRPr="00F344D2" w:rsidRDefault="00F344D2" w:rsidP="00F344D2">
            <w:pPr>
              <w:jc w:val="right"/>
              <w:rPr>
                <w:color w:val="000000"/>
              </w:rPr>
            </w:pPr>
            <w:r w:rsidRPr="00F344D2">
              <w:rPr>
                <w:color w:val="000000"/>
              </w:rPr>
              <w:t>673</w:t>
            </w:r>
          </w:p>
        </w:tc>
        <w:tc>
          <w:tcPr>
            <w:tcW w:w="1480" w:type="dxa"/>
            <w:shd w:val="clear" w:color="auto" w:fill="auto"/>
            <w:noWrap/>
            <w:vAlign w:val="bottom"/>
            <w:hideMark/>
          </w:tcPr>
          <w:p w:rsidR="00F344D2" w:rsidRPr="00F344D2" w:rsidRDefault="00F344D2" w:rsidP="00F344D2">
            <w:pPr>
              <w:jc w:val="right"/>
              <w:rPr>
                <w:color w:val="000000"/>
              </w:rPr>
            </w:pPr>
            <w:r w:rsidRPr="00F344D2">
              <w:rPr>
                <w:color w:val="000000"/>
              </w:rPr>
              <w:t>3,127</w:t>
            </w:r>
          </w:p>
        </w:tc>
        <w:tc>
          <w:tcPr>
            <w:tcW w:w="1660" w:type="dxa"/>
            <w:shd w:val="clear" w:color="auto" w:fill="auto"/>
            <w:noWrap/>
            <w:vAlign w:val="bottom"/>
            <w:hideMark/>
          </w:tcPr>
          <w:p w:rsidR="00F344D2" w:rsidRPr="00F344D2" w:rsidRDefault="00F344D2" w:rsidP="00F344D2">
            <w:pPr>
              <w:jc w:val="right"/>
              <w:rPr>
                <w:color w:val="000000"/>
              </w:rPr>
            </w:pPr>
            <w:r w:rsidRPr="00F344D2">
              <w:rPr>
                <w:color w:val="000000"/>
              </w:rPr>
              <w:t>3,501</w:t>
            </w:r>
          </w:p>
        </w:tc>
      </w:tr>
      <w:tr w:rsidR="00F344D2" w:rsidRPr="00F344D2" w:rsidTr="00F344D2">
        <w:trPr>
          <w:trHeight w:val="300"/>
        </w:trPr>
        <w:tc>
          <w:tcPr>
            <w:tcW w:w="5620" w:type="dxa"/>
            <w:shd w:val="clear" w:color="auto" w:fill="auto"/>
            <w:noWrap/>
            <w:vAlign w:val="bottom"/>
            <w:hideMark/>
          </w:tcPr>
          <w:p w:rsidR="00F344D2" w:rsidRPr="00F344D2" w:rsidRDefault="00F344D2" w:rsidP="00F344D2">
            <w:r w:rsidRPr="00F344D2">
              <w:t>Purchases</w:t>
            </w:r>
          </w:p>
        </w:tc>
        <w:tc>
          <w:tcPr>
            <w:tcW w:w="1660" w:type="dxa"/>
            <w:shd w:val="clear" w:color="auto" w:fill="auto"/>
            <w:noWrap/>
            <w:vAlign w:val="bottom"/>
            <w:hideMark/>
          </w:tcPr>
          <w:p w:rsidR="00F344D2" w:rsidRPr="00F344D2" w:rsidRDefault="00F344D2" w:rsidP="00F344D2">
            <w:pPr>
              <w:jc w:val="right"/>
              <w:rPr>
                <w:color w:val="000000"/>
              </w:rPr>
            </w:pPr>
            <w:r w:rsidRPr="00F344D2">
              <w:rPr>
                <w:color w:val="000000"/>
              </w:rPr>
              <w:t>17,280</w:t>
            </w:r>
          </w:p>
        </w:tc>
        <w:tc>
          <w:tcPr>
            <w:tcW w:w="1520" w:type="dxa"/>
            <w:shd w:val="clear" w:color="auto" w:fill="auto"/>
            <w:noWrap/>
            <w:vAlign w:val="bottom"/>
            <w:hideMark/>
          </w:tcPr>
          <w:p w:rsidR="00F344D2" w:rsidRPr="00F344D2" w:rsidRDefault="00F344D2" w:rsidP="00F344D2">
            <w:pPr>
              <w:jc w:val="right"/>
              <w:rPr>
                <w:color w:val="000000"/>
              </w:rPr>
            </w:pPr>
            <w:r w:rsidRPr="00F344D2">
              <w:rPr>
                <w:color w:val="000000"/>
              </w:rPr>
              <w:t>16,311</w:t>
            </w:r>
          </w:p>
        </w:tc>
        <w:tc>
          <w:tcPr>
            <w:tcW w:w="1780" w:type="dxa"/>
            <w:shd w:val="clear" w:color="auto" w:fill="auto"/>
            <w:noWrap/>
            <w:vAlign w:val="bottom"/>
            <w:hideMark/>
          </w:tcPr>
          <w:p w:rsidR="00F344D2" w:rsidRPr="00F344D2" w:rsidRDefault="00F344D2" w:rsidP="00F344D2">
            <w:pPr>
              <w:jc w:val="right"/>
              <w:rPr>
                <w:color w:val="000000"/>
              </w:rPr>
            </w:pPr>
            <w:r w:rsidRPr="00F344D2">
              <w:rPr>
                <w:color w:val="000000"/>
              </w:rPr>
              <w:t>537</w:t>
            </w:r>
          </w:p>
        </w:tc>
        <w:tc>
          <w:tcPr>
            <w:tcW w:w="1360" w:type="dxa"/>
            <w:shd w:val="clear" w:color="auto" w:fill="auto"/>
            <w:noWrap/>
            <w:vAlign w:val="bottom"/>
            <w:hideMark/>
          </w:tcPr>
          <w:p w:rsidR="00F344D2" w:rsidRPr="00F344D2" w:rsidRDefault="00F344D2" w:rsidP="00F344D2">
            <w:pPr>
              <w:jc w:val="right"/>
              <w:rPr>
                <w:color w:val="000000"/>
              </w:rPr>
            </w:pPr>
            <w:r w:rsidRPr="00F344D2">
              <w:rPr>
                <w:color w:val="000000"/>
              </w:rPr>
              <w:t>228</w:t>
            </w:r>
          </w:p>
        </w:tc>
        <w:tc>
          <w:tcPr>
            <w:tcW w:w="1480" w:type="dxa"/>
            <w:shd w:val="clear" w:color="auto" w:fill="auto"/>
            <w:noWrap/>
            <w:vAlign w:val="bottom"/>
            <w:hideMark/>
          </w:tcPr>
          <w:p w:rsidR="00F344D2" w:rsidRPr="00F344D2" w:rsidRDefault="00F344D2" w:rsidP="00F344D2">
            <w:pPr>
              <w:jc w:val="right"/>
              <w:rPr>
                <w:color w:val="000000"/>
              </w:rPr>
            </w:pPr>
            <w:r w:rsidRPr="00F344D2">
              <w:rPr>
                <w:color w:val="000000"/>
              </w:rPr>
              <w:t>17,817</w:t>
            </w:r>
          </w:p>
        </w:tc>
        <w:tc>
          <w:tcPr>
            <w:tcW w:w="1660" w:type="dxa"/>
            <w:shd w:val="clear" w:color="auto" w:fill="auto"/>
            <w:noWrap/>
            <w:vAlign w:val="bottom"/>
            <w:hideMark/>
          </w:tcPr>
          <w:p w:rsidR="00F344D2" w:rsidRPr="00F344D2" w:rsidRDefault="00F344D2" w:rsidP="00F344D2">
            <w:pPr>
              <w:jc w:val="right"/>
              <w:rPr>
                <w:color w:val="000000"/>
              </w:rPr>
            </w:pPr>
            <w:r w:rsidRPr="00F344D2">
              <w:rPr>
                <w:color w:val="000000"/>
              </w:rPr>
              <w:t>16,539</w:t>
            </w:r>
          </w:p>
        </w:tc>
      </w:tr>
      <w:tr w:rsidR="00F344D2" w:rsidRPr="00F344D2" w:rsidTr="00F344D2">
        <w:trPr>
          <w:trHeight w:val="300"/>
        </w:trPr>
        <w:tc>
          <w:tcPr>
            <w:tcW w:w="5620" w:type="dxa"/>
            <w:shd w:val="clear" w:color="auto" w:fill="auto"/>
            <w:noWrap/>
            <w:vAlign w:val="bottom"/>
            <w:hideMark/>
          </w:tcPr>
          <w:p w:rsidR="00F344D2" w:rsidRPr="00F344D2" w:rsidRDefault="00F344D2" w:rsidP="00F344D2">
            <w:r w:rsidRPr="00F344D2">
              <w:t>Recognised as Expense in Year</w:t>
            </w:r>
          </w:p>
        </w:tc>
        <w:tc>
          <w:tcPr>
            <w:tcW w:w="1660" w:type="dxa"/>
            <w:shd w:val="clear" w:color="auto" w:fill="auto"/>
            <w:noWrap/>
            <w:vAlign w:val="bottom"/>
            <w:hideMark/>
          </w:tcPr>
          <w:p w:rsidR="00F344D2" w:rsidRPr="00F344D2" w:rsidRDefault="00F344D2" w:rsidP="00F344D2">
            <w:pPr>
              <w:jc w:val="right"/>
              <w:rPr>
                <w:color w:val="000000"/>
              </w:rPr>
            </w:pPr>
            <w:r w:rsidRPr="00F344D2">
              <w:rPr>
                <w:color w:val="000000"/>
              </w:rPr>
              <w:t>(17,224)</w:t>
            </w:r>
          </w:p>
        </w:tc>
        <w:tc>
          <w:tcPr>
            <w:tcW w:w="1520" w:type="dxa"/>
            <w:shd w:val="clear" w:color="auto" w:fill="auto"/>
            <w:noWrap/>
            <w:vAlign w:val="bottom"/>
            <w:hideMark/>
          </w:tcPr>
          <w:p w:rsidR="00F344D2" w:rsidRPr="00F344D2" w:rsidRDefault="00F344D2" w:rsidP="00F344D2">
            <w:pPr>
              <w:jc w:val="right"/>
              <w:rPr>
                <w:color w:val="000000"/>
              </w:rPr>
            </w:pPr>
            <w:r w:rsidRPr="00F344D2">
              <w:rPr>
                <w:color w:val="000000"/>
              </w:rPr>
              <w:t>(16,757)</w:t>
            </w:r>
          </w:p>
        </w:tc>
        <w:tc>
          <w:tcPr>
            <w:tcW w:w="1780" w:type="dxa"/>
            <w:shd w:val="clear" w:color="auto" w:fill="auto"/>
            <w:noWrap/>
            <w:vAlign w:val="bottom"/>
            <w:hideMark/>
          </w:tcPr>
          <w:p w:rsidR="00F344D2" w:rsidRPr="00F344D2" w:rsidRDefault="00F344D2" w:rsidP="00F344D2">
            <w:pPr>
              <w:jc w:val="right"/>
              <w:rPr>
                <w:color w:val="000000"/>
              </w:rPr>
            </w:pPr>
            <w:r w:rsidRPr="00F344D2">
              <w:rPr>
                <w:color w:val="000000"/>
              </w:rPr>
              <w:t>-</w:t>
            </w:r>
          </w:p>
        </w:tc>
        <w:tc>
          <w:tcPr>
            <w:tcW w:w="1360" w:type="dxa"/>
            <w:shd w:val="clear" w:color="auto" w:fill="auto"/>
            <w:noWrap/>
            <w:vAlign w:val="bottom"/>
            <w:hideMark/>
          </w:tcPr>
          <w:p w:rsidR="00F344D2" w:rsidRPr="00F344D2" w:rsidRDefault="00F344D2" w:rsidP="00F344D2">
            <w:pPr>
              <w:jc w:val="right"/>
              <w:rPr>
                <w:color w:val="000000"/>
              </w:rPr>
            </w:pPr>
            <w:r w:rsidRPr="00F344D2">
              <w:rPr>
                <w:color w:val="000000"/>
              </w:rPr>
              <w:t>-</w:t>
            </w:r>
          </w:p>
        </w:tc>
        <w:tc>
          <w:tcPr>
            <w:tcW w:w="1480" w:type="dxa"/>
            <w:shd w:val="clear" w:color="auto" w:fill="auto"/>
            <w:noWrap/>
            <w:vAlign w:val="bottom"/>
            <w:hideMark/>
          </w:tcPr>
          <w:p w:rsidR="00F344D2" w:rsidRPr="00F344D2" w:rsidRDefault="00F344D2" w:rsidP="00F344D2">
            <w:pPr>
              <w:jc w:val="right"/>
              <w:rPr>
                <w:color w:val="000000"/>
              </w:rPr>
            </w:pPr>
            <w:r w:rsidRPr="00F344D2">
              <w:rPr>
                <w:color w:val="000000"/>
              </w:rPr>
              <w:t>(17,224)</w:t>
            </w:r>
          </w:p>
        </w:tc>
        <w:tc>
          <w:tcPr>
            <w:tcW w:w="1660" w:type="dxa"/>
            <w:shd w:val="clear" w:color="auto" w:fill="auto"/>
            <w:noWrap/>
            <w:vAlign w:val="bottom"/>
            <w:hideMark/>
          </w:tcPr>
          <w:p w:rsidR="00F344D2" w:rsidRPr="00F344D2" w:rsidRDefault="00F344D2" w:rsidP="00F344D2">
            <w:pPr>
              <w:jc w:val="right"/>
              <w:rPr>
                <w:color w:val="000000"/>
              </w:rPr>
            </w:pPr>
            <w:r w:rsidRPr="00F344D2">
              <w:rPr>
                <w:color w:val="000000"/>
              </w:rPr>
              <w:t>(16,757)</w:t>
            </w:r>
          </w:p>
        </w:tc>
      </w:tr>
      <w:tr w:rsidR="00F344D2" w:rsidRPr="00F344D2" w:rsidTr="00F344D2">
        <w:trPr>
          <w:trHeight w:val="300"/>
        </w:trPr>
        <w:tc>
          <w:tcPr>
            <w:tcW w:w="5620" w:type="dxa"/>
            <w:shd w:val="clear" w:color="auto" w:fill="auto"/>
            <w:noWrap/>
            <w:vAlign w:val="bottom"/>
            <w:hideMark/>
          </w:tcPr>
          <w:p w:rsidR="00F344D2" w:rsidRPr="00F344D2" w:rsidRDefault="00F344D2" w:rsidP="00F344D2">
            <w:r w:rsidRPr="00F344D2">
              <w:t>Written off balances</w:t>
            </w:r>
          </w:p>
        </w:tc>
        <w:tc>
          <w:tcPr>
            <w:tcW w:w="1660" w:type="dxa"/>
            <w:shd w:val="clear" w:color="auto" w:fill="auto"/>
            <w:noWrap/>
            <w:vAlign w:val="bottom"/>
            <w:hideMark/>
          </w:tcPr>
          <w:p w:rsidR="00F344D2" w:rsidRPr="00F344D2" w:rsidRDefault="00F344D2" w:rsidP="00F344D2">
            <w:pPr>
              <w:jc w:val="right"/>
              <w:rPr>
                <w:color w:val="000000"/>
              </w:rPr>
            </w:pPr>
            <w:r w:rsidRPr="00F344D2">
              <w:rPr>
                <w:color w:val="000000"/>
              </w:rPr>
              <w:t>(154)</w:t>
            </w:r>
          </w:p>
        </w:tc>
        <w:tc>
          <w:tcPr>
            <w:tcW w:w="1520" w:type="dxa"/>
            <w:shd w:val="clear" w:color="auto" w:fill="auto"/>
            <w:noWrap/>
            <w:vAlign w:val="bottom"/>
            <w:hideMark/>
          </w:tcPr>
          <w:p w:rsidR="00F344D2" w:rsidRPr="00F344D2" w:rsidRDefault="00F344D2" w:rsidP="00F344D2">
            <w:pPr>
              <w:jc w:val="right"/>
              <w:rPr>
                <w:color w:val="000000"/>
              </w:rPr>
            </w:pPr>
            <w:r w:rsidRPr="00F344D2">
              <w:rPr>
                <w:color w:val="000000"/>
              </w:rPr>
              <w:t>(57)</w:t>
            </w:r>
          </w:p>
        </w:tc>
        <w:tc>
          <w:tcPr>
            <w:tcW w:w="1780" w:type="dxa"/>
            <w:shd w:val="clear" w:color="auto" w:fill="auto"/>
            <w:noWrap/>
            <w:vAlign w:val="bottom"/>
            <w:hideMark/>
          </w:tcPr>
          <w:p w:rsidR="00F344D2" w:rsidRPr="00F344D2" w:rsidRDefault="00F344D2" w:rsidP="00F344D2">
            <w:pPr>
              <w:jc w:val="right"/>
              <w:rPr>
                <w:color w:val="000000"/>
              </w:rPr>
            </w:pPr>
            <w:r w:rsidRPr="00F344D2">
              <w:rPr>
                <w:color w:val="000000"/>
              </w:rPr>
              <w:t>-</w:t>
            </w:r>
          </w:p>
        </w:tc>
        <w:tc>
          <w:tcPr>
            <w:tcW w:w="1360" w:type="dxa"/>
            <w:shd w:val="clear" w:color="auto" w:fill="auto"/>
            <w:noWrap/>
            <w:vAlign w:val="bottom"/>
            <w:hideMark/>
          </w:tcPr>
          <w:p w:rsidR="00F344D2" w:rsidRPr="00F344D2" w:rsidRDefault="00F344D2" w:rsidP="00F344D2">
            <w:pPr>
              <w:jc w:val="right"/>
              <w:rPr>
                <w:color w:val="000000"/>
              </w:rPr>
            </w:pPr>
            <w:r w:rsidRPr="00F344D2">
              <w:rPr>
                <w:color w:val="000000"/>
              </w:rPr>
              <w:t>-</w:t>
            </w:r>
          </w:p>
        </w:tc>
        <w:tc>
          <w:tcPr>
            <w:tcW w:w="1480" w:type="dxa"/>
            <w:shd w:val="clear" w:color="auto" w:fill="auto"/>
            <w:noWrap/>
            <w:vAlign w:val="bottom"/>
            <w:hideMark/>
          </w:tcPr>
          <w:p w:rsidR="00F344D2" w:rsidRPr="00F344D2" w:rsidRDefault="00F344D2" w:rsidP="00F344D2">
            <w:pPr>
              <w:jc w:val="right"/>
              <w:rPr>
                <w:color w:val="000000"/>
              </w:rPr>
            </w:pPr>
            <w:r w:rsidRPr="00F344D2">
              <w:rPr>
                <w:color w:val="000000"/>
              </w:rPr>
              <w:t>(154)</w:t>
            </w:r>
          </w:p>
        </w:tc>
        <w:tc>
          <w:tcPr>
            <w:tcW w:w="1660" w:type="dxa"/>
            <w:shd w:val="clear" w:color="auto" w:fill="auto"/>
            <w:noWrap/>
            <w:vAlign w:val="bottom"/>
            <w:hideMark/>
          </w:tcPr>
          <w:p w:rsidR="00F344D2" w:rsidRPr="00F344D2" w:rsidRDefault="00F344D2" w:rsidP="00F344D2">
            <w:pPr>
              <w:jc w:val="right"/>
              <w:rPr>
                <w:color w:val="000000"/>
              </w:rPr>
            </w:pPr>
            <w:r w:rsidRPr="00F344D2">
              <w:rPr>
                <w:color w:val="000000"/>
              </w:rPr>
              <w:t>(57)</w:t>
            </w:r>
          </w:p>
        </w:tc>
      </w:tr>
      <w:tr w:rsidR="00F344D2" w:rsidRPr="00F344D2" w:rsidTr="00F344D2">
        <w:trPr>
          <w:trHeight w:val="300"/>
        </w:trPr>
        <w:tc>
          <w:tcPr>
            <w:tcW w:w="5620" w:type="dxa"/>
            <w:shd w:val="clear" w:color="auto" w:fill="auto"/>
            <w:noWrap/>
            <w:vAlign w:val="bottom"/>
            <w:hideMark/>
          </w:tcPr>
          <w:p w:rsidR="00F344D2" w:rsidRPr="00F344D2" w:rsidRDefault="00F344D2" w:rsidP="00F344D2">
            <w:r w:rsidRPr="00F344D2">
              <w:t>Reversals of Write offs in Previous Years</w:t>
            </w:r>
          </w:p>
        </w:tc>
        <w:tc>
          <w:tcPr>
            <w:tcW w:w="1660" w:type="dxa"/>
            <w:shd w:val="clear" w:color="auto" w:fill="auto"/>
            <w:noWrap/>
            <w:vAlign w:val="bottom"/>
            <w:hideMark/>
          </w:tcPr>
          <w:p w:rsidR="00F344D2" w:rsidRPr="00F344D2" w:rsidRDefault="00F344D2" w:rsidP="00F344D2">
            <w:pPr>
              <w:jc w:val="right"/>
              <w:rPr>
                <w:color w:val="000000"/>
              </w:rPr>
            </w:pPr>
            <w:r w:rsidRPr="00F344D2">
              <w:rPr>
                <w:color w:val="000000"/>
              </w:rPr>
              <w:t>-</w:t>
            </w:r>
          </w:p>
        </w:tc>
        <w:tc>
          <w:tcPr>
            <w:tcW w:w="1520" w:type="dxa"/>
            <w:shd w:val="clear" w:color="auto" w:fill="auto"/>
            <w:noWrap/>
            <w:vAlign w:val="bottom"/>
            <w:hideMark/>
          </w:tcPr>
          <w:p w:rsidR="00F344D2" w:rsidRPr="00F344D2" w:rsidRDefault="00F344D2" w:rsidP="00F344D2">
            <w:pPr>
              <w:jc w:val="right"/>
              <w:rPr>
                <w:color w:val="000000"/>
              </w:rPr>
            </w:pPr>
            <w:r w:rsidRPr="00F344D2">
              <w:rPr>
                <w:color w:val="000000"/>
              </w:rPr>
              <w:t>-</w:t>
            </w:r>
          </w:p>
        </w:tc>
        <w:tc>
          <w:tcPr>
            <w:tcW w:w="1780" w:type="dxa"/>
            <w:shd w:val="clear" w:color="auto" w:fill="auto"/>
            <w:noWrap/>
            <w:vAlign w:val="bottom"/>
            <w:hideMark/>
          </w:tcPr>
          <w:p w:rsidR="00F344D2" w:rsidRPr="00F344D2" w:rsidRDefault="00F344D2" w:rsidP="00F344D2">
            <w:pPr>
              <w:jc w:val="right"/>
              <w:rPr>
                <w:color w:val="000000"/>
              </w:rPr>
            </w:pPr>
            <w:r w:rsidRPr="00F344D2">
              <w:rPr>
                <w:color w:val="000000"/>
              </w:rPr>
              <w:t>-</w:t>
            </w:r>
          </w:p>
        </w:tc>
        <w:tc>
          <w:tcPr>
            <w:tcW w:w="1360" w:type="dxa"/>
            <w:shd w:val="clear" w:color="auto" w:fill="auto"/>
            <w:noWrap/>
            <w:vAlign w:val="bottom"/>
            <w:hideMark/>
          </w:tcPr>
          <w:p w:rsidR="00F344D2" w:rsidRPr="00F344D2" w:rsidRDefault="00F344D2" w:rsidP="00F344D2">
            <w:pPr>
              <w:jc w:val="right"/>
              <w:rPr>
                <w:color w:val="000000"/>
              </w:rPr>
            </w:pPr>
            <w:r w:rsidRPr="00F344D2">
              <w:rPr>
                <w:color w:val="000000"/>
              </w:rPr>
              <w:t>-</w:t>
            </w:r>
          </w:p>
        </w:tc>
        <w:tc>
          <w:tcPr>
            <w:tcW w:w="1480" w:type="dxa"/>
            <w:shd w:val="clear" w:color="auto" w:fill="auto"/>
            <w:noWrap/>
            <w:vAlign w:val="bottom"/>
            <w:hideMark/>
          </w:tcPr>
          <w:p w:rsidR="00F344D2" w:rsidRPr="00F344D2" w:rsidRDefault="00F344D2" w:rsidP="00F344D2">
            <w:pPr>
              <w:jc w:val="right"/>
              <w:rPr>
                <w:color w:val="000000"/>
              </w:rPr>
            </w:pPr>
            <w:r w:rsidRPr="00F344D2">
              <w:rPr>
                <w:color w:val="000000"/>
              </w:rPr>
              <w:t>-</w:t>
            </w:r>
          </w:p>
        </w:tc>
        <w:tc>
          <w:tcPr>
            <w:tcW w:w="1660" w:type="dxa"/>
            <w:shd w:val="clear" w:color="auto" w:fill="auto"/>
            <w:noWrap/>
            <w:vAlign w:val="bottom"/>
            <w:hideMark/>
          </w:tcPr>
          <w:p w:rsidR="00F344D2" w:rsidRPr="00F344D2" w:rsidRDefault="00F344D2" w:rsidP="00F344D2">
            <w:pPr>
              <w:jc w:val="right"/>
              <w:rPr>
                <w:color w:val="000000"/>
              </w:rPr>
            </w:pPr>
            <w:r w:rsidRPr="00F344D2">
              <w:rPr>
                <w:color w:val="000000"/>
              </w:rPr>
              <w:t>-</w:t>
            </w:r>
          </w:p>
        </w:tc>
      </w:tr>
      <w:tr w:rsidR="00F344D2" w:rsidRPr="00F344D2" w:rsidTr="00F344D2">
        <w:trPr>
          <w:trHeight w:val="300"/>
        </w:trPr>
        <w:tc>
          <w:tcPr>
            <w:tcW w:w="5620" w:type="dxa"/>
            <w:shd w:val="clear" w:color="auto" w:fill="auto"/>
            <w:noWrap/>
            <w:vAlign w:val="bottom"/>
            <w:hideMark/>
          </w:tcPr>
          <w:p w:rsidR="00F344D2" w:rsidRPr="00F344D2" w:rsidRDefault="00F344D2" w:rsidP="00F344D2">
            <w:r w:rsidRPr="00F344D2">
              <w:t> </w:t>
            </w:r>
          </w:p>
        </w:tc>
        <w:tc>
          <w:tcPr>
            <w:tcW w:w="1660" w:type="dxa"/>
            <w:shd w:val="clear" w:color="auto" w:fill="auto"/>
            <w:noWrap/>
            <w:vAlign w:val="bottom"/>
            <w:hideMark/>
          </w:tcPr>
          <w:p w:rsidR="00F344D2" w:rsidRPr="00F344D2" w:rsidRDefault="00F344D2" w:rsidP="00F344D2">
            <w:pPr>
              <w:rPr>
                <w:color w:val="000000"/>
              </w:rPr>
            </w:pPr>
            <w:r w:rsidRPr="00F344D2">
              <w:rPr>
                <w:color w:val="000000"/>
              </w:rPr>
              <w:t> </w:t>
            </w:r>
          </w:p>
        </w:tc>
        <w:tc>
          <w:tcPr>
            <w:tcW w:w="1520" w:type="dxa"/>
            <w:shd w:val="clear" w:color="auto" w:fill="auto"/>
            <w:noWrap/>
            <w:vAlign w:val="bottom"/>
            <w:hideMark/>
          </w:tcPr>
          <w:p w:rsidR="00F344D2" w:rsidRPr="00F344D2" w:rsidRDefault="00F344D2" w:rsidP="00F344D2">
            <w:pPr>
              <w:rPr>
                <w:color w:val="000000"/>
              </w:rPr>
            </w:pPr>
            <w:r w:rsidRPr="00F344D2">
              <w:rPr>
                <w:color w:val="000000"/>
              </w:rPr>
              <w:t> </w:t>
            </w:r>
          </w:p>
        </w:tc>
        <w:tc>
          <w:tcPr>
            <w:tcW w:w="1780" w:type="dxa"/>
            <w:shd w:val="clear" w:color="auto" w:fill="auto"/>
            <w:noWrap/>
            <w:vAlign w:val="bottom"/>
            <w:hideMark/>
          </w:tcPr>
          <w:p w:rsidR="00F344D2" w:rsidRPr="00F344D2" w:rsidRDefault="00F344D2" w:rsidP="00F344D2">
            <w:pPr>
              <w:rPr>
                <w:color w:val="000000"/>
              </w:rPr>
            </w:pPr>
            <w:r w:rsidRPr="00F344D2">
              <w:rPr>
                <w:color w:val="000000"/>
              </w:rPr>
              <w:t> </w:t>
            </w:r>
          </w:p>
        </w:tc>
        <w:tc>
          <w:tcPr>
            <w:tcW w:w="1360" w:type="dxa"/>
            <w:shd w:val="clear" w:color="auto" w:fill="auto"/>
            <w:noWrap/>
            <w:vAlign w:val="bottom"/>
            <w:hideMark/>
          </w:tcPr>
          <w:p w:rsidR="00F344D2" w:rsidRPr="00F344D2" w:rsidRDefault="00F344D2" w:rsidP="00F344D2">
            <w:pPr>
              <w:rPr>
                <w:color w:val="000000"/>
              </w:rPr>
            </w:pPr>
            <w:r w:rsidRPr="00F344D2">
              <w:rPr>
                <w:color w:val="000000"/>
              </w:rPr>
              <w:t> </w:t>
            </w:r>
          </w:p>
        </w:tc>
        <w:tc>
          <w:tcPr>
            <w:tcW w:w="1480" w:type="dxa"/>
            <w:shd w:val="clear" w:color="auto" w:fill="auto"/>
            <w:noWrap/>
            <w:vAlign w:val="bottom"/>
            <w:hideMark/>
          </w:tcPr>
          <w:p w:rsidR="00F344D2" w:rsidRPr="00F344D2" w:rsidRDefault="00F344D2" w:rsidP="00F344D2">
            <w:pPr>
              <w:rPr>
                <w:color w:val="000000"/>
              </w:rPr>
            </w:pPr>
            <w:r w:rsidRPr="00F344D2">
              <w:rPr>
                <w:color w:val="000000"/>
              </w:rPr>
              <w:t> </w:t>
            </w:r>
          </w:p>
        </w:tc>
        <w:tc>
          <w:tcPr>
            <w:tcW w:w="1660" w:type="dxa"/>
            <w:shd w:val="clear" w:color="auto" w:fill="auto"/>
            <w:noWrap/>
            <w:vAlign w:val="bottom"/>
            <w:hideMark/>
          </w:tcPr>
          <w:p w:rsidR="00F344D2" w:rsidRPr="00F344D2" w:rsidRDefault="00F344D2" w:rsidP="00F344D2">
            <w:pPr>
              <w:rPr>
                <w:color w:val="000000"/>
              </w:rPr>
            </w:pPr>
            <w:r w:rsidRPr="00F344D2">
              <w:rPr>
                <w:color w:val="000000"/>
              </w:rPr>
              <w:t> </w:t>
            </w:r>
          </w:p>
        </w:tc>
      </w:tr>
      <w:tr w:rsidR="00F344D2" w:rsidRPr="00F344D2" w:rsidTr="00F344D2">
        <w:trPr>
          <w:trHeight w:val="315"/>
        </w:trPr>
        <w:tc>
          <w:tcPr>
            <w:tcW w:w="5620" w:type="dxa"/>
            <w:shd w:val="clear" w:color="auto" w:fill="auto"/>
            <w:noWrap/>
            <w:vAlign w:val="bottom"/>
            <w:hideMark/>
          </w:tcPr>
          <w:p w:rsidR="00F344D2" w:rsidRPr="00F344D2" w:rsidRDefault="00F344D2" w:rsidP="00F344D2">
            <w:pPr>
              <w:rPr>
                <w:b/>
                <w:bCs/>
              </w:rPr>
            </w:pPr>
            <w:r w:rsidRPr="00F344D2">
              <w:rPr>
                <w:b/>
                <w:bCs/>
              </w:rPr>
              <w:t>Balance at Year End</w:t>
            </w:r>
          </w:p>
        </w:tc>
        <w:tc>
          <w:tcPr>
            <w:tcW w:w="1660" w:type="dxa"/>
            <w:shd w:val="clear" w:color="auto" w:fill="auto"/>
            <w:noWrap/>
            <w:vAlign w:val="bottom"/>
            <w:hideMark/>
          </w:tcPr>
          <w:p w:rsidR="00F344D2" w:rsidRPr="00F344D2" w:rsidRDefault="00F344D2" w:rsidP="00F344D2">
            <w:pPr>
              <w:jc w:val="right"/>
              <w:rPr>
                <w:b/>
                <w:bCs/>
                <w:color w:val="000000"/>
              </w:rPr>
            </w:pPr>
            <w:r w:rsidRPr="00F344D2">
              <w:rPr>
                <w:b/>
                <w:bCs/>
                <w:color w:val="000000"/>
              </w:rPr>
              <w:t>2,829</w:t>
            </w:r>
          </w:p>
        </w:tc>
        <w:tc>
          <w:tcPr>
            <w:tcW w:w="1520" w:type="dxa"/>
            <w:shd w:val="clear" w:color="auto" w:fill="auto"/>
            <w:noWrap/>
            <w:vAlign w:val="bottom"/>
            <w:hideMark/>
          </w:tcPr>
          <w:p w:rsidR="00F344D2" w:rsidRPr="00F344D2" w:rsidRDefault="00F344D2" w:rsidP="00F344D2">
            <w:pPr>
              <w:jc w:val="right"/>
              <w:rPr>
                <w:b/>
                <w:bCs/>
                <w:color w:val="000000"/>
              </w:rPr>
            </w:pPr>
            <w:r w:rsidRPr="00F344D2">
              <w:rPr>
                <w:b/>
                <w:bCs/>
                <w:color w:val="000000"/>
              </w:rPr>
              <w:t>2,325</w:t>
            </w:r>
          </w:p>
        </w:tc>
        <w:tc>
          <w:tcPr>
            <w:tcW w:w="1780" w:type="dxa"/>
            <w:shd w:val="clear" w:color="auto" w:fill="auto"/>
            <w:noWrap/>
            <w:vAlign w:val="bottom"/>
            <w:hideMark/>
          </w:tcPr>
          <w:p w:rsidR="00F344D2" w:rsidRPr="00F344D2" w:rsidRDefault="00F344D2" w:rsidP="00F344D2">
            <w:pPr>
              <w:jc w:val="right"/>
              <w:rPr>
                <w:b/>
                <w:bCs/>
                <w:color w:val="000000"/>
              </w:rPr>
            </w:pPr>
            <w:r w:rsidRPr="00F344D2">
              <w:rPr>
                <w:b/>
                <w:bCs/>
                <w:color w:val="000000"/>
              </w:rPr>
              <w:t>737</w:t>
            </w:r>
          </w:p>
        </w:tc>
        <w:tc>
          <w:tcPr>
            <w:tcW w:w="1360" w:type="dxa"/>
            <w:shd w:val="clear" w:color="auto" w:fill="auto"/>
            <w:noWrap/>
            <w:vAlign w:val="bottom"/>
            <w:hideMark/>
          </w:tcPr>
          <w:p w:rsidR="00F344D2" w:rsidRPr="00F344D2" w:rsidRDefault="00F344D2" w:rsidP="00F344D2">
            <w:pPr>
              <w:jc w:val="right"/>
              <w:rPr>
                <w:b/>
                <w:bCs/>
                <w:color w:val="000000"/>
              </w:rPr>
            </w:pPr>
            <w:r w:rsidRPr="00F344D2">
              <w:rPr>
                <w:b/>
                <w:bCs/>
                <w:color w:val="000000"/>
              </w:rPr>
              <w:t>901</w:t>
            </w:r>
          </w:p>
        </w:tc>
        <w:tc>
          <w:tcPr>
            <w:tcW w:w="1480" w:type="dxa"/>
            <w:shd w:val="clear" w:color="auto" w:fill="auto"/>
            <w:noWrap/>
            <w:vAlign w:val="bottom"/>
            <w:hideMark/>
          </w:tcPr>
          <w:p w:rsidR="00F344D2" w:rsidRPr="00F344D2" w:rsidRDefault="00F344D2" w:rsidP="00F344D2">
            <w:pPr>
              <w:jc w:val="right"/>
              <w:rPr>
                <w:b/>
                <w:bCs/>
                <w:color w:val="000000"/>
              </w:rPr>
            </w:pPr>
            <w:r w:rsidRPr="00F344D2">
              <w:rPr>
                <w:b/>
                <w:bCs/>
                <w:color w:val="000000"/>
              </w:rPr>
              <w:t>3,566</w:t>
            </w:r>
          </w:p>
        </w:tc>
        <w:tc>
          <w:tcPr>
            <w:tcW w:w="1660" w:type="dxa"/>
            <w:shd w:val="clear" w:color="auto" w:fill="auto"/>
            <w:noWrap/>
            <w:vAlign w:val="bottom"/>
            <w:hideMark/>
          </w:tcPr>
          <w:p w:rsidR="00F344D2" w:rsidRPr="00F344D2" w:rsidRDefault="00F344D2" w:rsidP="00F344D2">
            <w:pPr>
              <w:jc w:val="right"/>
              <w:rPr>
                <w:b/>
                <w:bCs/>
                <w:color w:val="000000"/>
              </w:rPr>
            </w:pPr>
            <w:r w:rsidRPr="00F344D2">
              <w:rPr>
                <w:b/>
                <w:bCs/>
                <w:color w:val="000000"/>
              </w:rPr>
              <w:t>3,226</w:t>
            </w:r>
          </w:p>
        </w:tc>
      </w:tr>
    </w:tbl>
    <w:p w:rsidR="008D0C94" w:rsidRPr="00415840" w:rsidRDefault="008D0C94" w:rsidP="00BD07E4">
      <w:pPr>
        <w:numPr>
          <w:ilvl w:val="0"/>
          <w:numId w:val="21"/>
        </w:numPr>
        <w:spacing w:after="240"/>
        <w:rPr>
          <w:b/>
        </w:rPr>
      </w:pPr>
      <w:r w:rsidRPr="001D79A0">
        <w:rPr>
          <w:b/>
          <w:color w:val="FF0000"/>
        </w:rPr>
        <w:br w:type="page"/>
      </w:r>
    </w:p>
    <w:p w:rsidR="00415840" w:rsidRPr="00415840" w:rsidRDefault="003B314A" w:rsidP="00330C0F">
      <w:pPr>
        <w:spacing w:after="240"/>
        <w:ind w:left="720" w:hanging="720"/>
        <w:rPr>
          <w:b/>
        </w:rPr>
      </w:pPr>
      <w:r>
        <w:rPr>
          <w:b/>
        </w:rPr>
        <w:lastRenderedPageBreak/>
        <w:t>46</w:t>
      </w:r>
      <w:r w:rsidR="00415840">
        <w:rPr>
          <w:b/>
        </w:rPr>
        <w:t xml:space="preserve">. </w:t>
      </w:r>
      <w:r w:rsidR="00330C0F">
        <w:rPr>
          <w:b/>
        </w:rPr>
        <w:t xml:space="preserve">     </w:t>
      </w:r>
      <w:r w:rsidR="00415840" w:rsidRPr="001D79A0">
        <w:rPr>
          <w:b/>
        </w:rPr>
        <w:t>Debtors</w:t>
      </w:r>
    </w:p>
    <w:p w:rsidR="00415840" w:rsidRPr="001D79A0" w:rsidRDefault="00415840" w:rsidP="00415840">
      <w:pPr>
        <w:spacing w:after="240"/>
        <w:rPr>
          <w:b/>
        </w:rPr>
      </w:pPr>
    </w:p>
    <w:tbl>
      <w:tblPr>
        <w:tblpPr w:leftFromText="180" w:rightFromText="180" w:vertAnchor="text" w:horzAnchor="margin" w:tblpXSpec="center" w:tblpY="-194"/>
        <w:tblW w:w="15397" w:type="dxa"/>
        <w:tblLook w:val="04A0"/>
      </w:tblPr>
      <w:tblGrid>
        <w:gridCol w:w="5174"/>
        <w:gridCol w:w="1673"/>
        <w:gridCol w:w="1655"/>
        <w:gridCol w:w="2004"/>
        <w:gridCol w:w="1379"/>
        <w:gridCol w:w="1618"/>
        <w:gridCol w:w="1894"/>
      </w:tblGrid>
      <w:tr w:rsidR="00415840" w:rsidRPr="00415840" w:rsidTr="00F344D2">
        <w:trPr>
          <w:trHeight w:val="332"/>
        </w:trPr>
        <w:tc>
          <w:tcPr>
            <w:tcW w:w="5174" w:type="dxa"/>
            <w:shd w:val="clear" w:color="auto" w:fill="auto"/>
            <w:noWrap/>
            <w:vAlign w:val="bottom"/>
            <w:hideMark/>
          </w:tcPr>
          <w:p w:rsidR="00415840" w:rsidRDefault="00415840" w:rsidP="00415840">
            <w:pPr>
              <w:rPr>
                <w:color w:val="000000"/>
              </w:rPr>
            </w:pPr>
          </w:p>
          <w:p w:rsidR="00415840" w:rsidRPr="00415840" w:rsidRDefault="00415840" w:rsidP="00415840">
            <w:pPr>
              <w:rPr>
                <w:color w:val="000000"/>
              </w:rPr>
            </w:pPr>
          </w:p>
        </w:tc>
        <w:tc>
          <w:tcPr>
            <w:tcW w:w="5332" w:type="dxa"/>
            <w:gridSpan w:val="3"/>
            <w:shd w:val="clear" w:color="auto" w:fill="auto"/>
            <w:noWrap/>
            <w:vAlign w:val="bottom"/>
            <w:hideMark/>
          </w:tcPr>
          <w:p w:rsidR="00415840" w:rsidRPr="00415840" w:rsidRDefault="00415840" w:rsidP="00415840">
            <w:pPr>
              <w:jc w:val="center"/>
              <w:rPr>
                <w:color w:val="000000"/>
              </w:rPr>
            </w:pPr>
            <w:r w:rsidRPr="00415840">
              <w:rPr>
                <w:color w:val="000000"/>
              </w:rPr>
              <w:t>2011/12</w:t>
            </w:r>
          </w:p>
        </w:tc>
        <w:tc>
          <w:tcPr>
            <w:tcW w:w="4891" w:type="dxa"/>
            <w:gridSpan w:val="3"/>
            <w:shd w:val="clear" w:color="auto" w:fill="auto"/>
            <w:noWrap/>
            <w:vAlign w:val="bottom"/>
            <w:hideMark/>
          </w:tcPr>
          <w:p w:rsidR="00415840" w:rsidRPr="00415840" w:rsidRDefault="00415840" w:rsidP="00415840">
            <w:pPr>
              <w:jc w:val="center"/>
              <w:rPr>
                <w:color w:val="000000"/>
              </w:rPr>
            </w:pPr>
            <w:r w:rsidRPr="00415840">
              <w:rPr>
                <w:color w:val="000000"/>
              </w:rPr>
              <w:t>2010/11</w:t>
            </w:r>
          </w:p>
        </w:tc>
      </w:tr>
      <w:tr w:rsidR="00415840" w:rsidRPr="00415840" w:rsidTr="00933A46">
        <w:trPr>
          <w:trHeight w:val="1443"/>
        </w:trPr>
        <w:tc>
          <w:tcPr>
            <w:tcW w:w="5174" w:type="dxa"/>
            <w:shd w:val="clear" w:color="auto" w:fill="auto"/>
            <w:noWrap/>
            <w:vAlign w:val="bottom"/>
            <w:hideMark/>
          </w:tcPr>
          <w:p w:rsidR="00415840" w:rsidRPr="00415840" w:rsidRDefault="00415840" w:rsidP="00933A46">
            <w:pPr>
              <w:jc w:val="right"/>
              <w:rPr>
                <w:b/>
                <w:bCs/>
                <w:color w:val="000000"/>
              </w:rPr>
            </w:pPr>
          </w:p>
        </w:tc>
        <w:tc>
          <w:tcPr>
            <w:tcW w:w="1673" w:type="dxa"/>
            <w:shd w:val="clear" w:color="auto" w:fill="auto"/>
            <w:vAlign w:val="bottom"/>
            <w:hideMark/>
          </w:tcPr>
          <w:p w:rsidR="00415840" w:rsidRPr="00415840" w:rsidRDefault="00415840" w:rsidP="00933A46">
            <w:pPr>
              <w:jc w:val="right"/>
              <w:rPr>
                <w:color w:val="000000"/>
              </w:rPr>
            </w:pPr>
            <w:r w:rsidRPr="00415840">
              <w:rPr>
                <w:color w:val="000000"/>
              </w:rPr>
              <w:t xml:space="preserve">Debtor Amount </w:t>
            </w:r>
          </w:p>
        </w:tc>
        <w:tc>
          <w:tcPr>
            <w:tcW w:w="1655" w:type="dxa"/>
            <w:shd w:val="clear" w:color="auto" w:fill="auto"/>
            <w:vAlign w:val="bottom"/>
            <w:hideMark/>
          </w:tcPr>
          <w:p w:rsidR="00415840" w:rsidRPr="00415840" w:rsidRDefault="00415840" w:rsidP="00933A46">
            <w:pPr>
              <w:jc w:val="right"/>
              <w:rPr>
                <w:color w:val="000000"/>
              </w:rPr>
            </w:pPr>
            <w:r w:rsidRPr="00415840">
              <w:rPr>
                <w:color w:val="000000"/>
              </w:rPr>
              <w:t>Deduct bad debt provision impairment</w:t>
            </w:r>
          </w:p>
        </w:tc>
        <w:tc>
          <w:tcPr>
            <w:tcW w:w="2004" w:type="dxa"/>
            <w:shd w:val="clear" w:color="auto" w:fill="auto"/>
            <w:vAlign w:val="bottom"/>
            <w:hideMark/>
          </w:tcPr>
          <w:p w:rsidR="00415840" w:rsidRPr="00415840" w:rsidRDefault="00415840" w:rsidP="00933A46">
            <w:pPr>
              <w:jc w:val="right"/>
              <w:rPr>
                <w:color w:val="000000"/>
              </w:rPr>
            </w:pPr>
            <w:r w:rsidRPr="00415840">
              <w:rPr>
                <w:color w:val="000000"/>
              </w:rPr>
              <w:t>Debtor net amount after deduction for bad debt provision impairment</w:t>
            </w:r>
          </w:p>
        </w:tc>
        <w:tc>
          <w:tcPr>
            <w:tcW w:w="1379" w:type="dxa"/>
            <w:shd w:val="clear" w:color="auto" w:fill="auto"/>
            <w:vAlign w:val="bottom"/>
            <w:hideMark/>
          </w:tcPr>
          <w:p w:rsidR="00415840" w:rsidRPr="00415840" w:rsidRDefault="00415840" w:rsidP="00933A46">
            <w:pPr>
              <w:jc w:val="right"/>
              <w:rPr>
                <w:color w:val="000000"/>
              </w:rPr>
            </w:pPr>
            <w:r w:rsidRPr="00415840">
              <w:rPr>
                <w:color w:val="000000"/>
              </w:rPr>
              <w:t xml:space="preserve">Debtor Amount </w:t>
            </w:r>
          </w:p>
        </w:tc>
        <w:tc>
          <w:tcPr>
            <w:tcW w:w="1618" w:type="dxa"/>
            <w:shd w:val="clear" w:color="auto" w:fill="auto"/>
            <w:vAlign w:val="bottom"/>
            <w:hideMark/>
          </w:tcPr>
          <w:p w:rsidR="00415840" w:rsidRPr="00415840" w:rsidRDefault="00415840" w:rsidP="00933A46">
            <w:pPr>
              <w:jc w:val="right"/>
              <w:rPr>
                <w:color w:val="000000"/>
              </w:rPr>
            </w:pPr>
            <w:r w:rsidRPr="00415840">
              <w:rPr>
                <w:color w:val="000000"/>
              </w:rPr>
              <w:t>Deduct bad debt provision impairment</w:t>
            </w:r>
          </w:p>
        </w:tc>
        <w:tc>
          <w:tcPr>
            <w:tcW w:w="1894" w:type="dxa"/>
            <w:shd w:val="clear" w:color="auto" w:fill="auto"/>
            <w:vAlign w:val="bottom"/>
            <w:hideMark/>
          </w:tcPr>
          <w:p w:rsidR="00415840" w:rsidRPr="00415840" w:rsidRDefault="00415840" w:rsidP="00933A46">
            <w:pPr>
              <w:jc w:val="right"/>
              <w:rPr>
                <w:color w:val="000000"/>
              </w:rPr>
            </w:pPr>
            <w:r w:rsidRPr="00415840">
              <w:rPr>
                <w:color w:val="000000"/>
              </w:rPr>
              <w:t>Debtor net amount after deduction for bad debt provision impairment</w:t>
            </w:r>
          </w:p>
        </w:tc>
      </w:tr>
      <w:tr w:rsidR="00415840" w:rsidRPr="00415840" w:rsidTr="00F344D2">
        <w:trPr>
          <w:trHeight w:val="332"/>
        </w:trPr>
        <w:tc>
          <w:tcPr>
            <w:tcW w:w="5174" w:type="dxa"/>
            <w:shd w:val="clear" w:color="auto" w:fill="auto"/>
            <w:noWrap/>
            <w:vAlign w:val="bottom"/>
            <w:hideMark/>
          </w:tcPr>
          <w:p w:rsidR="00415840" w:rsidRPr="00415840" w:rsidRDefault="00415840" w:rsidP="00415840">
            <w:pPr>
              <w:rPr>
                <w:color w:val="000000"/>
              </w:rPr>
            </w:pPr>
            <w:r w:rsidRPr="00415840">
              <w:rPr>
                <w:color w:val="000000"/>
              </w:rPr>
              <w:t> </w:t>
            </w:r>
          </w:p>
        </w:tc>
        <w:tc>
          <w:tcPr>
            <w:tcW w:w="1673" w:type="dxa"/>
            <w:shd w:val="clear" w:color="auto" w:fill="auto"/>
            <w:noWrap/>
            <w:vAlign w:val="bottom"/>
            <w:hideMark/>
          </w:tcPr>
          <w:p w:rsidR="00415840" w:rsidRPr="00415840" w:rsidRDefault="00415840" w:rsidP="00415840">
            <w:pPr>
              <w:jc w:val="right"/>
              <w:rPr>
                <w:color w:val="000000"/>
              </w:rPr>
            </w:pPr>
            <w:r w:rsidRPr="00415840">
              <w:rPr>
                <w:color w:val="000000"/>
              </w:rPr>
              <w:t>£000</w:t>
            </w:r>
          </w:p>
        </w:tc>
        <w:tc>
          <w:tcPr>
            <w:tcW w:w="1655" w:type="dxa"/>
            <w:shd w:val="clear" w:color="auto" w:fill="auto"/>
            <w:noWrap/>
            <w:vAlign w:val="bottom"/>
            <w:hideMark/>
          </w:tcPr>
          <w:p w:rsidR="00415840" w:rsidRPr="00415840" w:rsidRDefault="00415840" w:rsidP="00415840">
            <w:pPr>
              <w:jc w:val="right"/>
              <w:rPr>
                <w:color w:val="000000"/>
              </w:rPr>
            </w:pPr>
            <w:r w:rsidRPr="00415840">
              <w:rPr>
                <w:color w:val="000000"/>
              </w:rPr>
              <w:t>£000</w:t>
            </w:r>
          </w:p>
        </w:tc>
        <w:tc>
          <w:tcPr>
            <w:tcW w:w="2004" w:type="dxa"/>
            <w:shd w:val="clear" w:color="auto" w:fill="auto"/>
            <w:noWrap/>
            <w:vAlign w:val="bottom"/>
            <w:hideMark/>
          </w:tcPr>
          <w:p w:rsidR="00415840" w:rsidRPr="00415840" w:rsidRDefault="00415840" w:rsidP="00415840">
            <w:pPr>
              <w:jc w:val="right"/>
              <w:rPr>
                <w:color w:val="000000"/>
              </w:rPr>
            </w:pPr>
            <w:r w:rsidRPr="00415840">
              <w:rPr>
                <w:color w:val="000000"/>
              </w:rPr>
              <w:t>£000</w:t>
            </w:r>
          </w:p>
        </w:tc>
        <w:tc>
          <w:tcPr>
            <w:tcW w:w="1379" w:type="dxa"/>
            <w:shd w:val="clear" w:color="auto" w:fill="auto"/>
            <w:noWrap/>
            <w:vAlign w:val="bottom"/>
            <w:hideMark/>
          </w:tcPr>
          <w:p w:rsidR="00415840" w:rsidRPr="00415840" w:rsidRDefault="00415840" w:rsidP="00415840">
            <w:pPr>
              <w:jc w:val="right"/>
              <w:rPr>
                <w:color w:val="000000"/>
              </w:rPr>
            </w:pPr>
            <w:r w:rsidRPr="00415840">
              <w:rPr>
                <w:color w:val="000000"/>
              </w:rPr>
              <w:t>£000</w:t>
            </w:r>
          </w:p>
        </w:tc>
        <w:tc>
          <w:tcPr>
            <w:tcW w:w="1618" w:type="dxa"/>
            <w:shd w:val="clear" w:color="auto" w:fill="auto"/>
            <w:noWrap/>
            <w:vAlign w:val="bottom"/>
            <w:hideMark/>
          </w:tcPr>
          <w:p w:rsidR="00415840" w:rsidRPr="00415840" w:rsidRDefault="00415840" w:rsidP="00415840">
            <w:pPr>
              <w:jc w:val="right"/>
              <w:rPr>
                <w:color w:val="000000"/>
              </w:rPr>
            </w:pPr>
            <w:r w:rsidRPr="00415840">
              <w:rPr>
                <w:color w:val="000000"/>
              </w:rPr>
              <w:t>£000</w:t>
            </w:r>
          </w:p>
        </w:tc>
        <w:tc>
          <w:tcPr>
            <w:tcW w:w="1894" w:type="dxa"/>
            <w:shd w:val="clear" w:color="auto" w:fill="auto"/>
            <w:noWrap/>
            <w:vAlign w:val="bottom"/>
            <w:hideMark/>
          </w:tcPr>
          <w:p w:rsidR="00415840" w:rsidRPr="00415840" w:rsidRDefault="00415840" w:rsidP="00415840">
            <w:pPr>
              <w:jc w:val="right"/>
              <w:rPr>
                <w:color w:val="000000"/>
              </w:rPr>
            </w:pPr>
            <w:r w:rsidRPr="00415840">
              <w:rPr>
                <w:color w:val="000000"/>
              </w:rPr>
              <w:t>£000</w:t>
            </w:r>
          </w:p>
        </w:tc>
      </w:tr>
      <w:tr w:rsidR="00415840" w:rsidRPr="00415840" w:rsidTr="00F344D2">
        <w:trPr>
          <w:trHeight w:val="332"/>
        </w:trPr>
        <w:tc>
          <w:tcPr>
            <w:tcW w:w="5174" w:type="dxa"/>
            <w:shd w:val="clear" w:color="auto" w:fill="auto"/>
            <w:noWrap/>
            <w:vAlign w:val="bottom"/>
            <w:hideMark/>
          </w:tcPr>
          <w:p w:rsidR="00415840" w:rsidRPr="00415840" w:rsidRDefault="00415840" w:rsidP="00415840">
            <w:pPr>
              <w:rPr>
                <w:color w:val="000000"/>
              </w:rPr>
            </w:pPr>
            <w:r w:rsidRPr="00415840">
              <w:rPr>
                <w:color w:val="000000"/>
              </w:rPr>
              <w:t xml:space="preserve"> Capital Debtors  </w:t>
            </w:r>
          </w:p>
        </w:tc>
        <w:tc>
          <w:tcPr>
            <w:tcW w:w="1673" w:type="dxa"/>
            <w:shd w:val="clear" w:color="auto" w:fill="auto"/>
            <w:noWrap/>
            <w:vAlign w:val="bottom"/>
            <w:hideMark/>
          </w:tcPr>
          <w:p w:rsidR="00415840" w:rsidRPr="00415840" w:rsidRDefault="00415840" w:rsidP="00415840">
            <w:pPr>
              <w:jc w:val="right"/>
              <w:rPr>
                <w:color w:val="000000"/>
              </w:rPr>
            </w:pPr>
            <w:r w:rsidRPr="00415840">
              <w:rPr>
                <w:color w:val="000000"/>
              </w:rPr>
              <w:t>5,149</w:t>
            </w:r>
          </w:p>
        </w:tc>
        <w:tc>
          <w:tcPr>
            <w:tcW w:w="1655" w:type="dxa"/>
            <w:shd w:val="clear" w:color="auto" w:fill="auto"/>
            <w:noWrap/>
            <w:vAlign w:val="bottom"/>
            <w:hideMark/>
          </w:tcPr>
          <w:p w:rsidR="00415840" w:rsidRPr="00415840" w:rsidRDefault="00415840" w:rsidP="00415840">
            <w:pPr>
              <w:jc w:val="right"/>
              <w:rPr>
                <w:color w:val="000000"/>
              </w:rPr>
            </w:pPr>
            <w:r w:rsidRPr="00415840">
              <w:rPr>
                <w:color w:val="000000"/>
              </w:rPr>
              <w:t>-</w:t>
            </w:r>
          </w:p>
        </w:tc>
        <w:tc>
          <w:tcPr>
            <w:tcW w:w="2004" w:type="dxa"/>
            <w:shd w:val="clear" w:color="auto" w:fill="auto"/>
            <w:noWrap/>
            <w:vAlign w:val="bottom"/>
            <w:hideMark/>
          </w:tcPr>
          <w:p w:rsidR="00415840" w:rsidRPr="00415840" w:rsidRDefault="00415840" w:rsidP="00415840">
            <w:pPr>
              <w:jc w:val="right"/>
              <w:rPr>
                <w:color w:val="000000"/>
              </w:rPr>
            </w:pPr>
            <w:r w:rsidRPr="00415840">
              <w:rPr>
                <w:color w:val="000000"/>
              </w:rPr>
              <w:t>5,149</w:t>
            </w:r>
          </w:p>
        </w:tc>
        <w:tc>
          <w:tcPr>
            <w:tcW w:w="1379" w:type="dxa"/>
            <w:shd w:val="clear" w:color="auto" w:fill="auto"/>
            <w:noWrap/>
            <w:vAlign w:val="bottom"/>
            <w:hideMark/>
          </w:tcPr>
          <w:p w:rsidR="00415840" w:rsidRPr="00415840" w:rsidRDefault="00415840" w:rsidP="00415840">
            <w:pPr>
              <w:jc w:val="right"/>
              <w:rPr>
                <w:color w:val="000000"/>
              </w:rPr>
            </w:pPr>
            <w:r w:rsidRPr="00415840">
              <w:rPr>
                <w:color w:val="000000"/>
              </w:rPr>
              <w:t>9,285</w:t>
            </w:r>
          </w:p>
        </w:tc>
        <w:tc>
          <w:tcPr>
            <w:tcW w:w="1618" w:type="dxa"/>
            <w:shd w:val="clear" w:color="auto" w:fill="auto"/>
            <w:noWrap/>
            <w:vAlign w:val="bottom"/>
            <w:hideMark/>
          </w:tcPr>
          <w:p w:rsidR="00415840" w:rsidRPr="00415840" w:rsidRDefault="00415840" w:rsidP="00415840">
            <w:pPr>
              <w:jc w:val="right"/>
              <w:rPr>
                <w:color w:val="000000"/>
              </w:rPr>
            </w:pPr>
            <w:r w:rsidRPr="00415840">
              <w:rPr>
                <w:color w:val="000000"/>
              </w:rPr>
              <w:t>(3)</w:t>
            </w:r>
          </w:p>
        </w:tc>
        <w:tc>
          <w:tcPr>
            <w:tcW w:w="1894" w:type="dxa"/>
            <w:shd w:val="clear" w:color="auto" w:fill="auto"/>
            <w:noWrap/>
            <w:vAlign w:val="bottom"/>
            <w:hideMark/>
          </w:tcPr>
          <w:p w:rsidR="00415840" w:rsidRPr="00415840" w:rsidRDefault="00415840" w:rsidP="00415840">
            <w:pPr>
              <w:jc w:val="right"/>
              <w:rPr>
                <w:color w:val="000000"/>
              </w:rPr>
            </w:pPr>
            <w:r w:rsidRPr="00415840">
              <w:rPr>
                <w:color w:val="000000"/>
              </w:rPr>
              <w:t>9,282</w:t>
            </w:r>
          </w:p>
        </w:tc>
      </w:tr>
      <w:tr w:rsidR="00415840" w:rsidRPr="00415840" w:rsidTr="00F344D2">
        <w:trPr>
          <w:trHeight w:val="332"/>
        </w:trPr>
        <w:tc>
          <w:tcPr>
            <w:tcW w:w="5174" w:type="dxa"/>
            <w:shd w:val="clear" w:color="auto" w:fill="auto"/>
            <w:noWrap/>
            <w:vAlign w:val="bottom"/>
            <w:hideMark/>
          </w:tcPr>
          <w:p w:rsidR="00415840" w:rsidRPr="00415840" w:rsidRDefault="00415840" w:rsidP="00415840">
            <w:pPr>
              <w:rPr>
                <w:color w:val="000000"/>
              </w:rPr>
            </w:pPr>
            <w:r w:rsidRPr="00415840">
              <w:rPr>
                <w:color w:val="000000"/>
              </w:rPr>
              <w:t xml:space="preserve"> Trade Debtors </w:t>
            </w:r>
          </w:p>
        </w:tc>
        <w:tc>
          <w:tcPr>
            <w:tcW w:w="1673" w:type="dxa"/>
            <w:shd w:val="clear" w:color="auto" w:fill="auto"/>
            <w:noWrap/>
            <w:vAlign w:val="bottom"/>
            <w:hideMark/>
          </w:tcPr>
          <w:p w:rsidR="00415840" w:rsidRPr="00415840" w:rsidRDefault="00415840" w:rsidP="00415840">
            <w:pPr>
              <w:jc w:val="right"/>
              <w:rPr>
                <w:color w:val="000000"/>
              </w:rPr>
            </w:pPr>
            <w:r w:rsidRPr="00415840">
              <w:rPr>
                <w:color w:val="000000"/>
              </w:rPr>
              <w:t>12,192</w:t>
            </w:r>
          </w:p>
        </w:tc>
        <w:tc>
          <w:tcPr>
            <w:tcW w:w="1655" w:type="dxa"/>
            <w:shd w:val="clear" w:color="auto" w:fill="auto"/>
            <w:noWrap/>
            <w:vAlign w:val="bottom"/>
            <w:hideMark/>
          </w:tcPr>
          <w:p w:rsidR="00415840" w:rsidRPr="00415840" w:rsidRDefault="00415840" w:rsidP="00415840">
            <w:pPr>
              <w:jc w:val="right"/>
              <w:rPr>
                <w:color w:val="000000"/>
              </w:rPr>
            </w:pPr>
            <w:r w:rsidRPr="00415840">
              <w:rPr>
                <w:color w:val="000000"/>
              </w:rPr>
              <w:t>(7,527)</w:t>
            </w:r>
          </w:p>
        </w:tc>
        <w:tc>
          <w:tcPr>
            <w:tcW w:w="2004" w:type="dxa"/>
            <w:shd w:val="clear" w:color="auto" w:fill="auto"/>
            <w:noWrap/>
            <w:vAlign w:val="bottom"/>
            <w:hideMark/>
          </w:tcPr>
          <w:p w:rsidR="00415840" w:rsidRPr="00415840" w:rsidRDefault="00415840" w:rsidP="00415840">
            <w:pPr>
              <w:jc w:val="right"/>
              <w:rPr>
                <w:color w:val="000000"/>
              </w:rPr>
            </w:pPr>
            <w:r w:rsidRPr="00415840">
              <w:rPr>
                <w:color w:val="000000"/>
              </w:rPr>
              <w:t>4,665</w:t>
            </w:r>
          </w:p>
        </w:tc>
        <w:tc>
          <w:tcPr>
            <w:tcW w:w="1379" w:type="dxa"/>
            <w:shd w:val="clear" w:color="auto" w:fill="auto"/>
            <w:noWrap/>
            <w:vAlign w:val="bottom"/>
            <w:hideMark/>
          </w:tcPr>
          <w:p w:rsidR="00415840" w:rsidRPr="00415840" w:rsidRDefault="00415840" w:rsidP="00415840">
            <w:pPr>
              <w:jc w:val="right"/>
              <w:rPr>
                <w:color w:val="000000"/>
              </w:rPr>
            </w:pPr>
            <w:r w:rsidRPr="00415840">
              <w:rPr>
                <w:color w:val="000000"/>
              </w:rPr>
              <w:t>10,247</w:t>
            </w:r>
          </w:p>
        </w:tc>
        <w:tc>
          <w:tcPr>
            <w:tcW w:w="1618" w:type="dxa"/>
            <w:shd w:val="clear" w:color="auto" w:fill="auto"/>
            <w:noWrap/>
            <w:vAlign w:val="bottom"/>
            <w:hideMark/>
          </w:tcPr>
          <w:p w:rsidR="00415840" w:rsidRPr="00415840" w:rsidRDefault="00415840" w:rsidP="00415840">
            <w:pPr>
              <w:jc w:val="right"/>
              <w:rPr>
                <w:color w:val="000000"/>
              </w:rPr>
            </w:pPr>
            <w:r w:rsidRPr="00415840">
              <w:rPr>
                <w:color w:val="000000"/>
              </w:rPr>
              <w:t>(6,571)</w:t>
            </w:r>
          </w:p>
        </w:tc>
        <w:tc>
          <w:tcPr>
            <w:tcW w:w="1894" w:type="dxa"/>
            <w:shd w:val="clear" w:color="auto" w:fill="auto"/>
            <w:noWrap/>
            <w:vAlign w:val="bottom"/>
            <w:hideMark/>
          </w:tcPr>
          <w:p w:rsidR="00415840" w:rsidRPr="00415840" w:rsidRDefault="00415840" w:rsidP="00415840">
            <w:pPr>
              <w:jc w:val="right"/>
              <w:rPr>
                <w:color w:val="000000"/>
              </w:rPr>
            </w:pPr>
            <w:r w:rsidRPr="00415840">
              <w:rPr>
                <w:color w:val="000000"/>
              </w:rPr>
              <w:t>3,676</w:t>
            </w:r>
          </w:p>
        </w:tc>
      </w:tr>
      <w:tr w:rsidR="00415840" w:rsidRPr="00415840" w:rsidTr="00F344D2">
        <w:trPr>
          <w:trHeight w:val="332"/>
        </w:trPr>
        <w:tc>
          <w:tcPr>
            <w:tcW w:w="5174" w:type="dxa"/>
            <w:shd w:val="clear" w:color="auto" w:fill="auto"/>
            <w:noWrap/>
            <w:vAlign w:val="bottom"/>
            <w:hideMark/>
          </w:tcPr>
          <w:p w:rsidR="00415840" w:rsidRPr="00415840" w:rsidRDefault="00415840" w:rsidP="00415840">
            <w:pPr>
              <w:rPr>
                <w:color w:val="000000"/>
              </w:rPr>
            </w:pPr>
            <w:r w:rsidRPr="00415840">
              <w:rPr>
                <w:color w:val="000000"/>
              </w:rPr>
              <w:t xml:space="preserve"> Capital Grant and Contributions </w:t>
            </w:r>
          </w:p>
        </w:tc>
        <w:tc>
          <w:tcPr>
            <w:tcW w:w="1673" w:type="dxa"/>
            <w:shd w:val="clear" w:color="auto" w:fill="auto"/>
            <w:noWrap/>
            <w:vAlign w:val="bottom"/>
            <w:hideMark/>
          </w:tcPr>
          <w:p w:rsidR="00415840" w:rsidRPr="00415840" w:rsidRDefault="00415840" w:rsidP="00415840">
            <w:pPr>
              <w:jc w:val="right"/>
              <w:rPr>
                <w:color w:val="000000"/>
              </w:rPr>
            </w:pPr>
            <w:r w:rsidRPr="00415840">
              <w:rPr>
                <w:color w:val="000000"/>
              </w:rPr>
              <w:t>-</w:t>
            </w:r>
          </w:p>
        </w:tc>
        <w:tc>
          <w:tcPr>
            <w:tcW w:w="1655" w:type="dxa"/>
            <w:shd w:val="clear" w:color="auto" w:fill="auto"/>
            <w:noWrap/>
            <w:vAlign w:val="bottom"/>
            <w:hideMark/>
          </w:tcPr>
          <w:p w:rsidR="00415840" w:rsidRPr="00415840" w:rsidRDefault="00415840" w:rsidP="00415840">
            <w:pPr>
              <w:jc w:val="right"/>
              <w:rPr>
                <w:color w:val="000000"/>
              </w:rPr>
            </w:pPr>
            <w:r w:rsidRPr="00415840">
              <w:rPr>
                <w:color w:val="000000"/>
              </w:rPr>
              <w:t>-</w:t>
            </w:r>
          </w:p>
        </w:tc>
        <w:tc>
          <w:tcPr>
            <w:tcW w:w="2004" w:type="dxa"/>
            <w:shd w:val="clear" w:color="auto" w:fill="auto"/>
            <w:noWrap/>
            <w:vAlign w:val="bottom"/>
            <w:hideMark/>
          </w:tcPr>
          <w:p w:rsidR="00415840" w:rsidRPr="00415840" w:rsidRDefault="00415840" w:rsidP="00415840">
            <w:pPr>
              <w:jc w:val="right"/>
              <w:rPr>
                <w:color w:val="000000"/>
              </w:rPr>
            </w:pPr>
            <w:r w:rsidRPr="00415840">
              <w:rPr>
                <w:color w:val="000000"/>
              </w:rPr>
              <w:t>-</w:t>
            </w:r>
          </w:p>
        </w:tc>
        <w:tc>
          <w:tcPr>
            <w:tcW w:w="1379" w:type="dxa"/>
            <w:shd w:val="clear" w:color="auto" w:fill="auto"/>
            <w:noWrap/>
            <w:vAlign w:val="bottom"/>
            <w:hideMark/>
          </w:tcPr>
          <w:p w:rsidR="00415840" w:rsidRPr="00415840" w:rsidRDefault="00415840" w:rsidP="00415840">
            <w:pPr>
              <w:jc w:val="right"/>
              <w:rPr>
                <w:color w:val="000000"/>
              </w:rPr>
            </w:pPr>
            <w:r w:rsidRPr="00415840">
              <w:rPr>
                <w:color w:val="000000"/>
              </w:rPr>
              <w:t>-</w:t>
            </w:r>
          </w:p>
        </w:tc>
        <w:tc>
          <w:tcPr>
            <w:tcW w:w="1618" w:type="dxa"/>
            <w:shd w:val="clear" w:color="auto" w:fill="auto"/>
            <w:noWrap/>
            <w:vAlign w:val="bottom"/>
            <w:hideMark/>
          </w:tcPr>
          <w:p w:rsidR="00415840" w:rsidRPr="00415840" w:rsidRDefault="00415840" w:rsidP="00415840">
            <w:pPr>
              <w:jc w:val="right"/>
              <w:rPr>
                <w:color w:val="000000"/>
              </w:rPr>
            </w:pPr>
            <w:r w:rsidRPr="00415840">
              <w:rPr>
                <w:color w:val="000000"/>
              </w:rPr>
              <w:t>-</w:t>
            </w:r>
          </w:p>
        </w:tc>
        <w:tc>
          <w:tcPr>
            <w:tcW w:w="1894" w:type="dxa"/>
            <w:shd w:val="clear" w:color="auto" w:fill="auto"/>
            <w:noWrap/>
            <w:vAlign w:val="bottom"/>
            <w:hideMark/>
          </w:tcPr>
          <w:p w:rsidR="00415840" w:rsidRPr="00415840" w:rsidRDefault="00415840" w:rsidP="00415840">
            <w:pPr>
              <w:jc w:val="right"/>
              <w:rPr>
                <w:color w:val="000000"/>
              </w:rPr>
            </w:pPr>
            <w:r w:rsidRPr="00415840">
              <w:rPr>
                <w:color w:val="000000"/>
              </w:rPr>
              <w:t>-</w:t>
            </w:r>
          </w:p>
        </w:tc>
      </w:tr>
      <w:tr w:rsidR="00415840" w:rsidRPr="00415840" w:rsidTr="00F344D2">
        <w:trPr>
          <w:trHeight w:val="332"/>
        </w:trPr>
        <w:tc>
          <w:tcPr>
            <w:tcW w:w="5174" w:type="dxa"/>
            <w:shd w:val="clear" w:color="auto" w:fill="auto"/>
            <w:noWrap/>
            <w:vAlign w:val="bottom"/>
            <w:hideMark/>
          </w:tcPr>
          <w:p w:rsidR="00415840" w:rsidRPr="00415840" w:rsidRDefault="00415840" w:rsidP="00415840">
            <w:pPr>
              <w:rPr>
                <w:color w:val="000000"/>
              </w:rPr>
            </w:pPr>
            <w:r w:rsidRPr="00415840">
              <w:rPr>
                <w:color w:val="000000"/>
              </w:rPr>
              <w:t xml:space="preserve"> Government Grant  </w:t>
            </w:r>
          </w:p>
        </w:tc>
        <w:tc>
          <w:tcPr>
            <w:tcW w:w="1673" w:type="dxa"/>
            <w:shd w:val="clear" w:color="auto" w:fill="auto"/>
            <w:noWrap/>
            <w:vAlign w:val="bottom"/>
            <w:hideMark/>
          </w:tcPr>
          <w:p w:rsidR="00415840" w:rsidRPr="00415840" w:rsidRDefault="00415840" w:rsidP="00415840">
            <w:pPr>
              <w:jc w:val="right"/>
              <w:rPr>
                <w:color w:val="000000"/>
              </w:rPr>
            </w:pPr>
            <w:r w:rsidRPr="00415840">
              <w:rPr>
                <w:color w:val="000000"/>
              </w:rPr>
              <w:t>30</w:t>
            </w:r>
          </w:p>
        </w:tc>
        <w:tc>
          <w:tcPr>
            <w:tcW w:w="1655" w:type="dxa"/>
            <w:shd w:val="clear" w:color="auto" w:fill="auto"/>
            <w:noWrap/>
            <w:vAlign w:val="bottom"/>
            <w:hideMark/>
          </w:tcPr>
          <w:p w:rsidR="00415840" w:rsidRPr="00415840" w:rsidRDefault="00415840" w:rsidP="00415840">
            <w:pPr>
              <w:jc w:val="right"/>
              <w:rPr>
                <w:color w:val="000000"/>
              </w:rPr>
            </w:pPr>
            <w:r w:rsidRPr="00415840">
              <w:rPr>
                <w:color w:val="000000"/>
              </w:rPr>
              <w:t>-</w:t>
            </w:r>
          </w:p>
        </w:tc>
        <w:tc>
          <w:tcPr>
            <w:tcW w:w="2004" w:type="dxa"/>
            <w:shd w:val="clear" w:color="auto" w:fill="auto"/>
            <w:noWrap/>
            <w:vAlign w:val="bottom"/>
            <w:hideMark/>
          </w:tcPr>
          <w:p w:rsidR="00415840" w:rsidRPr="00415840" w:rsidRDefault="00415840" w:rsidP="00415840">
            <w:pPr>
              <w:jc w:val="right"/>
              <w:rPr>
                <w:color w:val="000000"/>
              </w:rPr>
            </w:pPr>
            <w:r w:rsidRPr="00415840">
              <w:rPr>
                <w:color w:val="000000"/>
              </w:rPr>
              <w:t>30</w:t>
            </w:r>
          </w:p>
        </w:tc>
        <w:tc>
          <w:tcPr>
            <w:tcW w:w="1379" w:type="dxa"/>
            <w:shd w:val="clear" w:color="auto" w:fill="auto"/>
            <w:noWrap/>
            <w:vAlign w:val="bottom"/>
            <w:hideMark/>
          </w:tcPr>
          <w:p w:rsidR="00415840" w:rsidRPr="00415840" w:rsidRDefault="00415840" w:rsidP="00415840">
            <w:pPr>
              <w:jc w:val="right"/>
              <w:rPr>
                <w:color w:val="000000"/>
              </w:rPr>
            </w:pPr>
            <w:r w:rsidRPr="00415840">
              <w:rPr>
                <w:color w:val="000000"/>
              </w:rPr>
              <w:t>10,622</w:t>
            </w:r>
          </w:p>
        </w:tc>
        <w:tc>
          <w:tcPr>
            <w:tcW w:w="1618" w:type="dxa"/>
            <w:shd w:val="clear" w:color="auto" w:fill="auto"/>
            <w:noWrap/>
            <w:vAlign w:val="bottom"/>
            <w:hideMark/>
          </w:tcPr>
          <w:p w:rsidR="00415840" w:rsidRPr="00415840" w:rsidRDefault="00415840" w:rsidP="00415840">
            <w:pPr>
              <w:jc w:val="right"/>
              <w:rPr>
                <w:color w:val="000000"/>
              </w:rPr>
            </w:pPr>
            <w:r w:rsidRPr="00415840">
              <w:rPr>
                <w:color w:val="000000"/>
              </w:rPr>
              <w:t>-</w:t>
            </w:r>
          </w:p>
        </w:tc>
        <w:tc>
          <w:tcPr>
            <w:tcW w:w="1894" w:type="dxa"/>
            <w:shd w:val="clear" w:color="auto" w:fill="auto"/>
            <w:noWrap/>
            <w:vAlign w:val="bottom"/>
            <w:hideMark/>
          </w:tcPr>
          <w:p w:rsidR="00415840" w:rsidRPr="00415840" w:rsidRDefault="00415840" w:rsidP="00415840">
            <w:pPr>
              <w:jc w:val="right"/>
              <w:rPr>
                <w:color w:val="000000"/>
              </w:rPr>
            </w:pPr>
            <w:r w:rsidRPr="00415840">
              <w:rPr>
                <w:color w:val="000000"/>
              </w:rPr>
              <w:t>10,622</w:t>
            </w:r>
          </w:p>
        </w:tc>
      </w:tr>
      <w:tr w:rsidR="00415840" w:rsidRPr="00415840" w:rsidTr="00F344D2">
        <w:trPr>
          <w:trHeight w:val="332"/>
        </w:trPr>
        <w:tc>
          <w:tcPr>
            <w:tcW w:w="5174" w:type="dxa"/>
            <w:shd w:val="clear" w:color="auto" w:fill="auto"/>
            <w:noWrap/>
            <w:vAlign w:val="bottom"/>
            <w:hideMark/>
          </w:tcPr>
          <w:p w:rsidR="00415840" w:rsidRPr="00415840" w:rsidRDefault="00415840" w:rsidP="00415840">
            <w:pPr>
              <w:rPr>
                <w:color w:val="000000"/>
              </w:rPr>
            </w:pPr>
            <w:r w:rsidRPr="00415840">
              <w:rPr>
                <w:color w:val="000000"/>
              </w:rPr>
              <w:t xml:space="preserve"> Regenerate Pennine Lancashire </w:t>
            </w:r>
          </w:p>
        </w:tc>
        <w:tc>
          <w:tcPr>
            <w:tcW w:w="1673" w:type="dxa"/>
            <w:shd w:val="clear" w:color="auto" w:fill="auto"/>
            <w:noWrap/>
            <w:vAlign w:val="bottom"/>
            <w:hideMark/>
          </w:tcPr>
          <w:p w:rsidR="00415840" w:rsidRPr="00415840" w:rsidRDefault="00415840" w:rsidP="00415840">
            <w:pPr>
              <w:jc w:val="right"/>
              <w:rPr>
                <w:color w:val="000000"/>
              </w:rPr>
            </w:pPr>
            <w:r w:rsidRPr="00415840">
              <w:rPr>
                <w:color w:val="000000"/>
              </w:rPr>
              <w:t>-</w:t>
            </w:r>
          </w:p>
        </w:tc>
        <w:tc>
          <w:tcPr>
            <w:tcW w:w="1655" w:type="dxa"/>
            <w:shd w:val="clear" w:color="auto" w:fill="auto"/>
            <w:noWrap/>
            <w:vAlign w:val="bottom"/>
            <w:hideMark/>
          </w:tcPr>
          <w:p w:rsidR="00415840" w:rsidRPr="00415840" w:rsidRDefault="00415840" w:rsidP="00415840">
            <w:pPr>
              <w:jc w:val="right"/>
              <w:rPr>
                <w:color w:val="000000"/>
              </w:rPr>
            </w:pPr>
            <w:r w:rsidRPr="00415840">
              <w:rPr>
                <w:color w:val="000000"/>
              </w:rPr>
              <w:t>-</w:t>
            </w:r>
          </w:p>
        </w:tc>
        <w:tc>
          <w:tcPr>
            <w:tcW w:w="2004" w:type="dxa"/>
            <w:shd w:val="clear" w:color="auto" w:fill="auto"/>
            <w:noWrap/>
            <w:vAlign w:val="bottom"/>
            <w:hideMark/>
          </w:tcPr>
          <w:p w:rsidR="00415840" w:rsidRPr="00415840" w:rsidRDefault="00415840" w:rsidP="00415840">
            <w:pPr>
              <w:jc w:val="right"/>
              <w:rPr>
                <w:color w:val="000000"/>
              </w:rPr>
            </w:pPr>
            <w:r w:rsidRPr="00415840">
              <w:rPr>
                <w:color w:val="000000"/>
              </w:rPr>
              <w:t>-</w:t>
            </w:r>
          </w:p>
        </w:tc>
        <w:tc>
          <w:tcPr>
            <w:tcW w:w="1379" w:type="dxa"/>
            <w:shd w:val="clear" w:color="auto" w:fill="auto"/>
            <w:noWrap/>
            <w:vAlign w:val="bottom"/>
            <w:hideMark/>
          </w:tcPr>
          <w:p w:rsidR="00415840" w:rsidRPr="00415840" w:rsidRDefault="00415840" w:rsidP="00415840">
            <w:pPr>
              <w:jc w:val="right"/>
              <w:rPr>
                <w:color w:val="000000"/>
              </w:rPr>
            </w:pPr>
            <w:r w:rsidRPr="00415840">
              <w:rPr>
                <w:color w:val="000000"/>
              </w:rPr>
              <w:t>-</w:t>
            </w:r>
          </w:p>
        </w:tc>
        <w:tc>
          <w:tcPr>
            <w:tcW w:w="1618" w:type="dxa"/>
            <w:shd w:val="clear" w:color="auto" w:fill="auto"/>
            <w:noWrap/>
            <w:vAlign w:val="bottom"/>
            <w:hideMark/>
          </w:tcPr>
          <w:p w:rsidR="00415840" w:rsidRPr="00415840" w:rsidRDefault="00415840" w:rsidP="00415840">
            <w:pPr>
              <w:jc w:val="right"/>
              <w:rPr>
                <w:color w:val="000000"/>
              </w:rPr>
            </w:pPr>
            <w:r w:rsidRPr="00415840">
              <w:rPr>
                <w:color w:val="000000"/>
              </w:rPr>
              <w:t>-</w:t>
            </w:r>
          </w:p>
        </w:tc>
        <w:tc>
          <w:tcPr>
            <w:tcW w:w="1894" w:type="dxa"/>
            <w:shd w:val="clear" w:color="auto" w:fill="auto"/>
            <w:noWrap/>
            <w:vAlign w:val="bottom"/>
            <w:hideMark/>
          </w:tcPr>
          <w:p w:rsidR="00415840" w:rsidRPr="00415840" w:rsidRDefault="00415840" w:rsidP="00415840">
            <w:pPr>
              <w:jc w:val="right"/>
              <w:rPr>
                <w:color w:val="000000"/>
              </w:rPr>
            </w:pPr>
            <w:r w:rsidRPr="00415840">
              <w:rPr>
                <w:color w:val="000000"/>
              </w:rPr>
              <w:t>-</w:t>
            </w:r>
          </w:p>
        </w:tc>
      </w:tr>
      <w:tr w:rsidR="00415840" w:rsidRPr="00415840" w:rsidTr="00F344D2">
        <w:trPr>
          <w:trHeight w:val="332"/>
        </w:trPr>
        <w:tc>
          <w:tcPr>
            <w:tcW w:w="5174" w:type="dxa"/>
            <w:shd w:val="clear" w:color="auto" w:fill="auto"/>
            <w:noWrap/>
            <w:vAlign w:val="bottom"/>
            <w:hideMark/>
          </w:tcPr>
          <w:p w:rsidR="00415840" w:rsidRPr="00415840" w:rsidRDefault="00415840" w:rsidP="00415840">
            <w:pPr>
              <w:rPr>
                <w:color w:val="000000"/>
              </w:rPr>
            </w:pPr>
            <w:r w:rsidRPr="00415840">
              <w:rPr>
                <w:color w:val="000000"/>
              </w:rPr>
              <w:t xml:space="preserve"> VAT </w:t>
            </w:r>
          </w:p>
        </w:tc>
        <w:tc>
          <w:tcPr>
            <w:tcW w:w="1673" w:type="dxa"/>
            <w:shd w:val="clear" w:color="auto" w:fill="auto"/>
            <w:noWrap/>
            <w:vAlign w:val="bottom"/>
            <w:hideMark/>
          </w:tcPr>
          <w:p w:rsidR="00415840" w:rsidRPr="00415840" w:rsidRDefault="00415840" w:rsidP="00415840">
            <w:pPr>
              <w:jc w:val="right"/>
              <w:rPr>
                <w:color w:val="000000"/>
              </w:rPr>
            </w:pPr>
            <w:r w:rsidRPr="00415840">
              <w:rPr>
                <w:color w:val="000000"/>
              </w:rPr>
              <w:t>4,299</w:t>
            </w:r>
          </w:p>
        </w:tc>
        <w:tc>
          <w:tcPr>
            <w:tcW w:w="1655" w:type="dxa"/>
            <w:shd w:val="clear" w:color="auto" w:fill="auto"/>
            <w:noWrap/>
            <w:vAlign w:val="bottom"/>
            <w:hideMark/>
          </w:tcPr>
          <w:p w:rsidR="00415840" w:rsidRPr="00415840" w:rsidRDefault="00415840" w:rsidP="00415840">
            <w:pPr>
              <w:jc w:val="right"/>
              <w:rPr>
                <w:color w:val="000000"/>
              </w:rPr>
            </w:pPr>
            <w:r w:rsidRPr="00415840">
              <w:rPr>
                <w:color w:val="000000"/>
              </w:rPr>
              <w:t>-</w:t>
            </w:r>
          </w:p>
        </w:tc>
        <w:tc>
          <w:tcPr>
            <w:tcW w:w="2004" w:type="dxa"/>
            <w:shd w:val="clear" w:color="auto" w:fill="auto"/>
            <w:noWrap/>
            <w:vAlign w:val="bottom"/>
            <w:hideMark/>
          </w:tcPr>
          <w:p w:rsidR="00415840" w:rsidRPr="00415840" w:rsidRDefault="00415840" w:rsidP="00415840">
            <w:pPr>
              <w:jc w:val="right"/>
              <w:rPr>
                <w:color w:val="000000"/>
              </w:rPr>
            </w:pPr>
            <w:r w:rsidRPr="00415840">
              <w:rPr>
                <w:color w:val="000000"/>
              </w:rPr>
              <w:t>4,299</w:t>
            </w:r>
          </w:p>
        </w:tc>
        <w:tc>
          <w:tcPr>
            <w:tcW w:w="1379" w:type="dxa"/>
            <w:shd w:val="clear" w:color="auto" w:fill="auto"/>
            <w:noWrap/>
            <w:vAlign w:val="bottom"/>
            <w:hideMark/>
          </w:tcPr>
          <w:p w:rsidR="00415840" w:rsidRPr="00415840" w:rsidRDefault="00415840" w:rsidP="00415840">
            <w:pPr>
              <w:jc w:val="right"/>
              <w:rPr>
                <w:color w:val="000000"/>
              </w:rPr>
            </w:pPr>
            <w:r w:rsidRPr="00415840">
              <w:rPr>
                <w:color w:val="000000"/>
              </w:rPr>
              <w:t>6,496</w:t>
            </w:r>
          </w:p>
        </w:tc>
        <w:tc>
          <w:tcPr>
            <w:tcW w:w="1618" w:type="dxa"/>
            <w:shd w:val="clear" w:color="auto" w:fill="auto"/>
            <w:noWrap/>
            <w:vAlign w:val="bottom"/>
            <w:hideMark/>
          </w:tcPr>
          <w:p w:rsidR="00415840" w:rsidRPr="00415840" w:rsidRDefault="00415840" w:rsidP="00415840">
            <w:pPr>
              <w:jc w:val="right"/>
              <w:rPr>
                <w:color w:val="000000"/>
              </w:rPr>
            </w:pPr>
            <w:r w:rsidRPr="00415840">
              <w:rPr>
                <w:color w:val="000000"/>
              </w:rPr>
              <w:t>-</w:t>
            </w:r>
          </w:p>
        </w:tc>
        <w:tc>
          <w:tcPr>
            <w:tcW w:w="1894" w:type="dxa"/>
            <w:shd w:val="clear" w:color="auto" w:fill="auto"/>
            <w:noWrap/>
            <w:vAlign w:val="bottom"/>
            <w:hideMark/>
          </w:tcPr>
          <w:p w:rsidR="00415840" w:rsidRPr="00415840" w:rsidRDefault="00415840" w:rsidP="00415840">
            <w:pPr>
              <w:jc w:val="right"/>
              <w:rPr>
                <w:color w:val="000000"/>
              </w:rPr>
            </w:pPr>
            <w:r w:rsidRPr="00415840">
              <w:rPr>
                <w:color w:val="000000"/>
              </w:rPr>
              <w:t>6,496</w:t>
            </w:r>
          </w:p>
        </w:tc>
      </w:tr>
      <w:tr w:rsidR="00415840" w:rsidRPr="00415840" w:rsidTr="00F344D2">
        <w:trPr>
          <w:trHeight w:val="332"/>
        </w:trPr>
        <w:tc>
          <w:tcPr>
            <w:tcW w:w="5174" w:type="dxa"/>
            <w:shd w:val="clear" w:color="auto" w:fill="auto"/>
            <w:noWrap/>
            <w:vAlign w:val="bottom"/>
            <w:hideMark/>
          </w:tcPr>
          <w:p w:rsidR="00415840" w:rsidRPr="00415840" w:rsidRDefault="00415840" w:rsidP="00415840">
            <w:pPr>
              <w:rPr>
                <w:color w:val="000000"/>
              </w:rPr>
            </w:pPr>
            <w:r w:rsidRPr="00415840">
              <w:rPr>
                <w:color w:val="000000"/>
              </w:rPr>
              <w:t xml:space="preserve"> Loans to Employees to Buy Cars  </w:t>
            </w:r>
          </w:p>
        </w:tc>
        <w:tc>
          <w:tcPr>
            <w:tcW w:w="1673" w:type="dxa"/>
            <w:shd w:val="clear" w:color="auto" w:fill="auto"/>
            <w:noWrap/>
            <w:vAlign w:val="bottom"/>
            <w:hideMark/>
          </w:tcPr>
          <w:p w:rsidR="00415840" w:rsidRPr="00415840" w:rsidRDefault="00415840" w:rsidP="00415840">
            <w:pPr>
              <w:jc w:val="right"/>
              <w:rPr>
                <w:color w:val="000000"/>
              </w:rPr>
            </w:pPr>
            <w:r w:rsidRPr="00415840">
              <w:rPr>
                <w:color w:val="000000"/>
              </w:rPr>
              <w:t>(164)</w:t>
            </w:r>
          </w:p>
        </w:tc>
        <w:tc>
          <w:tcPr>
            <w:tcW w:w="1655" w:type="dxa"/>
            <w:shd w:val="clear" w:color="auto" w:fill="auto"/>
            <w:noWrap/>
            <w:vAlign w:val="bottom"/>
            <w:hideMark/>
          </w:tcPr>
          <w:p w:rsidR="00415840" w:rsidRPr="00415840" w:rsidRDefault="00415840" w:rsidP="00415840">
            <w:pPr>
              <w:jc w:val="right"/>
              <w:rPr>
                <w:color w:val="000000"/>
              </w:rPr>
            </w:pPr>
            <w:r w:rsidRPr="00415840">
              <w:rPr>
                <w:color w:val="000000"/>
              </w:rPr>
              <w:t>-</w:t>
            </w:r>
          </w:p>
        </w:tc>
        <w:tc>
          <w:tcPr>
            <w:tcW w:w="2004" w:type="dxa"/>
            <w:shd w:val="clear" w:color="auto" w:fill="auto"/>
            <w:noWrap/>
            <w:vAlign w:val="bottom"/>
            <w:hideMark/>
          </w:tcPr>
          <w:p w:rsidR="00415840" w:rsidRPr="00415840" w:rsidRDefault="00415840" w:rsidP="00415840">
            <w:pPr>
              <w:jc w:val="right"/>
              <w:rPr>
                <w:color w:val="000000"/>
              </w:rPr>
            </w:pPr>
            <w:r w:rsidRPr="00415840">
              <w:rPr>
                <w:color w:val="000000"/>
              </w:rPr>
              <w:t>(164)</w:t>
            </w:r>
          </w:p>
        </w:tc>
        <w:tc>
          <w:tcPr>
            <w:tcW w:w="1379" w:type="dxa"/>
            <w:shd w:val="clear" w:color="auto" w:fill="auto"/>
            <w:noWrap/>
            <w:vAlign w:val="bottom"/>
            <w:hideMark/>
          </w:tcPr>
          <w:p w:rsidR="00415840" w:rsidRPr="00415840" w:rsidRDefault="00415840" w:rsidP="00415840">
            <w:pPr>
              <w:jc w:val="right"/>
              <w:rPr>
                <w:color w:val="000000"/>
              </w:rPr>
            </w:pPr>
            <w:r w:rsidRPr="00415840">
              <w:rPr>
                <w:color w:val="000000"/>
              </w:rPr>
              <w:t>(152)</w:t>
            </w:r>
          </w:p>
        </w:tc>
        <w:tc>
          <w:tcPr>
            <w:tcW w:w="1618" w:type="dxa"/>
            <w:shd w:val="clear" w:color="auto" w:fill="auto"/>
            <w:noWrap/>
            <w:vAlign w:val="bottom"/>
            <w:hideMark/>
          </w:tcPr>
          <w:p w:rsidR="00415840" w:rsidRPr="00415840" w:rsidRDefault="00415840" w:rsidP="00415840">
            <w:pPr>
              <w:jc w:val="right"/>
              <w:rPr>
                <w:color w:val="000000"/>
              </w:rPr>
            </w:pPr>
            <w:r w:rsidRPr="00415840">
              <w:rPr>
                <w:color w:val="000000"/>
              </w:rPr>
              <w:t>-</w:t>
            </w:r>
          </w:p>
        </w:tc>
        <w:tc>
          <w:tcPr>
            <w:tcW w:w="1894" w:type="dxa"/>
            <w:shd w:val="clear" w:color="auto" w:fill="auto"/>
            <w:noWrap/>
            <w:vAlign w:val="bottom"/>
            <w:hideMark/>
          </w:tcPr>
          <w:p w:rsidR="00415840" w:rsidRPr="00415840" w:rsidRDefault="00415840" w:rsidP="00415840">
            <w:pPr>
              <w:jc w:val="right"/>
              <w:rPr>
                <w:color w:val="000000"/>
              </w:rPr>
            </w:pPr>
            <w:r w:rsidRPr="00415840">
              <w:rPr>
                <w:color w:val="000000"/>
              </w:rPr>
              <w:t>(152)</w:t>
            </w:r>
          </w:p>
        </w:tc>
      </w:tr>
      <w:tr w:rsidR="00415840" w:rsidRPr="00415840" w:rsidTr="00F344D2">
        <w:trPr>
          <w:trHeight w:val="332"/>
        </w:trPr>
        <w:tc>
          <w:tcPr>
            <w:tcW w:w="5174" w:type="dxa"/>
            <w:shd w:val="clear" w:color="auto" w:fill="auto"/>
            <w:noWrap/>
            <w:vAlign w:val="bottom"/>
            <w:hideMark/>
          </w:tcPr>
          <w:p w:rsidR="00415840" w:rsidRPr="00415840" w:rsidRDefault="00415840" w:rsidP="00415840">
            <w:pPr>
              <w:rPr>
                <w:color w:val="000000"/>
              </w:rPr>
            </w:pPr>
            <w:r w:rsidRPr="00415840">
              <w:rPr>
                <w:color w:val="000000"/>
              </w:rPr>
              <w:t xml:space="preserve"> Central Government Bodies  </w:t>
            </w:r>
          </w:p>
        </w:tc>
        <w:tc>
          <w:tcPr>
            <w:tcW w:w="1673" w:type="dxa"/>
            <w:shd w:val="clear" w:color="auto" w:fill="auto"/>
            <w:noWrap/>
            <w:vAlign w:val="bottom"/>
            <w:hideMark/>
          </w:tcPr>
          <w:p w:rsidR="00415840" w:rsidRPr="00415840" w:rsidRDefault="00415840" w:rsidP="00415840">
            <w:pPr>
              <w:jc w:val="right"/>
              <w:rPr>
                <w:color w:val="000000"/>
              </w:rPr>
            </w:pPr>
            <w:r w:rsidRPr="00415840">
              <w:rPr>
                <w:color w:val="000000"/>
              </w:rPr>
              <w:t>497</w:t>
            </w:r>
          </w:p>
        </w:tc>
        <w:tc>
          <w:tcPr>
            <w:tcW w:w="1655" w:type="dxa"/>
            <w:shd w:val="clear" w:color="auto" w:fill="auto"/>
            <w:noWrap/>
            <w:vAlign w:val="bottom"/>
            <w:hideMark/>
          </w:tcPr>
          <w:p w:rsidR="00415840" w:rsidRPr="00415840" w:rsidRDefault="00415840" w:rsidP="00415840">
            <w:pPr>
              <w:jc w:val="right"/>
              <w:rPr>
                <w:color w:val="000000"/>
              </w:rPr>
            </w:pPr>
            <w:r w:rsidRPr="00415840">
              <w:rPr>
                <w:color w:val="000000"/>
              </w:rPr>
              <w:t>(5)</w:t>
            </w:r>
          </w:p>
        </w:tc>
        <w:tc>
          <w:tcPr>
            <w:tcW w:w="2004" w:type="dxa"/>
            <w:shd w:val="clear" w:color="auto" w:fill="auto"/>
            <w:noWrap/>
            <w:vAlign w:val="bottom"/>
            <w:hideMark/>
          </w:tcPr>
          <w:p w:rsidR="00415840" w:rsidRPr="00415840" w:rsidRDefault="00415840" w:rsidP="00415840">
            <w:pPr>
              <w:jc w:val="right"/>
              <w:rPr>
                <w:color w:val="000000"/>
              </w:rPr>
            </w:pPr>
            <w:r w:rsidRPr="00415840">
              <w:rPr>
                <w:color w:val="000000"/>
              </w:rPr>
              <w:t>492</w:t>
            </w:r>
          </w:p>
        </w:tc>
        <w:tc>
          <w:tcPr>
            <w:tcW w:w="1379" w:type="dxa"/>
            <w:shd w:val="clear" w:color="auto" w:fill="auto"/>
            <w:noWrap/>
            <w:vAlign w:val="bottom"/>
            <w:hideMark/>
          </w:tcPr>
          <w:p w:rsidR="00415840" w:rsidRPr="00415840" w:rsidRDefault="00415840" w:rsidP="00415840">
            <w:pPr>
              <w:jc w:val="right"/>
              <w:rPr>
                <w:color w:val="000000"/>
              </w:rPr>
            </w:pPr>
            <w:r w:rsidRPr="00415840">
              <w:rPr>
                <w:color w:val="000000"/>
              </w:rPr>
              <w:t>745</w:t>
            </w:r>
          </w:p>
        </w:tc>
        <w:tc>
          <w:tcPr>
            <w:tcW w:w="1618" w:type="dxa"/>
            <w:shd w:val="clear" w:color="auto" w:fill="auto"/>
            <w:noWrap/>
            <w:vAlign w:val="bottom"/>
            <w:hideMark/>
          </w:tcPr>
          <w:p w:rsidR="00415840" w:rsidRPr="00415840" w:rsidRDefault="00415840" w:rsidP="00415840">
            <w:pPr>
              <w:jc w:val="right"/>
              <w:rPr>
                <w:color w:val="000000"/>
              </w:rPr>
            </w:pPr>
            <w:r w:rsidRPr="00415840">
              <w:rPr>
                <w:color w:val="000000"/>
              </w:rPr>
              <w:t>(8)</w:t>
            </w:r>
          </w:p>
        </w:tc>
        <w:tc>
          <w:tcPr>
            <w:tcW w:w="1894" w:type="dxa"/>
            <w:shd w:val="clear" w:color="auto" w:fill="auto"/>
            <w:noWrap/>
            <w:vAlign w:val="bottom"/>
            <w:hideMark/>
          </w:tcPr>
          <w:p w:rsidR="00415840" w:rsidRPr="00415840" w:rsidRDefault="00415840" w:rsidP="00415840">
            <w:pPr>
              <w:jc w:val="right"/>
              <w:rPr>
                <w:color w:val="000000"/>
              </w:rPr>
            </w:pPr>
            <w:r w:rsidRPr="00415840">
              <w:rPr>
                <w:color w:val="000000"/>
              </w:rPr>
              <w:t>738</w:t>
            </w:r>
          </w:p>
        </w:tc>
      </w:tr>
      <w:tr w:rsidR="00415840" w:rsidRPr="00415840" w:rsidTr="00F344D2">
        <w:trPr>
          <w:trHeight w:val="332"/>
        </w:trPr>
        <w:tc>
          <w:tcPr>
            <w:tcW w:w="5174" w:type="dxa"/>
            <w:shd w:val="clear" w:color="auto" w:fill="auto"/>
            <w:noWrap/>
            <w:vAlign w:val="bottom"/>
            <w:hideMark/>
          </w:tcPr>
          <w:p w:rsidR="00415840" w:rsidRPr="00415840" w:rsidRDefault="00415840" w:rsidP="00415840">
            <w:pPr>
              <w:rPr>
                <w:color w:val="000000"/>
              </w:rPr>
            </w:pPr>
            <w:r w:rsidRPr="00415840">
              <w:rPr>
                <w:color w:val="000000"/>
              </w:rPr>
              <w:t xml:space="preserve"> NHS Bodies  </w:t>
            </w:r>
          </w:p>
        </w:tc>
        <w:tc>
          <w:tcPr>
            <w:tcW w:w="1673" w:type="dxa"/>
            <w:shd w:val="clear" w:color="auto" w:fill="auto"/>
            <w:noWrap/>
            <w:vAlign w:val="bottom"/>
            <w:hideMark/>
          </w:tcPr>
          <w:p w:rsidR="00415840" w:rsidRPr="00415840" w:rsidRDefault="00415840" w:rsidP="00415840">
            <w:pPr>
              <w:jc w:val="right"/>
              <w:rPr>
                <w:color w:val="000000"/>
              </w:rPr>
            </w:pPr>
            <w:r w:rsidRPr="00415840">
              <w:rPr>
                <w:color w:val="000000"/>
              </w:rPr>
              <w:t>2,406</w:t>
            </w:r>
          </w:p>
        </w:tc>
        <w:tc>
          <w:tcPr>
            <w:tcW w:w="1655" w:type="dxa"/>
            <w:shd w:val="clear" w:color="auto" w:fill="auto"/>
            <w:noWrap/>
            <w:vAlign w:val="bottom"/>
            <w:hideMark/>
          </w:tcPr>
          <w:p w:rsidR="00415840" w:rsidRPr="00415840" w:rsidRDefault="00415840" w:rsidP="00415840">
            <w:pPr>
              <w:jc w:val="right"/>
              <w:rPr>
                <w:color w:val="000000"/>
              </w:rPr>
            </w:pPr>
            <w:r w:rsidRPr="00415840">
              <w:rPr>
                <w:color w:val="000000"/>
              </w:rPr>
              <w:t>(287)</w:t>
            </w:r>
          </w:p>
        </w:tc>
        <w:tc>
          <w:tcPr>
            <w:tcW w:w="2004" w:type="dxa"/>
            <w:shd w:val="clear" w:color="auto" w:fill="auto"/>
            <w:noWrap/>
            <w:vAlign w:val="bottom"/>
            <w:hideMark/>
          </w:tcPr>
          <w:p w:rsidR="00415840" w:rsidRPr="00415840" w:rsidRDefault="00807F17" w:rsidP="00415840">
            <w:pPr>
              <w:jc w:val="right"/>
              <w:rPr>
                <w:color w:val="000000"/>
              </w:rPr>
            </w:pPr>
            <w:r>
              <w:rPr>
                <w:color w:val="000000"/>
              </w:rPr>
              <w:t>2,119</w:t>
            </w:r>
          </w:p>
        </w:tc>
        <w:tc>
          <w:tcPr>
            <w:tcW w:w="1379" w:type="dxa"/>
            <w:shd w:val="clear" w:color="auto" w:fill="auto"/>
            <w:noWrap/>
            <w:vAlign w:val="bottom"/>
            <w:hideMark/>
          </w:tcPr>
          <w:p w:rsidR="00415840" w:rsidRPr="00415840" w:rsidRDefault="00415840" w:rsidP="00415840">
            <w:pPr>
              <w:jc w:val="right"/>
              <w:rPr>
                <w:color w:val="000000"/>
              </w:rPr>
            </w:pPr>
            <w:r w:rsidRPr="00415840">
              <w:rPr>
                <w:color w:val="000000"/>
              </w:rPr>
              <w:t>531</w:t>
            </w:r>
          </w:p>
        </w:tc>
        <w:tc>
          <w:tcPr>
            <w:tcW w:w="1618" w:type="dxa"/>
            <w:shd w:val="clear" w:color="auto" w:fill="auto"/>
            <w:noWrap/>
            <w:vAlign w:val="bottom"/>
            <w:hideMark/>
          </w:tcPr>
          <w:p w:rsidR="00415840" w:rsidRPr="00415840" w:rsidRDefault="00415840" w:rsidP="00415840">
            <w:pPr>
              <w:jc w:val="right"/>
              <w:rPr>
                <w:color w:val="000000"/>
              </w:rPr>
            </w:pPr>
            <w:r w:rsidRPr="00415840">
              <w:rPr>
                <w:color w:val="000000"/>
              </w:rPr>
              <w:t>(271)</w:t>
            </w:r>
          </w:p>
        </w:tc>
        <w:tc>
          <w:tcPr>
            <w:tcW w:w="1894" w:type="dxa"/>
            <w:shd w:val="clear" w:color="auto" w:fill="auto"/>
            <w:noWrap/>
            <w:vAlign w:val="bottom"/>
            <w:hideMark/>
          </w:tcPr>
          <w:p w:rsidR="00415840" w:rsidRPr="00415840" w:rsidRDefault="00415840" w:rsidP="00415840">
            <w:pPr>
              <w:jc w:val="right"/>
              <w:rPr>
                <w:color w:val="000000"/>
              </w:rPr>
            </w:pPr>
            <w:r w:rsidRPr="00415840">
              <w:rPr>
                <w:color w:val="000000"/>
              </w:rPr>
              <w:t>259</w:t>
            </w:r>
          </w:p>
        </w:tc>
      </w:tr>
      <w:tr w:rsidR="00415840" w:rsidRPr="00415840" w:rsidTr="00F344D2">
        <w:trPr>
          <w:trHeight w:val="332"/>
        </w:trPr>
        <w:tc>
          <w:tcPr>
            <w:tcW w:w="5174" w:type="dxa"/>
            <w:shd w:val="clear" w:color="auto" w:fill="auto"/>
            <w:noWrap/>
            <w:vAlign w:val="bottom"/>
            <w:hideMark/>
          </w:tcPr>
          <w:p w:rsidR="00415840" w:rsidRPr="00415840" w:rsidRDefault="00415840" w:rsidP="00415840">
            <w:pPr>
              <w:rPr>
                <w:color w:val="000000"/>
              </w:rPr>
            </w:pPr>
            <w:r w:rsidRPr="00415840">
              <w:rPr>
                <w:color w:val="000000"/>
              </w:rPr>
              <w:t xml:space="preserve"> Other Local Authorities </w:t>
            </w:r>
          </w:p>
        </w:tc>
        <w:tc>
          <w:tcPr>
            <w:tcW w:w="1673" w:type="dxa"/>
            <w:shd w:val="clear" w:color="auto" w:fill="auto"/>
            <w:noWrap/>
            <w:vAlign w:val="bottom"/>
            <w:hideMark/>
          </w:tcPr>
          <w:p w:rsidR="00415840" w:rsidRPr="00415840" w:rsidRDefault="00415840" w:rsidP="00415840">
            <w:pPr>
              <w:jc w:val="right"/>
              <w:rPr>
                <w:color w:val="000000"/>
              </w:rPr>
            </w:pPr>
            <w:r w:rsidRPr="00415840">
              <w:rPr>
                <w:color w:val="000000"/>
              </w:rPr>
              <w:t>8,741</w:t>
            </w:r>
          </w:p>
        </w:tc>
        <w:tc>
          <w:tcPr>
            <w:tcW w:w="1655" w:type="dxa"/>
            <w:shd w:val="clear" w:color="auto" w:fill="auto"/>
            <w:noWrap/>
            <w:vAlign w:val="bottom"/>
            <w:hideMark/>
          </w:tcPr>
          <w:p w:rsidR="00415840" w:rsidRPr="00415840" w:rsidRDefault="00415840" w:rsidP="00415840">
            <w:pPr>
              <w:jc w:val="right"/>
              <w:rPr>
                <w:color w:val="000000"/>
              </w:rPr>
            </w:pPr>
            <w:r w:rsidRPr="00415840">
              <w:rPr>
                <w:color w:val="000000"/>
              </w:rPr>
              <w:t>(50)</w:t>
            </w:r>
          </w:p>
        </w:tc>
        <w:tc>
          <w:tcPr>
            <w:tcW w:w="2004" w:type="dxa"/>
            <w:shd w:val="clear" w:color="auto" w:fill="auto"/>
            <w:noWrap/>
            <w:vAlign w:val="bottom"/>
            <w:hideMark/>
          </w:tcPr>
          <w:p w:rsidR="00415840" w:rsidRPr="00415840" w:rsidRDefault="00415840" w:rsidP="00415840">
            <w:pPr>
              <w:jc w:val="right"/>
              <w:rPr>
                <w:color w:val="000000"/>
              </w:rPr>
            </w:pPr>
            <w:r w:rsidRPr="00415840">
              <w:rPr>
                <w:color w:val="000000"/>
              </w:rPr>
              <w:t>8,691</w:t>
            </w:r>
          </w:p>
        </w:tc>
        <w:tc>
          <w:tcPr>
            <w:tcW w:w="1379" w:type="dxa"/>
            <w:shd w:val="clear" w:color="auto" w:fill="auto"/>
            <w:noWrap/>
            <w:vAlign w:val="bottom"/>
            <w:hideMark/>
          </w:tcPr>
          <w:p w:rsidR="00415840" w:rsidRPr="00415840" w:rsidRDefault="00415840" w:rsidP="00415840">
            <w:pPr>
              <w:jc w:val="right"/>
              <w:rPr>
                <w:color w:val="000000"/>
              </w:rPr>
            </w:pPr>
            <w:r w:rsidRPr="00415840">
              <w:rPr>
                <w:color w:val="000000"/>
              </w:rPr>
              <w:t>11,727</w:t>
            </w:r>
          </w:p>
        </w:tc>
        <w:tc>
          <w:tcPr>
            <w:tcW w:w="1618" w:type="dxa"/>
            <w:shd w:val="clear" w:color="auto" w:fill="auto"/>
            <w:noWrap/>
            <w:vAlign w:val="bottom"/>
            <w:hideMark/>
          </w:tcPr>
          <w:p w:rsidR="00415840" w:rsidRPr="00415840" w:rsidRDefault="00415840" w:rsidP="00415840">
            <w:pPr>
              <w:jc w:val="right"/>
              <w:rPr>
                <w:color w:val="000000"/>
              </w:rPr>
            </w:pPr>
            <w:r w:rsidRPr="00415840">
              <w:rPr>
                <w:color w:val="000000"/>
              </w:rPr>
              <w:t>(165)</w:t>
            </w:r>
          </w:p>
        </w:tc>
        <w:tc>
          <w:tcPr>
            <w:tcW w:w="1894" w:type="dxa"/>
            <w:shd w:val="clear" w:color="auto" w:fill="auto"/>
            <w:noWrap/>
            <w:vAlign w:val="bottom"/>
            <w:hideMark/>
          </w:tcPr>
          <w:p w:rsidR="00415840" w:rsidRPr="00415840" w:rsidRDefault="00415840" w:rsidP="00415840">
            <w:pPr>
              <w:jc w:val="right"/>
              <w:rPr>
                <w:color w:val="000000"/>
              </w:rPr>
            </w:pPr>
            <w:r w:rsidRPr="00415840">
              <w:rPr>
                <w:color w:val="000000"/>
              </w:rPr>
              <w:t>11,562</w:t>
            </w:r>
          </w:p>
        </w:tc>
      </w:tr>
      <w:tr w:rsidR="00415840" w:rsidRPr="00415840" w:rsidTr="00F344D2">
        <w:trPr>
          <w:trHeight w:val="332"/>
        </w:trPr>
        <w:tc>
          <w:tcPr>
            <w:tcW w:w="5174" w:type="dxa"/>
            <w:shd w:val="clear" w:color="auto" w:fill="auto"/>
            <w:noWrap/>
            <w:vAlign w:val="bottom"/>
            <w:hideMark/>
          </w:tcPr>
          <w:p w:rsidR="00415840" w:rsidRPr="00415840" w:rsidRDefault="00415840" w:rsidP="00415840">
            <w:pPr>
              <w:rPr>
                <w:color w:val="000000"/>
              </w:rPr>
            </w:pPr>
            <w:r w:rsidRPr="00415840">
              <w:rPr>
                <w:color w:val="000000"/>
              </w:rPr>
              <w:t xml:space="preserve"> Other Public Corporations </w:t>
            </w:r>
          </w:p>
        </w:tc>
        <w:tc>
          <w:tcPr>
            <w:tcW w:w="1673" w:type="dxa"/>
            <w:shd w:val="clear" w:color="auto" w:fill="auto"/>
            <w:noWrap/>
            <w:vAlign w:val="bottom"/>
            <w:hideMark/>
          </w:tcPr>
          <w:p w:rsidR="00415840" w:rsidRPr="00415840" w:rsidRDefault="00415840" w:rsidP="00415840">
            <w:pPr>
              <w:jc w:val="right"/>
              <w:rPr>
                <w:color w:val="000000"/>
              </w:rPr>
            </w:pPr>
            <w:r w:rsidRPr="00415840">
              <w:rPr>
                <w:color w:val="000000"/>
              </w:rPr>
              <w:t>295</w:t>
            </w:r>
          </w:p>
        </w:tc>
        <w:tc>
          <w:tcPr>
            <w:tcW w:w="1655" w:type="dxa"/>
            <w:shd w:val="clear" w:color="auto" w:fill="auto"/>
            <w:noWrap/>
            <w:vAlign w:val="bottom"/>
            <w:hideMark/>
          </w:tcPr>
          <w:p w:rsidR="00415840" w:rsidRPr="00415840" w:rsidRDefault="00415840" w:rsidP="00415840">
            <w:pPr>
              <w:jc w:val="right"/>
              <w:rPr>
                <w:color w:val="000000"/>
              </w:rPr>
            </w:pPr>
            <w:r w:rsidRPr="00415840">
              <w:rPr>
                <w:color w:val="000000"/>
              </w:rPr>
              <w:t>(9)</w:t>
            </w:r>
          </w:p>
        </w:tc>
        <w:tc>
          <w:tcPr>
            <w:tcW w:w="2004" w:type="dxa"/>
            <w:shd w:val="clear" w:color="auto" w:fill="auto"/>
            <w:noWrap/>
            <w:vAlign w:val="bottom"/>
            <w:hideMark/>
          </w:tcPr>
          <w:p w:rsidR="00415840" w:rsidRPr="00415840" w:rsidRDefault="00415840" w:rsidP="00415840">
            <w:pPr>
              <w:jc w:val="right"/>
              <w:rPr>
                <w:color w:val="000000"/>
              </w:rPr>
            </w:pPr>
            <w:r w:rsidRPr="00415840">
              <w:rPr>
                <w:color w:val="000000"/>
              </w:rPr>
              <w:t>286</w:t>
            </w:r>
          </w:p>
        </w:tc>
        <w:tc>
          <w:tcPr>
            <w:tcW w:w="1379" w:type="dxa"/>
            <w:shd w:val="clear" w:color="auto" w:fill="auto"/>
            <w:noWrap/>
            <w:vAlign w:val="bottom"/>
            <w:hideMark/>
          </w:tcPr>
          <w:p w:rsidR="00415840" w:rsidRPr="00415840" w:rsidRDefault="00415840" w:rsidP="00415840">
            <w:pPr>
              <w:jc w:val="right"/>
              <w:rPr>
                <w:color w:val="000000"/>
              </w:rPr>
            </w:pPr>
            <w:r w:rsidRPr="00415840">
              <w:rPr>
                <w:color w:val="000000"/>
              </w:rPr>
              <w:t>464</w:t>
            </w:r>
          </w:p>
        </w:tc>
        <w:tc>
          <w:tcPr>
            <w:tcW w:w="1618" w:type="dxa"/>
            <w:shd w:val="clear" w:color="auto" w:fill="auto"/>
            <w:noWrap/>
            <w:vAlign w:val="bottom"/>
            <w:hideMark/>
          </w:tcPr>
          <w:p w:rsidR="00415840" w:rsidRPr="00415840" w:rsidRDefault="00415840" w:rsidP="00415840">
            <w:pPr>
              <w:jc w:val="right"/>
              <w:rPr>
                <w:color w:val="000000"/>
              </w:rPr>
            </w:pPr>
            <w:r w:rsidRPr="00415840">
              <w:rPr>
                <w:color w:val="000000"/>
              </w:rPr>
              <w:t>(12)</w:t>
            </w:r>
          </w:p>
        </w:tc>
        <w:tc>
          <w:tcPr>
            <w:tcW w:w="1894" w:type="dxa"/>
            <w:shd w:val="clear" w:color="auto" w:fill="auto"/>
            <w:noWrap/>
            <w:vAlign w:val="bottom"/>
            <w:hideMark/>
          </w:tcPr>
          <w:p w:rsidR="00415840" w:rsidRPr="00415840" w:rsidRDefault="00415840" w:rsidP="00415840">
            <w:pPr>
              <w:jc w:val="right"/>
              <w:rPr>
                <w:color w:val="000000"/>
              </w:rPr>
            </w:pPr>
            <w:r w:rsidRPr="00415840">
              <w:rPr>
                <w:color w:val="000000"/>
              </w:rPr>
              <w:t>452</w:t>
            </w:r>
          </w:p>
        </w:tc>
      </w:tr>
      <w:tr w:rsidR="00415840" w:rsidRPr="00415840" w:rsidTr="00F344D2">
        <w:trPr>
          <w:trHeight w:val="332"/>
        </w:trPr>
        <w:tc>
          <w:tcPr>
            <w:tcW w:w="5174" w:type="dxa"/>
            <w:shd w:val="clear" w:color="auto" w:fill="auto"/>
            <w:noWrap/>
            <w:vAlign w:val="bottom"/>
            <w:hideMark/>
          </w:tcPr>
          <w:p w:rsidR="00415840" w:rsidRPr="00415840" w:rsidRDefault="00415840" w:rsidP="00415840">
            <w:pPr>
              <w:rPr>
                <w:color w:val="000000"/>
              </w:rPr>
            </w:pPr>
            <w:r w:rsidRPr="00415840">
              <w:rPr>
                <w:color w:val="000000"/>
              </w:rPr>
              <w:t xml:space="preserve"> Council Tax Owed by Billing Authorities  </w:t>
            </w:r>
          </w:p>
        </w:tc>
        <w:tc>
          <w:tcPr>
            <w:tcW w:w="1673" w:type="dxa"/>
            <w:shd w:val="clear" w:color="auto" w:fill="auto"/>
            <w:noWrap/>
            <w:vAlign w:val="bottom"/>
            <w:hideMark/>
          </w:tcPr>
          <w:p w:rsidR="00415840" w:rsidRPr="00415840" w:rsidRDefault="00415840" w:rsidP="00415840">
            <w:pPr>
              <w:jc w:val="right"/>
              <w:rPr>
                <w:color w:val="000000"/>
              </w:rPr>
            </w:pPr>
            <w:r w:rsidRPr="00415840">
              <w:rPr>
                <w:color w:val="000000"/>
              </w:rPr>
              <w:t>31,873</w:t>
            </w:r>
          </w:p>
        </w:tc>
        <w:tc>
          <w:tcPr>
            <w:tcW w:w="1655" w:type="dxa"/>
            <w:shd w:val="clear" w:color="auto" w:fill="auto"/>
            <w:noWrap/>
            <w:vAlign w:val="bottom"/>
            <w:hideMark/>
          </w:tcPr>
          <w:p w:rsidR="00415840" w:rsidRPr="00415840" w:rsidRDefault="00415840" w:rsidP="00415840">
            <w:pPr>
              <w:jc w:val="right"/>
              <w:rPr>
                <w:color w:val="000000"/>
              </w:rPr>
            </w:pPr>
            <w:r w:rsidRPr="00415840">
              <w:rPr>
                <w:color w:val="000000"/>
              </w:rPr>
              <w:t>(14,382)</w:t>
            </w:r>
          </w:p>
        </w:tc>
        <w:tc>
          <w:tcPr>
            <w:tcW w:w="2004" w:type="dxa"/>
            <w:shd w:val="clear" w:color="auto" w:fill="auto"/>
            <w:noWrap/>
            <w:vAlign w:val="bottom"/>
            <w:hideMark/>
          </w:tcPr>
          <w:p w:rsidR="00415840" w:rsidRPr="00415840" w:rsidRDefault="00415840" w:rsidP="00415840">
            <w:pPr>
              <w:jc w:val="right"/>
              <w:rPr>
                <w:color w:val="000000"/>
              </w:rPr>
            </w:pPr>
            <w:r w:rsidRPr="00415840">
              <w:rPr>
                <w:color w:val="000000"/>
              </w:rPr>
              <w:t>17,490</w:t>
            </w:r>
          </w:p>
        </w:tc>
        <w:tc>
          <w:tcPr>
            <w:tcW w:w="1379" w:type="dxa"/>
            <w:shd w:val="clear" w:color="auto" w:fill="auto"/>
            <w:noWrap/>
            <w:vAlign w:val="bottom"/>
            <w:hideMark/>
          </w:tcPr>
          <w:p w:rsidR="00415840" w:rsidRPr="00415840" w:rsidRDefault="00415840" w:rsidP="00415840">
            <w:pPr>
              <w:jc w:val="right"/>
              <w:rPr>
                <w:color w:val="000000"/>
              </w:rPr>
            </w:pPr>
            <w:r w:rsidRPr="00415840">
              <w:rPr>
                <w:color w:val="000000"/>
              </w:rPr>
              <w:t>30,452</w:t>
            </w:r>
          </w:p>
        </w:tc>
        <w:tc>
          <w:tcPr>
            <w:tcW w:w="1618" w:type="dxa"/>
            <w:shd w:val="clear" w:color="auto" w:fill="auto"/>
            <w:noWrap/>
            <w:vAlign w:val="bottom"/>
            <w:hideMark/>
          </w:tcPr>
          <w:p w:rsidR="00415840" w:rsidRPr="00415840" w:rsidRDefault="00415840" w:rsidP="00415840">
            <w:pPr>
              <w:jc w:val="right"/>
              <w:rPr>
                <w:color w:val="000000"/>
              </w:rPr>
            </w:pPr>
            <w:r w:rsidRPr="00415840">
              <w:rPr>
                <w:color w:val="000000"/>
              </w:rPr>
              <w:t>(13,264)</w:t>
            </w:r>
          </w:p>
        </w:tc>
        <w:tc>
          <w:tcPr>
            <w:tcW w:w="1894" w:type="dxa"/>
            <w:shd w:val="clear" w:color="auto" w:fill="auto"/>
            <w:noWrap/>
            <w:vAlign w:val="bottom"/>
            <w:hideMark/>
          </w:tcPr>
          <w:p w:rsidR="00415840" w:rsidRPr="00415840" w:rsidRDefault="00415840" w:rsidP="00415840">
            <w:pPr>
              <w:jc w:val="right"/>
              <w:rPr>
                <w:color w:val="000000"/>
              </w:rPr>
            </w:pPr>
            <w:r w:rsidRPr="00415840">
              <w:rPr>
                <w:color w:val="000000"/>
              </w:rPr>
              <w:t>17,188</w:t>
            </w:r>
          </w:p>
        </w:tc>
      </w:tr>
      <w:tr w:rsidR="00415840" w:rsidRPr="00415840" w:rsidTr="00F344D2">
        <w:trPr>
          <w:trHeight w:val="332"/>
        </w:trPr>
        <w:tc>
          <w:tcPr>
            <w:tcW w:w="5174" w:type="dxa"/>
            <w:shd w:val="clear" w:color="auto" w:fill="auto"/>
            <w:noWrap/>
            <w:vAlign w:val="bottom"/>
            <w:hideMark/>
          </w:tcPr>
          <w:p w:rsidR="00415840" w:rsidRPr="00415840" w:rsidRDefault="00415840" w:rsidP="00415840">
            <w:pPr>
              <w:rPr>
                <w:color w:val="000000"/>
              </w:rPr>
            </w:pPr>
            <w:r w:rsidRPr="00415840">
              <w:rPr>
                <w:color w:val="000000"/>
              </w:rPr>
              <w:t xml:space="preserve"> Other Debtors  </w:t>
            </w:r>
          </w:p>
        </w:tc>
        <w:tc>
          <w:tcPr>
            <w:tcW w:w="1673" w:type="dxa"/>
            <w:shd w:val="clear" w:color="auto" w:fill="auto"/>
            <w:noWrap/>
            <w:vAlign w:val="bottom"/>
            <w:hideMark/>
          </w:tcPr>
          <w:p w:rsidR="00415840" w:rsidRPr="00415840" w:rsidRDefault="00807F17" w:rsidP="00415840">
            <w:pPr>
              <w:jc w:val="right"/>
              <w:rPr>
                <w:color w:val="000000"/>
              </w:rPr>
            </w:pPr>
            <w:r>
              <w:rPr>
                <w:color w:val="000000"/>
              </w:rPr>
              <w:t>42,851</w:t>
            </w:r>
          </w:p>
        </w:tc>
        <w:tc>
          <w:tcPr>
            <w:tcW w:w="1655" w:type="dxa"/>
            <w:shd w:val="clear" w:color="auto" w:fill="auto"/>
            <w:noWrap/>
            <w:vAlign w:val="bottom"/>
            <w:hideMark/>
          </w:tcPr>
          <w:p w:rsidR="00415840" w:rsidRPr="00415840" w:rsidRDefault="00415840" w:rsidP="00415840">
            <w:pPr>
              <w:jc w:val="right"/>
              <w:rPr>
                <w:color w:val="000000"/>
              </w:rPr>
            </w:pPr>
            <w:r w:rsidRPr="00415840">
              <w:rPr>
                <w:color w:val="000000"/>
              </w:rPr>
              <w:t>(135)</w:t>
            </w:r>
          </w:p>
        </w:tc>
        <w:tc>
          <w:tcPr>
            <w:tcW w:w="2004" w:type="dxa"/>
            <w:shd w:val="clear" w:color="auto" w:fill="auto"/>
            <w:noWrap/>
            <w:vAlign w:val="bottom"/>
            <w:hideMark/>
          </w:tcPr>
          <w:p w:rsidR="00415840" w:rsidRPr="00415840" w:rsidRDefault="00807F17" w:rsidP="00415840">
            <w:pPr>
              <w:jc w:val="right"/>
              <w:rPr>
                <w:color w:val="000000"/>
              </w:rPr>
            </w:pPr>
            <w:r>
              <w:rPr>
                <w:color w:val="000000"/>
              </w:rPr>
              <w:t>42,716</w:t>
            </w:r>
          </w:p>
        </w:tc>
        <w:tc>
          <w:tcPr>
            <w:tcW w:w="1379" w:type="dxa"/>
            <w:shd w:val="clear" w:color="auto" w:fill="auto"/>
            <w:noWrap/>
            <w:vAlign w:val="bottom"/>
            <w:hideMark/>
          </w:tcPr>
          <w:p w:rsidR="00415840" w:rsidRPr="00415840" w:rsidRDefault="00415840" w:rsidP="00415840">
            <w:pPr>
              <w:jc w:val="right"/>
              <w:rPr>
                <w:color w:val="000000"/>
              </w:rPr>
            </w:pPr>
            <w:r w:rsidRPr="00415840">
              <w:rPr>
                <w:color w:val="000000"/>
              </w:rPr>
              <w:t>35,014</w:t>
            </w:r>
          </w:p>
        </w:tc>
        <w:tc>
          <w:tcPr>
            <w:tcW w:w="1618" w:type="dxa"/>
            <w:shd w:val="clear" w:color="auto" w:fill="auto"/>
            <w:noWrap/>
            <w:vAlign w:val="bottom"/>
            <w:hideMark/>
          </w:tcPr>
          <w:p w:rsidR="00415840" w:rsidRPr="00415840" w:rsidRDefault="00415840" w:rsidP="00415840">
            <w:pPr>
              <w:jc w:val="right"/>
              <w:rPr>
                <w:color w:val="000000"/>
              </w:rPr>
            </w:pPr>
            <w:r w:rsidRPr="00415840">
              <w:rPr>
                <w:color w:val="000000"/>
              </w:rPr>
              <w:t>(147)</w:t>
            </w:r>
          </w:p>
        </w:tc>
        <w:tc>
          <w:tcPr>
            <w:tcW w:w="1894" w:type="dxa"/>
            <w:shd w:val="clear" w:color="auto" w:fill="auto"/>
            <w:noWrap/>
            <w:vAlign w:val="bottom"/>
            <w:hideMark/>
          </w:tcPr>
          <w:p w:rsidR="00415840" w:rsidRPr="00415840" w:rsidRDefault="00415840" w:rsidP="00415840">
            <w:pPr>
              <w:jc w:val="right"/>
              <w:rPr>
                <w:color w:val="000000"/>
              </w:rPr>
            </w:pPr>
            <w:r w:rsidRPr="00415840">
              <w:rPr>
                <w:color w:val="000000"/>
              </w:rPr>
              <w:t>34,867</w:t>
            </w:r>
          </w:p>
        </w:tc>
      </w:tr>
      <w:tr w:rsidR="00415840" w:rsidRPr="00415840" w:rsidTr="00F344D2">
        <w:trPr>
          <w:trHeight w:val="348"/>
        </w:trPr>
        <w:tc>
          <w:tcPr>
            <w:tcW w:w="5174" w:type="dxa"/>
            <w:shd w:val="clear" w:color="auto" w:fill="auto"/>
            <w:noWrap/>
            <w:vAlign w:val="bottom"/>
            <w:hideMark/>
          </w:tcPr>
          <w:p w:rsidR="00415840" w:rsidRPr="00415840" w:rsidRDefault="00415840" w:rsidP="00415840">
            <w:pPr>
              <w:jc w:val="right"/>
              <w:rPr>
                <w:b/>
                <w:bCs/>
                <w:color w:val="000000"/>
              </w:rPr>
            </w:pPr>
            <w:r w:rsidRPr="00415840">
              <w:rPr>
                <w:b/>
                <w:bCs/>
                <w:color w:val="000000"/>
              </w:rPr>
              <w:t xml:space="preserve"> Total  </w:t>
            </w:r>
          </w:p>
        </w:tc>
        <w:tc>
          <w:tcPr>
            <w:tcW w:w="1673" w:type="dxa"/>
            <w:shd w:val="clear" w:color="auto" w:fill="auto"/>
            <w:noWrap/>
            <w:vAlign w:val="bottom"/>
            <w:hideMark/>
          </w:tcPr>
          <w:p w:rsidR="00415840" w:rsidRPr="00415840" w:rsidRDefault="00415840" w:rsidP="00415840">
            <w:pPr>
              <w:jc w:val="right"/>
              <w:rPr>
                <w:b/>
                <w:bCs/>
                <w:color w:val="000000"/>
              </w:rPr>
            </w:pPr>
            <w:r w:rsidRPr="00415840">
              <w:rPr>
                <w:b/>
                <w:bCs/>
                <w:color w:val="000000"/>
              </w:rPr>
              <w:t>108,168</w:t>
            </w:r>
          </w:p>
        </w:tc>
        <w:tc>
          <w:tcPr>
            <w:tcW w:w="1655" w:type="dxa"/>
            <w:shd w:val="clear" w:color="auto" w:fill="auto"/>
            <w:noWrap/>
            <w:vAlign w:val="bottom"/>
            <w:hideMark/>
          </w:tcPr>
          <w:p w:rsidR="00415840" w:rsidRPr="00415840" w:rsidRDefault="00415840" w:rsidP="00415840">
            <w:pPr>
              <w:jc w:val="right"/>
              <w:rPr>
                <w:b/>
                <w:bCs/>
                <w:color w:val="000000"/>
              </w:rPr>
            </w:pPr>
            <w:r w:rsidRPr="00415840">
              <w:rPr>
                <w:b/>
                <w:bCs/>
                <w:color w:val="000000"/>
              </w:rPr>
              <w:t>(22,394)</w:t>
            </w:r>
          </w:p>
        </w:tc>
        <w:tc>
          <w:tcPr>
            <w:tcW w:w="2004" w:type="dxa"/>
            <w:shd w:val="clear" w:color="auto" w:fill="auto"/>
            <w:noWrap/>
            <w:vAlign w:val="bottom"/>
            <w:hideMark/>
          </w:tcPr>
          <w:p w:rsidR="00415840" w:rsidRPr="00415840" w:rsidRDefault="00415840" w:rsidP="00415840">
            <w:pPr>
              <w:jc w:val="right"/>
              <w:rPr>
                <w:b/>
                <w:bCs/>
                <w:color w:val="000000"/>
              </w:rPr>
            </w:pPr>
            <w:r w:rsidRPr="00415840">
              <w:rPr>
                <w:b/>
                <w:bCs/>
                <w:color w:val="000000"/>
              </w:rPr>
              <w:t>85,774</w:t>
            </w:r>
          </w:p>
        </w:tc>
        <w:tc>
          <w:tcPr>
            <w:tcW w:w="1379" w:type="dxa"/>
            <w:shd w:val="clear" w:color="auto" w:fill="auto"/>
            <w:noWrap/>
            <w:vAlign w:val="bottom"/>
            <w:hideMark/>
          </w:tcPr>
          <w:p w:rsidR="00415840" w:rsidRPr="00415840" w:rsidRDefault="00415840" w:rsidP="00415840">
            <w:pPr>
              <w:jc w:val="right"/>
              <w:rPr>
                <w:b/>
                <w:bCs/>
                <w:color w:val="000000"/>
              </w:rPr>
            </w:pPr>
            <w:r w:rsidRPr="00415840">
              <w:rPr>
                <w:b/>
                <w:bCs/>
                <w:color w:val="000000"/>
              </w:rPr>
              <w:t>115,431</w:t>
            </w:r>
          </w:p>
        </w:tc>
        <w:tc>
          <w:tcPr>
            <w:tcW w:w="1618" w:type="dxa"/>
            <w:shd w:val="clear" w:color="auto" w:fill="auto"/>
            <w:noWrap/>
            <w:vAlign w:val="bottom"/>
            <w:hideMark/>
          </w:tcPr>
          <w:p w:rsidR="00415840" w:rsidRPr="00415840" w:rsidRDefault="00415840" w:rsidP="00415840">
            <w:pPr>
              <w:jc w:val="right"/>
              <w:rPr>
                <w:b/>
                <w:bCs/>
                <w:color w:val="000000"/>
              </w:rPr>
            </w:pPr>
            <w:r w:rsidRPr="00415840">
              <w:rPr>
                <w:b/>
                <w:bCs/>
                <w:color w:val="000000"/>
              </w:rPr>
              <w:t>(20,441)</w:t>
            </w:r>
          </w:p>
        </w:tc>
        <w:tc>
          <w:tcPr>
            <w:tcW w:w="1894" w:type="dxa"/>
            <w:shd w:val="clear" w:color="auto" w:fill="auto"/>
            <w:noWrap/>
            <w:vAlign w:val="bottom"/>
            <w:hideMark/>
          </w:tcPr>
          <w:p w:rsidR="00415840" w:rsidRPr="00415840" w:rsidRDefault="00415840" w:rsidP="00415840">
            <w:pPr>
              <w:jc w:val="right"/>
              <w:rPr>
                <w:b/>
                <w:bCs/>
                <w:color w:val="000000"/>
              </w:rPr>
            </w:pPr>
            <w:r w:rsidRPr="00415840">
              <w:rPr>
                <w:b/>
                <w:bCs/>
                <w:color w:val="000000"/>
              </w:rPr>
              <w:t>94,990</w:t>
            </w:r>
          </w:p>
        </w:tc>
      </w:tr>
    </w:tbl>
    <w:p w:rsidR="008D0C94" w:rsidRDefault="008D0C94" w:rsidP="008D0C94">
      <w:pPr>
        <w:spacing w:after="240"/>
        <w:rPr>
          <w:b/>
        </w:rPr>
      </w:pPr>
    </w:p>
    <w:p w:rsidR="00415840" w:rsidRPr="001D79A0" w:rsidRDefault="00415840" w:rsidP="008D0C94">
      <w:pPr>
        <w:spacing w:after="240"/>
        <w:rPr>
          <w:b/>
        </w:rPr>
        <w:sectPr w:rsidR="00415840" w:rsidRPr="001D79A0" w:rsidSect="003018D5">
          <w:pgSz w:w="16838" w:h="11906" w:orient="landscape" w:code="9"/>
          <w:pgMar w:top="720" w:right="720" w:bottom="720" w:left="720" w:header="709" w:footer="709" w:gutter="0"/>
          <w:cols w:space="708"/>
          <w:docGrid w:linePitch="360"/>
        </w:sectPr>
      </w:pPr>
    </w:p>
    <w:p w:rsidR="008F534A" w:rsidRPr="001D79A0" w:rsidRDefault="00F454EC" w:rsidP="00CC4FFE">
      <w:pPr>
        <w:jc w:val="both"/>
      </w:pPr>
      <w:r w:rsidRPr="001D79A0">
        <w:lastRenderedPageBreak/>
        <w:t xml:space="preserve">The provision for bad and doubtful debts covers debts that we do not expect to recover. It is based on the age of the debts outstanding. </w:t>
      </w:r>
    </w:p>
    <w:p w:rsidR="00532CED" w:rsidRPr="00286C0E" w:rsidRDefault="00532CED" w:rsidP="007A6307">
      <w:pPr>
        <w:jc w:val="both"/>
        <w:rPr>
          <w:b/>
          <w:color w:val="FF0000"/>
          <w:highlight w:val="yellow"/>
        </w:rPr>
      </w:pPr>
    </w:p>
    <w:p w:rsidR="0099529E" w:rsidRPr="001D79A0" w:rsidRDefault="0099529E" w:rsidP="007A6307">
      <w:pPr>
        <w:jc w:val="both"/>
        <w:rPr>
          <w:b/>
          <w:color w:val="FF0000"/>
        </w:rPr>
      </w:pPr>
    </w:p>
    <w:p w:rsidR="008F534A" w:rsidRPr="001D79A0" w:rsidRDefault="008F534A" w:rsidP="00BD07E4">
      <w:pPr>
        <w:numPr>
          <w:ilvl w:val="0"/>
          <w:numId w:val="21"/>
        </w:numPr>
        <w:jc w:val="both"/>
        <w:rPr>
          <w:b/>
          <w:color w:val="FF0000"/>
        </w:rPr>
      </w:pPr>
      <w:r w:rsidRPr="001D79A0">
        <w:rPr>
          <w:b/>
        </w:rPr>
        <w:t xml:space="preserve">Creditors </w:t>
      </w:r>
    </w:p>
    <w:p w:rsidR="008F534A" w:rsidRDefault="008F534A" w:rsidP="008F534A">
      <w:pPr>
        <w:ind w:left="720"/>
        <w:rPr>
          <w:highlight w:val="yellow"/>
        </w:rPr>
      </w:pPr>
    </w:p>
    <w:tbl>
      <w:tblPr>
        <w:tblW w:w="9370" w:type="dxa"/>
        <w:tblInd w:w="103" w:type="dxa"/>
        <w:tblLook w:val="04A0"/>
      </w:tblPr>
      <w:tblGrid>
        <w:gridCol w:w="6533"/>
        <w:gridCol w:w="1481"/>
        <w:gridCol w:w="1356"/>
      </w:tblGrid>
      <w:tr w:rsidR="00F344D2" w:rsidRPr="00F344D2" w:rsidTr="00933A46">
        <w:trPr>
          <w:trHeight w:val="315"/>
        </w:trPr>
        <w:tc>
          <w:tcPr>
            <w:tcW w:w="6533" w:type="dxa"/>
            <w:shd w:val="clear" w:color="auto" w:fill="auto"/>
            <w:noWrap/>
            <w:vAlign w:val="bottom"/>
            <w:hideMark/>
          </w:tcPr>
          <w:p w:rsidR="00F344D2" w:rsidRPr="00F344D2" w:rsidRDefault="00F344D2" w:rsidP="00F344D2">
            <w:pPr>
              <w:rPr>
                <w:b/>
                <w:bCs/>
                <w:color w:val="000000"/>
              </w:rPr>
            </w:pPr>
          </w:p>
        </w:tc>
        <w:tc>
          <w:tcPr>
            <w:tcW w:w="1481" w:type="dxa"/>
            <w:shd w:val="clear" w:color="auto" w:fill="auto"/>
            <w:noWrap/>
            <w:vAlign w:val="bottom"/>
            <w:hideMark/>
          </w:tcPr>
          <w:p w:rsidR="00F344D2" w:rsidRPr="00F344D2" w:rsidRDefault="00F344D2" w:rsidP="00933A46">
            <w:pPr>
              <w:jc w:val="right"/>
              <w:rPr>
                <w:b/>
                <w:bCs/>
                <w:color w:val="000000"/>
              </w:rPr>
            </w:pPr>
            <w:r w:rsidRPr="00F344D2">
              <w:rPr>
                <w:b/>
                <w:bCs/>
                <w:color w:val="000000"/>
              </w:rPr>
              <w:t>31 March 2012</w:t>
            </w:r>
          </w:p>
        </w:tc>
        <w:tc>
          <w:tcPr>
            <w:tcW w:w="1356" w:type="dxa"/>
            <w:tcBorders>
              <w:left w:val="nil"/>
            </w:tcBorders>
            <w:shd w:val="clear" w:color="auto" w:fill="auto"/>
            <w:noWrap/>
            <w:vAlign w:val="bottom"/>
            <w:hideMark/>
          </w:tcPr>
          <w:p w:rsidR="00F344D2" w:rsidRPr="00F344D2" w:rsidRDefault="00F344D2" w:rsidP="00933A46">
            <w:pPr>
              <w:jc w:val="right"/>
              <w:rPr>
                <w:b/>
                <w:bCs/>
                <w:color w:val="000000"/>
              </w:rPr>
            </w:pPr>
            <w:r w:rsidRPr="00F344D2">
              <w:rPr>
                <w:b/>
                <w:bCs/>
                <w:color w:val="000000"/>
              </w:rPr>
              <w:t>31 March 2011</w:t>
            </w:r>
          </w:p>
        </w:tc>
      </w:tr>
      <w:tr w:rsidR="00F344D2" w:rsidRPr="00F344D2" w:rsidTr="00F344D2">
        <w:trPr>
          <w:trHeight w:val="315"/>
        </w:trPr>
        <w:tc>
          <w:tcPr>
            <w:tcW w:w="6533" w:type="dxa"/>
            <w:tcBorders>
              <w:top w:val="nil"/>
            </w:tcBorders>
            <w:shd w:val="clear" w:color="auto" w:fill="auto"/>
            <w:noWrap/>
            <w:vAlign w:val="bottom"/>
            <w:hideMark/>
          </w:tcPr>
          <w:p w:rsidR="00F344D2" w:rsidRPr="00F344D2" w:rsidRDefault="00F344D2" w:rsidP="00F344D2">
            <w:pPr>
              <w:rPr>
                <w:color w:val="000000"/>
              </w:rPr>
            </w:pPr>
            <w:r w:rsidRPr="00F344D2">
              <w:rPr>
                <w:color w:val="000000"/>
              </w:rPr>
              <w:t> </w:t>
            </w:r>
          </w:p>
        </w:tc>
        <w:tc>
          <w:tcPr>
            <w:tcW w:w="1481" w:type="dxa"/>
            <w:tcBorders>
              <w:top w:val="nil"/>
            </w:tcBorders>
            <w:shd w:val="clear" w:color="auto" w:fill="auto"/>
            <w:noWrap/>
            <w:vAlign w:val="bottom"/>
            <w:hideMark/>
          </w:tcPr>
          <w:p w:rsidR="00F344D2" w:rsidRPr="00F344D2" w:rsidRDefault="00F344D2" w:rsidP="00F344D2">
            <w:pPr>
              <w:jc w:val="right"/>
              <w:rPr>
                <w:b/>
                <w:bCs/>
                <w:color w:val="000000"/>
              </w:rPr>
            </w:pPr>
            <w:r w:rsidRPr="00F344D2">
              <w:rPr>
                <w:b/>
                <w:bCs/>
                <w:color w:val="000000"/>
              </w:rPr>
              <w:t>£000</w:t>
            </w:r>
          </w:p>
        </w:tc>
        <w:tc>
          <w:tcPr>
            <w:tcW w:w="1356" w:type="dxa"/>
            <w:tcBorders>
              <w:top w:val="nil"/>
            </w:tcBorders>
            <w:shd w:val="clear" w:color="auto" w:fill="auto"/>
            <w:noWrap/>
            <w:vAlign w:val="bottom"/>
            <w:hideMark/>
          </w:tcPr>
          <w:p w:rsidR="00F344D2" w:rsidRPr="00F344D2" w:rsidRDefault="00F344D2" w:rsidP="00F344D2">
            <w:pPr>
              <w:jc w:val="right"/>
              <w:rPr>
                <w:b/>
                <w:bCs/>
                <w:color w:val="000000"/>
              </w:rPr>
            </w:pPr>
            <w:r w:rsidRPr="00F344D2">
              <w:rPr>
                <w:b/>
                <w:bCs/>
                <w:color w:val="000000"/>
              </w:rPr>
              <w:t>£000</w:t>
            </w:r>
          </w:p>
        </w:tc>
      </w:tr>
      <w:tr w:rsidR="00F344D2" w:rsidRPr="00F344D2" w:rsidTr="00F344D2">
        <w:trPr>
          <w:trHeight w:val="300"/>
        </w:trPr>
        <w:tc>
          <w:tcPr>
            <w:tcW w:w="6533" w:type="dxa"/>
            <w:tcBorders>
              <w:top w:val="nil"/>
            </w:tcBorders>
            <w:shd w:val="clear" w:color="auto" w:fill="auto"/>
            <w:noWrap/>
            <w:vAlign w:val="bottom"/>
            <w:hideMark/>
          </w:tcPr>
          <w:p w:rsidR="00F344D2" w:rsidRPr="00F344D2" w:rsidRDefault="00F344D2" w:rsidP="00F344D2">
            <w:pPr>
              <w:rPr>
                <w:color w:val="000000"/>
              </w:rPr>
            </w:pPr>
            <w:r w:rsidRPr="00F344D2">
              <w:rPr>
                <w:color w:val="000000"/>
              </w:rPr>
              <w:t xml:space="preserve">Suppliers of goods and services </w:t>
            </w:r>
          </w:p>
        </w:tc>
        <w:tc>
          <w:tcPr>
            <w:tcW w:w="1481" w:type="dxa"/>
            <w:tcBorders>
              <w:top w:val="nil"/>
            </w:tcBorders>
            <w:shd w:val="clear" w:color="auto" w:fill="auto"/>
            <w:noWrap/>
            <w:vAlign w:val="bottom"/>
            <w:hideMark/>
          </w:tcPr>
          <w:p w:rsidR="00F344D2" w:rsidRPr="00F344D2" w:rsidRDefault="00F344D2" w:rsidP="00F344D2">
            <w:pPr>
              <w:jc w:val="right"/>
              <w:rPr>
                <w:color w:val="000000"/>
              </w:rPr>
            </w:pPr>
            <w:r w:rsidRPr="00F344D2">
              <w:rPr>
                <w:color w:val="000000"/>
              </w:rPr>
              <w:t>66,773</w:t>
            </w:r>
          </w:p>
        </w:tc>
        <w:tc>
          <w:tcPr>
            <w:tcW w:w="1356" w:type="dxa"/>
            <w:tcBorders>
              <w:top w:val="nil"/>
            </w:tcBorders>
            <w:shd w:val="clear" w:color="auto" w:fill="auto"/>
            <w:noWrap/>
            <w:vAlign w:val="bottom"/>
            <w:hideMark/>
          </w:tcPr>
          <w:p w:rsidR="00F344D2" w:rsidRPr="00F344D2" w:rsidRDefault="00F344D2" w:rsidP="00F344D2">
            <w:pPr>
              <w:jc w:val="right"/>
              <w:rPr>
                <w:color w:val="000000"/>
              </w:rPr>
            </w:pPr>
            <w:r w:rsidRPr="00F344D2">
              <w:rPr>
                <w:color w:val="000000"/>
              </w:rPr>
              <w:t>44,027</w:t>
            </w:r>
          </w:p>
        </w:tc>
      </w:tr>
      <w:tr w:rsidR="00F344D2" w:rsidRPr="00F344D2" w:rsidTr="00F344D2">
        <w:trPr>
          <w:trHeight w:val="300"/>
        </w:trPr>
        <w:tc>
          <w:tcPr>
            <w:tcW w:w="6533" w:type="dxa"/>
            <w:tcBorders>
              <w:top w:val="nil"/>
            </w:tcBorders>
            <w:shd w:val="clear" w:color="auto" w:fill="auto"/>
            <w:noWrap/>
            <w:vAlign w:val="bottom"/>
            <w:hideMark/>
          </w:tcPr>
          <w:p w:rsidR="00F344D2" w:rsidRPr="00F344D2" w:rsidRDefault="00F344D2" w:rsidP="00F344D2">
            <w:pPr>
              <w:rPr>
                <w:color w:val="000000"/>
              </w:rPr>
            </w:pPr>
            <w:r w:rsidRPr="00F344D2">
              <w:rPr>
                <w:color w:val="000000"/>
              </w:rPr>
              <w:t xml:space="preserve">Government Grants </w:t>
            </w:r>
          </w:p>
        </w:tc>
        <w:tc>
          <w:tcPr>
            <w:tcW w:w="1481" w:type="dxa"/>
            <w:tcBorders>
              <w:top w:val="nil"/>
            </w:tcBorders>
            <w:shd w:val="clear" w:color="auto" w:fill="auto"/>
            <w:noWrap/>
            <w:vAlign w:val="bottom"/>
            <w:hideMark/>
          </w:tcPr>
          <w:p w:rsidR="00F344D2" w:rsidRPr="00F344D2" w:rsidRDefault="00F344D2" w:rsidP="00F344D2">
            <w:pPr>
              <w:jc w:val="right"/>
              <w:rPr>
                <w:color w:val="000000"/>
              </w:rPr>
            </w:pPr>
            <w:r w:rsidRPr="00F344D2">
              <w:rPr>
                <w:color w:val="000000"/>
              </w:rPr>
              <w:t>165</w:t>
            </w:r>
          </w:p>
        </w:tc>
        <w:tc>
          <w:tcPr>
            <w:tcW w:w="1356" w:type="dxa"/>
            <w:tcBorders>
              <w:top w:val="nil"/>
            </w:tcBorders>
            <w:shd w:val="clear" w:color="auto" w:fill="auto"/>
            <w:noWrap/>
            <w:vAlign w:val="bottom"/>
            <w:hideMark/>
          </w:tcPr>
          <w:p w:rsidR="00F344D2" w:rsidRPr="00F344D2" w:rsidRDefault="00F344D2" w:rsidP="00F344D2">
            <w:pPr>
              <w:jc w:val="right"/>
              <w:rPr>
                <w:color w:val="000000"/>
              </w:rPr>
            </w:pPr>
            <w:r w:rsidRPr="00F344D2">
              <w:rPr>
                <w:color w:val="000000"/>
              </w:rPr>
              <w:t>2,368</w:t>
            </w:r>
          </w:p>
        </w:tc>
      </w:tr>
      <w:tr w:rsidR="00F344D2" w:rsidRPr="00F344D2" w:rsidTr="00F344D2">
        <w:trPr>
          <w:trHeight w:val="300"/>
        </w:trPr>
        <w:tc>
          <w:tcPr>
            <w:tcW w:w="6533" w:type="dxa"/>
            <w:tcBorders>
              <w:top w:val="nil"/>
            </w:tcBorders>
            <w:shd w:val="clear" w:color="auto" w:fill="auto"/>
            <w:noWrap/>
            <w:vAlign w:val="bottom"/>
            <w:hideMark/>
          </w:tcPr>
          <w:p w:rsidR="00F344D2" w:rsidRPr="00F344D2" w:rsidRDefault="00F344D2" w:rsidP="00F344D2">
            <w:pPr>
              <w:rPr>
                <w:color w:val="000000"/>
              </w:rPr>
            </w:pPr>
            <w:r w:rsidRPr="00F344D2">
              <w:rPr>
                <w:color w:val="000000"/>
              </w:rPr>
              <w:t xml:space="preserve">Capital Creditors </w:t>
            </w:r>
          </w:p>
        </w:tc>
        <w:tc>
          <w:tcPr>
            <w:tcW w:w="1481" w:type="dxa"/>
            <w:tcBorders>
              <w:top w:val="nil"/>
            </w:tcBorders>
            <w:shd w:val="clear" w:color="auto" w:fill="auto"/>
            <w:noWrap/>
            <w:vAlign w:val="bottom"/>
            <w:hideMark/>
          </w:tcPr>
          <w:p w:rsidR="00F344D2" w:rsidRPr="00F344D2" w:rsidRDefault="00F344D2" w:rsidP="00F344D2">
            <w:pPr>
              <w:jc w:val="right"/>
              <w:rPr>
                <w:color w:val="000000"/>
              </w:rPr>
            </w:pPr>
            <w:r w:rsidRPr="00F344D2">
              <w:rPr>
                <w:color w:val="000000"/>
              </w:rPr>
              <w:t>3,620</w:t>
            </w:r>
          </w:p>
        </w:tc>
        <w:tc>
          <w:tcPr>
            <w:tcW w:w="1356" w:type="dxa"/>
            <w:tcBorders>
              <w:top w:val="nil"/>
            </w:tcBorders>
            <w:shd w:val="clear" w:color="auto" w:fill="auto"/>
            <w:noWrap/>
            <w:vAlign w:val="bottom"/>
            <w:hideMark/>
          </w:tcPr>
          <w:p w:rsidR="00F344D2" w:rsidRPr="00F344D2" w:rsidRDefault="00F344D2" w:rsidP="00F344D2">
            <w:pPr>
              <w:jc w:val="right"/>
              <w:rPr>
                <w:color w:val="000000"/>
              </w:rPr>
            </w:pPr>
            <w:r w:rsidRPr="00F344D2">
              <w:rPr>
                <w:color w:val="000000"/>
              </w:rPr>
              <w:t>5,098</w:t>
            </w:r>
          </w:p>
        </w:tc>
      </w:tr>
      <w:tr w:rsidR="00F344D2" w:rsidRPr="00F344D2" w:rsidTr="00F344D2">
        <w:trPr>
          <w:trHeight w:val="300"/>
        </w:trPr>
        <w:tc>
          <w:tcPr>
            <w:tcW w:w="6533" w:type="dxa"/>
            <w:tcBorders>
              <w:top w:val="nil"/>
            </w:tcBorders>
            <w:shd w:val="clear" w:color="auto" w:fill="auto"/>
            <w:noWrap/>
            <w:vAlign w:val="bottom"/>
            <w:hideMark/>
          </w:tcPr>
          <w:p w:rsidR="00F344D2" w:rsidRPr="00F344D2" w:rsidRDefault="00F344D2" w:rsidP="00F344D2">
            <w:pPr>
              <w:rPr>
                <w:color w:val="000000"/>
              </w:rPr>
            </w:pPr>
            <w:r w:rsidRPr="00F344D2">
              <w:rPr>
                <w:color w:val="000000"/>
              </w:rPr>
              <w:t xml:space="preserve">PAYE Creditors </w:t>
            </w:r>
          </w:p>
        </w:tc>
        <w:tc>
          <w:tcPr>
            <w:tcW w:w="1481" w:type="dxa"/>
            <w:tcBorders>
              <w:top w:val="nil"/>
            </w:tcBorders>
            <w:shd w:val="clear" w:color="auto" w:fill="auto"/>
            <w:noWrap/>
            <w:vAlign w:val="bottom"/>
            <w:hideMark/>
          </w:tcPr>
          <w:p w:rsidR="00F344D2" w:rsidRPr="00F344D2" w:rsidRDefault="00F344D2" w:rsidP="00F344D2">
            <w:pPr>
              <w:jc w:val="right"/>
              <w:rPr>
                <w:color w:val="000000"/>
              </w:rPr>
            </w:pPr>
            <w:r w:rsidRPr="00F344D2">
              <w:rPr>
                <w:color w:val="000000"/>
              </w:rPr>
              <w:t>23,480</w:t>
            </w:r>
          </w:p>
        </w:tc>
        <w:tc>
          <w:tcPr>
            <w:tcW w:w="1356" w:type="dxa"/>
            <w:tcBorders>
              <w:top w:val="nil"/>
            </w:tcBorders>
            <w:shd w:val="clear" w:color="auto" w:fill="auto"/>
            <w:noWrap/>
            <w:vAlign w:val="bottom"/>
            <w:hideMark/>
          </w:tcPr>
          <w:p w:rsidR="00F344D2" w:rsidRPr="00F344D2" w:rsidRDefault="00F344D2" w:rsidP="00F344D2">
            <w:pPr>
              <w:jc w:val="right"/>
              <w:rPr>
                <w:color w:val="000000"/>
              </w:rPr>
            </w:pPr>
            <w:r w:rsidRPr="00F344D2">
              <w:rPr>
                <w:color w:val="000000"/>
              </w:rPr>
              <w:t>25,394</w:t>
            </w:r>
          </w:p>
        </w:tc>
      </w:tr>
      <w:tr w:rsidR="00F344D2" w:rsidRPr="00F344D2" w:rsidTr="00F344D2">
        <w:trPr>
          <w:trHeight w:val="300"/>
        </w:trPr>
        <w:tc>
          <w:tcPr>
            <w:tcW w:w="6533" w:type="dxa"/>
            <w:tcBorders>
              <w:top w:val="nil"/>
            </w:tcBorders>
            <w:shd w:val="clear" w:color="auto" w:fill="auto"/>
            <w:noWrap/>
            <w:vAlign w:val="bottom"/>
            <w:hideMark/>
          </w:tcPr>
          <w:p w:rsidR="00F344D2" w:rsidRPr="00F344D2" w:rsidRDefault="00F344D2" w:rsidP="00F344D2">
            <w:pPr>
              <w:rPr>
                <w:color w:val="000000"/>
              </w:rPr>
            </w:pPr>
            <w:r w:rsidRPr="00F344D2">
              <w:rPr>
                <w:color w:val="000000"/>
              </w:rPr>
              <w:t>Regenerate Pennine Lancashire Grant (formerly Elevate)</w:t>
            </w:r>
          </w:p>
        </w:tc>
        <w:tc>
          <w:tcPr>
            <w:tcW w:w="1481" w:type="dxa"/>
            <w:tcBorders>
              <w:top w:val="nil"/>
            </w:tcBorders>
            <w:shd w:val="clear" w:color="auto" w:fill="auto"/>
            <w:noWrap/>
            <w:vAlign w:val="bottom"/>
            <w:hideMark/>
          </w:tcPr>
          <w:p w:rsidR="00F344D2" w:rsidRPr="00F344D2" w:rsidRDefault="00F344D2" w:rsidP="00F344D2">
            <w:pPr>
              <w:jc w:val="right"/>
              <w:rPr>
                <w:color w:val="000000"/>
              </w:rPr>
            </w:pPr>
            <w:r w:rsidRPr="00F344D2">
              <w:rPr>
                <w:color w:val="000000"/>
              </w:rPr>
              <w:t>-</w:t>
            </w:r>
          </w:p>
        </w:tc>
        <w:tc>
          <w:tcPr>
            <w:tcW w:w="1356" w:type="dxa"/>
            <w:tcBorders>
              <w:top w:val="nil"/>
            </w:tcBorders>
            <w:shd w:val="clear" w:color="auto" w:fill="auto"/>
            <w:noWrap/>
            <w:vAlign w:val="bottom"/>
            <w:hideMark/>
          </w:tcPr>
          <w:p w:rsidR="00F344D2" w:rsidRPr="00F344D2" w:rsidRDefault="00F344D2" w:rsidP="00F344D2">
            <w:pPr>
              <w:jc w:val="right"/>
              <w:rPr>
                <w:color w:val="000000"/>
              </w:rPr>
            </w:pPr>
            <w:r w:rsidRPr="00F344D2">
              <w:rPr>
                <w:color w:val="000000"/>
              </w:rPr>
              <w:t>-</w:t>
            </w:r>
          </w:p>
        </w:tc>
      </w:tr>
      <w:tr w:rsidR="00F344D2" w:rsidRPr="00F344D2" w:rsidTr="00F344D2">
        <w:trPr>
          <w:trHeight w:val="300"/>
        </w:trPr>
        <w:tc>
          <w:tcPr>
            <w:tcW w:w="6533" w:type="dxa"/>
            <w:tcBorders>
              <w:top w:val="nil"/>
            </w:tcBorders>
            <w:shd w:val="clear" w:color="auto" w:fill="auto"/>
            <w:noWrap/>
            <w:vAlign w:val="bottom"/>
            <w:hideMark/>
          </w:tcPr>
          <w:p w:rsidR="00F344D2" w:rsidRPr="00F344D2" w:rsidRDefault="00F344D2" w:rsidP="00F344D2">
            <w:pPr>
              <w:rPr>
                <w:color w:val="000000"/>
              </w:rPr>
            </w:pPr>
            <w:r w:rsidRPr="00F344D2">
              <w:rPr>
                <w:color w:val="000000"/>
              </w:rPr>
              <w:t>Other</w:t>
            </w:r>
          </w:p>
        </w:tc>
        <w:tc>
          <w:tcPr>
            <w:tcW w:w="1481" w:type="dxa"/>
            <w:tcBorders>
              <w:top w:val="nil"/>
            </w:tcBorders>
            <w:shd w:val="clear" w:color="auto" w:fill="auto"/>
            <w:noWrap/>
            <w:vAlign w:val="bottom"/>
            <w:hideMark/>
          </w:tcPr>
          <w:p w:rsidR="00F344D2" w:rsidRPr="00F344D2" w:rsidRDefault="00F344D2" w:rsidP="00F344D2">
            <w:pPr>
              <w:jc w:val="right"/>
              <w:rPr>
                <w:color w:val="000000"/>
              </w:rPr>
            </w:pPr>
            <w:r w:rsidRPr="00F344D2">
              <w:rPr>
                <w:color w:val="000000"/>
              </w:rPr>
              <w:t>35,097</w:t>
            </w:r>
          </w:p>
        </w:tc>
        <w:tc>
          <w:tcPr>
            <w:tcW w:w="1356" w:type="dxa"/>
            <w:tcBorders>
              <w:top w:val="nil"/>
            </w:tcBorders>
            <w:shd w:val="clear" w:color="auto" w:fill="auto"/>
            <w:noWrap/>
            <w:vAlign w:val="bottom"/>
            <w:hideMark/>
          </w:tcPr>
          <w:p w:rsidR="00F344D2" w:rsidRPr="00F344D2" w:rsidRDefault="00F344D2" w:rsidP="00F344D2">
            <w:pPr>
              <w:jc w:val="right"/>
              <w:rPr>
                <w:color w:val="000000"/>
              </w:rPr>
            </w:pPr>
            <w:r w:rsidRPr="00F344D2">
              <w:rPr>
                <w:color w:val="000000"/>
              </w:rPr>
              <w:t>47,773</w:t>
            </w:r>
          </w:p>
        </w:tc>
      </w:tr>
      <w:tr w:rsidR="00F344D2" w:rsidRPr="00F344D2" w:rsidTr="00F344D2">
        <w:trPr>
          <w:trHeight w:val="300"/>
        </w:trPr>
        <w:tc>
          <w:tcPr>
            <w:tcW w:w="6533" w:type="dxa"/>
            <w:tcBorders>
              <w:top w:val="nil"/>
            </w:tcBorders>
            <w:shd w:val="clear" w:color="auto" w:fill="auto"/>
            <w:noWrap/>
            <w:vAlign w:val="bottom"/>
            <w:hideMark/>
          </w:tcPr>
          <w:p w:rsidR="00F344D2" w:rsidRPr="00F344D2" w:rsidRDefault="00F344D2" w:rsidP="00F344D2">
            <w:pPr>
              <w:rPr>
                <w:color w:val="000000"/>
              </w:rPr>
            </w:pPr>
            <w:r w:rsidRPr="00F344D2">
              <w:rPr>
                <w:color w:val="000000"/>
              </w:rPr>
              <w:t>Central Government Bodies</w:t>
            </w:r>
          </w:p>
        </w:tc>
        <w:tc>
          <w:tcPr>
            <w:tcW w:w="1481" w:type="dxa"/>
            <w:tcBorders>
              <w:top w:val="nil"/>
            </w:tcBorders>
            <w:shd w:val="clear" w:color="auto" w:fill="auto"/>
            <w:noWrap/>
            <w:vAlign w:val="bottom"/>
            <w:hideMark/>
          </w:tcPr>
          <w:p w:rsidR="00F344D2" w:rsidRPr="00F344D2" w:rsidRDefault="00F344D2" w:rsidP="00F344D2">
            <w:pPr>
              <w:jc w:val="right"/>
              <w:rPr>
                <w:color w:val="000000"/>
              </w:rPr>
            </w:pPr>
            <w:r w:rsidRPr="00F344D2">
              <w:rPr>
                <w:color w:val="000000"/>
              </w:rPr>
              <w:t>70</w:t>
            </w:r>
          </w:p>
        </w:tc>
        <w:tc>
          <w:tcPr>
            <w:tcW w:w="1356" w:type="dxa"/>
            <w:tcBorders>
              <w:top w:val="nil"/>
            </w:tcBorders>
            <w:shd w:val="clear" w:color="auto" w:fill="auto"/>
            <w:noWrap/>
            <w:vAlign w:val="bottom"/>
            <w:hideMark/>
          </w:tcPr>
          <w:p w:rsidR="00F344D2" w:rsidRPr="00F344D2" w:rsidRDefault="00F344D2" w:rsidP="00F344D2">
            <w:pPr>
              <w:jc w:val="right"/>
              <w:rPr>
                <w:color w:val="000000"/>
              </w:rPr>
            </w:pPr>
            <w:r w:rsidRPr="00F344D2">
              <w:rPr>
                <w:color w:val="000000"/>
              </w:rPr>
              <w:t>109</w:t>
            </w:r>
          </w:p>
        </w:tc>
      </w:tr>
      <w:tr w:rsidR="00F344D2" w:rsidRPr="00F344D2" w:rsidTr="00F344D2">
        <w:trPr>
          <w:trHeight w:val="300"/>
        </w:trPr>
        <w:tc>
          <w:tcPr>
            <w:tcW w:w="6533" w:type="dxa"/>
            <w:tcBorders>
              <w:top w:val="nil"/>
            </w:tcBorders>
            <w:shd w:val="clear" w:color="auto" w:fill="auto"/>
            <w:noWrap/>
            <w:vAlign w:val="bottom"/>
            <w:hideMark/>
          </w:tcPr>
          <w:p w:rsidR="00F344D2" w:rsidRPr="00F344D2" w:rsidRDefault="00F344D2" w:rsidP="00F344D2">
            <w:pPr>
              <w:rPr>
                <w:color w:val="000000"/>
              </w:rPr>
            </w:pPr>
            <w:r w:rsidRPr="00F344D2">
              <w:rPr>
                <w:color w:val="000000"/>
              </w:rPr>
              <w:t>Other Local Authorities</w:t>
            </w:r>
          </w:p>
        </w:tc>
        <w:tc>
          <w:tcPr>
            <w:tcW w:w="1481" w:type="dxa"/>
            <w:tcBorders>
              <w:top w:val="nil"/>
            </w:tcBorders>
            <w:shd w:val="clear" w:color="auto" w:fill="auto"/>
            <w:noWrap/>
            <w:vAlign w:val="bottom"/>
            <w:hideMark/>
          </w:tcPr>
          <w:p w:rsidR="00F344D2" w:rsidRPr="00F344D2" w:rsidRDefault="00F344D2" w:rsidP="00F344D2">
            <w:pPr>
              <w:jc w:val="right"/>
              <w:rPr>
                <w:color w:val="000000"/>
              </w:rPr>
            </w:pPr>
            <w:r w:rsidRPr="00F344D2">
              <w:rPr>
                <w:color w:val="000000"/>
              </w:rPr>
              <w:t>2,286</w:t>
            </w:r>
          </w:p>
        </w:tc>
        <w:tc>
          <w:tcPr>
            <w:tcW w:w="1356" w:type="dxa"/>
            <w:tcBorders>
              <w:top w:val="nil"/>
            </w:tcBorders>
            <w:shd w:val="clear" w:color="auto" w:fill="auto"/>
            <w:noWrap/>
            <w:vAlign w:val="bottom"/>
            <w:hideMark/>
          </w:tcPr>
          <w:p w:rsidR="00F344D2" w:rsidRPr="00F344D2" w:rsidRDefault="00F344D2" w:rsidP="00F344D2">
            <w:pPr>
              <w:jc w:val="right"/>
              <w:rPr>
                <w:color w:val="000000"/>
              </w:rPr>
            </w:pPr>
            <w:r w:rsidRPr="00F344D2">
              <w:rPr>
                <w:color w:val="000000"/>
              </w:rPr>
              <w:t>5,703</w:t>
            </w:r>
          </w:p>
        </w:tc>
      </w:tr>
      <w:tr w:rsidR="00F344D2" w:rsidRPr="00F344D2" w:rsidTr="00F344D2">
        <w:trPr>
          <w:trHeight w:val="300"/>
        </w:trPr>
        <w:tc>
          <w:tcPr>
            <w:tcW w:w="6533" w:type="dxa"/>
            <w:tcBorders>
              <w:top w:val="nil"/>
            </w:tcBorders>
            <w:shd w:val="clear" w:color="auto" w:fill="auto"/>
            <w:noWrap/>
            <w:vAlign w:val="bottom"/>
            <w:hideMark/>
          </w:tcPr>
          <w:p w:rsidR="00F344D2" w:rsidRPr="00F344D2" w:rsidRDefault="00F344D2" w:rsidP="00F344D2">
            <w:pPr>
              <w:rPr>
                <w:color w:val="000000"/>
              </w:rPr>
            </w:pPr>
            <w:r w:rsidRPr="00F344D2">
              <w:rPr>
                <w:color w:val="000000"/>
              </w:rPr>
              <w:t>NHS Bodies</w:t>
            </w:r>
          </w:p>
        </w:tc>
        <w:tc>
          <w:tcPr>
            <w:tcW w:w="1481" w:type="dxa"/>
            <w:tcBorders>
              <w:top w:val="nil"/>
            </w:tcBorders>
            <w:shd w:val="clear" w:color="auto" w:fill="auto"/>
            <w:noWrap/>
            <w:vAlign w:val="bottom"/>
            <w:hideMark/>
          </w:tcPr>
          <w:p w:rsidR="00F344D2" w:rsidRPr="00F344D2" w:rsidRDefault="00F344D2" w:rsidP="00F344D2">
            <w:pPr>
              <w:jc w:val="right"/>
              <w:rPr>
                <w:color w:val="000000"/>
              </w:rPr>
            </w:pPr>
            <w:r w:rsidRPr="00F344D2">
              <w:rPr>
                <w:color w:val="000000"/>
              </w:rPr>
              <w:t>7,509</w:t>
            </w:r>
          </w:p>
        </w:tc>
        <w:tc>
          <w:tcPr>
            <w:tcW w:w="1356" w:type="dxa"/>
            <w:tcBorders>
              <w:top w:val="nil"/>
            </w:tcBorders>
            <w:shd w:val="clear" w:color="auto" w:fill="auto"/>
            <w:noWrap/>
            <w:vAlign w:val="bottom"/>
            <w:hideMark/>
          </w:tcPr>
          <w:p w:rsidR="00F344D2" w:rsidRPr="00F344D2" w:rsidRDefault="00F344D2" w:rsidP="00F344D2">
            <w:pPr>
              <w:jc w:val="right"/>
              <w:rPr>
                <w:color w:val="000000"/>
              </w:rPr>
            </w:pPr>
            <w:r w:rsidRPr="00F344D2">
              <w:rPr>
                <w:color w:val="000000"/>
              </w:rPr>
              <w:t>4,736</w:t>
            </w:r>
          </w:p>
        </w:tc>
      </w:tr>
      <w:tr w:rsidR="00F344D2" w:rsidRPr="00F344D2" w:rsidTr="00F344D2">
        <w:trPr>
          <w:trHeight w:val="300"/>
        </w:trPr>
        <w:tc>
          <w:tcPr>
            <w:tcW w:w="6533" w:type="dxa"/>
            <w:tcBorders>
              <w:top w:val="nil"/>
            </w:tcBorders>
            <w:shd w:val="clear" w:color="auto" w:fill="auto"/>
            <w:noWrap/>
            <w:vAlign w:val="bottom"/>
            <w:hideMark/>
          </w:tcPr>
          <w:p w:rsidR="00F344D2" w:rsidRPr="00F344D2" w:rsidRDefault="00F344D2" w:rsidP="00F344D2">
            <w:pPr>
              <w:rPr>
                <w:color w:val="000000"/>
              </w:rPr>
            </w:pPr>
            <w:r w:rsidRPr="00F344D2">
              <w:rPr>
                <w:color w:val="000000"/>
              </w:rPr>
              <w:t>Other Public Corporations</w:t>
            </w:r>
          </w:p>
        </w:tc>
        <w:tc>
          <w:tcPr>
            <w:tcW w:w="1481" w:type="dxa"/>
            <w:tcBorders>
              <w:top w:val="nil"/>
            </w:tcBorders>
            <w:shd w:val="clear" w:color="auto" w:fill="auto"/>
            <w:noWrap/>
            <w:vAlign w:val="bottom"/>
            <w:hideMark/>
          </w:tcPr>
          <w:p w:rsidR="00F344D2" w:rsidRPr="00F344D2" w:rsidRDefault="00F344D2" w:rsidP="00F344D2">
            <w:pPr>
              <w:jc w:val="right"/>
              <w:rPr>
                <w:color w:val="000000"/>
              </w:rPr>
            </w:pPr>
            <w:r w:rsidRPr="00F344D2">
              <w:rPr>
                <w:color w:val="000000"/>
              </w:rPr>
              <w:t>2,087</w:t>
            </w:r>
          </w:p>
        </w:tc>
        <w:tc>
          <w:tcPr>
            <w:tcW w:w="1356" w:type="dxa"/>
            <w:tcBorders>
              <w:top w:val="nil"/>
            </w:tcBorders>
            <w:shd w:val="clear" w:color="auto" w:fill="auto"/>
            <w:noWrap/>
            <w:vAlign w:val="bottom"/>
            <w:hideMark/>
          </w:tcPr>
          <w:p w:rsidR="00F344D2" w:rsidRPr="00F344D2" w:rsidRDefault="00F344D2" w:rsidP="00F344D2">
            <w:pPr>
              <w:jc w:val="right"/>
              <w:rPr>
                <w:color w:val="000000"/>
              </w:rPr>
            </w:pPr>
            <w:r w:rsidRPr="00F344D2">
              <w:rPr>
                <w:color w:val="000000"/>
              </w:rPr>
              <w:t>16</w:t>
            </w:r>
          </w:p>
        </w:tc>
      </w:tr>
      <w:tr w:rsidR="00F344D2" w:rsidRPr="00F344D2" w:rsidTr="00F344D2">
        <w:trPr>
          <w:trHeight w:val="300"/>
        </w:trPr>
        <w:tc>
          <w:tcPr>
            <w:tcW w:w="6533" w:type="dxa"/>
            <w:tcBorders>
              <w:top w:val="nil"/>
            </w:tcBorders>
            <w:shd w:val="clear" w:color="auto" w:fill="auto"/>
            <w:noWrap/>
            <w:vAlign w:val="bottom"/>
            <w:hideMark/>
          </w:tcPr>
          <w:p w:rsidR="00F344D2" w:rsidRPr="00F344D2" w:rsidRDefault="00F344D2" w:rsidP="00F344D2">
            <w:pPr>
              <w:rPr>
                <w:color w:val="000000"/>
              </w:rPr>
            </w:pPr>
            <w:r w:rsidRPr="00F344D2">
              <w:rPr>
                <w:color w:val="000000"/>
              </w:rPr>
              <w:t>Owed to Billing Authorities</w:t>
            </w:r>
          </w:p>
        </w:tc>
        <w:tc>
          <w:tcPr>
            <w:tcW w:w="1481" w:type="dxa"/>
            <w:tcBorders>
              <w:top w:val="nil"/>
            </w:tcBorders>
            <w:shd w:val="clear" w:color="auto" w:fill="auto"/>
            <w:noWrap/>
            <w:vAlign w:val="bottom"/>
            <w:hideMark/>
          </w:tcPr>
          <w:p w:rsidR="00F344D2" w:rsidRPr="00F344D2" w:rsidRDefault="00F344D2" w:rsidP="00F344D2">
            <w:pPr>
              <w:jc w:val="right"/>
              <w:rPr>
                <w:color w:val="000000"/>
              </w:rPr>
            </w:pPr>
            <w:r w:rsidRPr="00F344D2">
              <w:rPr>
                <w:color w:val="000000"/>
              </w:rPr>
              <w:t>8,966</w:t>
            </w:r>
          </w:p>
        </w:tc>
        <w:tc>
          <w:tcPr>
            <w:tcW w:w="1356" w:type="dxa"/>
            <w:tcBorders>
              <w:top w:val="nil"/>
            </w:tcBorders>
            <w:shd w:val="clear" w:color="auto" w:fill="auto"/>
            <w:noWrap/>
            <w:vAlign w:val="bottom"/>
            <w:hideMark/>
          </w:tcPr>
          <w:p w:rsidR="00F344D2" w:rsidRPr="00F344D2" w:rsidRDefault="00F344D2" w:rsidP="00F344D2">
            <w:pPr>
              <w:jc w:val="right"/>
              <w:rPr>
                <w:color w:val="000000"/>
              </w:rPr>
            </w:pPr>
            <w:r w:rsidRPr="00F344D2">
              <w:rPr>
                <w:color w:val="000000"/>
              </w:rPr>
              <w:t>9,994</w:t>
            </w:r>
          </w:p>
        </w:tc>
      </w:tr>
      <w:tr w:rsidR="00F344D2" w:rsidRPr="00F344D2" w:rsidTr="00F344D2">
        <w:trPr>
          <w:trHeight w:val="300"/>
        </w:trPr>
        <w:tc>
          <w:tcPr>
            <w:tcW w:w="6533" w:type="dxa"/>
            <w:tcBorders>
              <w:top w:val="nil"/>
            </w:tcBorders>
            <w:shd w:val="clear" w:color="auto" w:fill="auto"/>
            <w:noWrap/>
            <w:vAlign w:val="bottom"/>
            <w:hideMark/>
          </w:tcPr>
          <w:p w:rsidR="00F344D2" w:rsidRPr="00F344D2" w:rsidRDefault="00F344D2" w:rsidP="00F344D2">
            <w:pPr>
              <w:rPr>
                <w:color w:val="000000"/>
              </w:rPr>
            </w:pPr>
            <w:r w:rsidRPr="00F344D2">
              <w:rPr>
                <w:color w:val="000000"/>
              </w:rPr>
              <w:t xml:space="preserve">Lancashire </w:t>
            </w:r>
            <w:r w:rsidR="001F1A1A">
              <w:rPr>
                <w:color w:val="000000"/>
              </w:rPr>
              <w:t>County Council</w:t>
            </w:r>
            <w:r w:rsidRPr="00F344D2">
              <w:rPr>
                <w:color w:val="000000"/>
              </w:rPr>
              <w:t>'s share of billing authority creditors deficit</w:t>
            </w:r>
          </w:p>
        </w:tc>
        <w:tc>
          <w:tcPr>
            <w:tcW w:w="1481" w:type="dxa"/>
            <w:tcBorders>
              <w:top w:val="nil"/>
            </w:tcBorders>
            <w:shd w:val="clear" w:color="auto" w:fill="auto"/>
            <w:noWrap/>
            <w:vAlign w:val="bottom"/>
            <w:hideMark/>
          </w:tcPr>
          <w:p w:rsidR="00F344D2" w:rsidRPr="00F344D2" w:rsidRDefault="00F344D2" w:rsidP="00F344D2">
            <w:pPr>
              <w:jc w:val="right"/>
              <w:rPr>
                <w:color w:val="000000"/>
              </w:rPr>
            </w:pPr>
            <w:r w:rsidRPr="00F344D2">
              <w:rPr>
                <w:color w:val="000000"/>
              </w:rPr>
              <w:t>7,003</w:t>
            </w:r>
          </w:p>
        </w:tc>
        <w:tc>
          <w:tcPr>
            <w:tcW w:w="1356" w:type="dxa"/>
            <w:tcBorders>
              <w:top w:val="nil"/>
            </w:tcBorders>
            <w:shd w:val="clear" w:color="auto" w:fill="auto"/>
            <w:noWrap/>
            <w:vAlign w:val="bottom"/>
            <w:hideMark/>
          </w:tcPr>
          <w:p w:rsidR="00F344D2" w:rsidRPr="00F344D2" w:rsidRDefault="00F344D2" w:rsidP="00F344D2">
            <w:pPr>
              <w:jc w:val="right"/>
              <w:rPr>
                <w:color w:val="000000"/>
              </w:rPr>
            </w:pPr>
            <w:r w:rsidRPr="00F344D2">
              <w:rPr>
                <w:color w:val="000000"/>
              </w:rPr>
              <w:t>6,025</w:t>
            </w:r>
          </w:p>
        </w:tc>
      </w:tr>
      <w:tr w:rsidR="00F344D2" w:rsidRPr="00F344D2" w:rsidTr="00F344D2">
        <w:trPr>
          <w:trHeight w:val="300"/>
        </w:trPr>
        <w:tc>
          <w:tcPr>
            <w:tcW w:w="6533" w:type="dxa"/>
            <w:tcBorders>
              <w:top w:val="nil"/>
            </w:tcBorders>
            <w:shd w:val="clear" w:color="auto" w:fill="auto"/>
            <w:noWrap/>
            <w:vAlign w:val="bottom"/>
            <w:hideMark/>
          </w:tcPr>
          <w:p w:rsidR="00F344D2" w:rsidRPr="00F344D2" w:rsidRDefault="00F344D2" w:rsidP="00F344D2">
            <w:pPr>
              <w:rPr>
                <w:color w:val="000000"/>
              </w:rPr>
            </w:pPr>
            <w:r w:rsidRPr="00F344D2">
              <w:rPr>
                <w:color w:val="000000"/>
              </w:rPr>
              <w:t>Accumulated Absence Creditors</w:t>
            </w:r>
          </w:p>
        </w:tc>
        <w:tc>
          <w:tcPr>
            <w:tcW w:w="1481" w:type="dxa"/>
            <w:tcBorders>
              <w:top w:val="nil"/>
            </w:tcBorders>
            <w:shd w:val="clear" w:color="auto" w:fill="auto"/>
            <w:noWrap/>
            <w:vAlign w:val="bottom"/>
            <w:hideMark/>
          </w:tcPr>
          <w:p w:rsidR="00F344D2" w:rsidRPr="00F344D2" w:rsidRDefault="00F344D2" w:rsidP="00F344D2">
            <w:pPr>
              <w:jc w:val="right"/>
              <w:rPr>
                <w:color w:val="000000"/>
              </w:rPr>
            </w:pPr>
            <w:r w:rsidRPr="00F344D2">
              <w:rPr>
                <w:color w:val="000000"/>
              </w:rPr>
              <w:t>29,432</w:t>
            </w:r>
          </w:p>
        </w:tc>
        <w:tc>
          <w:tcPr>
            <w:tcW w:w="1356" w:type="dxa"/>
            <w:tcBorders>
              <w:top w:val="nil"/>
            </w:tcBorders>
            <w:shd w:val="clear" w:color="auto" w:fill="auto"/>
            <w:noWrap/>
            <w:vAlign w:val="bottom"/>
            <w:hideMark/>
          </w:tcPr>
          <w:p w:rsidR="00F344D2" w:rsidRPr="00F344D2" w:rsidRDefault="00F344D2" w:rsidP="00F344D2">
            <w:pPr>
              <w:jc w:val="right"/>
              <w:rPr>
                <w:color w:val="000000"/>
              </w:rPr>
            </w:pPr>
            <w:r w:rsidRPr="00F344D2">
              <w:rPr>
                <w:color w:val="000000"/>
              </w:rPr>
              <w:t>37,891</w:t>
            </w:r>
          </w:p>
        </w:tc>
      </w:tr>
      <w:tr w:rsidR="00F344D2" w:rsidRPr="00F344D2" w:rsidTr="00F344D2">
        <w:trPr>
          <w:trHeight w:val="300"/>
        </w:trPr>
        <w:tc>
          <w:tcPr>
            <w:tcW w:w="6533" w:type="dxa"/>
            <w:tcBorders>
              <w:top w:val="nil"/>
            </w:tcBorders>
            <w:shd w:val="clear" w:color="auto" w:fill="auto"/>
            <w:noWrap/>
            <w:vAlign w:val="bottom"/>
            <w:hideMark/>
          </w:tcPr>
          <w:p w:rsidR="00F344D2" w:rsidRPr="00F344D2" w:rsidRDefault="00F344D2" w:rsidP="00F344D2">
            <w:pPr>
              <w:rPr>
                <w:color w:val="000000"/>
              </w:rPr>
            </w:pPr>
            <w:r w:rsidRPr="00F344D2">
              <w:rPr>
                <w:color w:val="000000"/>
              </w:rPr>
              <w:t> </w:t>
            </w:r>
          </w:p>
        </w:tc>
        <w:tc>
          <w:tcPr>
            <w:tcW w:w="1481" w:type="dxa"/>
            <w:tcBorders>
              <w:top w:val="nil"/>
            </w:tcBorders>
            <w:shd w:val="clear" w:color="auto" w:fill="auto"/>
            <w:noWrap/>
            <w:vAlign w:val="bottom"/>
            <w:hideMark/>
          </w:tcPr>
          <w:p w:rsidR="00F344D2" w:rsidRPr="00F344D2" w:rsidRDefault="00F344D2" w:rsidP="00F344D2">
            <w:pPr>
              <w:rPr>
                <w:color w:val="000000"/>
              </w:rPr>
            </w:pPr>
            <w:r w:rsidRPr="00F344D2">
              <w:rPr>
                <w:color w:val="000000"/>
              </w:rPr>
              <w:t> </w:t>
            </w:r>
          </w:p>
        </w:tc>
        <w:tc>
          <w:tcPr>
            <w:tcW w:w="1356" w:type="dxa"/>
            <w:tcBorders>
              <w:top w:val="nil"/>
            </w:tcBorders>
            <w:shd w:val="clear" w:color="auto" w:fill="auto"/>
            <w:noWrap/>
            <w:vAlign w:val="bottom"/>
            <w:hideMark/>
          </w:tcPr>
          <w:p w:rsidR="00F344D2" w:rsidRPr="00F344D2" w:rsidRDefault="00F344D2" w:rsidP="00F344D2">
            <w:pPr>
              <w:rPr>
                <w:color w:val="000000"/>
              </w:rPr>
            </w:pPr>
            <w:r w:rsidRPr="00F344D2">
              <w:rPr>
                <w:color w:val="000000"/>
              </w:rPr>
              <w:t> </w:t>
            </w:r>
          </w:p>
        </w:tc>
      </w:tr>
      <w:tr w:rsidR="00F344D2" w:rsidRPr="00F344D2" w:rsidTr="00F344D2">
        <w:trPr>
          <w:trHeight w:val="315"/>
        </w:trPr>
        <w:tc>
          <w:tcPr>
            <w:tcW w:w="6533" w:type="dxa"/>
            <w:tcBorders>
              <w:top w:val="nil"/>
            </w:tcBorders>
            <w:shd w:val="clear" w:color="auto" w:fill="auto"/>
            <w:noWrap/>
            <w:vAlign w:val="bottom"/>
            <w:hideMark/>
          </w:tcPr>
          <w:p w:rsidR="00F344D2" w:rsidRPr="00F344D2" w:rsidRDefault="00F344D2" w:rsidP="00F344D2">
            <w:pPr>
              <w:jc w:val="right"/>
              <w:rPr>
                <w:b/>
                <w:bCs/>
                <w:color w:val="000000"/>
              </w:rPr>
            </w:pPr>
            <w:r w:rsidRPr="00F344D2">
              <w:rPr>
                <w:b/>
                <w:bCs/>
                <w:color w:val="000000"/>
              </w:rPr>
              <w:t>Total</w:t>
            </w:r>
          </w:p>
        </w:tc>
        <w:tc>
          <w:tcPr>
            <w:tcW w:w="1481" w:type="dxa"/>
            <w:tcBorders>
              <w:top w:val="nil"/>
            </w:tcBorders>
            <w:shd w:val="clear" w:color="auto" w:fill="auto"/>
            <w:noWrap/>
            <w:vAlign w:val="bottom"/>
            <w:hideMark/>
          </w:tcPr>
          <w:p w:rsidR="00F344D2" w:rsidRPr="00F344D2" w:rsidRDefault="00F344D2" w:rsidP="00F344D2">
            <w:pPr>
              <w:jc w:val="right"/>
              <w:rPr>
                <w:b/>
                <w:bCs/>
                <w:color w:val="000000"/>
              </w:rPr>
            </w:pPr>
            <w:r w:rsidRPr="00F344D2">
              <w:rPr>
                <w:b/>
                <w:bCs/>
                <w:color w:val="000000"/>
              </w:rPr>
              <w:t>186,488</w:t>
            </w:r>
          </w:p>
        </w:tc>
        <w:tc>
          <w:tcPr>
            <w:tcW w:w="1356" w:type="dxa"/>
            <w:tcBorders>
              <w:top w:val="nil"/>
            </w:tcBorders>
            <w:shd w:val="clear" w:color="auto" w:fill="auto"/>
            <w:noWrap/>
            <w:vAlign w:val="bottom"/>
            <w:hideMark/>
          </w:tcPr>
          <w:p w:rsidR="00F344D2" w:rsidRPr="00F344D2" w:rsidRDefault="00F344D2" w:rsidP="00F344D2">
            <w:pPr>
              <w:jc w:val="right"/>
              <w:rPr>
                <w:b/>
                <w:bCs/>
                <w:color w:val="000000"/>
              </w:rPr>
            </w:pPr>
            <w:r w:rsidRPr="00F344D2">
              <w:rPr>
                <w:b/>
                <w:bCs/>
                <w:color w:val="000000"/>
              </w:rPr>
              <w:t>189,134</w:t>
            </w:r>
          </w:p>
        </w:tc>
      </w:tr>
    </w:tbl>
    <w:p w:rsidR="00F344D2" w:rsidRPr="00286C0E" w:rsidRDefault="00F344D2" w:rsidP="008F534A">
      <w:pPr>
        <w:ind w:left="720"/>
        <w:rPr>
          <w:highlight w:val="yellow"/>
        </w:rPr>
      </w:pPr>
    </w:p>
    <w:p w:rsidR="008F534A" w:rsidRPr="00286C0E" w:rsidRDefault="008F534A" w:rsidP="008F534A">
      <w:pPr>
        <w:ind w:firstLine="720"/>
        <w:jc w:val="both"/>
        <w:rPr>
          <w:b/>
          <w:color w:val="FF0000"/>
          <w:highlight w:val="yellow"/>
        </w:rPr>
      </w:pPr>
    </w:p>
    <w:p w:rsidR="008F534A" w:rsidRPr="00193DE5" w:rsidRDefault="008F534A" w:rsidP="00BD07E4">
      <w:pPr>
        <w:numPr>
          <w:ilvl w:val="0"/>
          <w:numId w:val="21"/>
        </w:numPr>
        <w:jc w:val="both"/>
        <w:rPr>
          <w:b/>
        </w:rPr>
      </w:pPr>
      <w:r w:rsidRPr="00193DE5">
        <w:rPr>
          <w:b/>
        </w:rPr>
        <w:t xml:space="preserve">Cash and Cash Equivalents </w:t>
      </w:r>
    </w:p>
    <w:p w:rsidR="00480F52" w:rsidRPr="00193DE5" w:rsidRDefault="00480F52" w:rsidP="00480F52">
      <w:pPr>
        <w:jc w:val="both"/>
        <w:rPr>
          <w:b/>
        </w:rPr>
      </w:pPr>
    </w:p>
    <w:p w:rsidR="00480F52" w:rsidRPr="00193DE5" w:rsidRDefault="00480F52" w:rsidP="00480F52">
      <w:pPr>
        <w:ind w:left="720"/>
        <w:jc w:val="both"/>
      </w:pPr>
      <w:r w:rsidRPr="00193DE5">
        <w:t>The balance of cash and cash equivalents is made up of the following elements:</w:t>
      </w:r>
    </w:p>
    <w:p w:rsidR="00480F52" w:rsidRPr="00193DE5" w:rsidRDefault="00480F52" w:rsidP="00480F52">
      <w:pPr>
        <w:ind w:left="720"/>
        <w:jc w:val="both"/>
      </w:pPr>
    </w:p>
    <w:p w:rsidR="008F534A" w:rsidRPr="00193DE5" w:rsidRDefault="008F534A" w:rsidP="008F534A">
      <w:pPr>
        <w:ind w:left="720"/>
        <w:jc w:val="both"/>
        <w:rPr>
          <w:b/>
          <w:color w:val="FF0000"/>
        </w:rPr>
      </w:pPr>
    </w:p>
    <w:tbl>
      <w:tblPr>
        <w:tblW w:w="0" w:type="auto"/>
        <w:tblInd w:w="720" w:type="dxa"/>
        <w:tblLook w:val="04A0"/>
      </w:tblPr>
      <w:tblGrid>
        <w:gridCol w:w="4908"/>
        <w:gridCol w:w="1276"/>
        <w:gridCol w:w="1276"/>
      </w:tblGrid>
      <w:tr w:rsidR="00F344D2" w:rsidRPr="00193DE5" w:rsidTr="005C7BCA">
        <w:trPr>
          <w:trHeight w:val="545"/>
        </w:trPr>
        <w:tc>
          <w:tcPr>
            <w:tcW w:w="4908" w:type="dxa"/>
          </w:tcPr>
          <w:p w:rsidR="00F344D2" w:rsidRPr="00193DE5" w:rsidRDefault="00F344D2" w:rsidP="00975DE4">
            <w:pPr>
              <w:jc w:val="both"/>
              <w:rPr>
                <w:b/>
                <w:color w:val="FF0000"/>
              </w:rPr>
            </w:pPr>
          </w:p>
        </w:tc>
        <w:tc>
          <w:tcPr>
            <w:tcW w:w="1276" w:type="dxa"/>
            <w:tcBorders>
              <w:bottom w:val="single" w:sz="4" w:space="0" w:color="auto"/>
            </w:tcBorders>
          </w:tcPr>
          <w:p w:rsidR="00F344D2" w:rsidRPr="00193DE5" w:rsidRDefault="00F344D2" w:rsidP="00493F64">
            <w:pPr>
              <w:jc w:val="right"/>
              <w:rPr>
                <w:b/>
              </w:rPr>
            </w:pPr>
            <w:r w:rsidRPr="00193DE5">
              <w:rPr>
                <w:b/>
              </w:rPr>
              <w:t>31 March 2012 £000</w:t>
            </w:r>
          </w:p>
        </w:tc>
        <w:tc>
          <w:tcPr>
            <w:tcW w:w="1276" w:type="dxa"/>
            <w:tcBorders>
              <w:bottom w:val="single" w:sz="4" w:space="0" w:color="auto"/>
            </w:tcBorders>
          </w:tcPr>
          <w:p w:rsidR="00F344D2" w:rsidRPr="00193DE5" w:rsidRDefault="00F344D2" w:rsidP="00493F64">
            <w:pPr>
              <w:jc w:val="right"/>
              <w:rPr>
                <w:b/>
              </w:rPr>
            </w:pPr>
            <w:r w:rsidRPr="00193DE5">
              <w:rPr>
                <w:b/>
              </w:rPr>
              <w:t>31 March 2011 £000</w:t>
            </w:r>
          </w:p>
        </w:tc>
      </w:tr>
      <w:tr w:rsidR="00F344D2" w:rsidRPr="00193DE5" w:rsidTr="005C7BCA">
        <w:trPr>
          <w:trHeight w:val="272"/>
        </w:trPr>
        <w:tc>
          <w:tcPr>
            <w:tcW w:w="4908" w:type="dxa"/>
          </w:tcPr>
          <w:p w:rsidR="00F344D2" w:rsidRPr="00193DE5" w:rsidRDefault="00F344D2" w:rsidP="00975DE4">
            <w:pPr>
              <w:jc w:val="both"/>
            </w:pPr>
            <w:r w:rsidRPr="00193DE5">
              <w:t>Cash held by authority</w:t>
            </w:r>
          </w:p>
        </w:tc>
        <w:tc>
          <w:tcPr>
            <w:tcW w:w="1276" w:type="dxa"/>
            <w:tcBorders>
              <w:top w:val="single" w:sz="4" w:space="0" w:color="auto"/>
            </w:tcBorders>
            <w:vAlign w:val="center"/>
          </w:tcPr>
          <w:p w:rsidR="00F344D2" w:rsidRPr="00193DE5" w:rsidRDefault="00F344D2" w:rsidP="006B129B">
            <w:pPr>
              <w:jc w:val="right"/>
            </w:pPr>
            <w:r>
              <w:t>760</w:t>
            </w:r>
          </w:p>
        </w:tc>
        <w:tc>
          <w:tcPr>
            <w:tcW w:w="1276" w:type="dxa"/>
            <w:tcBorders>
              <w:top w:val="single" w:sz="4" w:space="0" w:color="auto"/>
            </w:tcBorders>
            <w:vAlign w:val="center"/>
          </w:tcPr>
          <w:p w:rsidR="00F344D2" w:rsidRPr="00193DE5" w:rsidRDefault="00F344D2" w:rsidP="00493F64">
            <w:pPr>
              <w:jc w:val="right"/>
            </w:pPr>
            <w:r w:rsidRPr="00193DE5">
              <w:t>15,255</w:t>
            </w:r>
          </w:p>
        </w:tc>
      </w:tr>
      <w:tr w:rsidR="00F344D2" w:rsidRPr="00193DE5" w:rsidTr="006B129B">
        <w:trPr>
          <w:trHeight w:val="272"/>
        </w:trPr>
        <w:tc>
          <w:tcPr>
            <w:tcW w:w="4908" w:type="dxa"/>
          </w:tcPr>
          <w:p w:rsidR="00F344D2" w:rsidRPr="00193DE5" w:rsidRDefault="00F344D2" w:rsidP="00975DE4">
            <w:pPr>
              <w:jc w:val="both"/>
            </w:pPr>
            <w:r w:rsidRPr="00193DE5">
              <w:t>Bank current accounts</w:t>
            </w:r>
          </w:p>
        </w:tc>
        <w:tc>
          <w:tcPr>
            <w:tcW w:w="1276" w:type="dxa"/>
            <w:vAlign w:val="center"/>
          </w:tcPr>
          <w:p w:rsidR="00F344D2" w:rsidRPr="00193DE5" w:rsidRDefault="00194F23" w:rsidP="006B129B">
            <w:pPr>
              <w:jc w:val="right"/>
            </w:pPr>
            <w:r>
              <w:t>27,012</w:t>
            </w:r>
          </w:p>
        </w:tc>
        <w:tc>
          <w:tcPr>
            <w:tcW w:w="1276" w:type="dxa"/>
            <w:vAlign w:val="center"/>
          </w:tcPr>
          <w:p w:rsidR="00F344D2" w:rsidRPr="00193DE5" w:rsidRDefault="00F344D2" w:rsidP="00493F64">
            <w:pPr>
              <w:jc w:val="right"/>
            </w:pPr>
            <w:r w:rsidRPr="00193DE5">
              <w:t>19,198</w:t>
            </w:r>
          </w:p>
        </w:tc>
      </w:tr>
      <w:tr w:rsidR="00F344D2" w:rsidRPr="00193DE5" w:rsidTr="00302392">
        <w:trPr>
          <w:trHeight w:val="272"/>
        </w:trPr>
        <w:tc>
          <w:tcPr>
            <w:tcW w:w="4908" w:type="dxa"/>
          </w:tcPr>
          <w:p w:rsidR="00F344D2" w:rsidRPr="00193DE5" w:rsidRDefault="00F344D2" w:rsidP="00612367">
            <w:pPr>
              <w:jc w:val="both"/>
            </w:pPr>
            <w:r w:rsidRPr="00193DE5">
              <w:t>Short term deposits under 3 months</w:t>
            </w:r>
          </w:p>
        </w:tc>
        <w:tc>
          <w:tcPr>
            <w:tcW w:w="1276" w:type="dxa"/>
            <w:tcBorders>
              <w:bottom w:val="single" w:sz="4" w:space="0" w:color="auto"/>
            </w:tcBorders>
            <w:vAlign w:val="center"/>
          </w:tcPr>
          <w:p w:rsidR="00F344D2" w:rsidRPr="00193DE5" w:rsidRDefault="00F344D2" w:rsidP="006B129B">
            <w:pPr>
              <w:jc w:val="right"/>
            </w:pPr>
            <w:r>
              <w:t>20,124</w:t>
            </w:r>
          </w:p>
        </w:tc>
        <w:tc>
          <w:tcPr>
            <w:tcW w:w="1276" w:type="dxa"/>
            <w:tcBorders>
              <w:bottom w:val="single" w:sz="4" w:space="0" w:color="auto"/>
            </w:tcBorders>
            <w:vAlign w:val="center"/>
          </w:tcPr>
          <w:p w:rsidR="00F344D2" w:rsidRPr="00193DE5" w:rsidRDefault="00F344D2" w:rsidP="00493F64">
            <w:pPr>
              <w:jc w:val="right"/>
            </w:pPr>
            <w:r w:rsidRPr="00193DE5">
              <w:t>36,903</w:t>
            </w:r>
          </w:p>
        </w:tc>
      </w:tr>
      <w:tr w:rsidR="00F344D2" w:rsidRPr="00286C0E" w:rsidTr="00302392">
        <w:trPr>
          <w:trHeight w:val="288"/>
        </w:trPr>
        <w:tc>
          <w:tcPr>
            <w:tcW w:w="4908" w:type="dxa"/>
          </w:tcPr>
          <w:p w:rsidR="00F344D2" w:rsidRPr="00193DE5" w:rsidRDefault="00F344D2" w:rsidP="00975DE4">
            <w:pPr>
              <w:jc w:val="both"/>
              <w:rPr>
                <w:b/>
              </w:rPr>
            </w:pPr>
            <w:r w:rsidRPr="00193DE5">
              <w:rPr>
                <w:b/>
              </w:rPr>
              <w:t>Total Cash and Cash Equivalents</w:t>
            </w:r>
          </w:p>
        </w:tc>
        <w:tc>
          <w:tcPr>
            <w:tcW w:w="1276" w:type="dxa"/>
            <w:tcBorders>
              <w:top w:val="single" w:sz="4" w:space="0" w:color="auto"/>
              <w:bottom w:val="double" w:sz="6" w:space="0" w:color="auto"/>
            </w:tcBorders>
            <w:vAlign w:val="center"/>
          </w:tcPr>
          <w:p w:rsidR="00F344D2" w:rsidRPr="00193DE5" w:rsidRDefault="00194F23" w:rsidP="006B129B">
            <w:pPr>
              <w:jc w:val="right"/>
              <w:rPr>
                <w:b/>
              </w:rPr>
            </w:pPr>
            <w:r>
              <w:rPr>
                <w:b/>
              </w:rPr>
              <w:t>47,896</w:t>
            </w:r>
          </w:p>
        </w:tc>
        <w:tc>
          <w:tcPr>
            <w:tcW w:w="1276" w:type="dxa"/>
            <w:tcBorders>
              <w:top w:val="single" w:sz="4" w:space="0" w:color="auto"/>
              <w:bottom w:val="double" w:sz="6" w:space="0" w:color="auto"/>
            </w:tcBorders>
            <w:vAlign w:val="center"/>
          </w:tcPr>
          <w:p w:rsidR="00F344D2" w:rsidRPr="00193DE5" w:rsidRDefault="00F344D2" w:rsidP="00493F64">
            <w:pPr>
              <w:jc w:val="right"/>
              <w:rPr>
                <w:b/>
              </w:rPr>
            </w:pPr>
            <w:r w:rsidRPr="00193DE5">
              <w:rPr>
                <w:b/>
              </w:rPr>
              <w:t>71,356</w:t>
            </w:r>
          </w:p>
        </w:tc>
      </w:tr>
    </w:tbl>
    <w:p w:rsidR="008F534A" w:rsidRPr="00286C0E" w:rsidRDefault="008F534A" w:rsidP="008F534A">
      <w:pPr>
        <w:ind w:left="720"/>
        <w:jc w:val="both"/>
        <w:rPr>
          <w:b/>
          <w:color w:val="FF0000"/>
          <w:highlight w:val="yellow"/>
        </w:rPr>
      </w:pPr>
    </w:p>
    <w:p w:rsidR="008F534A" w:rsidRPr="00286C0E" w:rsidRDefault="008F534A" w:rsidP="008F534A">
      <w:pPr>
        <w:ind w:left="720"/>
        <w:jc w:val="both"/>
        <w:rPr>
          <w:b/>
          <w:color w:val="FF0000"/>
          <w:highlight w:val="yellow"/>
        </w:rPr>
      </w:pPr>
    </w:p>
    <w:p w:rsidR="003D305C" w:rsidRPr="009B287B" w:rsidRDefault="003D305C" w:rsidP="00BD07E4">
      <w:pPr>
        <w:numPr>
          <w:ilvl w:val="0"/>
          <w:numId w:val="21"/>
        </w:numPr>
        <w:rPr>
          <w:b/>
        </w:rPr>
      </w:pPr>
      <w:r w:rsidRPr="009B287B">
        <w:rPr>
          <w:b/>
        </w:rPr>
        <w:t>Payments in advance</w:t>
      </w:r>
    </w:p>
    <w:p w:rsidR="003D305C" w:rsidRPr="009B287B" w:rsidRDefault="003D305C" w:rsidP="003D305C">
      <w:pPr>
        <w:rPr>
          <w:b/>
        </w:rPr>
      </w:pPr>
    </w:p>
    <w:p w:rsidR="003D305C" w:rsidRPr="009B287B" w:rsidRDefault="003D305C" w:rsidP="003D305C">
      <w:pPr>
        <w:spacing w:after="240"/>
        <w:ind w:left="720"/>
        <w:jc w:val="both"/>
      </w:pPr>
      <w:r w:rsidRPr="009B287B">
        <w:t>Payments in advance are cash payments which we made on or before 31 March which are charged to the income and expenditure account in the following financial year.</w:t>
      </w:r>
    </w:p>
    <w:p w:rsidR="00F408C9" w:rsidRPr="009B287B" w:rsidRDefault="00F408C9" w:rsidP="003D305C">
      <w:pPr>
        <w:spacing w:after="240"/>
        <w:ind w:left="720"/>
        <w:jc w:val="both"/>
      </w:pPr>
    </w:p>
    <w:p w:rsidR="00A6123A" w:rsidRPr="009B287B" w:rsidRDefault="00A6123A" w:rsidP="003D305C">
      <w:pPr>
        <w:spacing w:after="240"/>
        <w:ind w:left="720"/>
        <w:jc w:val="both"/>
      </w:pPr>
    </w:p>
    <w:p w:rsidR="00A6123A" w:rsidRPr="009B287B" w:rsidRDefault="00A6123A" w:rsidP="003D305C">
      <w:pPr>
        <w:spacing w:after="240"/>
        <w:ind w:left="720"/>
        <w:jc w:val="both"/>
      </w:pPr>
    </w:p>
    <w:tbl>
      <w:tblPr>
        <w:tblW w:w="0" w:type="auto"/>
        <w:tblInd w:w="738" w:type="dxa"/>
        <w:tblLayout w:type="fixed"/>
        <w:tblLook w:val="0000"/>
      </w:tblPr>
      <w:tblGrid>
        <w:gridCol w:w="5490"/>
        <w:gridCol w:w="1499"/>
        <w:gridCol w:w="1499"/>
      </w:tblGrid>
      <w:tr w:rsidR="00856DC9" w:rsidRPr="009B287B" w:rsidTr="00235DB7">
        <w:trPr>
          <w:cantSplit/>
        </w:trPr>
        <w:tc>
          <w:tcPr>
            <w:tcW w:w="5490" w:type="dxa"/>
          </w:tcPr>
          <w:p w:rsidR="00856DC9" w:rsidRPr="009B287B" w:rsidRDefault="00856DC9" w:rsidP="0088556B">
            <w:pPr>
              <w:rPr>
                <w:b/>
                <w:sz w:val="22"/>
              </w:rPr>
            </w:pPr>
          </w:p>
        </w:tc>
        <w:tc>
          <w:tcPr>
            <w:tcW w:w="1499" w:type="dxa"/>
            <w:shd w:val="clear" w:color="00FFFF" w:fill="auto"/>
          </w:tcPr>
          <w:p w:rsidR="00856DC9" w:rsidRPr="009B287B" w:rsidRDefault="00856DC9" w:rsidP="009C46E9">
            <w:pPr>
              <w:jc w:val="right"/>
              <w:rPr>
                <w:b/>
                <w:sz w:val="22"/>
              </w:rPr>
            </w:pPr>
            <w:r w:rsidRPr="009B287B">
              <w:rPr>
                <w:b/>
                <w:sz w:val="22"/>
              </w:rPr>
              <w:t>31 March</w:t>
            </w:r>
          </w:p>
          <w:p w:rsidR="00856DC9" w:rsidRPr="009B287B" w:rsidRDefault="00856DC9" w:rsidP="004D7192">
            <w:pPr>
              <w:jc w:val="right"/>
              <w:rPr>
                <w:sz w:val="22"/>
              </w:rPr>
            </w:pPr>
            <w:r w:rsidRPr="009B287B">
              <w:rPr>
                <w:b/>
                <w:sz w:val="22"/>
              </w:rPr>
              <w:t>2012</w:t>
            </w:r>
          </w:p>
        </w:tc>
        <w:tc>
          <w:tcPr>
            <w:tcW w:w="1499" w:type="dxa"/>
            <w:shd w:val="clear" w:color="00FFFF" w:fill="auto"/>
          </w:tcPr>
          <w:p w:rsidR="00856DC9" w:rsidRPr="009B287B" w:rsidRDefault="00856DC9" w:rsidP="009C46E9">
            <w:pPr>
              <w:jc w:val="right"/>
              <w:rPr>
                <w:b/>
                <w:sz w:val="22"/>
              </w:rPr>
            </w:pPr>
            <w:r w:rsidRPr="009B287B">
              <w:rPr>
                <w:b/>
                <w:sz w:val="22"/>
              </w:rPr>
              <w:t>31 March</w:t>
            </w:r>
          </w:p>
          <w:p w:rsidR="00856DC9" w:rsidRPr="009B287B" w:rsidRDefault="00856DC9" w:rsidP="004D7192">
            <w:pPr>
              <w:jc w:val="right"/>
              <w:rPr>
                <w:b/>
                <w:sz w:val="22"/>
              </w:rPr>
            </w:pPr>
            <w:r w:rsidRPr="009B287B">
              <w:rPr>
                <w:b/>
                <w:sz w:val="22"/>
              </w:rPr>
              <w:t>2011</w:t>
            </w:r>
          </w:p>
        </w:tc>
      </w:tr>
      <w:tr w:rsidR="00856DC9" w:rsidRPr="009B287B" w:rsidTr="00235DB7">
        <w:trPr>
          <w:cantSplit/>
        </w:trPr>
        <w:tc>
          <w:tcPr>
            <w:tcW w:w="5490" w:type="dxa"/>
          </w:tcPr>
          <w:p w:rsidR="00856DC9" w:rsidRPr="009B287B" w:rsidRDefault="00856DC9" w:rsidP="0088556B">
            <w:pPr>
              <w:rPr>
                <w:sz w:val="22"/>
              </w:rPr>
            </w:pPr>
          </w:p>
        </w:tc>
        <w:tc>
          <w:tcPr>
            <w:tcW w:w="1499" w:type="dxa"/>
            <w:tcBorders>
              <w:bottom w:val="single" w:sz="4" w:space="0" w:color="auto"/>
            </w:tcBorders>
            <w:shd w:val="clear" w:color="00FFFF" w:fill="auto"/>
          </w:tcPr>
          <w:p w:rsidR="00856DC9" w:rsidRPr="009B287B" w:rsidRDefault="00856DC9" w:rsidP="009C46E9">
            <w:pPr>
              <w:jc w:val="right"/>
              <w:rPr>
                <w:b/>
                <w:sz w:val="22"/>
              </w:rPr>
            </w:pPr>
            <w:r w:rsidRPr="009B287B">
              <w:rPr>
                <w:b/>
                <w:sz w:val="22"/>
              </w:rPr>
              <w:t>£000</w:t>
            </w:r>
          </w:p>
        </w:tc>
        <w:tc>
          <w:tcPr>
            <w:tcW w:w="1499" w:type="dxa"/>
            <w:tcBorders>
              <w:bottom w:val="single" w:sz="4" w:space="0" w:color="auto"/>
            </w:tcBorders>
            <w:shd w:val="clear" w:color="00FFFF" w:fill="auto"/>
          </w:tcPr>
          <w:p w:rsidR="00856DC9" w:rsidRPr="009B287B" w:rsidRDefault="00856DC9" w:rsidP="009C46E9">
            <w:pPr>
              <w:jc w:val="right"/>
              <w:rPr>
                <w:b/>
                <w:sz w:val="22"/>
              </w:rPr>
            </w:pPr>
            <w:r w:rsidRPr="009B287B">
              <w:rPr>
                <w:b/>
                <w:sz w:val="22"/>
              </w:rPr>
              <w:t>£000</w:t>
            </w:r>
          </w:p>
        </w:tc>
      </w:tr>
      <w:tr w:rsidR="00856DC9" w:rsidRPr="009B287B" w:rsidTr="00407111">
        <w:trPr>
          <w:cantSplit/>
          <w:trHeight w:val="288"/>
        </w:trPr>
        <w:tc>
          <w:tcPr>
            <w:tcW w:w="5490" w:type="dxa"/>
            <w:vAlign w:val="bottom"/>
          </w:tcPr>
          <w:p w:rsidR="00856DC9" w:rsidRPr="009B287B" w:rsidRDefault="00856DC9" w:rsidP="0088556B">
            <w:pPr>
              <w:rPr>
                <w:sz w:val="22"/>
              </w:rPr>
            </w:pPr>
            <w:r w:rsidRPr="009B287B">
              <w:rPr>
                <w:sz w:val="22"/>
              </w:rPr>
              <w:t>Advance lease rental payment</w:t>
            </w:r>
          </w:p>
        </w:tc>
        <w:tc>
          <w:tcPr>
            <w:tcW w:w="1499" w:type="dxa"/>
            <w:tcBorders>
              <w:top w:val="single" w:sz="4" w:space="0" w:color="auto"/>
            </w:tcBorders>
            <w:shd w:val="clear" w:color="00FFFF" w:fill="auto"/>
          </w:tcPr>
          <w:p w:rsidR="00856DC9" w:rsidRPr="001D79A0" w:rsidRDefault="00856DC9" w:rsidP="009C46E9">
            <w:pPr>
              <w:pStyle w:val="Footer"/>
              <w:tabs>
                <w:tab w:val="clear" w:pos="4153"/>
                <w:tab w:val="clear" w:pos="8306"/>
                <w:tab w:val="decimal" w:pos="972"/>
              </w:tabs>
              <w:jc w:val="right"/>
              <w:rPr>
                <w:sz w:val="22"/>
              </w:rPr>
            </w:pPr>
            <w:r w:rsidRPr="001D79A0">
              <w:rPr>
                <w:sz w:val="22"/>
              </w:rPr>
              <w:t>22</w:t>
            </w:r>
          </w:p>
        </w:tc>
        <w:tc>
          <w:tcPr>
            <w:tcW w:w="1499" w:type="dxa"/>
            <w:tcBorders>
              <w:top w:val="single" w:sz="4" w:space="0" w:color="auto"/>
            </w:tcBorders>
            <w:shd w:val="clear" w:color="00FFFF" w:fill="auto"/>
          </w:tcPr>
          <w:p w:rsidR="00856DC9" w:rsidRPr="001D79A0" w:rsidRDefault="00856DC9" w:rsidP="00983C6D">
            <w:pPr>
              <w:pStyle w:val="Footer"/>
              <w:tabs>
                <w:tab w:val="clear" w:pos="4153"/>
                <w:tab w:val="clear" w:pos="8306"/>
                <w:tab w:val="decimal" w:pos="972"/>
              </w:tabs>
              <w:jc w:val="right"/>
              <w:rPr>
                <w:sz w:val="22"/>
              </w:rPr>
            </w:pPr>
            <w:r w:rsidRPr="001D79A0">
              <w:rPr>
                <w:sz w:val="22"/>
              </w:rPr>
              <w:t>34</w:t>
            </w:r>
          </w:p>
        </w:tc>
      </w:tr>
      <w:tr w:rsidR="00856DC9" w:rsidRPr="009B287B" w:rsidTr="00407111">
        <w:trPr>
          <w:cantSplit/>
        </w:trPr>
        <w:tc>
          <w:tcPr>
            <w:tcW w:w="5490" w:type="dxa"/>
            <w:vAlign w:val="bottom"/>
          </w:tcPr>
          <w:p w:rsidR="00856DC9" w:rsidRPr="009B287B" w:rsidRDefault="00856DC9" w:rsidP="0088556B">
            <w:pPr>
              <w:rPr>
                <w:sz w:val="22"/>
              </w:rPr>
            </w:pPr>
            <w:r w:rsidRPr="009B287B">
              <w:rPr>
                <w:sz w:val="22"/>
              </w:rPr>
              <w:t>Other payments in advance</w:t>
            </w:r>
          </w:p>
        </w:tc>
        <w:tc>
          <w:tcPr>
            <w:tcW w:w="1499" w:type="dxa"/>
            <w:shd w:val="clear" w:color="00FFFF" w:fill="auto"/>
          </w:tcPr>
          <w:p w:rsidR="00856DC9" w:rsidRPr="001D79A0" w:rsidRDefault="00856DC9" w:rsidP="00F344D2">
            <w:pPr>
              <w:pStyle w:val="Footer"/>
              <w:tabs>
                <w:tab w:val="clear" w:pos="4153"/>
                <w:tab w:val="clear" w:pos="8306"/>
                <w:tab w:val="decimal" w:pos="972"/>
              </w:tabs>
              <w:jc w:val="right"/>
              <w:rPr>
                <w:sz w:val="22"/>
              </w:rPr>
            </w:pPr>
            <w:r w:rsidRPr="001D79A0">
              <w:rPr>
                <w:sz w:val="22"/>
              </w:rPr>
              <w:t>4</w:t>
            </w:r>
            <w:r>
              <w:rPr>
                <w:sz w:val="22"/>
              </w:rPr>
              <w:t>,417</w:t>
            </w:r>
          </w:p>
        </w:tc>
        <w:tc>
          <w:tcPr>
            <w:tcW w:w="1499" w:type="dxa"/>
            <w:shd w:val="clear" w:color="00FFFF" w:fill="auto"/>
          </w:tcPr>
          <w:p w:rsidR="00856DC9" w:rsidRPr="001D79A0" w:rsidRDefault="00856DC9" w:rsidP="00983C6D">
            <w:pPr>
              <w:pStyle w:val="Footer"/>
              <w:tabs>
                <w:tab w:val="clear" w:pos="4153"/>
                <w:tab w:val="clear" w:pos="8306"/>
                <w:tab w:val="decimal" w:pos="972"/>
              </w:tabs>
              <w:jc w:val="right"/>
              <w:rPr>
                <w:sz w:val="22"/>
              </w:rPr>
            </w:pPr>
            <w:r w:rsidRPr="001D79A0">
              <w:rPr>
                <w:sz w:val="22"/>
              </w:rPr>
              <w:t>3,659</w:t>
            </w:r>
          </w:p>
        </w:tc>
      </w:tr>
      <w:tr w:rsidR="00856DC9" w:rsidRPr="00286C0E" w:rsidTr="00983C6D">
        <w:trPr>
          <w:cantSplit/>
        </w:trPr>
        <w:tc>
          <w:tcPr>
            <w:tcW w:w="5490" w:type="dxa"/>
            <w:vAlign w:val="bottom"/>
          </w:tcPr>
          <w:p w:rsidR="00856DC9" w:rsidRPr="009B287B" w:rsidRDefault="00856DC9" w:rsidP="0088556B">
            <w:pPr>
              <w:tabs>
                <w:tab w:val="left" w:pos="0"/>
              </w:tabs>
              <w:rPr>
                <w:b/>
                <w:sz w:val="22"/>
              </w:rPr>
            </w:pPr>
            <w:r w:rsidRPr="009B287B">
              <w:rPr>
                <w:b/>
                <w:sz w:val="22"/>
              </w:rPr>
              <w:t>Total</w:t>
            </w:r>
          </w:p>
        </w:tc>
        <w:tc>
          <w:tcPr>
            <w:tcW w:w="1499" w:type="dxa"/>
            <w:tcBorders>
              <w:top w:val="single" w:sz="4" w:space="0" w:color="auto"/>
              <w:bottom w:val="double" w:sz="6" w:space="0" w:color="auto"/>
            </w:tcBorders>
            <w:shd w:val="clear" w:color="00FFFF" w:fill="auto"/>
            <w:vAlign w:val="center"/>
          </w:tcPr>
          <w:p w:rsidR="00856DC9" w:rsidRPr="009B287B" w:rsidRDefault="00856DC9" w:rsidP="009C46E9">
            <w:pPr>
              <w:pStyle w:val="Footer"/>
              <w:tabs>
                <w:tab w:val="clear" w:pos="4153"/>
                <w:tab w:val="clear" w:pos="8306"/>
                <w:tab w:val="decimal" w:pos="972"/>
              </w:tabs>
              <w:jc w:val="right"/>
              <w:rPr>
                <w:b/>
                <w:sz w:val="22"/>
              </w:rPr>
            </w:pPr>
            <w:r w:rsidRPr="009B287B">
              <w:rPr>
                <w:b/>
                <w:sz w:val="22"/>
              </w:rPr>
              <w:t>4,439</w:t>
            </w:r>
          </w:p>
        </w:tc>
        <w:tc>
          <w:tcPr>
            <w:tcW w:w="1499" w:type="dxa"/>
            <w:tcBorders>
              <w:top w:val="single" w:sz="4" w:space="0" w:color="auto"/>
              <w:bottom w:val="double" w:sz="6" w:space="0" w:color="auto"/>
            </w:tcBorders>
            <w:shd w:val="clear" w:color="00FFFF" w:fill="auto"/>
            <w:vAlign w:val="center"/>
          </w:tcPr>
          <w:p w:rsidR="00856DC9" w:rsidRPr="009B287B" w:rsidRDefault="00856DC9" w:rsidP="00983C6D">
            <w:pPr>
              <w:pStyle w:val="Footer"/>
              <w:tabs>
                <w:tab w:val="clear" w:pos="4153"/>
                <w:tab w:val="clear" w:pos="8306"/>
                <w:tab w:val="decimal" w:pos="972"/>
              </w:tabs>
              <w:jc w:val="right"/>
              <w:rPr>
                <w:b/>
                <w:sz w:val="22"/>
              </w:rPr>
            </w:pPr>
            <w:r w:rsidRPr="009B287B">
              <w:rPr>
                <w:b/>
                <w:sz w:val="22"/>
              </w:rPr>
              <w:t>3,693</w:t>
            </w:r>
          </w:p>
        </w:tc>
      </w:tr>
    </w:tbl>
    <w:p w:rsidR="003D305C" w:rsidRPr="00286C0E" w:rsidRDefault="003D305C" w:rsidP="003D305C">
      <w:pPr>
        <w:rPr>
          <w:b/>
          <w:highlight w:val="yellow"/>
        </w:rPr>
      </w:pPr>
    </w:p>
    <w:p w:rsidR="0099529E" w:rsidRPr="00286C0E" w:rsidRDefault="0099529E" w:rsidP="003D305C">
      <w:pPr>
        <w:rPr>
          <w:b/>
          <w:highlight w:val="yellow"/>
        </w:rPr>
      </w:pPr>
    </w:p>
    <w:p w:rsidR="003D305C" w:rsidRPr="009B287B" w:rsidRDefault="003D305C" w:rsidP="00BD07E4">
      <w:pPr>
        <w:numPr>
          <w:ilvl w:val="0"/>
          <w:numId w:val="21"/>
        </w:numPr>
        <w:rPr>
          <w:b/>
        </w:rPr>
      </w:pPr>
      <w:r w:rsidRPr="009B287B">
        <w:rPr>
          <w:b/>
        </w:rPr>
        <w:t>Receipts in advance</w:t>
      </w:r>
    </w:p>
    <w:p w:rsidR="003D305C" w:rsidRPr="009B287B" w:rsidRDefault="003D305C" w:rsidP="003D305C">
      <w:pPr>
        <w:rPr>
          <w:b/>
        </w:rPr>
      </w:pPr>
    </w:p>
    <w:p w:rsidR="003D305C" w:rsidRPr="009B287B" w:rsidRDefault="003D305C" w:rsidP="003D305C">
      <w:pPr>
        <w:spacing w:after="240"/>
        <w:ind w:left="720"/>
        <w:jc w:val="both"/>
      </w:pPr>
      <w:r w:rsidRPr="009B287B">
        <w:t xml:space="preserve">Receipts in advance are cash amounts which we received on or before 31 March which relate to the following financial year. The biggest amount is grant income to schools, which will be spent before the end of the academic year. </w:t>
      </w:r>
    </w:p>
    <w:tbl>
      <w:tblPr>
        <w:tblW w:w="8488" w:type="dxa"/>
        <w:tblInd w:w="738" w:type="dxa"/>
        <w:tblLayout w:type="fixed"/>
        <w:tblLook w:val="0000"/>
      </w:tblPr>
      <w:tblGrid>
        <w:gridCol w:w="5490"/>
        <w:gridCol w:w="1499"/>
        <w:gridCol w:w="1499"/>
      </w:tblGrid>
      <w:tr w:rsidR="00856DC9" w:rsidRPr="009B287B" w:rsidTr="00856DC9">
        <w:trPr>
          <w:cantSplit/>
        </w:trPr>
        <w:tc>
          <w:tcPr>
            <w:tcW w:w="5490" w:type="dxa"/>
          </w:tcPr>
          <w:p w:rsidR="00856DC9" w:rsidRPr="009B287B" w:rsidRDefault="00856DC9" w:rsidP="0088556B">
            <w:pPr>
              <w:rPr>
                <w:b/>
                <w:sz w:val="22"/>
              </w:rPr>
            </w:pPr>
          </w:p>
        </w:tc>
        <w:tc>
          <w:tcPr>
            <w:tcW w:w="1499" w:type="dxa"/>
            <w:shd w:val="clear" w:color="00FFFF" w:fill="auto"/>
          </w:tcPr>
          <w:p w:rsidR="00856DC9" w:rsidRPr="009B287B" w:rsidRDefault="00856DC9" w:rsidP="009C46E9">
            <w:pPr>
              <w:jc w:val="right"/>
              <w:rPr>
                <w:b/>
                <w:sz w:val="22"/>
              </w:rPr>
            </w:pPr>
            <w:r w:rsidRPr="009B287B">
              <w:rPr>
                <w:b/>
                <w:sz w:val="22"/>
              </w:rPr>
              <w:t>31 March</w:t>
            </w:r>
          </w:p>
        </w:tc>
        <w:tc>
          <w:tcPr>
            <w:tcW w:w="1499" w:type="dxa"/>
            <w:shd w:val="clear" w:color="00FFFF" w:fill="auto"/>
          </w:tcPr>
          <w:p w:rsidR="00856DC9" w:rsidRPr="009B287B" w:rsidRDefault="00856DC9" w:rsidP="009C46E9">
            <w:pPr>
              <w:jc w:val="right"/>
              <w:rPr>
                <w:b/>
                <w:sz w:val="22"/>
              </w:rPr>
            </w:pPr>
            <w:r w:rsidRPr="009B287B">
              <w:rPr>
                <w:b/>
                <w:sz w:val="22"/>
              </w:rPr>
              <w:t>31 March</w:t>
            </w:r>
          </w:p>
        </w:tc>
      </w:tr>
      <w:tr w:rsidR="00856DC9" w:rsidRPr="009B287B" w:rsidTr="00856DC9">
        <w:trPr>
          <w:cantSplit/>
        </w:trPr>
        <w:tc>
          <w:tcPr>
            <w:tcW w:w="5490" w:type="dxa"/>
          </w:tcPr>
          <w:p w:rsidR="00856DC9" w:rsidRPr="009B287B" w:rsidRDefault="00856DC9" w:rsidP="0088556B">
            <w:pPr>
              <w:rPr>
                <w:b/>
                <w:sz w:val="22"/>
              </w:rPr>
            </w:pPr>
          </w:p>
        </w:tc>
        <w:tc>
          <w:tcPr>
            <w:tcW w:w="1499" w:type="dxa"/>
            <w:shd w:val="clear" w:color="00FFFF" w:fill="auto"/>
          </w:tcPr>
          <w:p w:rsidR="00856DC9" w:rsidRPr="009B287B" w:rsidRDefault="00856DC9" w:rsidP="004D7192">
            <w:pPr>
              <w:jc w:val="right"/>
              <w:rPr>
                <w:b/>
                <w:sz w:val="22"/>
              </w:rPr>
            </w:pPr>
            <w:r w:rsidRPr="009B287B">
              <w:rPr>
                <w:b/>
                <w:sz w:val="22"/>
              </w:rPr>
              <w:t>2012</w:t>
            </w:r>
          </w:p>
        </w:tc>
        <w:tc>
          <w:tcPr>
            <w:tcW w:w="1499" w:type="dxa"/>
            <w:shd w:val="clear" w:color="00FFFF" w:fill="auto"/>
          </w:tcPr>
          <w:p w:rsidR="00856DC9" w:rsidRPr="009B287B" w:rsidRDefault="00856DC9" w:rsidP="004D7192">
            <w:pPr>
              <w:jc w:val="right"/>
              <w:rPr>
                <w:sz w:val="22"/>
              </w:rPr>
            </w:pPr>
            <w:r w:rsidRPr="009B287B">
              <w:rPr>
                <w:b/>
                <w:sz w:val="22"/>
              </w:rPr>
              <w:t>2011</w:t>
            </w:r>
          </w:p>
        </w:tc>
      </w:tr>
      <w:tr w:rsidR="00856DC9" w:rsidRPr="009B287B" w:rsidTr="00856DC9">
        <w:trPr>
          <w:cantSplit/>
        </w:trPr>
        <w:tc>
          <w:tcPr>
            <w:tcW w:w="5490" w:type="dxa"/>
          </w:tcPr>
          <w:p w:rsidR="00856DC9" w:rsidRPr="009B287B" w:rsidRDefault="00856DC9" w:rsidP="0088556B">
            <w:pPr>
              <w:rPr>
                <w:sz w:val="22"/>
              </w:rPr>
            </w:pPr>
          </w:p>
        </w:tc>
        <w:tc>
          <w:tcPr>
            <w:tcW w:w="1499" w:type="dxa"/>
            <w:tcBorders>
              <w:bottom w:val="single" w:sz="4" w:space="0" w:color="auto"/>
            </w:tcBorders>
            <w:shd w:val="clear" w:color="00FFFF" w:fill="auto"/>
          </w:tcPr>
          <w:p w:rsidR="00856DC9" w:rsidRPr="009B287B" w:rsidRDefault="00856DC9" w:rsidP="009C46E9">
            <w:pPr>
              <w:jc w:val="right"/>
              <w:rPr>
                <w:b/>
                <w:sz w:val="22"/>
              </w:rPr>
            </w:pPr>
            <w:r w:rsidRPr="009B287B">
              <w:rPr>
                <w:b/>
                <w:sz w:val="22"/>
              </w:rPr>
              <w:t>£000</w:t>
            </w:r>
          </w:p>
        </w:tc>
        <w:tc>
          <w:tcPr>
            <w:tcW w:w="1499" w:type="dxa"/>
            <w:tcBorders>
              <w:bottom w:val="single" w:sz="4" w:space="0" w:color="auto"/>
            </w:tcBorders>
            <w:shd w:val="clear" w:color="00FFFF" w:fill="auto"/>
          </w:tcPr>
          <w:p w:rsidR="00856DC9" w:rsidRPr="009B287B" w:rsidRDefault="00856DC9" w:rsidP="009C46E9">
            <w:pPr>
              <w:jc w:val="right"/>
              <w:rPr>
                <w:b/>
                <w:sz w:val="22"/>
              </w:rPr>
            </w:pPr>
            <w:r w:rsidRPr="009B287B">
              <w:rPr>
                <w:b/>
                <w:sz w:val="22"/>
              </w:rPr>
              <w:t>£000</w:t>
            </w:r>
          </w:p>
        </w:tc>
      </w:tr>
      <w:tr w:rsidR="00856DC9" w:rsidRPr="009B287B" w:rsidTr="00856DC9">
        <w:trPr>
          <w:cantSplit/>
          <w:trHeight w:val="288"/>
        </w:trPr>
        <w:tc>
          <w:tcPr>
            <w:tcW w:w="5490" w:type="dxa"/>
            <w:vAlign w:val="bottom"/>
          </w:tcPr>
          <w:p w:rsidR="00856DC9" w:rsidRPr="009B287B" w:rsidRDefault="00856DC9" w:rsidP="0072077D">
            <w:pPr>
              <w:rPr>
                <w:sz w:val="22"/>
              </w:rPr>
            </w:pPr>
            <w:r w:rsidRPr="009B287B">
              <w:rPr>
                <w:sz w:val="22"/>
              </w:rPr>
              <w:t>Adults and Community Services</w:t>
            </w:r>
          </w:p>
        </w:tc>
        <w:tc>
          <w:tcPr>
            <w:tcW w:w="1499" w:type="dxa"/>
            <w:tcBorders>
              <w:top w:val="single" w:sz="4" w:space="0" w:color="auto"/>
            </w:tcBorders>
            <w:shd w:val="clear" w:color="00FFFF" w:fill="auto"/>
            <w:vAlign w:val="center"/>
          </w:tcPr>
          <w:p w:rsidR="00856DC9" w:rsidRPr="009B287B" w:rsidRDefault="00856DC9" w:rsidP="0072077D">
            <w:pPr>
              <w:pStyle w:val="Footer"/>
              <w:tabs>
                <w:tab w:val="clear" w:pos="4153"/>
                <w:tab w:val="clear" w:pos="8306"/>
                <w:tab w:val="decimal" w:pos="972"/>
              </w:tabs>
              <w:jc w:val="right"/>
              <w:rPr>
                <w:sz w:val="22"/>
              </w:rPr>
            </w:pPr>
            <w:r w:rsidRPr="009B287B">
              <w:rPr>
                <w:sz w:val="22"/>
              </w:rPr>
              <w:t>15,282</w:t>
            </w:r>
          </w:p>
        </w:tc>
        <w:tc>
          <w:tcPr>
            <w:tcW w:w="1499" w:type="dxa"/>
            <w:shd w:val="clear" w:color="00FFFF" w:fill="auto"/>
            <w:vAlign w:val="center"/>
          </w:tcPr>
          <w:p w:rsidR="00856DC9" w:rsidRPr="009B287B" w:rsidRDefault="00856DC9" w:rsidP="0072077D">
            <w:pPr>
              <w:pStyle w:val="Footer"/>
              <w:tabs>
                <w:tab w:val="clear" w:pos="4153"/>
                <w:tab w:val="clear" w:pos="8306"/>
                <w:tab w:val="decimal" w:pos="972"/>
              </w:tabs>
              <w:jc w:val="right"/>
              <w:rPr>
                <w:sz w:val="22"/>
              </w:rPr>
            </w:pPr>
            <w:r w:rsidRPr="009B287B">
              <w:rPr>
                <w:sz w:val="22"/>
              </w:rPr>
              <w:t>15,380</w:t>
            </w:r>
          </w:p>
        </w:tc>
      </w:tr>
      <w:tr w:rsidR="00856DC9" w:rsidRPr="009B287B" w:rsidTr="00856DC9">
        <w:trPr>
          <w:cantSplit/>
        </w:trPr>
        <w:tc>
          <w:tcPr>
            <w:tcW w:w="5490" w:type="dxa"/>
            <w:vAlign w:val="bottom"/>
          </w:tcPr>
          <w:p w:rsidR="00856DC9" w:rsidRPr="009B287B" w:rsidRDefault="00856DC9" w:rsidP="0072077D">
            <w:pPr>
              <w:rPr>
                <w:sz w:val="22"/>
              </w:rPr>
            </w:pPr>
            <w:r w:rsidRPr="009B287B">
              <w:rPr>
                <w:sz w:val="22"/>
              </w:rPr>
              <w:t>Children and Young People Directorate</w:t>
            </w:r>
          </w:p>
        </w:tc>
        <w:tc>
          <w:tcPr>
            <w:tcW w:w="1499" w:type="dxa"/>
            <w:shd w:val="clear" w:color="00FFFF" w:fill="auto"/>
          </w:tcPr>
          <w:p w:rsidR="00856DC9" w:rsidRPr="009B287B" w:rsidRDefault="00856DC9" w:rsidP="0072077D">
            <w:pPr>
              <w:pStyle w:val="Footer"/>
              <w:tabs>
                <w:tab w:val="clear" w:pos="4153"/>
                <w:tab w:val="clear" w:pos="8306"/>
                <w:tab w:val="decimal" w:pos="972"/>
              </w:tabs>
              <w:jc w:val="right"/>
              <w:rPr>
                <w:sz w:val="22"/>
              </w:rPr>
            </w:pPr>
            <w:r w:rsidRPr="009B287B">
              <w:rPr>
                <w:sz w:val="22"/>
              </w:rPr>
              <w:t>653</w:t>
            </w:r>
          </w:p>
        </w:tc>
        <w:tc>
          <w:tcPr>
            <w:tcW w:w="1499" w:type="dxa"/>
            <w:shd w:val="clear" w:color="00FFFF" w:fill="auto"/>
          </w:tcPr>
          <w:p w:rsidR="00856DC9" w:rsidRPr="009B287B" w:rsidRDefault="00856DC9" w:rsidP="0072077D">
            <w:pPr>
              <w:pStyle w:val="Footer"/>
              <w:tabs>
                <w:tab w:val="clear" w:pos="4153"/>
                <w:tab w:val="clear" w:pos="8306"/>
                <w:tab w:val="decimal" w:pos="972"/>
              </w:tabs>
              <w:jc w:val="right"/>
              <w:rPr>
                <w:sz w:val="22"/>
              </w:rPr>
            </w:pPr>
            <w:r w:rsidRPr="009B287B">
              <w:rPr>
                <w:sz w:val="22"/>
              </w:rPr>
              <w:t>1,522</w:t>
            </w:r>
          </w:p>
        </w:tc>
      </w:tr>
      <w:tr w:rsidR="00856DC9" w:rsidRPr="009B287B" w:rsidTr="00856DC9">
        <w:trPr>
          <w:cantSplit/>
        </w:trPr>
        <w:tc>
          <w:tcPr>
            <w:tcW w:w="5490" w:type="dxa"/>
            <w:vAlign w:val="bottom"/>
          </w:tcPr>
          <w:p w:rsidR="00856DC9" w:rsidRPr="009B287B" w:rsidRDefault="00856DC9" w:rsidP="0072077D">
            <w:pPr>
              <w:rPr>
                <w:sz w:val="22"/>
              </w:rPr>
            </w:pPr>
            <w:r w:rsidRPr="009B287B">
              <w:rPr>
                <w:sz w:val="22"/>
              </w:rPr>
              <w:t>Environment Directorate</w:t>
            </w:r>
          </w:p>
        </w:tc>
        <w:tc>
          <w:tcPr>
            <w:tcW w:w="1499" w:type="dxa"/>
            <w:shd w:val="clear" w:color="00FFFF" w:fill="auto"/>
          </w:tcPr>
          <w:p w:rsidR="00856DC9" w:rsidRPr="009B287B" w:rsidRDefault="00856DC9" w:rsidP="0072077D">
            <w:pPr>
              <w:pStyle w:val="Footer"/>
              <w:tabs>
                <w:tab w:val="clear" w:pos="4153"/>
                <w:tab w:val="clear" w:pos="8306"/>
                <w:tab w:val="decimal" w:pos="972"/>
              </w:tabs>
              <w:jc w:val="right"/>
              <w:rPr>
                <w:sz w:val="22"/>
              </w:rPr>
            </w:pPr>
            <w:r w:rsidRPr="009B287B">
              <w:rPr>
                <w:sz w:val="22"/>
              </w:rPr>
              <w:t>4,993</w:t>
            </w:r>
          </w:p>
        </w:tc>
        <w:tc>
          <w:tcPr>
            <w:tcW w:w="1499" w:type="dxa"/>
            <w:shd w:val="clear" w:color="00FFFF" w:fill="auto"/>
          </w:tcPr>
          <w:p w:rsidR="00856DC9" w:rsidRPr="009B287B" w:rsidRDefault="00856DC9" w:rsidP="0072077D">
            <w:pPr>
              <w:pStyle w:val="Footer"/>
              <w:tabs>
                <w:tab w:val="clear" w:pos="4153"/>
                <w:tab w:val="clear" w:pos="8306"/>
                <w:tab w:val="decimal" w:pos="972"/>
              </w:tabs>
              <w:jc w:val="right"/>
              <w:rPr>
                <w:sz w:val="22"/>
              </w:rPr>
            </w:pPr>
            <w:r w:rsidRPr="009B287B">
              <w:rPr>
                <w:sz w:val="22"/>
              </w:rPr>
              <w:t>12,216</w:t>
            </w:r>
          </w:p>
        </w:tc>
      </w:tr>
      <w:tr w:rsidR="00856DC9" w:rsidRPr="009B287B" w:rsidTr="00856DC9">
        <w:trPr>
          <w:cantSplit/>
        </w:trPr>
        <w:tc>
          <w:tcPr>
            <w:tcW w:w="5490" w:type="dxa"/>
            <w:vAlign w:val="bottom"/>
          </w:tcPr>
          <w:p w:rsidR="00856DC9" w:rsidRPr="009B287B" w:rsidRDefault="00856DC9" w:rsidP="0088556B">
            <w:pPr>
              <w:rPr>
                <w:sz w:val="22"/>
              </w:rPr>
            </w:pPr>
            <w:r w:rsidRPr="009B287B">
              <w:rPr>
                <w:sz w:val="22"/>
              </w:rPr>
              <w:t>Other</w:t>
            </w:r>
          </w:p>
        </w:tc>
        <w:tc>
          <w:tcPr>
            <w:tcW w:w="1499" w:type="dxa"/>
            <w:tcBorders>
              <w:bottom w:val="single" w:sz="4" w:space="0" w:color="auto"/>
            </w:tcBorders>
            <w:shd w:val="clear" w:color="00FFFF" w:fill="auto"/>
            <w:vAlign w:val="center"/>
          </w:tcPr>
          <w:p w:rsidR="00856DC9" w:rsidRPr="009B287B" w:rsidRDefault="00856DC9" w:rsidP="009C46E9">
            <w:pPr>
              <w:pStyle w:val="Footer"/>
              <w:tabs>
                <w:tab w:val="clear" w:pos="4153"/>
                <w:tab w:val="clear" w:pos="8306"/>
                <w:tab w:val="decimal" w:pos="972"/>
              </w:tabs>
              <w:jc w:val="right"/>
              <w:rPr>
                <w:sz w:val="22"/>
              </w:rPr>
            </w:pPr>
            <w:r w:rsidRPr="009B287B">
              <w:rPr>
                <w:sz w:val="22"/>
              </w:rPr>
              <w:t>1,582</w:t>
            </w:r>
          </w:p>
        </w:tc>
        <w:tc>
          <w:tcPr>
            <w:tcW w:w="1499" w:type="dxa"/>
            <w:tcBorders>
              <w:bottom w:val="single" w:sz="4" w:space="0" w:color="auto"/>
            </w:tcBorders>
            <w:shd w:val="clear" w:color="00FFFF" w:fill="auto"/>
            <w:vAlign w:val="center"/>
          </w:tcPr>
          <w:p w:rsidR="00856DC9" w:rsidRPr="009B287B" w:rsidRDefault="00856DC9" w:rsidP="00983C6D">
            <w:pPr>
              <w:pStyle w:val="Footer"/>
              <w:tabs>
                <w:tab w:val="clear" w:pos="4153"/>
                <w:tab w:val="clear" w:pos="8306"/>
                <w:tab w:val="decimal" w:pos="972"/>
              </w:tabs>
              <w:jc w:val="right"/>
              <w:rPr>
                <w:sz w:val="22"/>
              </w:rPr>
            </w:pPr>
            <w:r w:rsidRPr="009B287B">
              <w:rPr>
                <w:sz w:val="22"/>
              </w:rPr>
              <w:t>2,396</w:t>
            </w:r>
          </w:p>
        </w:tc>
      </w:tr>
      <w:tr w:rsidR="00856DC9" w:rsidRPr="00286C0E" w:rsidTr="00856DC9">
        <w:trPr>
          <w:cantSplit/>
        </w:trPr>
        <w:tc>
          <w:tcPr>
            <w:tcW w:w="5490" w:type="dxa"/>
            <w:vAlign w:val="bottom"/>
          </w:tcPr>
          <w:p w:rsidR="00856DC9" w:rsidRPr="009B287B" w:rsidRDefault="00856DC9" w:rsidP="0088556B">
            <w:pPr>
              <w:tabs>
                <w:tab w:val="left" w:pos="0"/>
              </w:tabs>
              <w:rPr>
                <w:b/>
                <w:sz w:val="22"/>
              </w:rPr>
            </w:pPr>
            <w:r w:rsidRPr="009B287B">
              <w:rPr>
                <w:b/>
                <w:sz w:val="22"/>
              </w:rPr>
              <w:t>Total</w:t>
            </w:r>
          </w:p>
        </w:tc>
        <w:tc>
          <w:tcPr>
            <w:tcW w:w="1499" w:type="dxa"/>
            <w:tcBorders>
              <w:top w:val="single" w:sz="4" w:space="0" w:color="auto"/>
              <w:bottom w:val="double" w:sz="6" w:space="0" w:color="auto"/>
            </w:tcBorders>
            <w:shd w:val="clear" w:color="00FFFF" w:fill="auto"/>
            <w:vAlign w:val="center"/>
          </w:tcPr>
          <w:p w:rsidR="00856DC9" w:rsidRPr="009B287B" w:rsidRDefault="00856DC9" w:rsidP="009C46E9">
            <w:pPr>
              <w:pStyle w:val="Footer"/>
              <w:tabs>
                <w:tab w:val="clear" w:pos="4153"/>
                <w:tab w:val="clear" w:pos="8306"/>
                <w:tab w:val="decimal" w:pos="972"/>
              </w:tabs>
              <w:jc w:val="right"/>
              <w:rPr>
                <w:b/>
                <w:sz w:val="22"/>
              </w:rPr>
            </w:pPr>
            <w:r w:rsidRPr="009B287B">
              <w:rPr>
                <w:b/>
                <w:sz w:val="22"/>
              </w:rPr>
              <w:t>22,510</w:t>
            </w:r>
          </w:p>
        </w:tc>
        <w:tc>
          <w:tcPr>
            <w:tcW w:w="1499" w:type="dxa"/>
            <w:tcBorders>
              <w:top w:val="single" w:sz="4" w:space="0" w:color="auto"/>
              <w:bottom w:val="double" w:sz="6" w:space="0" w:color="auto"/>
            </w:tcBorders>
            <w:shd w:val="clear" w:color="00FFFF" w:fill="auto"/>
            <w:vAlign w:val="center"/>
          </w:tcPr>
          <w:p w:rsidR="00856DC9" w:rsidRPr="009B287B" w:rsidRDefault="00856DC9" w:rsidP="00983C6D">
            <w:pPr>
              <w:pStyle w:val="Footer"/>
              <w:tabs>
                <w:tab w:val="clear" w:pos="4153"/>
                <w:tab w:val="clear" w:pos="8306"/>
                <w:tab w:val="decimal" w:pos="972"/>
              </w:tabs>
              <w:jc w:val="right"/>
              <w:rPr>
                <w:b/>
                <w:sz w:val="22"/>
              </w:rPr>
            </w:pPr>
            <w:r w:rsidRPr="009B287B">
              <w:rPr>
                <w:b/>
                <w:sz w:val="22"/>
              </w:rPr>
              <w:t>31,514</w:t>
            </w:r>
          </w:p>
        </w:tc>
      </w:tr>
    </w:tbl>
    <w:p w:rsidR="008F534A" w:rsidRPr="00286C0E" w:rsidRDefault="008F534A" w:rsidP="008F534A">
      <w:pPr>
        <w:ind w:left="720"/>
        <w:rPr>
          <w:highlight w:val="yellow"/>
        </w:rPr>
      </w:pPr>
    </w:p>
    <w:p w:rsidR="008F534A" w:rsidRPr="00286C0E" w:rsidRDefault="008F534A" w:rsidP="008F534A">
      <w:pPr>
        <w:ind w:left="720"/>
        <w:rPr>
          <w:highlight w:val="yellow"/>
        </w:rPr>
      </w:pPr>
    </w:p>
    <w:p w:rsidR="00136C38" w:rsidRPr="00332634" w:rsidRDefault="008F534A" w:rsidP="00BD07E4">
      <w:pPr>
        <w:numPr>
          <w:ilvl w:val="0"/>
          <w:numId w:val="21"/>
        </w:numPr>
        <w:spacing w:after="240"/>
        <w:rPr>
          <w:b/>
        </w:rPr>
      </w:pPr>
      <w:r w:rsidRPr="00CE654D">
        <w:rPr>
          <w:b/>
        </w:rPr>
        <w:t xml:space="preserve">Provisions </w:t>
      </w:r>
    </w:p>
    <w:p w:rsidR="00415840" w:rsidRPr="00415840" w:rsidRDefault="00415840" w:rsidP="00415840">
      <w:pPr>
        <w:pStyle w:val="ListParagraph"/>
        <w:ind w:left="1004"/>
      </w:pPr>
      <w:r w:rsidRPr="00415840">
        <w:t xml:space="preserve">We keep some funds set aside to provide for specific expenses, the exact cost of timing of which is still uncertain. These funds are known as 'provisions'. The changes to these funds are summarised below. </w:t>
      </w:r>
    </w:p>
    <w:tbl>
      <w:tblPr>
        <w:tblpPr w:leftFromText="180" w:rightFromText="180" w:vertAnchor="text" w:horzAnchor="margin" w:tblpXSpec="center" w:tblpY="152"/>
        <w:tblW w:w="10161" w:type="dxa"/>
        <w:tblLook w:val="04A0"/>
      </w:tblPr>
      <w:tblGrid>
        <w:gridCol w:w="2093"/>
        <w:gridCol w:w="1856"/>
        <w:gridCol w:w="1580"/>
        <w:gridCol w:w="1706"/>
        <w:gridCol w:w="1490"/>
        <w:gridCol w:w="1436"/>
      </w:tblGrid>
      <w:tr w:rsidR="00415840" w:rsidRPr="00415840" w:rsidTr="00AD3999">
        <w:trPr>
          <w:trHeight w:val="934"/>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840" w:rsidRPr="00415840" w:rsidRDefault="00415840" w:rsidP="00415840">
            <w:pPr>
              <w:jc w:val="center"/>
              <w:rPr>
                <w:b/>
                <w:bCs/>
                <w:sz w:val="20"/>
                <w:szCs w:val="20"/>
              </w:rPr>
            </w:pPr>
            <w:r w:rsidRPr="00415840">
              <w:rPr>
                <w:b/>
                <w:bCs/>
                <w:sz w:val="20"/>
                <w:szCs w:val="20"/>
              </w:rPr>
              <w:t> </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415840" w:rsidRPr="00415840" w:rsidRDefault="00415840" w:rsidP="00415840">
            <w:pPr>
              <w:rPr>
                <w:b/>
                <w:bCs/>
                <w:sz w:val="20"/>
                <w:szCs w:val="20"/>
              </w:rPr>
            </w:pPr>
            <w:r w:rsidRPr="00415840">
              <w:rPr>
                <w:b/>
                <w:bCs/>
                <w:sz w:val="20"/>
                <w:szCs w:val="20"/>
              </w:rPr>
              <w:t xml:space="preserve"> Balance at 1st April 2011 </w:t>
            </w:r>
          </w:p>
          <w:p w:rsidR="00415840" w:rsidRPr="00415840" w:rsidRDefault="00415840" w:rsidP="00415840">
            <w:pPr>
              <w:rPr>
                <w:b/>
                <w:bCs/>
                <w:sz w:val="20"/>
                <w:szCs w:val="20"/>
              </w:rPr>
            </w:pP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5840" w:rsidRPr="00415840" w:rsidRDefault="00415840" w:rsidP="00415840">
            <w:pPr>
              <w:jc w:val="right"/>
              <w:rPr>
                <w:b/>
                <w:bCs/>
                <w:sz w:val="20"/>
                <w:szCs w:val="20"/>
              </w:rPr>
            </w:pPr>
            <w:r w:rsidRPr="00415840">
              <w:rPr>
                <w:b/>
                <w:bCs/>
                <w:sz w:val="20"/>
                <w:szCs w:val="20"/>
              </w:rPr>
              <w:t xml:space="preserve"> Additional provision made in 2011/12 </w:t>
            </w:r>
          </w:p>
          <w:p w:rsidR="00415840" w:rsidRPr="00415840" w:rsidRDefault="00415840" w:rsidP="00415840">
            <w:pPr>
              <w:jc w:val="right"/>
              <w:rPr>
                <w:b/>
                <w:bCs/>
                <w:sz w:val="20"/>
                <w:szCs w:val="20"/>
              </w:rPr>
            </w:pPr>
          </w:p>
        </w:tc>
        <w:tc>
          <w:tcPr>
            <w:tcW w:w="1706" w:type="dxa"/>
            <w:tcBorders>
              <w:top w:val="single" w:sz="4" w:space="0" w:color="auto"/>
              <w:left w:val="nil"/>
              <w:bottom w:val="single" w:sz="4" w:space="0" w:color="auto"/>
              <w:right w:val="single" w:sz="4" w:space="0" w:color="auto"/>
            </w:tcBorders>
            <w:shd w:val="clear" w:color="auto" w:fill="auto"/>
            <w:vAlign w:val="center"/>
            <w:hideMark/>
          </w:tcPr>
          <w:p w:rsidR="00415840" w:rsidRPr="00415840" w:rsidRDefault="00415840" w:rsidP="00415840">
            <w:pPr>
              <w:jc w:val="right"/>
              <w:rPr>
                <w:b/>
                <w:bCs/>
                <w:sz w:val="20"/>
                <w:szCs w:val="20"/>
              </w:rPr>
            </w:pPr>
            <w:r w:rsidRPr="00415840">
              <w:rPr>
                <w:b/>
                <w:bCs/>
                <w:sz w:val="20"/>
                <w:szCs w:val="20"/>
              </w:rPr>
              <w:t xml:space="preserve"> Spending met from the provision 2011/12 </w:t>
            </w:r>
          </w:p>
          <w:p w:rsidR="00415840" w:rsidRPr="00415840" w:rsidRDefault="00415840" w:rsidP="00415840">
            <w:pPr>
              <w:jc w:val="right"/>
              <w:rPr>
                <w:b/>
                <w:bCs/>
                <w:sz w:val="20"/>
                <w:szCs w:val="20"/>
              </w:rPr>
            </w:pPr>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415840" w:rsidRPr="00415840" w:rsidRDefault="00415840" w:rsidP="00FA41BA">
            <w:pPr>
              <w:jc w:val="right"/>
              <w:rPr>
                <w:b/>
                <w:bCs/>
                <w:sz w:val="20"/>
                <w:szCs w:val="20"/>
              </w:rPr>
            </w:pPr>
            <w:r w:rsidRPr="00415840">
              <w:rPr>
                <w:b/>
                <w:bCs/>
                <w:sz w:val="20"/>
                <w:szCs w:val="20"/>
              </w:rPr>
              <w:t xml:space="preserve"> Unused amounts reversed in 2011/12 </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415840" w:rsidRPr="00415840" w:rsidRDefault="00415840" w:rsidP="00FA41BA">
            <w:pPr>
              <w:jc w:val="right"/>
              <w:rPr>
                <w:b/>
                <w:bCs/>
                <w:sz w:val="20"/>
                <w:szCs w:val="20"/>
              </w:rPr>
            </w:pPr>
            <w:r w:rsidRPr="00415840">
              <w:rPr>
                <w:b/>
                <w:bCs/>
                <w:sz w:val="20"/>
                <w:szCs w:val="20"/>
              </w:rPr>
              <w:t xml:space="preserve"> Balance at 31 March 2012 </w:t>
            </w:r>
          </w:p>
        </w:tc>
      </w:tr>
      <w:tr w:rsidR="00FA41BA" w:rsidRPr="00415840" w:rsidTr="00AD3999">
        <w:trPr>
          <w:trHeight w:val="263"/>
        </w:trPr>
        <w:tc>
          <w:tcPr>
            <w:tcW w:w="2093" w:type="dxa"/>
            <w:tcBorders>
              <w:top w:val="nil"/>
              <w:left w:val="single" w:sz="4" w:space="0" w:color="auto"/>
              <w:bottom w:val="single" w:sz="4" w:space="0" w:color="auto"/>
              <w:right w:val="single" w:sz="4" w:space="0" w:color="auto"/>
            </w:tcBorders>
            <w:shd w:val="clear" w:color="auto" w:fill="auto"/>
            <w:vAlign w:val="bottom"/>
            <w:hideMark/>
          </w:tcPr>
          <w:p w:rsidR="00FA41BA" w:rsidRPr="00415840" w:rsidRDefault="00FA41BA" w:rsidP="00415840">
            <w:pPr>
              <w:rPr>
                <w:sz w:val="20"/>
                <w:szCs w:val="20"/>
              </w:rPr>
            </w:pPr>
          </w:p>
        </w:tc>
        <w:tc>
          <w:tcPr>
            <w:tcW w:w="1856" w:type="dxa"/>
            <w:tcBorders>
              <w:top w:val="nil"/>
              <w:left w:val="nil"/>
              <w:bottom w:val="single" w:sz="4" w:space="0" w:color="auto"/>
              <w:right w:val="single" w:sz="4" w:space="0" w:color="auto"/>
            </w:tcBorders>
            <w:shd w:val="clear" w:color="auto" w:fill="auto"/>
            <w:vAlign w:val="bottom"/>
            <w:hideMark/>
          </w:tcPr>
          <w:p w:rsidR="00FA41BA" w:rsidRPr="00FA41BA" w:rsidRDefault="00FA41BA" w:rsidP="00415840">
            <w:pPr>
              <w:jc w:val="right"/>
              <w:rPr>
                <w:b/>
                <w:sz w:val="20"/>
                <w:szCs w:val="20"/>
              </w:rPr>
            </w:pPr>
            <w:r w:rsidRPr="00FA41BA">
              <w:rPr>
                <w:b/>
                <w:sz w:val="20"/>
                <w:szCs w:val="20"/>
              </w:rPr>
              <w:t>£000</w:t>
            </w:r>
          </w:p>
        </w:tc>
        <w:tc>
          <w:tcPr>
            <w:tcW w:w="1580" w:type="dxa"/>
            <w:tcBorders>
              <w:top w:val="nil"/>
              <w:left w:val="nil"/>
              <w:bottom w:val="single" w:sz="4" w:space="0" w:color="auto"/>
              <w:right w:val="single" w:sz="4" w:space="0" w:color="auto"/>
            </w:tcBorders>
            <w:shd w:val="clear" w:color="auto" w:fill="auto"/>
            <w:vAlign w:val="bottom"/>
            <w:hideMark/>
          </w:tcPr>
          <w:p w:rsidR="00FA41BA" w:rsidRPr="00415840" w:rsidRDefault="00FA41BA" w:rsidP="00807F17">
            <w:pPr>
              <w:jc w:val="right"/>
              <w:rPr>
                <w:sz w:val="20"/>
                <w:szCs w:val="20"/>
              </w:rPr>
            </w:pPr>
            <w:r w:rsidRPr="00FA41BA">
              <w:rPr>
                <w:b/>
                <w:sz w:val="20"/>
                <w:szCs w:val="20"/>
              </w:rPr>
              <w:t>£000</w:t>
            </w:r>
          </w:p>
        </w:tc>
        <w:tc>
          <w:tcPr>
            <w:tcW w:w="1706" w:type="dxa"/>
            <w:tcBorders>
              <w:top w:val="nil"/>
              <w:left w:val="nil"/>
              <w:bottom w:val="single" w:sz="4" w:space="0" w:color="auto"/>
              <w:right w:val="single" w:sz="4" w:space="0" w:color="auto"/>
            </w:tcBorders>
            <w:shd w:val="clear" w:color="auto" w:fill="auto"/>
            <w:vAlign w:val="bottom"/>
            <w:hideMark/>
          </w:tcPr>
          <w:p w:rsidR="00FA41BA" w:rsidRDefault="00FA41BA" w:rsidP="00415840">
            <w:pPr>
              <w:jc w:val="right"/>
              <w:rPr>
                <w:sz w:val="20"/>
                <w:szCs w:val="20"/>
              </w:rPr>
            </w:pPr>
            <w:r w:rsidRPr="00FA41BA">
              <w:rPr>
                <w:b/>
                <w:sz w:val="20"/>
                <w:szCs w:val="20"/>
              </w:rPr>
              <w:t>£000</w:t>
            </w:r>
          </w:p>
        </w:tc>
        <w:tc>
          <w:tcPr>
            <w:tcW w:w="1490" w:type="dxa"/>
            <w:tcBorders>
              <w:top w:val="nil"/>
              <w:left w:val="nil"/>
              <w:bottom w:val="single" w:sz="4" w:space="0" w:color="auto"/>
              <w:right w:val="single" w:sz="4" w:space="0" w:color="auto"/>
            </w:tcBorders>
            <w:shd w:val="clear" w:color="auto" w:fill="auto"/>
            <w:vAlign w:val="bottom"/>
            <w:hideMark/>
          </w:tcPr>
          <w:p w:rsidR="00FA41BA" w:rsidRDefault="00FA41BA" w:rsidP="00415840">
            <w:pPr>
              <w:jc w:val="right"/>
              <w:rPr>
                <w:sz w:val="20"/>
                <w:szCs w:val="20"/>
              </w:rPr>
            </w:pPr>
            <w:r w:rsidRPr="00FA41BA">
              <w:rPr>
                <w:b/>
                <w:sz w:val="20"/>
                <w:szCs w:val="20"/>
              </w:rPr>
              <w:t>£000</w:t>
            </w:r>
          </w:p>
        </w:tc>
        <w:tc>
          <w:tcPr>
            <w:tcW w:w="1436" w:type="dxa"/>
            <w:tcBorders>
              <w:top w:val="nil"/>
              <w:left w:val="nil"/>
              <w:bottom w:val="single" w:sz="4" w:space="0" w:color="auto"/>
              <w:right w:val="single" w:sz="4" w:space="0" w:color="auto"/>
            </w:tcBorders>
            <w:shd w:val="clear" w:color="auto" w:fill="auto"/>
            <w:vAlign w:val="bottom"/>
            <w:hideMark/>
          </w:tcPr>
          <w:p w:rsidR="00FA41BA" w:rsidRPr="00415840" w:rsidRDefault="00FA41BA" w:rsidP="00415840">
            <w:pPr>
              <w:jc w:val="right"/>
              <w:rPr>
                <w:b/>
                <w:bCs/>
                <w:sz w:val="20"/>
                <w:szCs w:val="20"/>
              </w:rPr>
            </w:pPr>
            <w:r w:rsidRPr="00FA41BA">
              <w:rPr>
                <w:b/>
                <w:sz w:val="20"/>
                <w:szCs w:val="20"/>
              </w:rPr>
              <w:t>£000</w:t>
            </w:r>
          </w:p>
        </w:tc>
      </w:tr>
      <w:tr w:rsidR="00415840" w:rsidRPr="00415840" w:rsidTr="00AD3999">
        <w:trPr>
          <w:trHeight w:val="263"/>
        </w:trPr>
        <w:tc>
          <w:tcPr>
            <w:tcW w:w="2093" w:type="dxa"/>
            <w:tcBorders>
              <w:top w:val="nil"/>
              <w:left w:val="single" w:sz="4" w:space="0" w:color="auto"/>
              <w:bottom w:val="single" w:sz="4" w:space="0" w:color="auto"/>
              <w:right w:val="single" w:sz="4" w:space="0" w:color="auto"/>
            </w:tcBorders>
            <w:shd w:val="clear" w:color="auto" w:fill="auto"/>
            <w:vAlign w:val="bottom"/>
            <w:hideMark/>
          </w:tcPr>
          <w:p w:rsidR="00415840" w:rsidRPr="00415840" w:rsidRDefault="00415840" w:rsidP="00415840">
            <w:pPr>
              <w:rPr>
                <w:sz w:val="20"/>
                <w:szCs w:val="20"/>
              </w:rPr>
            </w:pPr>
            <w:r w:rsidRPr="00415840">
              <w:rPr>
                <w:sz w:val="20"/>
                <w:szCs w:val="20"/>
              </w:rPr>
              <w:t>Insurance provision</w:t>
            </w:r>
          </w:p>
        </w:tc>
        <w:tc>
          <w:tcPr>
            <w:tcW w:w="1856" w:type="dxa"/>
            <w:tcBorders>
              <w:top w:val="nil"/>
              <w:left w:val="nil"/>
              <w:bottom w:val="single" w:sz="4" w:space="0" w:color="auto"/>
              <w:right w:val="single" w:sz="4" w:space="0" w:color="auto"/>
            </w:tcBorders>
            <w:shd w:val="clear" w:color="auto" w:fill="auto"/>
            <w:vAlign w:val="bottom"/>
            <w:hideMark/>
          </w:tcPr>
          <w:p w:rsidR="00415840" w:rsidRPr="00415840" w:rsidRDefault="00807F17" w:rsidP="00415840">
            <w:pPr>
              <w:jc w:val="right"/>
              <w:rPr>
                <w:sz w:val="20"/>
                <w:szCs w:val="20"/>
              </w:rPr>
            </w:pPr>
            <w:r>
              <w:rPr>
                <w:sz w:val="20"/>
                <w:szCs w:val="20"/>
              </w:rPr>
              <w:t>20,250</w:t>
            </w:r>
          </w:p>
        </w:tc>
        <w:tc>
          <w:tcPr>
            <w:tcW w:w="1580"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807F17">
            <w:pPr>
              <w:jc w:val="right"/>
              <w:rPr>
                <w:sz w:val="20"/>
                <w:szCs w:val="20"/>
              </w:rPr>
            </w:pPr>
            <w:r w:rsidRPr="00415840">
              <w:rPr>
                <w:sz w:val="20"/>
                <w:szCs w:val="20"/>
              </w:rPr>
              <w:t>8,76</w:t>
            </w:r>
            <w:r w:rsidR="00807F17">
              <w:rPr>
                <w:sz w:val="20"/>
                <w:szCs w:val="20"/>
              </w:rPr>
              <w:t>1</w:t>
            </w:r>
          </w:p>
        </w:tc>
        <w:tc>
          <w:tcPr>
            <w:tcW w:w="1706" w:type="dxa"/>
            <w:tcBorders>
              <w:top w:val="nil"/>
              <w:left w:val="nil"/>
              <w:bottom w:val="single" w:sz="4" w:space="0" w:color="auto"/>
              <w:right w:val="single" w:sz="4" w:space="0" w:color="auto"/>
            </w:tcBorders>
            <w:shd w:val="clear" w:color="auto" w:fill="auto"/>
            <w:vAlign w:val="bottom"/>
            <w:hideMark/>
          </w:tcPr>
          <w:p w:rsidR="00415840" w:rsidRPr="00415840" w:rsidRDefault="00372C56" w:rsidP="00415840">
            <w:pPr>
              <w:jc w:val="right"/>
              <w:rPr>
                <w:sz w:val="20"/>
                <w:szCs w:val="20"/>
              </w:rPr>
            </w:pPr>
            <w:r>
              <w:rPr>
                <w:sz w:val="20"/>
                <w:szCs w:val="20"/>
              </w:rPr>
              <w:t>(</w:t>
            </w:r>
            <w:r w:rsidR="00415840" w:rsidRPr="00415840">
              <w:rPr>
                <w:sz w:val="20"/>
                <w:szCs w:val="20"/>
              </w:rPr>
              <w:t>8,629</w:t>
            </w:r>
            <w:r>
              <w:rPr>
                <w:sz w:val="20"/>
                <w:szCs w:val="20"/>
              </w:rPr>
              <w:t>)</w:t>
            </w:r>
          </w:p>
        </w:tc>
        <w:tc>
          <w:tcPr>
            <w:tcW w:w="1490" w:type="dxa"/>
            <w:tcBorders>
              <w:top w:val="nil"/>
              <w:left w:val="nil"/>
              <w:bottom w:val="single" w:sz="4" w:space="0" w:color="auto"/>
              <w:right w:val="single" w:sz="4" w:space="0" w:color="auto"/>
            </w:tcBorders>
            <w:shd w:val="clear" w:color="auto" w:fill="auto"/>
            <w:vAlign w:val="bottom"/>
            <w:hideMark/>
          </w:tcPr>
          <w:p w:rsidR="00415840" w:rsidRPr="00415840" w:rsidRDefault="00372C56" w:rsidP="00415840">
            <w:pPr>
              <w:jc w:val="right"/>
              <w:rPr>
                <w:sz w:val="20"/>
                <w:szCs w:val="20"/>
              </w:rPr>
            </w:pPr>
            <w:r>
              <w:rPr>
                <w:sz w:val="20"/>
                <w:szCs w:val="20"/>
              </w:rPr>
              <w:t>(</w:t>
            </w:r>
            <w:r w:rsidR="00415840" w:rsidRPr="00415840">
              <w:rPr>
                <w:sz w:val="20"/>
                <w:szCs w:val="20"/>
              </w:rPr>
              <w:t>2,000</w:t>
            </w:r>
            <w:r>
              <w:rPr>
                <w:sz w:val="20"/>
                <w:szCs w:val="20"/>
              </w:rPr>
              <w:t>)</w:t>
            </w:r>
          </w:p>
        </w:tc>
        <w:tc>
          <w:tcPr>
            <w:tcW w:w="1436"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b/>
                <w:bCs/>
                <w:sz w:val="20"/>
                <w:szCs w:val="20"/>
              </w:rPr>
            </w:pPr>
            <w:r w:rsidRPr="00415840">
              <w:rPr>
                <w:b/>
                <w:bCs/>
                <w:sz w:val="20"/>
                <w:szCs w:val="20"/>
              </w:rPr>
              <w:t xml:space="preserve">              18,382 </w:t>
            </w:r>
          </w:p>
        </w:tc>
      </w:tr>
      <w:tr w:rsidR="00415840" w:rsidRPr="00415840" w:rsidTr="00192ED5">
        <w:trPr>
          <w:trHeight w:val="263"/>
        </w:trPr>
        <w:tc>
          <w:tcPr>
            <w:tcW w:w="2093" w:type="dxa"/>
            <w:tcBorders>
              <w:top w:val="nil"/>
              <w:left w:val="single" w:sz="4" w:space="0" w:color="auto"/>
              <w:bottom w:val="single" w:sz="4" w:space="0" w:color="auto"/>
              <w:right w:val="single" w:sz="4" w:space="0" w:color="auto"/>
            </w:tcBorders>
            <w:shd w:val="clear" w:color="auto" w:fill="auto"/>
            <w:vAlign w:val="bottom"/>
            <w:hideMark/>
          </w:tcPr>
          <w:p w:rsidR="00415840" w:rsidRPr="00415840" w:rsidRDefault="00415840" w:rsidP="00415840">
            <w:pPr>
              <w:rPr>
                <w:sz w:val="20"/>
                <w:szCs w:val="20"/>
              </w:rPr>
            </w:pPr>
            <w:r w:rsidRPr="00415840">
              <w:rPr>
                <w:sz w:val="20"/>
                <w:szCs w:val="20"/>
              </w:rPr>
              <w:t>Teachers' pension provision</w:t>
            </w:r>
            <w:r w:rsidR="00856DC9">
              <w:rPr>
                <w:sz w:val="20"/>
                <w:szCs w:val="20"/>
              </w:rPr>
              <w:t xml:space="preserve"> and part-time election</w:t>
            </w:r>
          </w:p>
        </w:tc>
        <w:tc>
          <w:tcPr>
            <w:tcW w:w="1856"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192ED5">
            <w:pPr>
              <w:jc w:val="right"/>
              <w:rPr>
                <w:sz w:val="20"/>
                <w:szCs w:val="20"/>
              </w:rPr>
            </w:pPr>
            <w:r w:rsidRPr="00415840">
              <w:rPr>
                <w:sz w:val="20"/>
                <w:szCs w:val="20"/>
              </w:rPr>
              <w:t>26</w:t>
            </w:r>
            <w:r w:rsidR="00856DC9">
              <w:rPr>
                <w:sz w:val="20"/>
                <w:szCs w:val="20"/>
              </w:rPr>
              <w:t>4</w:t>
            </w:r>
          </w:p>
        </w:tc>
        <w:tc>
          <w:tcPr>
            <w:tcW w:w="1580" w:type="dxa"/>
            <w:tcBorders>
              <w:top w:val="nil"/>
              <w:left w:val="nil"/>
              <w:bottom w:val="single" w:sz="4" w:space="0" w:color="auto"/>
              <w:right w:val="single" w:sz="4" w:space="0" w:color="auto"/>
            </w:tcBorders>
            <w:shd w:val="clear" w:color="auto" w:fill="auto"/>
            <w:vAlign w:val="bottom"/>
            <w:hideMark/>
          </w:tcPr>
          <w:p w:rsidR="00415840" w:rsidRPr="00415840" w:rsidRDefault="00192ED5" w:rsidP="00192ED5">
            <w:pPr>
              <w:jc w:val="right"/>
              <w:rPr>
                <w:sz w:val="20"/>
                <w:szCs w:val="20"/>
              </w:rPr>
            </w:pPr>
            <w:r>
              <w:rPr>
                <w:sz w:val="20"/>
                <w:szCs w:val="20"/>
              </w:rPr>
              <w:t>-</w:t>
            </w:r>
          </w:p>
        </w:tc>
        <w:tc>
          <w:tcPr>
            <w:tcW w:w="1706" w:type="dxa"/>
            <w:tcBorders>
              <w:top w:val="nil"/>
              <w:left w:val="nil"/>
              <w:bottom w:val="single" w:sz="4" w:space="0" w:color="auto"/>
              <w:right w:val="single" w:sz="4" w:space="0" w:color="auto"/>
            </w:tcBorders>
            <w:shd w:val="clear" w:color="auto" w:fill="auto"/>
            <w:vAlign w:val="bottom"/>
            <w:hideMark/>
          </w:tcPr>
          <w:p w:rsidR="00415840" w:rsidRPr="00415840" w:rsidRDefault="00372C56" w:rsidP="00192ED5">
            <w:pPr>
              <w:jc w:val="right"/>
              <w:rPr>
                <w:sz w:val="20"/>
                <w:szCs w:val="20"/>
              </w:rPr>
            </w:pPr>
            <w:r>
              <w:rPr>
                <w:sz w:val="20"/>
                <w:szCs w:val="20"/>
              </w:rPr>
              <w:t>(</w:t>
            </w:r>
            <w:r w:rsidR="00415840" w:rsidRPr="00415840">
              <w:rPr>
                <w:sz w:val="20"/>
                <w:szCs w:val="20"/>
              </w:rPr>
              <w:t>46</w:t>
            </w:r>
            <w:r>
              <w:rPr>
                <w:sz w:val="20"/>
                <w:szCs w:val="20"/>
              </w:rPr>
              <w:t>)</w:t>
            </w:r>
          </w:p>
        </w:tc>
        <w:tc>
          <w:tcPr>
            <w:tcW w:w="1490" w:type="dxa"/>
            <w:tcBorders>
              <w:top w:val="nil"/>
              <w:left w:val="nil"/>
              <w:bottom w:val="single" w:sz="4" w:space="0" w:color="auto"/>
              <w:right w:val="single" w:sz="4" w:space="0" w:color="auto"/>
            </w:tcBorders>
            <w:shd w:val="clear" w:color="auto" w:fill="auto"/>
            <w:vAlign w:val="bottom"/>
            <w:hideMark/>
          </w:tcPr>
          <w:p w:rsidR="00415840" w:rsidRPr="00415840" w:rsidRDefault="00192ED5" w:rsidP="00192ED5">
            <w:pPr>
              <w:jc w:val="right"/>
              <w:rPr>
                <w:sz w:val="20"/>
                <w:szCs w:val="20"/>
              </w:rPr>
            </w:pPr>
            <w:r>
              <w:rPr>
                <w:sz w:val="20"/>
                <w:szCs w:val="20"/>
              </w:rPr>
              <w:t>-</w:t>
            </w:r>
          </w:p>
        </w:tc>
        <w:tc>
          <w:tcPr>
            <w:tcW w:w="1436" w:type="dxa"/>
            <w:tcBorders>
              <w:top w:val="nil"/>
              <w:left w:val="nil"/>
              <w:bottom w:val="single" w:sz="4" w:space="0" w:color="auto"/>
              <w:right w:val="single" w:sz="4" w:space="0" w:color="auto"/>
            </w:tcBorders>
            <w:shd w:val="clear" w:color="auto" w:fill="auto"/>
            <w:vAlign w:val="bottom"/>
            <w:hideMark/>
          </w:tcPr>
          <w:p w:rsidR="00415840" w:rsidRPr="00415840" w:rsidRDefault="00856DC9" w:rsidP="00192ED5">
            <w:pPr>
              <w:jc w:val="right"/>
              <w:rPr>
                <w:b/>
                <w:bCs/>
                <w:sz w:val="20"/>
                <w:szCs w:val="20"/>
              </w:rPr>
            </w:pPr>
            <w:r>
              <w:rPr>
                <w:b/>
                <w:bCs/>
                <w:sz w:val="20"/>
                <w:szCs w:val="20"/>
              </w:rPr>
              <w:t xml:space="preserve">                   218</w:t>
            </w:r>
            <w:r w:rsidR="00415840" w:rsidRPr="00415840">
              <w:rPr>
                <w:b/>
                <w:bCs/>
                <w:sz w:val="20"/>
                <w:szCs w:val="20"/>
              </w:rPr>
              <w:t xml:space="preserve"> </w:t>
            </w:r>
          </w:p>
        </w:tc>
      </w:tr>
      <w:tr w:rsidR="00415840" w:rsidRPr="00415840" w:rsidTr="00192ED5">
        <w:trPr>
          <w:trHeight w:val="263"/>
        </w:trPr>
        <w:tc>
          <w:tcPr>
            <w:tcW w:w="2093" w:type="dxa"/>
            <w:tcBorders>
              <w:top w:val="nil"/>
              <w:left w:val="single" w:sz="4" w:space="0" w:color="auto"/>
              <w:bottom w:val="single" w:sz="4" w:space="0" w:color="auto"/>
              <w:right w:val="single" w:sz="4" w:space="0" w:color="auto"/>
            </w:tcBorders>
            <w:shd w:val="clear" w:color="auto" w:fill="auto"/>
            <w:vAlign w:val="bottom"/>
            <w:hideMark/>
          </w:tcPr>
          <w:p w:rsidR="00415840" w:rsidRPr="00415840" w:rsidRDefault="00415840" w:rsidP="00415840">
            <w:pPr>
              <w:rPr>
                <w:sz w:val="20"/>
                <w:szCs w:val="20"/>
              </w:rPr>
            </w:pPr>
            <w:r w:rsidRPr="00415840">
              <w:rPr>
                <w:sz w:val="20"/>
                <w:szCs w:val="20"/>
              </w:rPr>
              <w:t>Building Schools for the Future</w:t>
            </w:r>
          </w:p>
        </w:tc>
        <w:tc>
          <w:tcPr>
            <w:tcW w:w="1856"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sz w:val="20"/>
                <w:szCs w:val="20"/>
              </w:rPr>
            </w:pPr>
            <w:r w:rsidRPr="00415840">
              <w:rPr>
                <w:sz w:val="20"/>
                <w:szCs w:val="20"/>
              </w:rPr>
              <w:t>1,016</w:t>
            </w:r>
          </w:p>
        </w:tc>
        <w:tc>
          <w:tcPr>
            <w:tcW w:w="1580"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192ED5">
            <w:pPr>
              <w:jc w:val="right"/>
              <w:rPr>
                <w:sz w:val="20"/>
                <w:szCs w:val="20"/>
              </w:rPr>
            </w:pPr>
            <w:r w:rsidRPr="00415840">
              <w:rPr>
                <w:sz w:val="20"/>
                <w:szCs w:val="20"/>
              </w:rPr>
              <w:t>6</w:t>
            </w:r>
          </w:p>
        </w:tc>
        <w:tc>
          <w:tcPr>
            <w:tcW w:w="1706" w:type="dxa"/>
            <w:tcBorders>
              <w:top w:val="nil"/>
              <w:left w:val="nil"/>
              <w:bottom w:val="single" w:sz="4" w:space="0" w:color="auto"/>
              <w:right w:val="single" w:sz="4" w:space="0" w:color="auto"/>
            </w:tcBorders>
            <w:shd w:val="clear" w:color="auto" w:fill="auto"/>
            <w:vAlign w:val="bottom"/>
            <w:hideMark/>
          </w:tcPr>
          <w:p w:rsidR="00415840" w:rsidRPr="00415840" w:rsidRDefault="00192ED5" w:rsidP="00192ED5">
            <w:pPr>
              <w:jc w:val="right"/>
              <w:rPr>
                <w:sz w:val="20"/>
                <w:szCs w:val="20"/>
              </w:rPr>
            </w:pPr>
            <w:r>
              <w:rPr>
                <w:sz w:val="20"/>
                <w:szCs w:val="20"/>
              </w:rPr>
              <w:t>-</w:t>
            </w:r>
          </w:p>
        </w:tc>
        <w:tc>
          <w:tcPr>
            <w:tcW w:w="1490" w:type="dxa"/>
            <w:tcBorders>
              <w:top w:val="nil"/>
              <w:left w:val="nil"/>
              <w:bottom w:val="single" w:sz="4" w:space="0" w:color="auto"/>
              <w:right w:val="single" w:sz="4" w:space="0" w:color="auto"/>
            </w:tcBorders>
            <w:shd w:val="clear" w:color="auto" w:fill="auto"/>
            <w:vAlign w:val="bottom"/>
            <w:hideMark/>
          </w:tcPr>
          <w:p w:rsidR="00415840" w:rsidRPr="00415840" w:rsidRDefault="00192ED5" w:rsidP="00192ED5">
            <w:pPr>
              <w:jc w:val="right"/>
              <w:rPr>
                <w:sz w:val="20"/>
                <w:szCs w:val="20"/>
              </w:rPr>
            </w:pPr>
            <w:r>
              <w:rPr>
                <w:sz w:val="20"/>
                <w:szCs w:val="20"/>
              </w:rPr>
              <w:t>-</w:t>
            </w:r>
          </w:p>
        </w:tc>
        <w:tc>
          <w:tcPr>
            <w:tcW w:w="1436"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b/>
                <w:bCs/>
                <w:sz w:val="20"/>
                <w:szCs w:val="20"/>
              </w:rPr>
            </w:pPr>
            <w:r w:rsidRPr="00415840">
              <w:rPr>
                <w:b/>
                <w:bCs/>
                <w:sz w:val="20"/>
                <w:szCs w:val="20"/>
              </w:rPr>
              <w:t xml:space="preserve">                1,022 </w:t>
            </w:r>
          </w:p>
        </w:tc>
      </w:tr>
      <w:tr w:rsidR="00415840" w:rsidRPr="00415840" w:rsidTr="00AD3999">
        <w:trPr>
          <w:trHeight w:val="460"/>
        </w:trPr>
        <w:tc>
          <w:tcPr>
            <w:tcW w:w="2093" w:type="dxa"/>
            <w:tcBorders>
              <w:top w:val="nil"/>
              <w:left w:val="single" w:sz="4" w:space="0" w:color="auto"/>
              <w:bottom w:val="single" w:sz="4" w:space="0" w:color="auto"/>
              <w:right w:val="single" w:sz="4" w:space="0" w:color="auto"/>
            </w:tcBorders>
            <w:shd w:val="clear" w:color="auto" w:fill="auto"/>
            <w:vAlign w:val="bottom"/>
            <w:hideMark/>
          </w:tcPr>
          <w:p w:rsidR="00415840" w:rsidRPr="00415840" w:rsidRDefault="00415840" w:rsidP="00415840">
            <w:pPr>
              <w:rPr>
                <w:sz w:val="20"/>
                <w:szCs w:val="20"/>
              </w:rPr>
            </w:pPr>
            <w:r w:rsidRPr="00415840">
              <w:rPr>
                <w:sz w:val="20"/>
                <w:szCs w:val="20"/>
              </w:rPr>
              <w:t>Gawthorpe Museum Capital Scheme</w:t>
            </w:r>
          </w:p>
        </w:tc>
        <w:tc>
          <w:tcPr>
            <w:tcW w:w="1856"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sz w:val="20"/>
                <w:szCs w:val="20"/>
              </w:rPr>
            </w:pPr>
            <w:r w:rsidRPr="00415840">
              <w:rPr>
                <w:sz w:val="20"/>
                <w:szCs w:val="20"/>
              </w:rPr>
              <w:t>500</w:t>
            </w:r>
          </w:p>
        </w:tc>
        <w:tc>
          <w:tcPr>
            <w:tcW w:w="1580" w:type="dxa"/>
            <w:tcBorders>
              <w:top w:val="nil"/>
              <w:left w:val="nil"/>
              <w:bottom w:val="single" w:sz="4" w:space="0" w:color="auto"/>
              <w:right w:val="single" w:sz="4" w:space="0" w:color="auto"/>
            </w:tcBorders>
            <w:shd w:val="clear" w:color="auto" w:fill="auto"/>
            <w:vAlign w:val="bottom"/>
            <w:hideMark/>
          </w:tcPr>
          <w:p w:rsidR="00415840" w:rsidRPr="00415840" w:rsidRDefault="00192ED5" w:rsidP="00192ED5">
            <w:pPr>
              <w:jc w:val="right"/>
              <w:rPr>
                <w:sz w:val="20"/>
                <w:szCs w:val="20"/>
              </w:rPr>
            </w:pPr>
            <w:r>
              <w:rPr>
                <w:sz w:val="20"/>
                <w:szCs w:val="20"/>
              </w:rPr>
              <w:t>-</w:t>
            </w:r>
          </w:p>
        </w:tc>
        <w:tc>
          <w:tcPr>
            <w:tcW w:w="1706" w:type="dxa"/>
            <w:tcBorders>
              <w:top w:val="nil"/>
              <w:left w:val="nil"/>
              <w:bottom w:val="single" w:sz="4" w:space="0" w:color="auto"/>
              <w:right w:val="single" w:sz="4" w:space="0" w:color="auto"/>
            </w:tcBorders>
            <w:shd w:val="clear" w:color="auto" w:fill="auto"/>
            <w:vAlign w:val="bottom"/>
            <w:hideMark/>
          </w:tcPr>
          <w:p w:rsidR="00415840" w:rsidRPr="00415840" w:rsidRDefault="00372C56" w:rsidP="00415840">
            <w:pPr>
              <w:jc w:val="right"/>
              <w:rPr>
                <w:sz w:val="20"/>
                <w:szCs w:val="20"/>
              </w:rPr>
            </w:pPr>
            <w:r>
              <w:rPr>
                <w:sz w:val="20"/>
                <w:szCs w:val="20"/>
              </w:rPr>
              <w:t>(</w:t>
            </w:r>
            <w:r w:rsidR="00415840" w:rsidRPr="00415840">
              <w:rPr>
                <w:sz w:val="20"/>
                <w:szCs w:val="20"/>
              </w:rPr>
              <w:t>500</w:t>
            </w:r>
            <w:r>
              <w:rPr>
                <w:sz w:val="20"/>
                <w:szCs w:val="20"/>
              </w:rPr>
              <w:t>)</w:t>
            </w:r>
          </w:p>
        </w:tc>
        <w:tc>
          <w:tcPr>
            <w:tcW w:w="1490" w:type="dxa"/>
            <w:tcBorders>
              <w:top w:val="nil"/>
              <w:left w:val="nil"/>
              <w:bottom w:val="single" w:sz="4" w:space="0" w:color="auto"/>
              <w:right w:val="single" w:sz="4" w:space="0" w:color="auto"/>
            </w:tcBorders>
            <w:shd w:val="clear" w:color="auto" w:fill="auto"/>
            <w:vAlign w:val="bottom"/>
            <w:hideMark/>
          </w:tcPr>
          <w:p w:rsidR="00415840" w:rsidRPr="00415840" w:rsidRDefault="00192ED5" w:rsidP="00415840">
            <w:pPr>
              <w:jc w:val="right"/>
              <w:rPr>
                <w:sz w:val="20"/>
                <w:szCs w:val="20"/>
              </w:rPr>
            </w:pPr>
            <w:r>
              <w:rPr>
                <w:sz w:val="20"/>
                <w:szCs w:val="20"/>
              </w:rPr>
              <w:t>-</w:t>
            </w:r>
          </w:p>
        </w:tc>
        <w:tc>
          <w:tcPr>
            <w:tcW w:w="1436"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b/>
                <w:bCs/>
                <w:sz w:val="20"/>
                <w:szCs w:val="20"/>
              </w:rPr>
            </w:pPr>
            <w:r w:rsidRPr="00415840">
              <w:rPr>
                <w:b/>
                <w:bCs/>
                <w:sz w:val="20"/>
                <w:szCs w:val="20"/>
              </w:rPr>
              <w:t xml:space="preserve">                     -   </w:t>
            </w:r>
          </w:p>
        </w:tc>
      </w:tr>
      <w:tr w:rsidR="00415840" w:rsidRPr="00415840" w:rsidTr="00AD3999">
        <w:trPr>
          <w:trHeight w:val="460"/>
        </w:trPr>
        <w:tc>
          <w:tcPr>
            <w:tcW w:w="2093" w:type="dxa"/>
            <w:tcBorders>
              <w:top w:val="nil"/>
              <w:left w:val="single" w:sz="4" w:space="0" w:color="auto"/>
              <w:bottom w:val="single" w:sz="4" w:space="0" w:color="auto"/>
              <w:right w:val="single" w:sz="4" w:space="0" w:color="auto"/>
            </w:tcBorders>
            <w:shd w:val="clear" w:color="auto" w:fill="auto"/>
            <w:vAlign w:val="bottom"/>
            <w:hideMark/>
          </w:tcPr>
          <w:p w:rsidR="00415840" w:rsidRPr="00415840" w:rsidRDefault="00415840" w:rsidP="00415840">
            <w:pPr>
              <w:rPr>
                <w:sz w:val="20"/>
                <w:szCs w:val="20"/>
              </w:rPr>
            </w:pPr>
            <w:r w:rsidRPr="00415840">
              <w:rPr>
                <w:sz w:val="20"/>
                <w:szCs w:val="20"/>
              </w:rPr>
              <w:t>Swimming pool repairs and maintenance</w:t>
            </w:r>
          </w:p>
        </w:tc>
        <w:tc>
          <w:tcPr>
            <w:tcW w:w="1856"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sz w:val="20"/>
                <w:szCs w:val="20"/>
              </w:rPr>
            </w:pPr>
            <w:r w:rsidRPr="00415840">
              <w:rPr>
                <w:sz w:val="20"/>
                <w:szCs w:val="20"/>
              </w:rPr>
              <w:t>97</w:t>
            </w:r>
          </w:p>
        </w:tc>
        <w:tc>
          <w:tcPr>
            <w:tcW w:w="1580" w:type="dxa"/>
            <w:tcBorders>
              <w:top w:val="nil"/>
              <w:left w:val="nil"/>
              <w:bottom w:val="nil"/>
              <w:right w:val="nil"/>
            </w:tcBorders>
            <w:shd w:val="clear" w:color="auto" w:fill="auto"/>
            <w:vAlign w:val="bottom"/>
            <w:hideMark/>
          </w:tcPr>
          <w:p w:rsidR="00415840" w:rsidRPr="00415840" w:rsidRDefault="00192ED5" w:rsidP="00415840">
            <w:pPr>
              <w:jc w:val="right"/>
              <w:rPr>
                <w:sz w:val="20"/>
                <w:szCs w:val="20"/>
              </w:rPr>
            </w:pPr>
            <w:r>
              <w:rPr>
                <w:sz w:val="20"/>
                <w:szCs w:val="20"/>
              </w:rPr>
              <w:t>-</w:t>
            </w:r>
          </w:p>
        </w:tc>
        <w:tc>
          <w:tcPr>
            <w:tcW w:w="1706" w:type="dxa"/>
            <w:tcBorders>
              <w:top w:val="nil"/>
              <w:left w:val="single" w:sz="4" w:space="0" w:color="auto"/>
              <w:bottom w:val="single" w:sz="4" w:space="0" w:color="auto"/>
              <w:right w:val="single" w:sz="4" w:space="0" w:color="auto"/>
            </w:tcBorders>
            <w:shd w:val="clear" w:color="auto" w:fill="auto"/>
            <w:vAlign w:val="bottom"/>
            <w:hideMark/>
          </w:tcPr>
          <w:p w:rsidR="00415840" w:rsidRPr="00415840" w:rsidRDefault="00372C56" w:rsidP="00415840">
            <w:pPr>
              <w:jc w:val="right"/>
              <w:rPr>
                <w:sz w:val="20"/>
                <w:szCs w:val="20"/>
              </w:rPr>
            </w:pPr>
            <w:r>
              <w:rPr>
                <w:sz w:val="20"/>
                <w:szCs w:val="20"/>
              </w:rPr>
              <w:t>(</w:t>
            </w:r>
            <w:r w:rsidR="00415840" w:rsidRPr="00415840">
              <w:rPr>
                <w:sz w:val="20"/>
                <w:szCs w:val="20"/>
              </w:rPr>
              <w:t>21</w:t>
            </w:r>
            <w:r>
              <w:rPr>
                <w:sz w:val="20"/>
                <w:szCs w:val="20"/>
              </w:rPr>
              <w:t>)</w:t>
            </w:r>
          </w:p>
        </w:tc>
        <w:tc>
          <w:tcPr>
            <w:tcW w:w="1490"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sz w:val="20"/>
                <w:szCs w:val="20"/>
              </w:rPr>
            </w:pPr>
            <w:r w:rsidRPr="00415840">
              <w:rPr>
                <w:sz w:val="20"/>
                <w:szCs w:val="20"/>
              </w:rPr>
              <w:t> </w:t>
            </w:r>
            <w:r w:rsidR="00192ED5">
              <w:rPr>
                <w:sz w:val="20"/>
                <w:szCs w:val="20"/>
              </w:rPr>
              <w:t>-</w:t>
            </w:r>
          </w:p>
        </w:tc>
        <w:tc>
          <w:tcPr>
            <w:tcW w:w="1436"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b/>
                <w:bCs/>
                <w:sz w:val="20"/>
                <w:szCs w:val="20"/>
              </w:rPr>
            </w:pPr>
            <w:r w:rsidRPr="00415840">
              <w:rPr>
                <w:b/>
                <w:bCs/>
                <w:sz w:val="20"/>
                <w:szCs w:val="20"/>
              </w:rPr>
              <w:t xml:space="preserve">                    76 </w:t>
            </w:r>
          </w:p>
        </w:tc>
      </w:tr>
      <w:tr w:rsidR="00415840" w:rsidRPr="00415840" w:rsidTr="00192ED5">
        <w:trPr>
          <w:trHeight w:val="263"/>
        </w:trPr>
        <w:tc>
          <w:tcPr>
            <w:tcW w:w="2093" w:type="dxa"/>
            <w:tcBorders>
              <w:top w:val="nil"/>
              <w:left w:val="single" w:sz="4" w:space="0" w:color="auto"/>
              <w:bottom w:val="single" w:sz="4" w:space="0" w:color="auto"/>
              <w:right w:val="single" w:sz="4" w:space="0" w:color="auto"/>
            </w:tcBorders>
            <w:shd w:val="clear" w:color="auto" w:fill="auto"/>
            <w:vAlign w:val="bottom"/>
            <w:hideMark/>
          </w:tcPr>
          <w:p w:rsidR="00415840" w:rsidRPr="00415840" w:rsidRDefault="00415840" w:rsidP="00415840">
            <w:pPr>
              <w:rPr>
                <w:sz w:val="20"/>
                <w:szCs w:val="20"/>
              </w:rPr>
            </w:pPr>
            <w:r w:rsidRPr="00415840">
              <w:rPr>
                <w:sz w:val="20"/>
                <w:szCs w:val="20"/>
              </w:rPr>
              <w:t>Heritage Trust Fund</w:t>
            </w:r>
          </w:p>
        </w:tc>
        <w:tc>
          <w:tcPr>
            <w:tcW w:w="1856" w:type="dxa"/>
            <w:tcBorders>
              <w:top w:val="nil"/>
              <w:left w:val="nil"/>
              <w:bottom w:val="single" w:sz="4" w:space="0" w:color="auto"/>
              <w:right w:val="single" w:sz="4" w:space="0" w:color="auto"/>
            </w:tcBorders>
            <w:shd w:val="clear" w:color="auto" w:fill="auto"/>
            <w:vAlign w:val="bottom"/>
            <w:hideMark/>
          </w:tcPr>
          <w:p w:rsidR="00415840" w:rsidRPr="00415840" w:rsidRDefault="00192ED5" w:rsidP="00415840">
            <w:pPr>
              <w:jc w:val="right"/>
              <w:rPr>
                <w:sz w:val="20"/>
                <w:szCs w:val="20"/>
              </w:rPr>
            </w:pPr>
            <w:r>
              <w:rPr>
                <w:sz w:val="20"/>
                <w:szCs w:val="20"/>
              </w:rPr>
              <w:t>-</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415840" w:rsidRPr="00415840" w:rsidRDefault="00415840" w:rsidP="00415840">
            <w:pPr>
              <w:jc w:val="right"/>
              <w:rPr>
                <w:sz w:val="20"/>
                <w:szCs w:val="20"/>
              </w:rPr>
            </w:pPr>
            <w:r w:rsidRPr="00415840">
              <w:rPr>
                <w:sz w:val="20"/>
                <w:szCs w:val="20"/>
              </w:rPr>
              <w:t>450</w:t>
            </w:r>
          </w:p>
        </w:tc>
        <w:tc>
          <w:tcPr>
            <w:tcW w:w="1706"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sz w:val="20"/>
                <w:szCs w:val="20"/>
              </w:rPr>
            </w:pPr>
            <w:r w:rsidRPr="00415840">
              <w:rPr>
                <w:sz w:val="20"/>
                <w:szCs w:val="20"/>
              </w:rPr>
              <w:t xml:space="preserve">                          -   </w:t>
            </w:r>
          </w:p>
        </w:tc>
        <w:tc>
          <w:tcPr>
            <w:tcW w:w="1490"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sz w:val="20"/>
                <w:szCs w:val="20"/>
              </w:rPr>
            </w:pPr>
            <w:r w:rsidRPr="00415840">
              <w:rPr>
                <w:sz w:val="20"/>
                <w:szCs w:val="20"/>
              </w:rPr>
              <w:t> </w:t>
            </w:r>
            <w:r w:rsidR="00192ED5">
              <w:rPr>
                <w:sz w:val="20"/>
                <w:szCs w:val="20"/>
              </w:rPr>
              <w:t>-</w:t>
            </w:r>
          </w:p>
        </w:tc>
        <w:tc>
          <w:tcPr>
            <w:tcW w:w="1436"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b/>
                <w:bCs/>
                <w:sz w:val="20"/>
                <w:szCs w:val="20"/>
              </w:rPr>
            </w:pPr>
            <w:r w:rsidRPr="00415840">
              <w:rPr>
                <w:b/>
                <w:bCs/>
                <w:sz w:val="20"/>
                <w:szCs w:val="20"/>
              </w:rPr>
              <w:t xml:space="preserve">                   450 </w:t>
            </w:r>
          </w:p>
        </w:tc>
      </w:tr>
      <w:tr w:rsidR="00415840" w:rsidRPr="00415840" w:rsidTr="00192ED5">
        <w:trPr>
          <w:trHeight w:val="684"/>
        </w:trPr>
        <w:tc>
          <w:tcPr>
            <w:tcW w:w="2093" w:type="dxa"/>
            <w:tcBorders>
              <w:top w:val="nil"/>
              <w:left w:val="single" w:sz="4" w:space="0" w:color="auto"/>
              <w:bottom w:val="single" w:sz="4" w:space="0" w:color="auto"/>
              <w:right w:val="single" w:sz="4" w:space="0" w:color="auto"/>
            </w:tcBorders>
            <w:shd w:val="clear" w:color="auto" w:fill="auto"/>
            <w:vAlign w:val="bottom"/>
            <w:hideMark/>
          </w:tcPr>
          <w:p w:rsidR="00415840" w:rsidRPr="00415840" w:rsidRDefault="00415840" w:rsidP="00415840">
            <w:pPr>
              <w:rPr>
                <w:sz w:val="20"/>
                <w:szCs w:val="20"/>
              </w:rPr>
            </w:pPr>
            <w:r w:rsidRPr="00415840">
              <w:rPr>
                <w:sz w:val="20"/>
                <w:szCs w:val="20"/>
              </w:rPr>
              <w:t>VAT Liability for Voluntary Aided schools (Property Scheme)</w:t>
            </w:r>
          </w:p>
        </w:tc>
        <w:tc>
          <w:tcPr>
            <w:tcW w:w="1856"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sz w:val="20"/>
                <w:szCs w:val="20"/>
              </w:rPr>
            </w:pPr>
            <w:r w:rsidRPr="00415840">
              <w:rPr>
                <w:sz w:val="20"/>
                <w:szCs w:val="20"/>
              </w:rPr>
              <w:t>141</w:t>
            </w:r>
          </w:p>
        </w:tc>
        <w:tc>
          <w:tcPr>
            <w:tcW w:w="1580" w:type="dxa"/>
            <w:tcBorders>
              <w:top w:val="single" w:sz="4" w:space="0" w:color="auto"/>
              <w:left w:val="nil"/>
              <w:bottom w:val="single" w:sz="4" w:space="0" w:color="auto"/>
              <w:right w:val="nil"/>
            </w:tcBorders>
            <w:shd w:val="clear" w:color="auto" w:fill="auto"/>
            <w:vAlign w:val="bottom"/>
            <w:hideMark/>
          </w:tcPr>
          <w:p w:rsidR="00415840" w:rsidRPr="00415840" w:rsidRDefault="00192ED5" w:rsidP="00415840">
            <w:pPr>
              <w:jc w:val="right"/>
              <w:rPr>
                <w:sz w:val="20"/>
                <w:szCs w:val="20"/>
              </w:rPr>
            </w:pPr>
            <w:r>
              <w:rPr>
                <w:sz w:val="20"/>
                <w:szCs w:val="20"/>
              </w:rPr>
              <w:t>-</w:t>
            </w:r>
          </w:p>
        </w:tc>
        <w:tc>
          <w:tcPr>
            <w:tcW w:w="1706" w:type="dxa"/>
            <w:tcBorders>
              <w:top w:val="nil"/>
              <w:left w:val="single" w:sz="4" w:space="0" w:color="auto"/>
              <w:bottom w:val="single" w:sz="4" w:space="0" w:color="auto"/>
              <w:right w:val="single" w:sz="4" w:space="0" w:color="auto"/>
            </w:tcBorders>
            <w:shd w:val="clear" w:color="auto" w:fill="auto"/>
            <w:vAlign w:val="bottom"/>
            <w:hideMark/>
          </w:tcPr>
          <w:p w:rsidR="00415840" w:rsidRPr="00415840" w:rsidRDefault="00415840" w:rsidP="00415840">
            <w:pPr>
              <w:jc w:val="right"/>
              <w:rPr>
                <w:sz w:val="20"/>
                <w:szCs w:val="20"/>
              </w:rPr>
            </w:pPr>
            <w:r w:rsidRPr="00415840">
              <w:rPr>
                <w:sz w:val="20"/>
                <w:szCs w:val="20"/>
              </w:rPr>
              <w:t xml:space="preserve">                          -   </w:t>
            </w:r>
          </w:p>
        </w:tc>
        <w:tc>
          <w:tcPr>
            <w:tcW w:w="1490"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sz w:val="20"/>
                <w:szCs w:val="20"/>
              </w:rPr>
            </w:pPr>
            <w:r w:rsidRPr="00415840">
              <w:rPr>
                <w:sz w:val="20"/>
                <w:szCs w:val="20"/>
              </w:rPr>
              <w:t> </w:t>
            </w:r>
            <w:r w:rsidR="00192ED5">
              <w:rPr>
                <w:sz w:val="20"/>
                <w:szCs w:val="20"/>
              </w:rPr>
              <w:t>-</w:t>
            </w:r>
          </w:p>
        </w:tc>
        <w:tc>
          <w:tcPr>
            <w:tcW w:w="1436"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b/>
                <w:bCs/>
                <w:sz w:val="20"/>
                <w:szCs w:val="20"/>
              </w:rPr>
            </w:pPr>
            <w:r w:rsidRPr="00415840">
              <w:rPr>
                <w:b/>
                <w:bCs/>
                <w:sz w:val="20"/>
                <w:szCs w:val="20"/>
              </w:rPr>
              <w:t xml:space="preserve">                   141 </w:t>
            </w:r>
          </w:p>
        </w:tc>
      </w:tr>
      <w:tr w:rsidR="00415840" w:rsidRPr="00415840" w:rsidTr="00192ED5">
        <w:trPr>
          <w:trHeight w:val="263"/>
        </w:trPr>
        <w:tc>
          <w:tcPr>
            <w:tcW w:w="2093" w:type="dxa"/>
            <w:tcBorders>
              <w:top w:val="nil"/>
              <w:left w:val="single" w:sz="4" w:space="0" w:color="auto"/>
              <w:bottom w:val="single" w:sz="4" w:space="0" w:color="auto"/>
              <w:right w:val="single" w:sz="4" w:space="0" w:color="auto"/>
            </w:tcBorders>
            <w:shd w:val="clear" w:color="auto" w:fill="auto"/>
            <w:vAlign w:val="bottom"/>
            <w:hideMark/>
          </w:tcPr>
          <w:p w:rsidR="00415840" w:rsidRPr="00415840" w:rsidRDefault="00415840" w:rsidP="00415840">
            <w:pPr>
              <w:rPr>
                <w:sz w:val="20"/>
                <w:szCs w:val="20"/>
              </w:rPr>
            </w:pPr>
            <w:r w:rsidRPr="00415840">
              <w:rPr>
                <w:sz w:val="20"/>
                <w:szCs w:val="20"/>
              </w:rPr>
              <w:lastRenderedPageBreak/>
              <w:t>Section 117 client refunds</w:t>
            </w:r>
          </w:p>
        </w:tc>
        <w:tc>
          <w:tcPr>
            <w:tcW w:w="1856"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sz w:val="20"/>
                <w:szCs w:val="20"/>
              </w:rPr>
            </w:pPr>
            <w:r w:rsidRPr="00415840">
              <w:rPr>
                <w:sz w:val="20"/>
                <w:szCs w:val="20"/>
              </w:rPr>
              <w:t>800</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415840" w:rsidRPr="00415840" w:rsidRDefault="00192ED5" w:rsidP="00415840">
            <w:pPr>
              <w:jc w:val="right"/>
              <w:rPr>
                <w:sz w:val="20"/>
                <w:szCs w:val="20"/>
              </w:rPr>
            </w:pPr>
            <w:r>
              <w:rPr>
                <w:sz w:val="20"/>
                <w:szCs w:val="20"/>
              </w:rPr>
              <w:t>-</w:t>
            </w:r>
          </w:p>
        </w:tc>
        <w:tc>
          <w:tcPr>
            <w:tcW w:w="1706" w:type="dxa"/>
            <w:tcBorders>
              <w:top w:val="nil"/>
              <w:left w:val="nil"/>
              <w:bottom w:val="single" w:sz="4" w:space="0" w:color="auto"/>
              <w:right w:val="single" w:sz="4" w:space="0" w:color="auto"/>
            </w:tcBorders>
            <w:shd w:val="clear" w:color="auto" w:fill="auto"/>
            <w:vAlign w:val="bottom"/>
            <w:hideMark/>
          </w:tcPr>
          <w:p w:rsidR="00415840" w:rsidRPr="00415840" w:rsidRDefault="00372C56" w:rsidP="00415840">
            <w:pPr>
              <w:jc w:val="right"/>
              <w:rPr>
                <w:sz w:val="20"/>
                <w:szCs w:val="20"/>
              </w:rPr>
            </w:pPr>
            <w:r>
              <w:rPr>
                <w:sz w:val="20"/>
                <w:szCs w:val="20"/>
              </w:rPr>
              <w:t>(</w:t>
            </w:r>
            <w:r w:rsidR="00415840" w:rsidRPr="00415840">
              <w:rPr>
                <w:sz w:val="20"/>
                <w:szCs w:val="20"/>
              </w:rPr>
              <w:t>122</w:t>
            </w:r>
            <w:r>
              <w:rPr>
                <w:sz w:val="20"/>
                <w:szCs w:val="20"/>
              </w:rPr>
              <w:t>)</w:t>
            </w:r>
          </w:p>
        </w:tc>
        <w:tc>
          <w:tcPr>
            <w:tcW w:w="1490"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sz w:val="20"/>
                <w:szCs w:val="20"/>
              </w:rPr>
            </w:pPr>
            <w:r w:rsidRPr="00415840">
              <w:rPr>
                <w:sz w:val="20"/>
                <w:szCs w:val="20"/>
              </w:rPr>
              <w:t> </w:t>
            </w:r>
            <w:r w:rsidR="00192ED5">
              <w:rPr>
                <w:sz w:val="20"/>
                <w:szCs w:val="20"/>
              </w:rPr>
              <w:t>-</w:t>
            </w:r>
          </w:p>
        </w:tc>
        <w:tc>
          <w:tcPr>
            <w:tcW w:w="1436"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b/>
                <w:bCs/>
                <w:sz w:val="20"/>
                <w:szCs w:val="20"/>
              </w:rPr>
            </w:pPr>
            <w:r w:rsidRPr="00415840">
              <w:rPr>
                <w:b/>
                <w:bCs/>
                <w:sz w:val="20"/>
                <w:szCs w:val="20"/>
              </w:rPr>
              <w:t xml:space="preserve">                   678 </w:t>
            </w:r>
          </w:p>
        </w:tc>
      </w:tr>
      <w:tr w:rsidR="00415840" w:rsidRPr="00415840" w:rsidTr="00AD3999">
        <w:trPr>
          <w:trHeight w:val="460"/>
        </w:trPr>
        <w:tc>
          <w:tcPr>
            <w:tcW w:w="2093" w:type="dxa"/>
            <w:tcBorders>
              <w:top w:val="nil"/>
              <w:left w:val="single" w:sz="4" w:space="0" w:color="auto"/>
              <w:bottom w:val="single" w:sz="4" w:space="0" w:color="auto"/>
              <w:right w:val="single" w:sz="4" w:space="0" w:color="auto"/>
            </w:tcBorders>
            <w:shd w:val="clear" w:color="auto" w:fill="auto"/>
            <w:vAlign w:val="bottom"/>
            <w:hideMark/>
          </w:tcPr>
          <w:p w:rsidR="00415840" w:rsidRPr="00415840" w:rsidRDefault="00415840" w:rsidP="00415840">
            <w:pPr>
              <w:rPr>
                <w:sz w:val="20"/>
                <w:szCs w:val="20"/>
              </w:rPr>
            </w:pPr>
            <w:r w:rsidRPr="00415840">
              <w:rPr>
                <w:sz w:val="20"/>
                <w:szCs w:val="20"/>
              </w:rPr>
              <w:t>MMI (Municipal Mutual Insurance) Provision</w:t>
            </w:r>
          </w:p>
        </w:tc>
        <w:tc>
          <w:tcPr>
            <w:tcW w:w="1856" w:type="dxa"/>
            <w:tcBorders>
              <w:top w:val="nil"/>
              <w:left w:val="nil"/>
              <w:bottom w:val="single" w:sz="4" w:space="0" w:color="auto"/>
              <w:right w:val="single" w:sz="4" w:space="0" w:color="auto"/>
            </w:tcBorders>
            <w:shd w:val="clear" w:color="auto" w:fill="auto"/>
            <w:vAlign w:val="bottom"/>
            <w:hideMark/>
          </w:tcPr>
          <w:p w:rsidR="00415840" w:rsidRPr="00415840" w:rsidRDefault="00192ED5" w:rsidP="00415840">
            <w:pPr>
              <w:jc w:val="right"/>
              <w:rPr>
                <w:sz w:val="20"/>
                <w:szCs w:val="20"/>
              </w:rPr>
            </w:pPr>
            <w:r>
              <w:rPr>
                <w:sz w:val="20"/>
                <w:szCs w:val="20"/>
              </w:rPr>
              <w:t>-</w:t>
            </w:r>
          </w:p>
        </w:tc>
        <w:tc>
          <w:tcPr>
            <w:tcW w:w="1580"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sz w:val="20"/>
                <w:szCs w:val="20"/>
              </w:rPr>
            </w:pPr>
            <w:r w:rsidRPr="00415840">
              <w:rPr>
                <w:sz w:val="20"/>
                <w:szCs w:val="20"/>
              </w:rPr>
              <w:t>4,535</w:t>
            </w:r>
          </w:p>
        </w:tc>
        <w:tc>
          <w:tcPr>
            <w:tcW w:w="1706"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sz w:val="20"/>
                <w:szCs w:val="20"/>
              </w:rPr>
            </w:pPr>
            <w:r w:rsidRPr="00415840">
              <w:rPr>
                <w:sz w:val="20"/>
                <w:szCs w:val="20"/>
              </w:rPr>
              <w:t xml:space="preserve">                          -   </w:t>
            </w:r>
          </w:p>
        </w:tc>
        <w:tc>
          <w:tcPr>
            <w:tcW w:w="1490"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sz w:val="20"/>
                <w:szCs w:val="20"/>
              </w:rPr>
            </w:pPr>
            <w:r w:rsidRPr="00415840">
              <w:rPr>
                <w:sz w:val="20"/>
                <w:szCs w:val="20"/>
              </w:rPr>
              <w:t> </w:t>
            </w:r>
            <w:r w:rsidR="00192ED5">
              <w:rPr>
                <w:sz w:val="20"/>
                <w:szCs w:val="20"/>
              </w:rPr>
              <w:t>-</w:t>
            </w:r>
          </w:p>
        </w:tc>
        <w:tc>
          <w:tcPr>
            <w:tcW w:w="1436"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b/>
                <w:bCs/>
                <w:sz w:val="20"/>
                <w:szCs w:val="20"/>
              </w:rPr>
            </w:pPr>
            <w:r w:rsidRPr="00415840">
              <w:rPr>
                <w:b/>
                <w:bCs/>
                <w:sz w:val="20"/>
                <w:szCs w:val="20"/>
              </w:rPr>
              <w:t xml:space="preserve">                4,535 </w:t>
            </w:r>
          </w:p>
        </w:tc>
      </w:tr>
      <w:tr w:rsidR="00415840" w:rsidRPr="00415840" w:rsidTr="00AD3999">
        <w:trPr>
          <w:trHeight w:val="460"/>
        </w:trPr>
        <w:tc>
          <w:tcPr>
            <w:tcW w:w="2093" w:type="dxa"/>
            <w:tcBorders>
              <w:top w:val="nil"/>
              <w:left w:val="single" w:sz="4" w:space="0" w:color="auto"/>
              <w:bottom w:val="single" w:sz="4" w:space="0" w:color="auto"/>
              <w:right w:val="single" w:sz="4" w:space="0" w:color="auto"/>
            </w:tcBorders>
            <w:shd w:val="clear" w:color="auto" w:fill="auto"/>
            <w:vAlign w:val="bottom"/>
            <w:hideMark/>
          </w:tcPr>
          <w:p w:rsidR="00415840" w:rsidRPr="00415840" w:rsidRDefault="00415840" w:rsidP="00415840">
            <w:pPr>
              <w:rPr>
                <w:sz w:val="20"/>
                <w:szCs w:val="20"/>
              </w:rPr>
            </w:pPr>
            <w:r w:rsidRPr="00415840">
              <w:rPr>
                <w:sz w:val="20"/>
                <w:szCs w:val="20"/>
              </w:rPr>
              <w:t>CRC Energy Efficiency Allowance Provision</w:t>
            </w:r>
          </w:p>
        </w:tc>
        <w:tc>
          <w:tcPr>
            <w:tcW w:w="1856" w:type="dxa"/>
            <w:tcBorders>
              <w:top w:val="nil"/>
              <w:left w:val="nil"/>
              <w:bottom w:val="single" w:sz="4" w:space="0" w:color="auto"/>
              <w:right w:val="single" w:sz="4" w:space="0" w:color="auto"/>
            </w:tcBorders>
            <w:shd w:val="clear" w:color="auto" w:fill="auto"/>
            <w:vAlign w:val="bottom"/>
            <w:hideMark/>
          </w:tcPr>
          <w:p w:rsidR="00415840" w:rsidRPr="00415840" w:rsidRDefault="00192ED5" w:rsidP="00415840">
            <w:pPr>
              <w:jc w:val="right"/>
              <w:rPr>
                <w:sz w:val="20"/>
                <w:szCs w:val="20"/>
              </w:rPr>
            </w:pPr>
            <w:r>
              <w:rPr>
                <w:sz w:val="20"/>
                <w:szCs w:val="20"/>
              </w:rPr>
              <w:t>-</w:t>
            </w:r>
          </w:p>
        </w:tc>
        <w:tc>
          <w:tcPr>
            <w:tcW w:w="1580"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sz w:val="20"/>
                <w:szCs w:val="20"/>
              </w:rPr>
            </w:pPr>
            <w:r w:rsidRPr="00415840">
              <w:rPr>
                <w:sz w:val="20"/>
                <w:szCs w:val="20"/>
              </w:rPr>
              <w:t>900</w:t>
            </w:r>
          </w:p>
        </w:tc>
        <w:tc>
          <w:tcPr>
            <w:tcW w:w="1706"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sz w:val="20"/>
                <w:szCs w:val="20"/>
              </w:rPr>
            </w:pPr>
            <w:r w:rsidRPr="00415840">
              <w:rPr>
                <w:sz w:val="20"/>
                <w:szCs w:val="20"/>
              </w:rPr>
              <w:t xml:space="preserve">                          -   </w:t>
            </w:r>
          </w:p>
        </w:tc>
        <w:tc>
          <w:tcPr>
            <w:tcW w:w="1490"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sz w:val="20"/>
                <w:szCs w:val="20"/>
              </w:rPr>
            </w:pPr>
            <w:r w:rsidRPr="00415840">
              <w:rPr>
                <w:sz w:val="20"/>
                <w:szCs w:val="20"/>
              </w:rPr>
              <w:t> </w:t>
            </w:r>
            <w:r w:rsidR="00192ED5">
              <w:rPr>
                <w:sz w:val="20"/>
                <w:szCs w:val="20"/>
              </w:rPr>
              <w:t>-</w:t>
            </w:r>
          </w:p>
        </w:tc>
        <w:tc>
          <w:tcPr>
            <w:tcW w:w="1436"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b/>
                <w:bCs/>
                <w:sz w:val="20"/>
                <w:szCs w:val="20"/>
              </w:rPr>
            </w:pPr>
            <w:r w:rsidRPr="00415840">
              <w:rPr>
                <w:b/>
                <w:bCs/>
                <w:sz w:val="20"/>
                <w:szCs w:val="20"/>
              </w:rPr>
              <w:t xml:space="preserve">                   900 </w:t>
            </w:r>
          </w:p>
        </w:tc>
      </w:tr>
      <w:tr w:rsidR="00415840" w:rsidRPr="00415840" w:rsidTr="00AD3999">
        <w:trPr>
          <w:trHeight w:val="263"/>
        </w:trPr>
        <w:tc>
          <w:tcPr>
            <w:tcW w:w="2093" w:type="dxa"/>
            <w:tcBorders>
              <w:top w:val="nil"/>
              <w:left w:val="single" w:sz="4" w:space="0" w:color="auto"/>
              <w:bottom w:val="single" w:sz="4" w:space="0" w:color="auto"/>
              <w:right w:val="single" w:sz="4" w:space="0" w:color="auto"/>
            </w:tcBorders>
            <w:shd w:val="clear" w:color="auto" w:fill="auto"/>
            <w:vAlign w:val="bottom"/>
            <w:hideMark/>
          </w:tcPr>
          <w:p w:rsidR="00415840" w:rsidRPr="00415840" w:rsidRDefault="00415840" w:rsidP="00415840">
            <w:pPr>
              <w:rPr>
                <w:sz w:val="20"/>
                <w:szCs w:val="20"/>
              </w:rPr>
            </w:pPr>
            <w:r w:rsidRPr="00415840">
              <w:rPr>
                <w:sz w:val="20"/>
                <w:szCs w:val="20"/>
              </w:rPr>
              <w:t>Equal Pay Review Provision</w:t>
            </w:r>
          </w:p>
        </w:tc>
        <w:tc>
          <w:tcPr>
            <w:tcW w:w="1856"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sz w:val="20"/>
                <w:szCs w:val="20"/>
              </w:rPr>
            </w:pPr>
            <w:r w:rsidRPr="00415840">
              <w:rPr>
                <w:sz w:val="20"/>
                <w:szCs w:val="20"/>
              </w:rPr>
              <w:t>8,432</w:t>
            </w:r>
          </w:p>
        </w:tc>
        <w:tc>
          <w:tcPr>
            <w:tcW w:w="1580"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sz w:val="20"/>
                <w:szCs w:val="20"/>
              </w:rPr>
            </w:pPr>
            <w:r w:rsidRPr="00415840">
              <w:rPr>
                <w:sz w:val="20"/>
                <w:szCs w:val="20"/>
              </w:rPr>
              <w:t>7,787</w:t>
            </w:r>
          </w:p>
        </w:tc>
        <w:tc>
          <w:tcPr>
            <w:tcW w:w="1706" w:type="dxa"/>
            <w:tcBorders>
              <w:top w:val="nil"/>
              <w:left w:val="nil"/>
              <w:bottom w:val="single" w:sz="4" w:space="0" w:color="auto"/>
              <w:right w:val="single" w:sz="4" w:space="0" w:color="auto"/>
            </w:tcBorders>
            <w:shd w:val="clear" w:color="auto" w:fill="auto"/>
            <w:vAlign w:val="bottom"/>
            <w:hideMark/>
          </w:tcPr>
          <w:p w:rsidR="00415840" w:rsidRPr="00415840" w:rsidRDefault="00372C56" w:rsidP="00415840">
            <w:pPr>
              <w:jc w:val="right"/>
              <w:rPr>
                <w:sz w:val="20"/>
                <w:szCs w:val="20"/>
              </w:rPr>
            </w:pPr>
            <w:r>
              <w:rPr>
                <w:sz w:val="20"/>
                <w:szCs w:val="20"/>
              </w:rPr>
              <w:t>(</w:t>
            </w:r>
            <w:r w:rsidR="00415840" w:rsidRPr="00415840">
              <w:rPr>
                <w:sz w:val="20"/>
                <w:szCs w:val="20"/>
              </w:rPr>
              <w:t>11,006</w:t>
            </w:r>
            <w:r>
              <w:rPr>
                <w:sz w:val="20"/>
                <w:szCs w:val="20"/>
              </w:rPr>
              <w:t>)</w:t>
            </w:r>
          </w:p>
        </w:tc>
        <w:tc>
          <w:tcPr>
            <w:tcW w:w="1490"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sz w:val="20"/>
                <w:szCs w:val="20"/>
              </w:rPr>
            </w:pPr>
            <w:r w:rsidRPr="00415840">
              <w:rPr>
                <w:sz w:val="20"/>
                <w:szCs w:val="20"/>
              </w:rPr>
              <w:t> </w:t>
            </w:r>
            <w:r w:rsidR="00192ED5">
              <w:rPr>
                <w:sz w:val="20"/>
                <w:szCs w:val="20"/>
              </w:rPr>
              <w:t>-</w:t>
            </w:r>
          </w:p>
        </w:tc>
        <w:tc>
          <w:tcPr>
            <w:tcW w:w="1436"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b/>
                <w:bCs/>
                <w:sz w:val="20"/>
                <w:szCs w:val="20"/>
              </w:rPr>
            </w:pPr>
            <w:r w:rsidRPr="00415840">
              <w:rPr>
                <w:b/>
                <w:bCs/>
                <w:sz w:val="20"/>
                <w:szCs w:val="20"/>
              </w:rPr>
              <w:t xml:space="preserve">                5,213 </w:t>
            </w:r>
          </w:p>
        </w:tc>
      </w:tr>
      <w:tr w:rsidR="00415840" w:rsidRPr="00415840" w:rsidTr="00AD3999">
        <w:trPr>
          <w:trHeight w:val="460"/>
        </w:trPr>
        <w:tc>
          <w:tcPr>
            <w:tcW w:w="2093" w:type="dxa"/>
            <w:tcBorders>
              <w:top w:val="nil"/>
              <w:left w:val="single" w:sz="4" w:space="0" w:color="auto"/>
              <w:bottom w:val="single" w:sz="4" w:space="0" w:color="auto"/>
              <w:right w:val="single" w:sz="4" w:space="0" w:color="auto"/>
            </w:tcBorders>
            <w:shd w:val="clear" w:color="auto" w:fill="auto"/>
            <w:vAlign w:val="bottom"/>
            <w:hideMark/>
          </w:tcPr>
          <w:p w:rsidR="00415840" w:rsidRPr="00415840" w:rsidRDefault="00415840" w:rsidP="00415840">
            <w:pPr>
              <w:rPr>
                <w:sz w:val="20"/>
                <w:szCs w:val="20"/>
              </w:rPr>
            </w:pPr>
            <w:r w:rsidRPr="00415840">
              <w:rPr>
                <w:sz w:val="20"/>
                <w:szCs w:val="20"/>
              </w:rPr>
              <w:t>Early Retirement Early Severance Provision</w:t>
            </w:r>
          </w:p>
        </w:tc>
        <w:tc>
          <w:tcPr>
            <w:tcW w:w="1856"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sz w:val="20"/>
                <w:szCs w:val="20"/>
              </w:rPr>
            </w:pPr>
            <w:r w:rsidRPr="00415840">
              <w:rPr>
                <w:sz w:val="20"/>
                <w:szCs w:val="20"/>
              </w:rPr>
              <w:t>10,441</w:t>
            </w:r>
          </w:p>
        </w:tc>
        <w:tc>
          <w:tcPr>
            <w:tcW w:w="1580"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sz w:val="20"/>
                <w:szCs w:val="20"/>
              </w:rPr>
            </w:pPr>
            <w:r w:rsidRPr="00415840">
              <w:rPr>
                <w:sz w:val="20"/>
                <w:szCs w:val="20"/>
              </w:rPr>
              <w:t>8,419</w:t>
            </w:r>
          </w:p>
        </w:tc>
        <w:tc>
          <w:tcPr>
            <w:tcW w:w="1706" w:type="dxa"/>
            <w:tcBorders>
              <w:top w:val="nil"/>
              <w:left w:val="nil"/>
              <w:bottom w:val="single" w:sz="4" w:space="0" w:color="auto"/>
              <w:right w:val="single" w:sz="4" w:space="0" w:color="auto"/>
            </w:tcBorders>
            <w:shd w:val="clear" w:color="auto" w:fill="auto"/>
            <w:vAlign w:val="bottom"/>
            <w:hideMark/>
          </w:tcPr>
          <w:p w:rsidR="00415840" w:rsidRPr="00415840" w:rsidRDefault="00372C56" w:rsidP="00415840">
            <w:pPr>
              <w:jc w:val="right"/>
              <w:rPr>
                <w:sz w:val="20"/>
                <w:szCs w:val="20"/>
              </w:rPr>
            </w:pPr>
            <w:r>
              <w:rPr>
                <w:sz w:val="20"/>
                <w:szCs w:val="20"/>
              </w:rPr>
              <w:t>(</w:t>
            </w:r>
            <w:r w:rsidR="00415840" w:rsidRPr="00415840">
              <w:rPr>
                <w:sz w:val="20"/>
                <w:szCs w:val="20"/>
              </w:rPr>
              <w:t>16,224</w:t>
            </w:r>
            <w:r>
              <w:rPr>
                <w:sz w:val="20"/>
                <w:szCs w:val="20"/>
              </w:rPr>
              <w:t>)</w:t>
            </w:r>
          </w:p>
        </w:tc>
        <w:tc>
          <w:tcPr>
            <w:tcW w:w="1490"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sz w:val="20"/>
                <w:szCs w:val="20"/>
              </w:rPr>
            </w:pPr>
            <w:r w:rsidRPr="00415840">
              <w:rPr>
                <w:sz w:val="20"/>
                <w:szCs w:val="20"/>
              </w:rPr>
              <w:t> </w:t>
            </w:r>
            <w:r w:rsidR="00192ED5">
              <w:rPr>
                <w:sz w:val="20"/>
                <w:szCs w:val="20"/>
              </w:rPr>
              <w:t>-</w:t>
            </w:r>
          </w:p>
        </w:tc>
        <w:tc>
          <w:tcPr>
            <w:tcW w:w="1436"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b/>
                <w:bCs/>
                <w:sz w:val="20"/>
                <w:szCs w:val="20"/>
              </w:rPr>
            </w:pPr>
            <w:r w:rsidRPr="00415840">
              <w:rPr>
                <w:b/>
                <w:bCs/>
                <w:sz w:val="20"/>
                <w:szCs w:val="20"/>
              </w:rPr>
              <w:t xml:space="preserve">      </w:t>
            </w:r>
            <w:r w:rsidR="00A27A6F">
              <w:rPr>
                <w:b/>
                <w:bCs/>
                <w:sz w:val="20"/>
                <w:szCs w:val="20"/>
              </w:rPr>
              <w:t xml:space="preserve">          2,636</w:t>
            </w:r>
            <w:r w:rsidRPr="00415840">
              <w:rPr>
                <w:b/>
                <w:bCs/>
                <w:sz w:val="20"/>
                <w:szCs w:val="20"/>
              </w:rPr>
              <w:t xml:space="preserve"> </w:t>
            </w:r>
          </w:p>
        </w:tc>
      </w:tr>
      <w:tr w:rsidR="00415840" w:rsidRPr="00415840" w:rsidTr="00192ED5">
        <w:trPr>
          <w:trHeight w:val="263"/>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415840" w:rsidRPr="00415840" w:rsidRDefault="00415840" w:rsidP="00415840">
            <w:pPr>
              <w:rPr>
                <w:sz w:val="20"/>
                <w:szCs w:val="20"/>
              </w:rPr>
            </w:pPr>
            <w:r w:rsidRPr="00415840">
              <w:rPr>
                <w:sz w:val="20"/>
                <w:szCs w:val="20"/>
              </w:rPr>
              <w:t>Employment Tribunal</w:t>
            </w:r>
          </w:p>
        </w:tc>
        <w:tc>
          <w:tcPr>
            <w:tcW w:w="1856"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sz w:val="20"/>
                <w:szCs w:val="20"/>
              </w:rPr>
            </w:pPr>
            <w:r w:rsidRPr="00415840">
              <w:rPr>
                <w:sz w:val="20"/>
                <w:szCs w:val="20"/>
              </w:rPr>
              <w:t>222</w:t>
            </w:r>
          </w:p>
        </w:tc>
        <w:tc>
          <w:tcPr>
            <w:tcW w:w="1580" w:type="dxa"/>
            <w:tcBorders>
              <w:top w:val="nil"/>
              <w:left w:val="nil"/>
              <w:bottom w:val="single" w:sz="4" w:space="0" w:color="auto"/>
              <w:right w:val="single" w:sz="4" w:space="0" w:color="auto"/>
            </w:tcBorders>
            <w:shd w:val="clear" w:color="auto" w:fill="auto"/>
            <w:vAlign w:val="bottom"/>
            <w:hideMark/>
          </w:tcPr>
          <w:p w:rsidR="00415840" w:rsidRPr="00415840" w:rsidRDefault="00192ED5" w:rsidP="00192ED5">
            <w:pPr>
              <w:jc w:val="right"/>
              <w:rPr>
                <w:sz w:val="20"/>
                <w:szCs w:val="20"/>
              </w:rPr>
            </w:pPr>
            <w:r>
              <w:rPr>
                <w:sz w:val="20"/>
                <w:szCs w:val="20"/>
              </w:rPr>
              <w:t>-</w:t>
            </w:r>
          </w:p>
        </w:tc>
        <w:tc>
          <w:tcPr>
            <w:tcW w:w="1706" w:type="dxa"/>
            <w:tcBorders>
              <w:top w:val="nil"/>
              <w:left w:val="nil"/>
              <w:bottom w:val="single" w:sz="4" w:space="0" w:color="auto"/>
              <w:right w:val="single" w:sz="4" w:space="0" w:color="auto"/>
            </w:tcBorders>
            <w:shd w:val="clear" w:color="auto" w:fill="auto"/>
            <w:vAlign w:val="bottom"/>
            <w:hideMark/>
          </w:tcPr>
          <w:p w:rsidR="00415840" w:rsidRPr="00415840" w:rsidRDefault="00372C56" w:rsidP="00192ED5">
            <w:pPr>
              <w:jc w:val="right"/>
              <w:rPr>
                <w:sz w:val="20"/>
                <w:szCs w:val="20"/>
              </w:rPr>
            </w:pPr>
            <w:r>
              <w:rPr>
                <w:sz w:val="20"/>
                <w:szCs w:val="20"/>
              </w:rPr>
              <w:t>(</w:t>
            </w:r>
            <w:r w:rsidR="00415840" w:rsidRPr="00415840">
              <w:rPr>
                <w:sz w:val="20"/>
                <w:szCs w:val="20"/>
              </w:rPr>
              <w:t>122</w:t>
            </w:r>
            <w:r>
              <w:rPr>
                <w:sz w:val="20"/>
                <w:szCs w:val="20"/>
              </w:rPr>
              <w:t>)</w:t>
            </w:r>
          </w:p>
        </w:tc>
        <w:tc>
          <w:tcPr>
            <w:tcW w:w="1490"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192ED5">
            <w:pPr>
              <w:jc w:val="right"/>
              <w:rPr>
                <w:sz w:val="20"/>
                <w:szCs w:val="20"/>
              </w:rPr>
            </w:pPr>
            <w:r w:rsidRPr="00415840">
              <w:rPr>
                <w:sz w:val="20"/>
                <w:szCs w:val="20"/>
              </w:rPr>
              <w:t> </w:t>
            </w:r>
            <w:r w:rsidR="00192ED5">
              <w:rPr>
                <w:sz w:val="20"/>
                <w:szCs w:val="20"/>
              </w:rPr>
              <w:t>-</w:t>
            </w:r>
          </w:p>
        </w:tc>
        <w:tc>
          <w:tcPr>
            <w:tcW w:w="1436"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b/>
                <w:bCs/>
                <w:sz w:val="20"/>
                <w:szCs w:val="20"/>
              </w:rPr>
            </w:pPr>
            <w:r w:rsidRPr="00415840">
              <w:rPr>
                <w:b/>
                <w:bCs/>
                <w:sz w:val="20"/>
                <w:szCs w:val="20"/>
              </w:rPr>
              <w:t xml:space="preserve">                   100 </w:t>
            </w:r>
          </w:p>
        </w:tc>
      </w:tr>
      <w:tr w:rsidR="00415840" w:rsidRPr="00415840" w:rsidTr="00192ED5">
        <w:trPr>
          <w:trHeight w:val="263"/>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415840" w:rsidRPr="00415840" w:rsidRDefault="00415840" w:rsidP="00415840">
            <w:pPr>
              <w:rPr>
                <w:sz w:val="20"/>
                <w:szCs w:val="20"/>
              </w:rPr>
            </w:pPr>
            <w:r w:rsidRPr="00415840">
              <w:rPr>
                <w:sz w:val="20"/>
                <w:szCs w:val="20"/>
              </w:rPr>
              <w:t>Aids and Adaptations</w:t>
            </w:r>
          </w:p>
        </w:tc>
        <w:tc>
          <w:tcPr>
            <w:tcW w:w="1856"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sz w:val="20"/>
                <w:szCs w:val="20"/>
              </w:rPr>
            </w:pPr>
            <w:r w:rsidRPr="00415840">
              <w:rPr>
                <w:sz w:val="20"/>
                <w:szCs w:val="20"/>
              </w:rPr>
              <w:t>190</w:t>
            </w:r>
          </w:p>
        </w:tc>
        <w:tc>
          <w:tcPr>
            <w:tcW w:w="1580"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192ED5">
            <w:pPr>
              <w:jc w:val="right"/>
              <w:rPr>
                <w:sz w:val="20"/>
                <w:szCs w:val="20"/>
              </w:rPr>
            </w:pPr>
            <w:r w:rsidRPr="00415840">
              <w:rPr>
                <w:sz w:val="20"/>
                <w:szCs w:val="20"/>
              </w:rPr>
              <w:t>38</w:t>
            </w:r>
          </w:p>
        </w:tc>
        <w:tc>
          <w:tcPr>
            <w:tcW w:w="1706" w:type="dxa"/>
            <w:tcBorders>
              <w:top w:val="nil"/>
              <w:left w:val="nil"/>
              <w:bottom w:val="single" w:sz="4" w:space="0" w:color="auto"/>
              <w:right w:val="single" w:sz="4" w:space="0" w:color="auto"/>
            </w:tcBorders>
            <w:shd w:val="clear" w:color="auto" w:fill="auto"/>
            <w:vAlign w:val="bottom"/>
            <w:hideMark/>
          </w:tcPr>
          <w:p w:rsidR="00415840" w:rsidRPr="00415840" w:rsidRDefault="00192ED5" w:rsidP="00192ED5">
            <w:pPr>
              <w:jc w:val="right"/>
              <w:rPr>
                <w:sz w:val="20"/>
                <w:szCs w:val="20"/>
              </w:rPr>
            </w:pPr>
            <w:r>
              <w:rPr>
                <w:sz w:val="20"/>
                <w:szCs w:val="20"/>
              </w:rPr>
              <w:t>-</w:t>
            </w:r>
          </w:p>
        </w:tc>
        <w:tc>
          <w:tcPr>
            <w:tcW w:w="1490" w:type="dxa"/>
            <w:tcBorders>
              <w:top w:val="nil"/>
              <w:left w:val="nil"/>
              <w:bottom w:val="single" w:sz="4" w:space="0" w:color="auto"/>
              <w:right w:val="single" w:sz="4" w:space="0" w:color="auto"/>
            </w:tcBorders>
            <w:shd w:val="clear" w:color="auto" w:fill="auto"/>
            <w:vAlign w:val="center"/>
            <w:hideMark/>
          </w:tcPr>
          <w:p w:rsidR="00415840" w:rsidRPr="00415840" w:rsidRDefault="00415840" w:rsidP="00415840">
            <w:pPr>
              <w:jc w:val="right"/>
              <w:rPr>
                <w:sz w:val="20"/>
                <w:szCs w:val="20"/>
              </w:rPr>
            </w:pPr>
            <w:r w:rsidRPr="00415840">
              <w:rPr>
                <w:sz w:val="20"/>
                <w:szCs w:val="20"/>
              </w:rPr>
              <w:t> </w:t>
            </w:r>
            <w:r w:rsidR="00192ED5">
              <w:rPr>
                <w:sz w:val="20"/>
                <w:szCs w:val="20"/>
              </w:rPr>
              <w:t>-</w:t>
            </w:r>
          </w:p>
        </w:tc>
        <w:tc>
          <w:tcPr>
            <w:tcW w:w="1436"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b/>
                <w:bCs/>
                <w:sz w:val="20"/>
                <w:szCs w:val="20"/>
              </w:rPr>
            </w:pPr>
            <w:r w:rsidRPr="00415840">
              <w:rPr>
                <w:b/>
                <w:bCs/>
                <w:sz w:val="20"/>
                <w:szCs w:val="20"/>
              </w:rPr>
              <w:t xml:space="preserve">                   228 </w:t>
            </w:r>
          </w:p>
        </w:tc>
      </w:tr>
      <w:tr w:rsidR="00415840" w:rsidRPr="00415840" w:rsidTr="00AD3999">
        <w:trPr>
          <w:trHeight w:val="263"/>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415840" w:rsidRPr="00415840" w:rsidRDefault="00415840" w:rsidP="00415840">
            <w:pPr>
              <w:rPr>
                <w:sz w:val="20"/>
                <w:szCs w:val="20"/>
              </w:rPr>
            </w:pPr>
            <w:r w:rsidRPr="00415840">
              <w:rPr>
                <w:sz w:val="20"/>
                <w:szCs w:val="20"/>
              </w:rPr>
              <w:t>Legal Settlement and Costs</w:t>
            </w:r>
          </w:p>
        </w:tc>
        <w:tc>
          <w:tcPr>
            <w:tcW w:w="1856"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sz w:val="20"/>
                <w:szCs w:val="20"/>
              </w:rPr>
            </w:pPr>
            <w:r w:rsidRPr="00415840">
              <w:rPr>
                <w:sz w:val="20"/>
                <w:szCs w:val="20"/>
              </w:rPr>
              <w:t>100</w:t>
            </w:r>
          </w:p>
        </w:tc>
        <w:tc>
          <w:tcPr>
            <w:tcW w:w="1580"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sz w:val="20"/>
                <w:szCs w:val="20"/>
              </w:rPr>
            </w:pPr>
            <w:r w:rsidRPr="00415840">
              <w:rPr>
                <w:sz w:val="20"/>
                <w:szCs w:val="20"/>
              </w:rPr>
              <w:t>671</w:t>
            </w:r>
          </w:p>
        </w:tc>
        <w:tc>
          <w:tcPr>
            <w:tcW w:w="1706" w:type="dxa"/>
            <w:tcBorders>
              <w:top w:val="nil"/>
              <w:left w:val="nil"/>
              <w:bottom w:val="single" w:sz="4" w:space="0" w:color="auto"/>
              <w:right w:val="single" w:sz="4" w:space="0" w:color="auto"/>
            </w:tcBorders>
            <w:shd w:val="clear" w:color="auto" w:fill="auto"/>
            <w:vAlign w:val="bottom"/>
            <w:hideMark/>
          </w:tcPr>
          <w:p w:rsidR="00415840" w:rsidRPr="00415840" w:rsidRDefault="00192ED5" w:rsidP="00415840">
            <w:pPr>
              <w:jc w:val="right"/>
              <w:rPr>
                <w:sz w:val="20"/>
                <w:szCs w:val="20"/>
              </w:rPr>
            </w:pPr>
            <w:r>
              <w:rPr>
                <w:sz w:val="20"/>
                <w:szCs w:val="20"/>
              </w:rPr>
              <w:t>-</w:t>
            </w:r>
          </w:p>
        </w:tc>
        <w:tc>
          <w:tcPr>
            <w:tcW w:w="1490"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sz w:val="20"/>
                <w:szCs w:val="20"/>
              </w:rPr>
            </w:pPr>
            <w:r w:rsidRPr="00415840">
              <w:rPr>
                <w:sz w:val="20"/>
                <w:szCs w:val="20"/>
              </w:rPr>
              <w:t> </w:t>
            </w:r>
            <w:r w:rsidR="00192ED5">
              <w:rPr>
                <w:sz w:val="20"/>
                <w:szCs w:val="20"/>
              </w:rPr>
              <w:t>-</w:t>
            </w:r>
          </w:p>
        </w:tc>
        <w:tc>
          <w:tcPr>
            <w:tcW w:w="1436"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b/>
                <w:bCs/>
                <w:sz w:val="20"/>
                <w:szCs w:val="20"/>
              </w:rPr>
            </w:pPr>
            <w:r w:rsidRPr="00415840">
              <w:rPr>
                <w:b/>
                <w:bCs/>
                <w:sz w:val="20"/>
                <w:szCs w:val="20"/>
              </w:rPr>
              <w:t xml:space="preserve">                   771 </w:t>
            </w:r>
          </w:p>
        </w:tc>
      </w:tr>
      <w:tr w:rsidR="00415840" w:rsidRPr="00415840" w:rsidTr="00192ED5">
        <w:trPr>
          <w:trHeight w:val="447"/>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415840" w:rsidRPr="00415840" w:rsidRDefault="00415840" w:rsidP="00415840">
            <w:pPr>
              <w:rPr>
                <w:sz w:val="20"/>
                <w:szCs w:val="20"/>
              </w:rPr>
            </w:pPr>
            <w:r w:rsidRPr="00415840">
              <w:rPr>
                <w:sz w:val="20"/>
                <w:szCs w:val="20"/>
              </w:rPr>
              <w:t>Children's Trusts - Safeguarding</w:t>
            </w:r>
          </w:p>
        </w:tc>
        <w:tc>
          <w:tcPr>
            <w:tcW w:w="1856"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sz w:val="20"/>
                <w:szCs w:val="20"/>
              </w:rPr>
            </w:pPr>
            <w:r w:rsidRPr="00415840">
              <w:rPr>
                <w:sz w:val="20"/>
                <w:szCs w:val="20"/>
              </w:rPr>
              <w:t>1,000</w:t>
            </w:r>
          </w:p>
        </w:tc>
        <w:tc>
          <w:tcPr>
            <w:tcW w:w="1580"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192ED5">
            <w:pPr>
              <w:jc w:val="right"/>
              <w:rPr>
                <w:sz w:val="20"/>
                <w:szCs w:val="20"/>
              </w:rPr>
            </w:pPr>
            <w:r w:rsidRPr="00415840">
              <w:rPr>
                <w:sz w:val="20"/>
                <w:szCs w:val="20"/>
              </w:rPr>
              <w:t>46</w:t>
            </w:r>
          </w:p>
        </w:tc>
        <w:tc>
          <w:tcPr>
            <w:tcW w:w="1706" w:type="dxa"/>
            <w:tcBorders>
              <w:top w:val="nil"/>
              <w:left w:val="nil"/>
              <w:bottom w:val="single" w:sz="4" w:space="0" w:color="auto"/>
              <w:right w:val="single" w:sz="4" w:space="0" w:color="auto"/>
            </w:tcBorders>
            <w:shd w:val="clear" w:color="auto" w:fill="auto"/>
            <w:vAlign w:val="bottom"/>
            <w:hideMark/>
          </w:tcPr>
          <w:p w:rsidR="00415840" w:rsidRPr="00415840" w:rsidRDefault="00192ED5" w:rsidP="00192ED5">
            <w:pPr>
              <w:jc w:val="right"/>
              <w:rPr>
                <w:sz w:val="20"/>
                <w:szCs w:val="20"/>
              </w:rPr>
            </w:pPr>
            <w:r>
              <w:rPr>
                <w:sz w:val="20"/>
                <w:szCs w:val="20"/>
              </w:rPr>
              <w:t>-</w:t>
            </w:r>
          </w:p>
        </w:tc>
        <w:tc>
          <w:tcPr>
            <w:tcW w:w="1490" w:type="dxa"/>
            <w:tcBorders>
              <w:top w:val="nil"/>
              <w:left w:val="nil"/>
              <w:bottom w:val="single" w:sz="4" w:space="0" w:color="auto"/>
              <w:right w:val="single" w:sz="4" w:space="0" w:color="auto"/>
            </w:tcBorders>
            <w:shd w:val="clear" w:color="auto" w:fill="auto"/>
            <w:vAlign w:val="bottom"/>
            <w:hideMark/>
          </w:tcPr>
          <w:p w:rsidR="00415840" w:rsidRPr="00415840" w:rsidRDefault="00372C56" w:rsidP="00192ED5">
            <w:pPr>
              <w:jc w:val="right"/>
              <w:rPr>
                <w:sz w:val="20"/>
                <w:szCs w:val="20"/>
              </w:rPr>
            </w:pPr>
            <w:r>
              <w:rPr>
                <w:sz w:val="20"/>
                <w:szCs w:val="20"/>
              </w:rPr>
              <w:t>(</w:t>
            </w:r>
            <w:r w:rsidR="00415840" w:rsidRPr="00415840">
              <w:rPr>
                <w:sz w:val="20"/>
                <w:szCs w:val="20"/>
              </w:rPr>
              <w:t>1,046</w:t>
            </w:r>
            <w:r>
              <w:rPr>
                <w:sz w:val="20"/>
                <w:szCs w:val="20"/>
              </w:rPr>
              <w:t>)</w:t>
            </w:r>
          </w:p>
        </w:tc>
        <w:tc>
          <w:tcPr>
            <w:tcW w:w="1436"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b/>
                <w:bCs/>
                <w:sz w:val="20"/>
                <w:szCs w:val="20"/>
              </w:rPr>
            </w:pPr>
            <w:r w:rsidRPr="00415840">
              <w:rPr>
                <w:b/>
                <w:bCs/>
                <w:sz w:val="20"/>
                <w:szCs w:val="20"/>
              </w:rPr>
              <w:t xml:space="preserve">                     -   </w:t>
            </w:r>
          </w:p>
        </w:tc>
      </w:tr>
      <w:tr w:rsidR="00415840" w:rsidRPr="00415840" w:rsidTr="00AD3999">
        <w:trPr>
          <w:trHeight w:val="263"/>
        </w:trPr>
        <w:tc>
          <w:tcPr>
            <w:tcW w:w="2093" w:type="dxa"/>
            <w:tcBorders>
              <w:top w:val="nil"/>
              <w:left w:val="single" w:sz="4" w:space="0" w:color="auto"/>
              <w:bottom w:val="single" w:sz="4" w:space="0" w:color="auto"/>
              <w:right w:val="single" w:sz="4" w:space="0" w:color="auto"/>
            </w:tcBorders>
            <w:shd w:val="clear" w:color="auto" w:fill="auto"/>
            <w:vAlign w:val="bottom"/>
            <w:hideMark/>
          </w:tcPr>
          <w:p w:rsidR="00415840" w:rsidRPr="00415840" w:rsidRDefault="00415840" w:rsidP="00415840">
            <w:pPr>
              <w:rPr>
                <w:sz w:val="20"/>
                <w:szCs w:val="20"/>
              </w:rPr>
            </w:pPr>
            <w:r w:rsidRPr="00415840">
              <w:rPr>
                <w:sz w:val="20"/>
                <w:szCs w:val="20"/>
              </w:rPr>
              <w:t>Pensions Contract provision</w:t>
            </w:r>
          </w:p>
        </w:tc>
        <w:tc>
          <w:tcPr>
            <w:tcW w:w="1856"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sz w:val="20"/>
                <w:szCs w:val="20"/>
              </w:rPr>
            </w:pPr>
            <w:r w:rsidRPr="00415840">
              <w:rPr>
                <w:sz w:val="20"/>
                <w:szCs w:val="20"/>
              </w:rPr>
              <w:t>112</w:t>
            </w:r>
          </w:p>
        </w:tc>
        <w:tc>
          <w:tcPr>
            <w:tcW w:w="1580"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sz w:val="20"/>
                <w:szCs w:val="20"/>
              </w:rPr>
            </w:pPr>
            <w:r w:rsidRPr="00415840">
              <w:rPr>
                <w:sz w:val="20"/>
                <w:szCs w:val="20"/>
              </w:rPr>
              <w:t>36</w:t>
            </w:r>
          </w:p>
        </w:tc>
        <w:tc>
          <w:tcPr>
            <w:tcW w:w="1706"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sz w:val="20"/>
                <w:szCs w:val="20"/>
              </w:rPr>
            </w:pPr>
            <w:r w:rsidRPr="00415840">
              <w:rPr>
                <w:sz w:val="20"/>
                <w:szCs w:val="20"/>
              </w:rPr>
              <w:t xml:space="preserve">                          -   </w:t>
            </w:r>
          </w:p>
        </w:tc>
        <w:tc>
          <w:tcPr>
            <w:tcW w:w="1490"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sz w:val="20"/>
                <w:szCs w:val="20"/>
              </w:rPr>
            </w:pPr>
            <w:r w:rsidRPr="00415840">
              <w:rPr>
                <w:sz w:val="20"/>
                <w:szCs w:val="20"/>
              </w:rPr>
              <w:t> </w:t>
            </w:r>
            <w:r w:rsidR="00192ED5">
              <w:rPr>
                <w:sz w:val="20"/>
                <w:szCs w:val="20"/>
              </w:rPr>
              <w:t>-</w:t>
            </w:r>
          </w:p>
        </w:tc>
        <w:tc>
          <w:tcPr>
            <w:tcW w:w="1436" w:type="dxa"/>
            <w:tcBorders>
              <w:top w:val="nil"/>
              <w:left w:val="nil"/>
              <w:bottom w:val="single" w:sz="4" w:space="0" w:color="auto"/>
              <w:right w:val="single" w:sz="4" w:space="0" w:color="auto"/>
            </w:tcBorders>
            <w:shd w:val="clear" w:color="auto" w:fill="auto"/>
            <w:vAlign w:val="bottom"/>
            <w:hideMark/>
          </w:tcPr>
          <w:p w:rsidR="00415840" w:rsidRPr="00415840" w:rsidRDefault="00415840" w:rsidP="00415840">
            <w:pPr>
              <w:jc w:val="right"/>
              <w:rPr>
                <w:b/>
                <w:bCs/>
                <w:sz w:val="20"/>
                <w:szCs w:val="20"/>
              </w:rPr>
            </w:pPr>
            <w:r w:rsidRPr="00415840">
              <w:rPr>
                <w:b/>
                <w:bCs/>
                <w:sz w:val="20"/>
                <w:szCs w:val="20"/>
              </w:rPr>
              <w:t xml:space="preserve">                   148 </w:t>
            </w:r>
          </w:p>
        </w:tc>
      </w:tr>
      <w:tr w:rsidR="00415840" w:rsidRPr="00415840" w:rsidTr="00AD3999">
        <w:trPr>
          <w:trHeight w:val="276"/>
        </w:trPr>
        <w:tc>
          <w:tcPr>
            <w:tcW w:w="2093" w:type="dxa"/>
            <w:tcBorders>
              <w:top w:val="nil"/>
              <w:left w:val="single" w:sz="4" w:space="0" w:color="auto"/>
              <w:bottom w:val="double" w:sz="6" w:space="0" w:color="auto"/>
              <w:right w:val="single" w:sz="4" w:space="0" w:color="auto"/>
            </w:tcBorders>
            <w:shd w:val="clear" w:color="auto" w:fill="auto"/>
            <w:vAlign w:val="bottom"/>
            <w:hideMark/>
          </w:tcPr>
          <w:p w:rsidR="00415840" w:rsidRPr="00415840" w:rsidRDefault="00415840" w:rsidP="00415840">
            <w:pPr>
              <w:rPr>
                <w:b/>
                <w:bCs/>
                <w:sz w:val="20"/>
                <w:szCs w:val="20"/>
              </w:rPr>
            </w:pPr>
            <w:r w:rsidRPr="00415840">
              <w:rPr>
                <w:b/>
                <w:bCs/>
                <w:sz w:val="20"/>
                <w:szCs w:val="20"/>
              </w:rPr>
              <w:t xml:space="preserve">Total Provisions </w:t>
            </w:r>
          </w:p>
        </w:tc>
        <w:tc>
          <w:tcPr>
            <w:tcW w:w="1856" w:type="dxa"/>
            <w:tcBorders>
              <w:top w:val="nil"/>
              <w:left w:val="nil"/>
              <w:bottom w:val="double" w:sz="6" w:space="0" w:color="auto"/>
              <w:right w:val="single" w:sz="4" w:space="0" w:color="auto"/>
            </w:tcBorders>
            <w:shd w:val="clear" w:color="auto" w:fill="auto"/>
            <w:vAlign w:val="bottom"/>
            <w:hideMark/>
          </w:tcPr>
          <w:p w:rsidR="00415840" w:rsidRPr="00415840" w:rsidRDefault="00415840" w:rsidP="00415840">
            <w:pPr>
              <w:jc w:val="right"/>
              <w:rPr>
                <w:b/>
                <w:bCs/>
                <w:sz w:val="20"/>
                <w:szCs w:val="20"/>
              </w:rPr>
            </w:pPr>
            <w:r w:rsidRPr="00415840">
              <w:rPr>
                <w:b/>
                <w:bCs/>
                <w:sz w:val="20"/>
                <w:szCs w:val="20"/>
              </w:rPr>
              <w:t>43,565</w:t>
            </w:r>
          </w:p>
        </w:tc>
        <w:tc>
          <w:tcPr>
            <w:tcW w:w="1580" w:type="dxa"/>
            <w:tcBorders>
              <w:top w:val="nil"/>
              <w:left w:val="nil"/>
              <w:bottom w:val="double" w:sz="6" w:space="0" w:color="auto"/>
              <w:right w:val="single" w:sz="4" w:space="0" w:color="auto"/>
            </w:tcBorders>
            <w:shd w:val="clear" w:color="auto" w:fill="auto"/>
            <w:vAlign w:val="bottom"/>
            <w:hideMark/>
          </w:tcPr>
          <w:p w:rsidR="00415840" w:rsidRPr="00415840" w:rsidRDefault="00415840" w:rsidP="00415840">
            <w:pPr>
              <w:jc w:val="right"/>
              <w:rPr>
                <w:b/>
                <w:bCs/>
                <w:sz w:val="20"/>
                <w:szCs w:val="20"/>
              </w:rPr>
            </w:pPr>
            <w:r w:rsidRPr="00415840">
              <w:rPr>
                <w:b/>
                <w:bCs/>
                <w:sz w:val="20"/>
                <w:szCs w:val="20"/>
              </w:rPr>
              <w:t>31,649</w:t>
            </w:r>
          </w:p>
        </w:tc>
        <w:tc>
          <w:tcPr>
            <w:tcW w:w="1706" w:type="dxa"/>
            <w:tcBorders>
              <w:top w:val="nil"/>
              <w:left w:val="nil"/>
              <w:bottom w:val="double" w:sz="6" w:space="0" w:color="auto"/>
              <w:right w:val="single" w:sz="4" w:space="0" w:color="auto"/>
            </w:tcBorders>
            <w:shd w:val="clear" w:color="auto" w:fill="auto"/>
            <w:vAlign w:val="bottom"/>
            <w:hideMark/>
          </w:tcPr>
          <w:p w:rsidR="00415840" w:rsidRPr="00415840" w:rsidRDefault="00372C56" w:rsidP="00415840">
            <w:pPr>
              <w:jc w:val="right"/>
              <w:rPr>
                <w:b/>
                <w:bCs/>
                <w:sz w:val="20"/>
                <w:szCs w:val="20"/>
              </w:rPr>
            </w:pPr>
            <w:r>
              <w:rPr>
                <w:b/>
                <w:bCs/>
                <w:sz w:val="20"/>
                <w:szCs w:val="20"/>
              </w:rPr>
              <w:t>(</w:t>
            </w:r>
            <w:r w:rsidR="00A27A6F">
              <w:rPr>
                <w:b/>
                <w:bCs/>
                <w:sz w:val="20"/>
                <w:szCs w:val="20"/>
              </w:rPr>
              <w:t>36,670</w:t>
            </w:r>
            <w:r>
              <w:rPr>
                <w:b/>
                <w:bCs/>
                <w:sz w:val="20"/>
                <w:szCs w:val="20"/>
              </w:rPr>
              <w:t>)</w:t>
            </w:r>
          </w:p>
        </w:tc>
        <w:tc>
          <w:tcPr>
            <w:tcW w:w="1490" w:type="dxa"/>
            <w:tcBorders>
              <w:top w:val="nil"/>
              <w:left w:val="nil"/>
              <w:bottom w:val="double" w:sz="6" w:space="0" w:color="auto"/>
              <w:right w:val="single" w:sz="4" w:space="0" w:color="auto"/>
            </w:tcBorders>
            <w:shd w:val="clear" w:color="auto" w:fill="auto"/>
            <w:vAlign w:val="bottom"/>
            <w:hideMark/>
          </w:tcPr>
          <w:p w:rsidR="00415840" w:rsidRPr="00415840" w:rsidRDefault="00372C56" w:rsidP="00415840">
            <w:pPr>
              <w:jc w:val="right"/>
              <w:rPr>
                <w:b/>
                <w:bCs/>
                <w:sz w:val="20"/>
                <w:szCs w:val="20"/>
              </w:rPr>
            </w:pPr>
            <w:r>
              <w:rPr>
                <w:b/>
                <w:bCs/>
                <w:sz w:val="20"/>
                <w:szCs w:val="20"/>
              </w:rPr>
              <w:t>(</w:t>
            </w:r>
            <w:r w:rsidR="00415840" w:rsidRPr="00415840">
              <w:rPr>
                <w:b/>
                <w:bCs/>
                <w:sz w:val="20"/>
                <w:szCs w:val="20"/>
              </w:rPr>
              <w:t>3,046</w:t>
            </w:r>
            <w:r>
              <w:rPr>
                <w:b/>
                <w:bCs/>
                <w:sz w:val="20"/>
                <w:szCs w:val="20"/>
              </w:rPr>
              <w:t>)</w:t>
            </w:r>
          </w:p>
        </w:tc>
        <w:tc>
          <w:tcPr>
            <w:tcW w:w="1436" w:type="dxa"/>
            <w:tcBorders>
              <w:top w:val="nil"/>
              <w:left w:val="nil"/>
              <w:bottom w:val="double" w:sz="6" w:space="0" w:color="auto"/>
              <w:right w:val="single" w:sz="4" w:space="0" w:color="auto"/>
            </w:tcBorders>
            <w:shd w:val="clear" w:color="auto" w:fill="auto"/>
            <w:vAlign w:val="bottom"/>
            <w:hideMark/>
          </w:tcPr>
          <w:p w:rsidR="00415840" w:rsidRPr="00415840" w:rsidRDefault="00A27A6F" w:rsidP="00415840">
            <w:pPr>
              <w:jc w:val="right"/>
              <w:rPr>
                <w:b/>
                <w:bCs/>
                <w:sz w:val="20"/>
                <w:szCs w:val="20"/>
              </w:rPr>
            </w:pPr>
            <w:r>
              <w:rPr>
                <w:b/>
                <w:bCs/>
                <w:sz w:val="20"/>
                <w:szCs w:val="20"/>
              </w:rPr>
              <w:t>35,498</w:t>
            </w:r>
          </w:p>
        </w:tc>
      </w:tr>
    </w:tbl>
    <w:p w:rsidR="00415840" w:rsidRPr="00415840" w:rsidRDefault="00415840" w:rsidP="00415840">
      <w:pPr>
        <w:pStyle w:val="ListParagraph"/>
        <w:ind w:left="1004"/>
        <w:rPr>
          <w:b/>
          <w:color w:val="FF0000"/>
          <w:sz w:val="20"/>
          <w:szCs w:val="20"/>
        </w:rPr>
      </w:pPr>
    </w:p>
    <w:p w:rsidR="00415840" w:rsidRPr="00415840" w:rsidRDefault="00415840" w:rsidP="00415840">
      <w:pPr>
        <w:pStyle w:val="ListParagraph"/>
        <w:ind w:left="1004"/>
        <w:rPr>
          <w:b/>
          <w:sz w:val="20"/>
          <w:szCs w:val="20"/>
        </w:rPr>
      </w:pPr>
    </w:p>
    <w:p w:rsidR="00415840" w:rsidRPr="00AD3999" w:rsidRDefault="00415840" w:rsidP="00415840">
      <w:pPr>
        <w:pStyle w:val="ListParagraph"/>
        <w:ind w:left="1004"/>
        <w:rPr>
          <w:b/>
        </w:rPr>
      </w:pPr>
      <w:r w:rsidRPr="00AD3999">
        <w:rPr>
          <w:b/>
        </w:rPr>
        <w:t>Insurance provision</w:t>
      </w:r>
    </w:p>
    <w:p w:rsidR="00AD3999" w:rsidRPr="00AD3999" w:rsidRDefault="00AD3999" w:rsidP="00415840">
      <w:pPr>
        <w:pStyle w:val="ListParagraph"/>
        <w:ind w:left="1004"/>
        <w:rPr>
          <w:b/>
        </w:rPr>
      </w:pPr>
    </w:p>
    <w:p w:rsidR="00415840" w:rsidRPr="00AD3999" w:rsidRDefault="00415840" w:rsidP="003B314A">
      <w:pPr>
        <w:pStyle w:val="ListParagraph"/>
        <w:ind w:left="1004"/>
        <w:jc w:val="both"/>
      </w:pPr>
      <w:r w:rsidRPr="00AD3999">
        <w:t>We set aside funds to cover liability claims which our insurers will not pay because they fall below our excess and our annual self insured limits. These claims may relate to employer’s liability, public liability or buildings insurance. There are no material unfunded risks. The insurance provision contains large cash resources which may not be needed for several years. We use these resources to support our internal loans reserve .The provision is made at a level of estimated total amount for the financial year for which the authority will be liable, and will be due for payment in future years.</w:t>
      </w:r>
    </w:p>
    <w:p w:rsidR="00415840" w:rsidRPr="00AD3999" w:rsidRDefault="00415840" w:rsidP="003B314A">
      <w:pPr>
        <w:pStyle w:val="ListParagraph"/>
        <w:ind w:left="1004"/>
        <w:jc w:val="both"/>
      </w:pPr>
    </w:p>
    <w:p w:rsidR="00415840" w:rsidRPr="00AD3999" w:rsidRDefault="00415840" w:rsidP="00415840">
      <w:pPr>
        <w:pStyle w:val="ListParagraph"/>
        <w:ind w:left="1004"/>
        <w:rPr>
          <w:b/>
        </w:rPr>
      </w:pPr>
      <w:r w:rsidRPr="00AD3999">
        <w:rPr>
          <w:b/>
        </w:rPr>
        <w:t>Teachers' pension provision</w:t>
      </w:r>
    </w:p>
    <w:p w:rsidR="00AD3999" w:rsidRPr="00AD3999" w:rsidRDefault="00AD3999" w:rsidP="00415840">
      <w:pPr>
        <w:pStyle w:val="ListParagraph"/>
        <w:ind w:left="1004"/>
        <w:rPr>
          <w:b/>
        </w:rPr>
      </w:pPr>
    </w:p>
    <w:p w:rsidR="00415840" w:rsidRPr="00AD3999" w:rsidRDefault="00415840" w:rsidP="003B314A">
      <w:pPr>
        <w:pStyle w:val="ListParagraph"/>
        <w:ind w:left="1004"/>
        <w:jc w:val="both"/>
      </w:pPr>
      <w:r w:rsidRPr="00AD3999">
        <w:t xml:space="preserve">In 1995 part-time hourly-paid teachers and lecturers were allowed to join the Teachers’ Pension Scheme. With effect from 1 April 2002, any arrears of contributions have to be recovered in full from the employer i.e. the </w:t>
      </w:r>
      <w:r w:rsidR="001F1A1A">
        <w:t>County Council</w:t>
      </w:r>
      <w:r w:rsidRPr="00AD3999">
        <w:t>.  There is a delay in processing applications for some staff therefore the provision was established to fund these contributions. The spending met from the provision in year relates to applications which have been settled.</w:t>
      </w:r>
    </w:p>
    <w:p w:rsidR="00415840" w:rsidRPr="00AD3999" w:rsidRDefault="00415840" w:rsidP="003B314A">
      <w:pPr>
        <w:pStyle w:val="ListParagraph"/>
        <w:ind w:left="1004"/>
        <w:jc w:val="both"/>
        <w:rPr>
          <w:b/>
        </w:rPr>
      </w:pPr>
    </w:p>
    <w:p w:rsidR="00415840" w:rsidRPr="00AD3999" w:rsidRDefault="00415840" w:rsidP="00415840">
      <w:pPr>
        <w:pStyle w:val="ListParagraph"/>
        <w:ind w:left="1004"/>
        <w:rPr>
          <w:b/>
        </w:rPr>
      </w:pPr>
      <w:r w:rsidRPr="00AD3999">
        <w:rPr>
          <w:b/>
        </w:rPr>
        <w:t>Building Schools for the Future</w:t>
      </w:r>
    </w:p>
    <w:p w:rsidR="00AD3999" w:rsidRPr="00AD3999" w:rsidRDefault="00AD3999" w:rsidP="00415840">
      <w:pPr>
        <w:pStyle w:val="ListParagraph"/>
        <w:ind w:left="1004"/>
      </w:pPr>
    </w:p>
    <w:p w:rsidR="00415840" w:rsidRDefault="00415840" w:rsidP="003B314A">
      <w:pPr>
        <w:pStyle w:val="ListParagraph"/>
        <w:ind w:left="1004"/>
        <w:jc w:val="both"/>
      </w:pPr>
      <w:r w:rsidRPr="00AD3999">
        <w:t>This provision relates to abortive costs which will be incurred by the authority in association with the cessation of the Phase 4 – Building Schools for the Future Programme (BSF) and disputed utilities costs. This provision will also assist in bridging the funding gap anticipated with the outstanding BSF programmes. It is anticipated that the associated work and costs will be incurred in 2012/13.</w:t>
      </w:r>
    </w:p>
    <w:p w:rsidR="00933A46" w:rsidRPr="00AD3999" w:rsidRDefault="00933A46" w:rsidP="003B314A">
      <w:pPr>
        <w:pStyle w:val="ListParagraph"/>
        <w:ind w:left="1004"/>
        <w:jc w:val="both"/>
      </w:pPr>
    </w:p>
    <w:p w:rsidR="00415840" w:rsidRPr="00AD3999" w:rsidRDefault="00415840" w:rsidP="00415840">
      <w:pPr>
        <w:pStyle w:val="ListParagraph"/>
        <w:ind w:left="1004"/>
        <w:rPr>
          <w:b/>
        </w:rPr>
      </w:pPr>
    </w:p>
    <w:p w:rsidR="00415840" w:rsidRPr="00AD3999" w:rsidRDefault="00415840" w:rsidP="00415840">
      <w:pPr>
        <w:pStyle w:val="ListParagraph"/>
        <w:ind w:left="1004"/>
        <w:rPr>
          <w:b/>
        </w:rPr>
      </w:pPr>
      <w:r w:rsidRPr="00AD3999">
        <w:rPr>
          <w:b/>
        </w:rPr>
        <w:lastRenderedPageBreak/>
        <w:t>Gawthorpe Museum Capital Scheme</w:t>
      </w:r>
    </w:p>
    <w:p w:rsidR="00AD3999" w:rsidRPr="00AD3999" w:rsidRDefault="00AD3999" w:rsidP="00415840">
      <w:pPr>
        <w:pStyle w:val="ListParagraph"/>
        <w:autoSpaceDE w:val="0"/>
        <w:autoSpaceDN w:val="0"/>
        <w:ind w:left="1004"/>
      </w:pPr>
    </w:p>
    <w:p w:rsidR="00415840" w:rsidRPr="00AD3999" w:rsidRDefault="00415840" w:rsidP="003B314A">
      <w:pPr>
        <w:pStyle w:val="ListParagraph"/>
        <w:autoSpaceDE w:val="0"/>
        <w:autoSpaceDN w:val="0"/>
        <w:ind w:left="1004"/>
        <w:jc w:val="both"/>
        <w:rPr>
          <w:color w:val="1F497D"/>
        </w:rPr>
      </w:pPr>
      <w:r w:rsidRPr="00AD3999">
        <w:t xml:space="preserve">The provision was originally set-up in 2007/8 for the estimated backlog of repair and maintenance and dilapidations required on Gawthorpe Museum based on estimates at the time taken from briefing papers prepared by the </w:t>
      </w:r>
      <w:r w:rsidR="001F1A1A">
        <w:t>County Council</w:t>
      </w:r>
      <w:r w:rsidRPr="00AD3999">
        <w:t xml:space="preserve">’s property group. The </w:t>
      </w:r>
      <w:r w:rsidR="001F1A1A">
        <w:t>County Council</w:t>
      </w:r>
      <w:r w:rsidRPr="00AD3999">
        <w:t xml:space="preserve"> has since then been negotiating new arrangements in respect of this facility alongside a review of the future options for the museum.  Progress on the review has been relatively slow and the provision has been removed on the basis that it is no longer clear as to the scale and </w:t>
      </w:r>
      <w:r w:rsidRPr="00AD3999">
        <w:rPr>
          <w:color w:val="000000"/>
        </w:rPr>
        <w:t>certainty</w:t>
      </w:r>
      <w:r w:rsidRPr="00AD3999">
        <w:t xml:space="preserve"> of any potential future liability.   </w:t>
      </w:r>
    </w:p>
    <w:p w:rsidR="00415840" w:rsidRPr="00AD3999" w:rsidRDefault="00415840" w:rsidP="003B314A">
      <w:pPr>
        <w:pStyle w:val="ListParagraph"/>
        <w:ind w:left="1004"/>
        <w:jc w:val="both"/>
        <w:rPr>
          <w:b/>
        </w:rPr>
      </w:pPr>
    </w:p>
    <w:p w:rsidR="00415840" w:rsidRPr="00AD3999" w:rsidRDefault="00415840" w:rsidP="00415840">
      <w:pPr>
        <w:pStyle w:val="ListParagraph"/>
        <w:ind w:left="1004"/>
        <w:rPr>
          <w:b/>
        </w:rPr>
      </w:pPr>
      <w:r w:rsidRPr="00AD3999">
        <w:rPr>
          <w:b/>
        </w:rPr>
        <w:t>Swimming repairs and maintenance</w:t>
      </w:r>
    </w:p>
    <w:p w:rsidR="00AD3999" w:rsidRPr="00AD3999" w:rsidRDefault="00AD3999" w:rsidP="00415840">
      <w:pPr>
        <w:pStyle w:val="ListParagraph"/>
        <w:ind w:left="1004"/>
      </w:pPr>
    </w:p>
    <w:p w:rsidR="00415840" w:rsidRPr="00AD3999" w:rsidRDefault="00415840" w:rsidP="003B314A">
      <w:pPr>
        <w:pStyle w:val="ListParagraph"/>
        <w:ind w:left="1004"/>
        <w:jc w:val="both"/>
      </w:pPr>
      <w:r w:rsidRPr="00AD3999">
        <w:t xml:space="preserve">This provision is to cover the cost of repairs and maintenance work required as identified by the </w:t>
      </w:r>
      <w:r w:rsidR="001F1A1A">
        <w:t>County Council</w:t>
      </w:r>
      <w:r w:rsidRPr="00AD3999">
        <w:t>'s property group, following health and safety inspections of Heysham, Carnforth and Hornby swimming pools. It is anticipated that the associated work will be undertaken during 2012/13.</w:t>
      </w:r>
    </w:p>
    <w:p w:rsidR="00AD3999" w:rsidRPr="00AD3999" w:rsidRDefault="00AD3999" w:rsidP="00415840">
      <w:pPr>
        <w:pStyle w:val="ListParagraph"/>
        <w:ind w:left="1004"/>
        <w:rPr>
          <w:b/>
        </w:rPr>
      </w:pPr>
    </w:p>
    <w:p w:rsidR="00415840" w:rsidRPr="00AD3999" w:rsidRDefault="00415840" w:rsidP="00415840">
      <w:pPr>
        <w:pStyle w:val="ListParagraph"/>
        <w:ind w:left="1004"/>
        <w:rPr>
          <w:b/>
        </w:rPr>
      </w:pPr>
      <w:r w:rsidRPr="00AD3999">
        <w:rPr>
          <w:b/>
        </w:rPr>
        <w:t xml:space="preserve">Heritage Trust </w:t>
      </w:r>
      <w:r w:rsidR="00856DC9">
        <w:rPr>
          <w:b/>
        </w:rPr>
        <w:t>(North West Guarantee)</w:t>
      </w:r>
    </w:p>
    <w:p w:rsidR="00AD3999" w:rsidRPr="00AD3999" w:rsidRDefault="00AD3999" w:rsidP="00415840">
      <w:pPr>
        <w:pStyle w:val="ListParagraph"/>
        <w:ind w:left="1004"/>
      </w:pPr>
    </w:p>
    <w:p w:rsidR="00415840" w:rsidRPr="00AD3999" w:rsidRDefault="00415840" w:rsidP="003B314A">
      <w:pPr>
        <w:pStyle w:val="ListParagraph"/>
        <w:ind w:left="1004"/>
        <w:jc w:val="both"/>
      </w:pPr>
      <w:r w:rsidRPr="00AD3999">
        <w:t xml:space="preserve">This provision reflects a potential liability in relation to loans from the Architectural Heritage Trust to the Heritage Trust for the North West for which the </w:t>
      </w:r>
      <w:r w:rsidR="001F1A1A">
        <w:t>County Council</w:t>
      </w:r>
      <w:r w:rsidRPr="00AD3999">
        <w:t xml:space="preserve"> is the guarantor. At this stage it is not clear when a liability will materialise and, on this basis, the provision is reflected as a closing balance at 31 March 2012.</w:t>
      </w:r>
    </w:p>
    <w:p w:rsidR="00415840" w:rsidRPr="00AD3999" w:rsidRDefault="00415840" w:rsidP="00415840">
      <w:pPr>
        <w:pStyle w:val="ListParagraph"/>
        <w:ind w:left="1004"/>
        <w:rPr>
          <w:b/>
        </w:rPr>
      </w:pPr>
    </w:p>
    <w:p w:rsidR="00415840" w:rsidRPr="00AD3999" w:rsidRDefault="00415840" w:rsidP="00415840">
      <w:pPr>
        <w:pStyle w:val="ListParagraph"/>
        <w:ind w:left="1004"/>
        <w:rPr>
          <w:b/>
        </w:rPr>
      </w:pPr>
      <w:r w:rsidRPr="00AD3999">
        <w:rPr>
          <w:b/>
        </w:rPr>
        <w:t>Provision for VAT Liability for Voluntary Aided Schools (Property Scheme)</w:t>
      </w:r>
    </w:p>
    <w:p w:rsidR="00AD3999" w:rsidRPr="00AD3999" w:rsidRDefault="00AD3999" w:rsidP="00415840">
      <w:pPr>
        <w:pStyle w:val="ListParagraph"/>
        <w:ind w:left="1004"/>
      </w:pPr>
    </w:p>
    <w:p w:rsidR="00415840" w:rsidRPr="00AD3999" w:rsidRDefault="00415840" w:rsidP="003B314A">
      <w:pPr>
        <w:pStyle w:val="ListParagraph"/>
        <w:ind w:left="1004"/>
        <w:jc w:val="both"/>
      </w:pPr>
      <w:r w:rsidRPr="00AD3999">
        <w:t xml:space="preserve">A reassessment of the application of rules for reclaiming VAT for voluntary aided schools has lead to the authority having to provide for a liability to HM Revenue and Customs. It is anticipated that the liability will be settled in early 2012/13. </w:t>
      </w:r>
    </w:p>
    <w:p w:rsidR="00415840" w:rsidRPr="00AD3999" w:rsidRDefault="00415840" w:rsidP="003B314A">
      <w:pPr>
        <w:pStyle w:val="ListParagraph"/>
        <w:ind w:left="1004"/>
        <w:jc w:val="both"/>
        <w:rPr>
          <w:b/>
        </w:rPr>
      </w:pPr>
    </w:p>
    <w:p w:rsidR="00415840" w:rsidRPr="00AD3999" w:rsidRDefault="00415840" w:rsidP="00415840">
      <w:pPr>
        <w:pStyle w:val="ListParagraph"/>
        <w:ind w:left="1004"/>
        <w:rPr>
          <w:b/>
        </w:rPr>
      </w:pPr>
      <w:r w:rsidRPr="00AD3999">
        <w:rPr>
          <w:b/>
        </w:rPr>
        <w:t>Section 117 client refunds</w:t>
      </w:r>
    </w:p>
    <w:p w:rsidR="00AD3999" w:rsidRPr="00AD3999" w:rsidRDefault="00AD3999" w:rsidP="00415840">
      <w:pPr>
        <w:pStyle w:val="ListParagraph"/>
        <w:ind w:left="1004"/>
      </w:pPr>
    </w:p>
    <w:p w:rsidR="00415840" w:rsidRPr="00AD3999" w:rsidRDefault="00415840" w:rsidP="003B314A">
      <w:pPr>
        <w:pStyle w:val="ListParagraph"/>
        <w:ind w:left="1004"/>
        <w:jc w:val="both"/>
      </w:pPr>
      <w:r w:rsidRPr="00AD3999">
        <w:t xml:space="preserve">This provision is for the refund of client contributions under section 117 of the Mental Health Act.  These refunds are made as and when individual service users present valid claims to the </w:t>
      </w:r>
      <w:r w:rsidR="001F1A1A">
        <w:t>County Council</w:t>
      </w:r>
      <w:r w:rsidRPr="00AD3999">
        <w:t>.</w:t>
      </w:r>
    </w:p>
    <w:p w:rsidR="00415840" w:rsidRPr="00856DC9" w:rsidRDefault="00415840" w:rsidP="00856DC9">
      <w:pPr>
        <w:rPr>
          <w:b/>
        </w:rPr>
      </w:pPr>
    </w:p>
    <w:p w:rsidR="00415840" w:rsidRPr="00AD3999" w:rsidRDefault="00415840" w:rsidP="00415840">
      <w:pPr>
        <w:pStyle w:val="ListParagraph"/>
        <w:ind w:left="1004"/>
        <w:rPr>
          <w:b/>
        </w:rPr>
      </w:pPr>
      <w:r w:rsidRPr="00AD3999">
        <w:rPr>
          <w:b/>
        </w:rPr>
        <w:t xml:space="preserve">MMI (Municipal Mutual Insurance) </w:t>
      </w:r>
    </w:p>
    <w:p w:rsidR="00415840" w:rsidRPr="00AD3999" w:rsidRDefault="00415840" w:rsidP="00415840">
      <w:pPr>
        <w:pStyle w:val="ListParagraph"/>
        <w:ind w:left="1004"/>
      </w:pPr>
    </w:p>
    <w:p w:rsidR="00415840" w:rsidRPr="00AD3999" w:rsidRDefault="00415840" w:rsidP="003B314A">
      <w:pPr>
        <w:pStyle w:val="ListParagraph"/>
        <w:ind w:left="1004"/>
        <w:jc w:val="both"/>
      </w:pPr>
      <w:r w:rsidRPr="00AD3999">
        <w:t xml:space="preserve">This provision is to cover a liability that may arise from the potential insolvency of Municipal Mutual Insurance. A long term provision. </w:t>
      </w:r>
    </w:p>
    <w:p w:rsidR="00415840" w:rsidRPr="00AD3999" w:rsidRDefault="00415840" w:rsidP="00415840">
      <w:pPr>
        <w:pStyle w:val="ListParagraph"/>
        <w:ind w:left="1004"/>
      </w:pPr>
    </w:p>
    <w:p w:rsidR="00415840" w:rsidRPr="00AD3999" w:rsidRDefault="00415840" w:rsidP="00415840">
      <w:pPr>
        <w:pStyle w:val="ListParagraph"/>
        <w:ind w:left="1004"/>
        <w:rPr>
          <w:b/>
        </w:rPr>
      </w:pPr>
      <w:r w:rsidRPr="00AD3999">
        <w:rPr>
          <w:b/>
        </w:rPr>
        <w:t>CRC Energy Efficiency Allowance Provision</w:t>
      </w:r>
    </w:p>
    <w:p w:rsidR="00415840" w:rsidRPr="00AD3999" w:rsidRDefault="00415840" w:rsidP="00415840">
      <w:pPr>
        <w:pStyle w:val="ListParagraph"/>
        <w:ind w:left="1004"/>
        <w:rPr>
          <w:b/>
        </w:rPr>
      </w:pPr>
    </w:p>
    <w:p w:rsidR="00415840" w:rsidRPr="00AD3999" w:rsidRDefault="00415840" w:rsidP="003B314A">
      <w:pPr>
        <w:pStyle w:val="ListParagraph"/>
        <w:ind w:left="1004"/>
        <w:jc w:val="both"/>
      </w:pPr>
      <w:r w:rsidRPr="00AD3999">
        <w:t xml:space="preserve">It was agreed by the Local Authority Accounting Panel (LAAP) that Carbon Reduction Commitment (CRC) transactions should be accounted for as central costs and defined as Non Distributed Costs (NDC). It was further agreed that in proposing a Non Distributed Cost treatment, LAAP recognised that net Carbon Reduction Commitment Scheme costs or income may relate to, for example, schools. However, since the cost/income is likely to be immaterial in the early years of the scheme, the position would be reviewed when the scheme became established. Allowances for 2011/12 will not now need to be purchased from the government until after the end of the year (i.e. in </w:t>
      </w:r>
      <w:r w:rsidRPr="00AD3999">
        <w:lastRenderedPageBreak/>
        <w:t>2012/13). As allowances do not need to be purchased until during 2012/13, a long term provision has been set up to provide for potential costs.</w:t>
      </w:r>
    </w:p>
    <w:p w:rsidR="00415840" w:rsidRPr="00AD3999" w:rsidRDefault="00415840" w:rsidP="00415840">
      <w:pPr>
        <w:pStyle w:val="ListParagraph"/>
        <w:ind w:left="1004"/>
      </w:pPr>
    </w:p>
    <w:p w:rsidR="00415840" w:rsidRPr="00AD3999" w:rsidRDefault="00415840" w:rsidP="00415840">
      <w:pPr>
        <w:pStyle w:val="ListParagraph"/>
        <w:ind w:left="1004"/>
        <w:rPr>
          <w:b/>
        </w:rPr>
      </w:pPr>
      <w:r w:rsidRPr="00AD3999">
        <w:rPr>
          <w:b/>
        </w:rPr>
        <w:t>Equal Pay Review Provision</w:t>
      </w:r>
    </w:p>
    <w:p w:rsidR="00415840" w:rsidRPr="00AD3999" w:rsidRDefault="00415840" w:rsidP="00415840">
      <w:pPr>
        <w:pStyle w:val="ListParagraph"/>
        <w:ind w:left="1004"/>
        <w:rPr>
          <w:b/>
        </w:rPr>
      </w:pPr>
    </w:p>
    <w:p w:rsidR="00415840" w:rsidRPr="00AD3999" w:rsidRDefault="00415840" w:rsidP="003B314A">
      <w:pPr>
        <w:pStyle w:val="ListParagraph"/>
        <w:ind w:left="1004"/>
        <w:jc w:val="both"/>
      </w:pPr>
      <w:r w:rsidRPr="00AD3999">
        <w:t>This provision covers the estimated costs of compensation payments and pay protection following the Equal Pay Review.</w:t>
      </w:r>
    </w:p>
    <w:p w:rsidR="00415840" w:rsidRPr="00AD3999" w:rsidRDefault="00415840" w:rsidP="00415840">
      <w:pPr>
        <w:pStyle w:val="ListParagraph"/>
        <w:ind w:left="1004"/>
        <w:rPr>
          <w:b/>
        </w:rPr>
      </w:pPr>
    </w:p>
    <w:p w:rsidR="00415840" w:rsidRPr="00AD3999" w:rsidRDefault="00415840" w:rsidP="00415840">
      <w:pPr>
        <w:pStyle w:val="ListParagraph"/>
        <w:ind w:left="1004"/>
        <w:rPr>
          <w:b/>
        </w:rPr>
      </w:pPr>
      <w:r w:rsidRPr="00AD3999">
        <w:rPr>
          <w:b/>
        </w:rPr>
        <w:t>Early Retirement Early Severance Provision</w:t>
      </w:r>
    </w:p>
    <w:p w:rsidR="00415840" w:rsidRPr="00AD3999" w:rsidRDefault="00415840" w:rsidP="00415840">
      <w:pPr>
        <w:pStyle w:val="ListParagraph"/>
        <w:ind w:left="1004"/>
        <w:rPr>
          <w:b/>
        </w:rPr>
      </w:pPr>
    </w:p>
    <w:p w:rsidR="00415840" w:rsidRPr="00AD3999" w:rsidRDefault="00415840" w:rsidP="003B314A">
      <w:pPr>
        <w:pStyle w:val="ListParagraph"/>
        <w:ind w:left="1004"/>
        <w:jc w:val="both"/>
      </w:pPr>
      <w:r w:rsidRPr="00AD3999">
        <w:t>The provision sets aside funds to cover the estimated costs for redundancy arrangements.</w:t>
      </w:r>
    </w:p>
    <w:p w:rsidR="00415840" w:rsidRPr="00AD3999" w:rsidRDefault="00415840" w:rsidP="00415840">
      <w:pPr>
        <w:pStyle w:val="ListParagraph"/>
        <w:ind w:left="1004"/>
        <w:rPr>
          <w:b/>
        </w:rPr>
      </w:pPr>
    </w:p>
    <w:p w:rsidR="00415840" w:rsidRPr="00AD3999" w:rsidRDefault="00415840" w:rsidP="00415840">
      <w:pPr>
        <w:pStyle w:val="ListParagraph"/>
        <w:ind w:left="1004"/>
        <w:rPr>
          <w:b/>
        </w:rPr>
      </w:pPr>
      <w:r w:rsidRPr="00AD3999">
        <w:rPr>
          <w:b/>
        </w:rPr>
        <w:t>Employment Tribunal</w:t>
      </w:r>
    </w:p>
    <w:p w:rsidR="00415840" w:rsidRPr="00AD3999" w:rsidRDefault="00415840" w:rsidP="00415840">
      <w:pPr>
        <w:pStyle w:val="ListParagraph"/>
        <w:ind w:left="1004"/>
        <w:rPr>
          <w:b/>
        </w:rPr>
      </w:pPr>
    </w:p>
    <w:p w:rsidR="00415840" w:rsidRPr="00AD3999" w:rsidRDefault="00415840" w:rsidP="003B314A">
      <w:pPr>
        <w:pStyle w:val="ListParagraph"/>
        <w:ind w:left="1004"/>
        <w:jc w:val="both"/>
      </w:pPr>
      <w:r w:rsidRPr="00AD3999">
        <w:t>This provision is for current employment tribunal cases pending. Outstanding cases are likely to be resolved during 2012/13.</w:t>
      </w:r>
    </w:p>
    <w:p w:rsidR="00415840" w:rsidRPr="00AD3999" w:rsidRDefault="00415840" w:rsidP="00415840">
      <w:pPr>
        <w:pStyle w:val="ListParagraph"/>
        <w:ind w:left="1004"/>
        <w:rPr>
          <w:b/>
        </w:rPr>
      </w:pPr>
    </w:p>
    <w:p w:rsidR="00415840" w:rsidRPr="00AD3999" w:rsidRDefault="00415840" w:rsidP="00415840">
      <w:pPr>
        <w:pStyle w:val="ListParagraph"/>
        <w:ind w:left="1004"/>
        <w:rPr>
          <w:b/>
        </w:rPr>
      </w:pPr>
      <w:r w:rsidRPr="00AD3999">
        <w:rPr>
          <w:b/>
        </w:rPr>
        <w:t>Aids and Adaptations</w:t>
      </w:r>
    </w:p>
    <w:p w:rsidR="00415840" w:rsidRPr="00AD3999" w:rsidRDefault="00415840" w:rsidP="00415840">
      <w:pPr>
        <w:pStyle w:val="ListParagraph"/>
        <w:ind w:left="1004"/>
      </w:pPr>
    </w:p>
    <w:p w:rsidR="00415840" w:rsidRPr="00AD3999" w:rsidRDefault="00415840" w:rsidP="003B314A">
      <w:pPr>
        <w:pStyle w:val="ListParagraph"/>
        <w:ind w:left="1004"/>
        <w:jc w:val="both"/>
      </w:pPr>
      <w:r w:rsidRPr="00AD3999">
        <w:t xml:space="preserve">This provision is for agreed financial support for property adaptation or alteration costs to homes of </w:t>
      </w:r>
      <w:r w:rsidR="001F1A1A">
        <w:t>County Council</w:t>
      </w:r>
      <w:r w:rsidRPr="00AD3999">
        <w:t xml:space="preserve"> foster carer properties to facilitate long-term placements.  It is envisaged that contributions made to the provision during 2011/12 will be spent during 2012/13. The provision is based on an estimate of costs and the complexity of the work will determine the timing of the date of completion.</w:t>
      </w:r>
    </w:p>
    <w:p w:rsidR="00415840" w:rsidRPr="00AD3999" w:rsidRDefault="00415840" w:rsidP="003B314A">
      <w:pPr>
        <w:pStyle w:val="ListParagraph"/>
        <w:ind w:left="1004"/>
        <w:jc w:val="both"/>
      </w:pPr>
    </w:p>
    <w:p w:rsidR="00415840" w:rsidRPr="00AD3999" w:rsidRDefault="00415840" w:rsidP="00415840">
      <w:pPr>
        <w:pStyle w:val="ListParagraph"/>
        <w:ind w:left="1004"/>
        <w:rPr>
          <w:b/>
        </w:rPr>
      </w:pPr>
      <w:r w:rsidRPr="00AD3999">
        <w:rPr>
          <w:b/>
        </w:rPr>
        <w:t>Legal Settlement and Costs</w:t>
      </w:r>
    </w:p>
    <w:p w:rsidR="00415840" w:rsidRPr="00AD3999" w:rsidRDefault="00415840" w:rsidP="00415840">
      <w:pPr>
        <w:pStyle w:val="ListParagraph"/>
        <w:ind w:left="1004"/>
        <w:rPr>
          <w:b/>
        </w:rPr>
      </w:pPr>
    </w:p>
    <w:p w:rsidR="00415840" w:rsidRPr="00AD3999" w:rsidRDefault="00415840" w:rsidP="003B314A">
      <w:pPr>
        <w:pStyle w:val="ListParagraph"/>
        <w:ind w:left="1004"/>
        <w:jc w:val="both"/>
      </w:pPr>
      <w:r w:rsidRPr="00AD3999">
        <w:t>This provision is for ongoing legal settlements and costs which will be resolved in 2012/13.</w:t>
      </w:r>
    </w:p>
    <w:p w:rsidR="00415840" w:rsidRPr="00AD3999" w:rsidRDefault="00415840" w:rsidP="00415840">
      <w:pPr>
        <w:pStyle w:val="ListParagraph"/>
        <w:ind w:left="1004"/>
      </w:pPr>
    </w:p>
    <w:p w:rsidR="00415840" w:rsidRPr="00AD3999" w:rsidRDefault="00415840" w:rsidP="00415840">
      <w:pPr>
        <w:pStyle w:val="ListParagraph"/>
        <w:ind w:left="1004"/>
        <w:rPr>
          <w:b/>
        </w:rPr>
      </w:pPr>
      <w:r w:rsidRPr="00AD3999">
        <w:rPr>
          <w:b/>
        </w:rPr>
        <w:t>Provision for Children's Trusts – Safeguarding</w:t>
      </w:r>
    </w:p>
    <w:p w:rsidR="00415840" w:rsidRPr="00AD3999" w:rsidRDefault="00415840" w:rsidP="00415840">
      <w:pPr>
        <w:pStyle w:val="ListParagraph"/>
        <w:ind w:left="1004"/>
        <w:rPr>
          <w:b/>
        </w:rPr>
      </w:pPr>
    </w:p>
    <w:p w:rsidR="00415840" w:rsidRPr="00AD3999" w:rsidRDefault="00415840" w:rsidP="003B314A">
      <w:pPr>
        <w:pStyle w:val="ListParagraph"/>
        <w:ind w:left="1004"/>
        <w:jc w:val="both"/>
      </w:pPr>
      <w:r w:rsidRPr="00AD3999">
        <w:t>This provision relates to additional investment provided by the Schools Budget specifically to support the Lancashire Early Intervention Strategy. This funding has been allocated to the twelve Lancashire Trust Partnerships in 2011/12 and will be spent during 2012/13. The Provision has been reversed out and transferred into the Schools Budget Children's Trust reserves.</w:t>
      </w:r>
    </w:p>
    <w:p w:rsidR="00415840" w:rsidRPr="00AD3999" w:rsidRDefault="00415840" w:rsidP="00415840">
      <w:pPr>
        <w:pStyle w:val="ListParagraph"/>
        <w:ind w:left="1004"/>
      </w:pPr>
    </w:p>
    <w:p w:rsidR="00415840" w:rsidRPr="00AD3999" w:rsidRDefault="00415840" w:rsidP="00415840">
      <w:pPr>
        <w:pStyle w:val="ListParagraph"/>
        <w:ind w:left="1004"/>
        <w:rPr>
          <w:b/>
        </w:rPr>
      </w:pPr>
      <w:r w:rsidRPr="00AD3999">
        <w:rPr>
          <w:b/>
        </w:rPr>
        <w:t>Pensions Contract provision</w:t>
      </w:r>
    </w:p>
    <w:p w:rsidR="00415840" w:rsidRPr="00AD3999" w:rsidRDefault="00415840" w:rsidP="00415840">
      <w:pPr>
        <w:pStyle w:val="ListParagraph"/>
        <w:ind w:left="1004"/>
        <w:rPr>
          <w:b/>
        </w:rPr>
      </w:pPr>
    </w:p>
    <w:p w:rsidR="00415840" w:rsidRPr="00AD3999" w:rsidRDefault="00415840" w:rsidP="003B314A">
      <w:pPr>
        <w:pStyle w:val="ListParagraph"/>
        <w:ind w:left="1004"/>
        <w:jc w:val="both"/>
      </w:pPr>
      <w:r w:rsidRPr="00AD3999">
        <w:t>Provision - none current liability. This provision is for the potential termination of external contracts. It is anticipated that this will be needed in around four year's time to cover potential redundancy costs and timing issue on payments for software.</w:t>
      </w:r>
    </w:p>
    <w:p w:rsidR="00F84EDD" w:rsidRDefault="00F84EDD">
      <w:pPr>
        <w:rPr>
          <w:highlight w:val="yellow"/>
        </w:rPr>
      </w:pPr>
      <w:r>
        <w:rPr>
          <w:highlight w:val="yellow"/>
        </w:rPr>
        <w:br w:type="page"/>
      </w:r>
    </w:p>
    <w:p w:rsidR="008F534A" w:rsidRPr="00286C0E" w:rsidRDefault="008F534A" w:rsidP="008F534A">
      <w:pPr>
        <w:ind w:left="720"/>
        <w:rPr>
          <w:highlight w:val="yellow"/>
        </w:rPr>
      </w:pPr>
    </w:p>
    <w:p w:rsidR="0090494A" w:rsidRPr="00286808" w:rsidRDefault="0090494A" w:rsidP="00BD07E4">
      <w:pPr>
        <w:numPr>
          <w:ilvl w:val="0"/>
          <w:numId w:val="21"/>
        </w:numPr>
        <w:tabs>
          <w:tab w:val="left" w:pos="1480"/>
        </w:tabs>
        <w:rPr>
          <w:b/>
        </w:rPr>
      </w:pPr>
      <w:r w:rsidRPr="00286808">
        <w:rPr>
          <w:b/>
        </w:rPr>
        <w:t>Assets Held for Sale</w:t>
      </w:r>
    </w:p>
    <w:p w:rsidR="00BA5CA3" w:rsidRPr="00286808" w:rsidRDefault="00BA5CA3" w:rsidP="00BA5CA3">
      <w:pPr>
        <w:pStyle w:val="ListParagraph"/>
        <w:ind w:left="0"/>
        <w:contextualSpacing/>
      </w:pPr>
    </w:p>
    <w:p w:rsidR="00AD674E" w:rsidRPr="00286808" w:rsidRDefault="00BA5CA3" w:rsidP="00BC6A99">
      <w:pPr>
        <w:tabs>
          <w:tab w:val="left" w:pos="1480"/>
        </w:tabs>
        <w:ind w:left="720"/>
        <w:jc w:val="both"/>
        <w:rPr>
          <w:b/>
          <w:color w:val="FF0000"/>
        </w:rPr>
      </w:pPr>
      <w:r w:rsidRPr="00286808">
        <w:t>Under IFRS accounting rules a much stricter definition is applied for Assets Held for Sale. The assets must be available for immediate sale in their present condition, are being actively marketed, and the sale is expected to be completed within one year. Assets not meeting this new stricter definition are now required to be disclosed within the Property, Plant and Equipment category in the Balance Sheet</w:t>
      </w:r>
      <w:r w:rsidRPr="00286808">
        <w:rPr>
          <w:color w:val="FF0000"/>
        </w:rPr>
        <w:t>.</w:t>
      </w:r>
      <w:r w:rsidRPr="00286808">
        <w:rPr>
          <w:b/>
          <w:color w:val="FF0000"/>
        </w:rPr>
        <w:tab/>
      </w:r>
    </w:p>
    <w:p w:rsidR="00AD674E" w:rsidRPr="00286808" w:rsidRDefault="00AD674E" w:rsidP="0090494A">
      <w:pPr>
        <w:tabs>
          <w:tab w:val="left" w:pos="1480"/>
        </w:tabs>
        <w:rPr>
          <w:b/>
          <w:color w:val="FF0000"/>
        </w:rPr>
      </w:pPr>
      <w:r w:rsidRPr="00286808">
        <w:rPr>
          <w:b/>
          <w:color w:val="FF0000"/>
        </w:rPr>
        <w:t xml:space="preserve">         </w:t>
      </w:r>
      <w:r w:rsidRPr="00286808">
        <w:rPr>
          <w:b/>
          <w:color w:val="FF0000"/>
        </w:rPr>
        <w:tab/>
      </w:r>
    </w:p>
    <w:p w:rsidR="00BD34DC" w:rsidRPr="00286808" w:rsidRDefault="00BD34DC" w:rsidP="002B5ADF">
      <w:pPr>
        <w:ind w:left="720"/>
        <w:rPr>
          <w:b/>
          <w: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7"/>
        <w:gridCol w:w="1630"/>
        <w:gridCol w:w="1505"/>
        <w:gridCol w:w="1630"/>
        <w:gridCol w:w="1380"/>
      </w:tblGrid>
      <w:tr w:rsidR="002B5ADF" w:rsidRPr="00286808" w:rsidTr="005C3EAA">
        <w:tc>
          <w:tcPr>
            <w:tcW w:w="4066" w:type="dxa"/>
          </w:tcPr>
          <w:p w:rsidR="002B5ADF" w:rsidRPr="00286808" w:rsidRDefault="002B5ADF" w:rsidP="002B5ADF"/>
        </w:tc>
        <w:tc>
          <w:tcPr>
            <w:tcW w:w="3260" w:type="dxa"/>
            <w:gridSpan w:val="2"/>
          </w:tcPr>
          <w:p w:rsidR="002B5ADF" w:rsidRPr="00286808" w:rsidRDefault="002B5ADF" w:rsidP="0051048A">
            <w:pPr>
              <w:jc w:val="center"/>
            </w:pPr>
            <w:r w:rsidRPr="00286808">
              <w:t>Current</w:t>
            </w:r>
          </w:p>
        </w:tc>
        <w:tc>
          <w:tcPr>
            <w:tcW w:w="3119" w:type="dxa"/>
            <w:gridSpan w:val="2"/>
          </w:tcPr>
          <w:p w:rsidR="002B5ADF" w:rsidRPr="00286808" w:rsidRDefault="002B5ADF" w:rsidP="0051048A">
            <w:pPr>
              <w:jc w:val="center"/>
            </w:pPr>
            <w:r w:rsidRPr="00286808">
              <w:t>Non Current</w:t>
            </w:r>
          </w:p>
        </w:tc>
      </w:tr>
      <w:tr w:rsidR="002B5ADF" w:rsidRPr="00286808" w:rsidTr="005C3EAA">
        <w:tc>
          <w:tcPr>
            <w:tcW w:w="4066" w:type="dxa"/>
          </w:tcPr>
          <w:p w:rsidR="002B5ADF" w:rsidRPr="00286808" w:rsidRDefault="002B5ADF" w:rsidP="002B5ADF"/>
        </w:tc>
        <w:tc>
          <w:tcPr>
            <w:tcW w:w="1701" w:type="dxa"/>
          </w:tcPr>
          <w:p w:rsidR="002B5ADF" w:rsidRPr="00286808" w:rsidRDefault="004D7192" w:rsidP="004D7192">
            <w:pPr>
              <w:jc w:val="right"/>
            </w:pPr>
            <w:r w:rsidRPr="00286808">
              <w:t>2011</w:t>
            </w:r>
            <w:r w:rsidR="002B5ADF" w:rsidRPr="00286808">
              <w:t>/1</w:t>
            </w:r>
            <w:r w:rsidRPr="00286808">
              <w:t>2</w:t>
            </w:r>
          </w:p>
        </w:tc>
        <w:tc>
          <w:tcPr>
            <w:tcW w:w="1559" w:type="dxa"/>
          </w:tcPr>
          <w:p w:rsidR="002B5ADF" w:rsidRPr="00286808" w:rsidRDefault="002B5ADF" w:rsidP="004D7192">
            <w:pPr>
              <w:jc w:val="right"/>
            </w:pPr>
            <w:r w:rsidRPr="00286808">
              <w:t>20</w:t>
            </w:r>
            <w:r w:rsidR="004D7192" w:rsidRPr="00286808">
              <w:t>10</w:t>
            </w:r>
            <w:r w:rsidRPr="00286808">
              <w:t>/1</w:t>
            </w:r>
            <w:r w:rsidR="004D7192" w:rsidRPr="00286808">
              <w:t>1</w:t>
            </w:r>
          </w:p>
        </w:tc>
        <w:tc>
          <w:tcPr>
            <w:tcW w:w="1701" w:type="dxa"/>
          </w:tcPr>
          <w:p w:rsidR="002B5ADF" w:rsidRPr="00286808" w:rsidRDefault="002B5ADF" w:rsidP="004D7192">
            <w:pPr>
              <w:jc w:val="right"/>
            </w:pPr>
            <w:r w:rsidRPr="00286808">
              <w:t>201</w:t>
            </w:r>
            <w:r w:rsidR="004D7192" w:rsidRPr="00286808">
              <w:t>1</w:t>
            </w:r>
            <w:r w:rsidRPr="00286808">
              <w:t>/1</w:t>
            </w:r>
            <w:r w:rsidR="004D7192" w:rsidRPr="00286808">
              <w:t>2</w:t>
            </w:r>
          </w:p>
        </w:tc>
        <w:tc>
          <w:tcPr>
            <w:tcW w:w="1418" w:type="dxa"/>
          </w:tcPr>
          <w:p w:rsidR="002B5ADF" w:rsidRPr="00286808" w:rsidRDefault="002B5ADF" w:rsidP="004D7192">
            <w:pPr>
              <w:jc w:val="right"/>
            </w:pPr>
            <w:r w:rsidRPr="00286808">
              <w:t>20</w:t>
            </w:r>
            <w:r w:rsidR="004D7192" w:rsidRPr="00286808">
              <w:t>10</w:t>
            </w:r>
            <w:r w:rsidRPr="00286808">
              <w:t>/1</w:t>
            </w:r>
            <w:r w:rsidR="004D7192" w:rsidRPr="00286808">
              <w:t>1</w:t>
            </w:r>
          </w:p>
        </w:tc>
      </w:tr>
      <w:tr w:rsidR="002B5ADF" w:rsidRPr="00286808" w:rsidTr="005C3EAA">
        <w:tc>
          <w:tcPr>
            <w:tcW w:w="4066" w:type="dxa"/>
          </w:tcPr>
          <w:p w:rsidR="002B5ADF" w:rsidRPr="00286808" w:rsidRDefault="002B5ADF" w:rsidP="002B5ADF"/>
        </w:tc>
        <w:tc>
          <w:tcPr>
            <w:tcW w:w="1701" w:type="dxa"/>
          </w:tcPr>
          <w:p w:rsidR="002B5ADF" w:rsidRPr="00286808" w:rsidRDefault="002B5ADF" w:rsidP="00507600">
            <w:pPr>
              <w:jc w:val="right"/>
            </w:pPr>
            <w:r w:rsidRPr="00286808">
              <w:t>£000</w:t>
            </w:r>
          </w:p>
        </w:tc>
        <w:tc>
          <w:tcPr>
            <w:tcW w:w="1559" w:type="dxa"/>
          </w:tcPr>
          <w:p w:rsidR="002B5ADF" w:rsidRPr="00286808" w:rsidRDefault="002B5ADF" w:rsidP="00507600">
            <w:pPr>
              <w:jc w:val="right"/>
            </w:pPr>
            <w:r w:rsidRPr="00286808">
              <w:t>£000</w:t>
            </w:r>
          </w:p>
        </w:tc>
        <w:tc>
          <w:tcPr>
            <w:tcW w:w="1701" w:type="dxa"/>
          </w:tcPr>
          <w:p w:rsidR="002B5ADF" w:rsidRPr="00286808" w:rsidRDefault="002B5ADF" w:rsidP="00507600">
            <w:pPr>
              <w:jc w:val="right"/>
            </w:pPr>
            <w:r w:rsidRPr="00286808">
              <w:t>£000</w:t>
            </w:r>
          </w:p>
        </w:tc>
        <w:tc>
          <w:tcPr>
            <w:tcW w:w="1418" w:type="dxa"/>
          </w:tcPr>
          <w:p w:rsidR="002B5ADF" w:rsidRPr="00286808" w:rsidRDefault="002B5ADF" w:rsidP="00507600">
            <w:pPr>
              <w:jc w:val="right"/>
            </w:pPr>
            <w:r w:rsidRPr="00286808">
              <w:t>£000</w:t>
            </w:r>
          </w:p>
        </w:tc>
      </w:tr>
      <w:tr w:rsidR="004D7192" w:rsidRPr="00286808" w:rsidTr="005C3EAA">
        <w:tc>
          <w:tcPr>
            <w:tcW w:w="4066" w:type="dxa"/>
          </w:tcPr>
          <w:p w:rsidR="004D7192" w:rsidRPr="00286808" w:rsidRDefault="004D7192" w:rsidP="002B5ADF">
            <w:r w:rsidRPr="00286808">
              <w:t>Balance outstanding at start of year</w:t>
            </w:r>
          </w:p>
        </w:tc>
        <w:tc>
          <w:tcPr>
            <w:tcW w:w="1701" w:type="dxa"/>
            <w:vAlign w:val="center"/>
          </w:tcPr>
          <w:p w:rsidR="004D7192" w:rsidRPr="00286808" w:rsidRDefault="00D85330" w:rsidP="00055996">
            <w:pPr>
              <w:jc w:val="right"/>
            </w:pPr>
            <w:r w:rsidRPr="00286808">
              <w:t>2,366</w:t>
            </w:r>
          </w:p>
        </w:tc>
        <w:tc>
          <w:tcPr>
            <w:tcW w:w="1559" w:type="dxa"/>
            <w:vAlign w:val="center"/>
          </w:tcPr>
          <w:p w:rsidR="004D7192" w:rsidRPr="00286808" w:rsidRDefault="004D7192" w:rsidP="00983C6D">
            <w:pPr>
              <w:jc w:val="right"/>
            </w:pPr>
            <w:r w:rsidRPr="00286808">
              <w:t>2,749</w:t>
            </w:r>
          </w:p>
        </w:tc>
        <w:tc>
          <w:tcPr>
            <w:tcW w:w="1701" w:type="dxa"/>
            <w:vAlign w:val="center"/>
          </w:tcPr>
          <w:p w:rsidR="004D7192" w:rsidRPr="00286808" w:rsidRDefault="004D7192" w:rsidP="00055996">
            <w:pPr>
              <w:jc w:val="right"/>
            </w:pPr>
            <w:r w:rsidRPr="00286808">
              <w:t>-</w:t>
            </w:r>
          </w:p>
        </w:tc>
        <w:tc>
          <w:tcPr>
            <w:tcW w:w="1418" w:type="dxa"/>
            <w:vAlign w:val="center"/>
          </w:tcPr>
          <w:p w:rsidR="004D7192" w:rsidRPr="00286808" w:rsidRDefault="004D7192" w:rsidP="00055996">
            <w:pPr>
              <w:jc w:val="right"/>
            </w:pPr>
            <w:r w:rsidRPr="00286808">
              <w:t>-</w:t>
            </w:r>
          </w:p>
        </w:tc>
      </w:tr>
      <w:tr w:rsidR="004D7192" w:rsidRPr="00286808" w:rsidTr="005C3EAA">
        <w:tc>
          <w:tcPr>
            <w:tcW w:w="4066" w:type="dxa"/>
          </w:tcPr>
          <w:p w:rsidR="004D7192" w:rsidRPr="00286808" w:rsidRDefault="004D7192" w:rsidP="002B5ADF">
            <w:pPr>
              <w:rPr>
                <w:b/>
              </w:rPr>
            </w:pPr>
            <w:r w:rsidRPr="00286808">
              <w:rPr>
                <w:b/>
              </w:rPr>
              <w:t>Assets newly classified as held for sale:</w:t>
            </w:r>
          </w:p>
        </w:tc>
        <w:tc>
          <w:tcPr>
            <w:tcW w:w="1701" w:type="dxa"/>
            <w:vAlign w:val="center"/>
          </w:tcPr>
          <w:p w:rsidR="004D7192" w:rsidRPr="00286808" w:rsidRDefault="004D7192" w:rsidP="00055996">
            <w:pPr>
              <w:jc w:val="right"/>
            </w:pPr>
          </w:p>
        </w:tc>
        <w:tc>
          <w:tcPr>
            <w:tcW w:w="1559" w:type="dxa"/>
            <w:vAlign w:val="center"/>
          </w:tcPr>
          <w:p w:rsidR="004D7192" w:rsidRPr="00286808" w:rsidRDefault="004D7192" w:rsidP="00983C6D">
            <w:pPr>
              <w:jc w:val="right"/>
            </w:pPr>
          </w:p>
        </w:tc>
        <w:tc>
          <w:tcPr>
            <w:tcW w:w="1701" w:type="dxa"/>
            <w:vAlign w:val="center"/>
          </w:tcPr>
          <w:p w:rsidR="004D7192" w:rsidRPr="00286808" w:rsidRDefault="004D7192" w:rsidP="00055996">
            <w:pPr>
              <w:jc w:val="right"/>
            </w:pPr>
          </w:p>
        </w:tc>
        <w:tc>
          <w:tcPr>
            <w:tcW w:w="1418" w:type="dxa"/>
            <w:vAlign w:val="center"/>
          </w:tcPr>
          <w:p w:rsidR="004D7192" w:rsidRPr="00286808" w:rsidRDefault="004D7192" w:rsidP="00055996">
            <w:pPr>
              <w:jc w:val="right"/>
            </w:pPr>
          </w:p>
        </w:tc>
      </w:tr>
      <w:tr w:rsidR="004D7192" w:rsidRPr="00286808" w:rsidTr="005C3EAA">
        <w:tc>
          <w:tcPr>
            <w:tcW w:w="4066" w:type="dxa"/>
          </w:tcPr>
          <w:p w:rsidR="004D7192" w:rsidRPr="00286808" w:rsidRDefault="004D7192" w:rsidP="002B5ADF">
            <w:r w:rsidRPr="00286808">
              <w:t>Property Plant and Equipment</w:t>
            </w:r>
          </w:p>
        </w:tc>
        <w:tc>
          <w:tcPr>
            <w:tcW w:w="1701" w:type="dxa"/>
            <w:vAlign w:val="center"/>
          </w:tcPr>
          <w:p w:rsidR="004D7192" w:rsidRPr="00286808" w:rsidRDefault="00D85330" w:rsidP="00055996">
            <w:pPr>
              <w:jc w:val="right"/>
            </w:pPr>
            <w:r w:rsidRPr="00286808">
              <w:t>1,411</w:t>
            </w:r>
          </w:p>
        </w:tc>
        <w:tc>
          <w:tcPr>
            <w:tcW w:w="1559" w:type="dxa"/>
            <w:vAlign w:val="center"/>
          </w:tcPr>
          <w:p w:rsidR="004D7192" w:rsidRPr="00286808" w:rsidRDefault="004D7192" w:rsidP="00983C6D">
            <w:pPr>
              <w:jc w:val="right"/>
            </w:pPr>
            <w:r w:rsidRPr="00286808">
              <w:t>2,564</w:t>
            </w:r>
          </w:p>
        </w:tc>
        <w:tc>
          <w:tcPr>
            <w:tcW w:w="1701" w:type="dxa"/>
            <w:vAlign w:val="center"/>
          </w:tcPr>
          <w:p w:rsidR="004D7192" w:rsidRPr="00286808" w:rsidRDefault="004D7192" w:rsidP="00055996">
            <w:pPr>
              <w:jc w:val="right"/>
            </w:pPr>
            <w:r w:rsidRPr="00286808">
              <w:t>-</w:t>
            </w:r>
          </w:p>
        </w:tc>
        <w:tc>
          <w:tcPr>
            <w:tcW w:w="1418" w:type="dxa"/>
            <w:vAlign w:val="center"/>
          </w:tcPr>
          <w:p w:rsidR="004D7192" w:rsidRPr="00286808" w:rsidRDefault="004D7192" w:rsidP="00055996">
            <w:pPr>
              <w:jc w:val="right"/>
            </w:pPr>
            <w:r w:rsidRPr="00286808">
              <w:t>-</w:t>
            </w:r>
          </w:p>
        </w:tc>
      </w:tr>
      <w:tr w:rsidR="004D7192" w:rsidRPr="00286808" w:rsidTr="005C3EAA">
        <w:tc>
          <w:tcPr>
            <w:tcW w:w="4066" w:type="dxa"/>
          </w:tcPr>
          <w:p w:rsidR="004D7192" w:rsidRPr="00286808" w:rsidRDefault="004D7192" w:rsidP="002B5ADF">
            <w:r w:rsidRPr="00286808">
              <w:t>Intangible Assets</w:t>
            </w:r>
          </w:p>
        </w:tc>
        <w:tc>
          <w:tcPr>
            <w:tcW w:w="1701" w:type="dxa"/>
            <w:vAlign w:val="center"/>
          </w:tcPr>
          <w:p w:rsidR="004D7192" w:rsidRPr="00286808" w:rsidRDefault="00D85330" w:rsidP="00055996">
            <w:pPr>
              <w:jc w:val="right"/>
            </w:pPr>
            <w:r w:rsidRPr="00286808">
              <w:t>-</w:t>
            </w:r>
          </w:p>
        </w:tc>
        <w:tc>
          <w:tcPr>
            <w:tcW w:w="1559" w:type="dxa"/>
            <w:vAlign w:val="center"/>
          </w:tcPr>
          <w:p w:rsidR="004D7192" w:rsidRPr="00286808" w:rsidRDefault="004D7192" w:rsidP="00983C6D">
            <w:pPr>
              <w:jc w:val="right"/>
            </w:pPr>
            <w:r w:rsidRPr="00286808">
              <w:t>-</w:t>
            </w:r>
          </w:p>
        </w:tc>
        <w:tc>
          <w:tcPr>
            <w:tcW w:w="1701" w:type="dxa"/>
            <w:vAlign w:val="center"/>
          </w:tcPr>
          <w:p w:rsidR="004D7192" w:rsidRPr="00286808" w:rsidRDefault="004D7192" w:rsidP="00055996">
            <w:pPr>
              <w:jc w:val="right"/>
            </w:pPr>
            <w:r w:rsidRPr="00286808">
              <w:t>-</w:t>
            </w:r>
          </w:p>
        </w:tc>
        <w:tc>
          <w:tcPr>
            <w:tcW w:w="1418" w:type="dxa"/>
            <w:vAlign w:val="center"/>
          </w:tcPr>
          <w:p w:rsidR="004D7192" w:rsidRPr="00286808" w:rsidRDefault="004D7192" w:rsidP="00055996">
            <w:pPr>
              <w:jc w:val="right"/>
            </w:pPr>
            <w:r w:rsidRPr="00286808">
              <w:t>-</w:t>
            </w:r>
          </w:p>
        </w:tc>
      </w:tr>
      <w:tr w:rsidR="004D7192" w:rsidRPr="00286808" w:rsidTr="005C3EAA">
        <w:tc>
          <w:tcPr>
            <w:tcW w:w="4066" w:type="dxa"/>
          </w:tcPr>
          <w:p w:rsidR="004D7192" w:rsidRPr="00286808" w:rsidRDefault="004D7192" w:rsidP="002B5ADF">
            <w:r w:rsidRPr="00286808">
              <w:t>Other assets/liabilities in disposal groups</w:t>
            </w:r>
          </w:p>
        </w:tc>
        <w:tc>
          <w:tcPr>
            <w:tcW w:w="1701" w:type="dxa"/>
            <w:vAlign w:val="center"/>
          </w:tcPr>
          <w:p w:rsidR="004D7192" w:rsidRPr="00286808" w:rsidRDefault="00933A46" w:rsidP="00055996">
            <w:pPr>
              <w:jc w:val="right"/>
            </w:pPr>
            <w:r>
              <w:t>-</w:t>
            </w:r>
          </w:p>
        </w:tc>
        <w:tc>
          <w:tcPr>
            <w:tcW w:w="1559" w:type="dxa"/>
            <w:vAlign w:val="center"/>
          </w:tcPr>
          <w:p w:rsidR="004D7192" w:rsidRPr="00286808" w:rsidRDefault="00933A46" w:rsidP="00983C6D">
            <w:pPr>
              <w:jc w:val="right"/>
            </w:pPr>
            <w:r>
              <w:t>-</w:t>
            </w:r>
          </w:p>
        </w:tc>
        <w:tc>
          <w:tcPr>
            <w:tcW w:w="1701" w:type="dxa"/>
            <w:vAlign w:val="center"/>
          </w:tcPr>
          <w:p w:rsidR="004D7192" w:rsidRPr="00286808" w:rsidRDefault="00933A46" w:rsidP="00055996">
            <w:pPr>
              <w:jc w:val="right"/>
            </w:pPr>
            <w:r>
              <w:t>-</w:t>
            </w:r>
          </w:p>
        </w:tc>
        <w:tc>
          <w:tcPr>
            <w:tcW w:w="1418" w:type="dxa"/>
            <w:vAlign w:val="center"/>
          </w:tcPr>
          <w:p w:rsidR="004D7192" w:rsidRPr="00286808" w:rsidRDefault="00933A46" w:rsidP="00055996">
            <w:pPr>
              <w:jc w:val="right"/>
            </w:pPr>
            <w:r>
              <w:t>-</w:t>
            </w:r>
          </w:p>
        </w:tc>
      </w:tr>
      <w:tr w:rsidR="004D7192" w:rsidRPr="00286808" w:rsidTr="005C3EAA">
        <w:tc>
          <w:tcPr>
            <w:tcW w:w="4066" w:type="dxa"/>
          </w:tcPr>
          <w:p w:rsidR="004D7192" w:rsidRPr="00286808" w:rsidRDefault="004D7192" w:rsidP="002B5ADF">
            <w:r w:rsidRPr="00286808">
              <w:t>Revaluation losses</w:t>
            </w:r>
          </w:p>
        </w:tc>
        <w:tc>
          <w:tcPr>
            <w:tcW w:w="1701" w:type="dxa"/>
            <w:vAlign w:val="center"/>
          </w:tcPr>
          <w:p w:rsidR="004D7192" w:rsidRPr="00286808" w:rsidRDefault="00D85330" w:rsidP="00055996">
            <w:pPr>
              <w:jc w:val="right"/>
            </w:pPr>
            <w:r w:rsidRPr="00286808">
              <w:t>(715)</w:t>
            </w:r>
          </w:p>
        </w:tc>
        <w:tc>
          <w:tcPr>
            <w:tcW w:w="1559" w:type="dxa"/>
            <w:vAlign w:val="center"/>
          </w:tcPr>
          <w:p w:rsidR="004D7192" w:rsidRPr="00286808" w:rsidRDefault="004D7192" w:rsidP="00983C6D">
            <w:pPr>
              <w:jc w:val="right"/>
            </w:pPr>
            <w:r w:rsidRPr="00286808">
              <w:t>(679)</w:t>
            </w:r>
          </w:p>
        </w:tc>
        <w:tc>
          <w:tcPr>
            <w:tcW w:w="1701" w:type="dxa"/>
            <w:vAlign w:val="center"/>
          </w:tcPr>
          <w:p w:rsidR="004D7192" w:rsidRPr="00286808" w:rsidRDefault="004D7192" w:rsidP="00055996">
            <w:pPr>
              <w:jc w:val="right"/>
            </w:pPr>
            <w:r w:rsidRPr="00286808">
              <w:t>-</w:t>
            </w:r>
          </w:p>
        </w:tc>
        <w:tc>
          <w:tcPr>
            <w:tcW w:w="1418" w:type="dxa"/>
            <w:vAlign w:val="center"/>
          </w:tcPr>
          <w:p w:rsidR="004D7192" w:rsidRPr="00286808" w:rsidRDefault="004D7192" w:rsidP="00055996">
            <w:pPr>
              <w:jc w:val="right"/>
            </w:pPr>
            <w:r w:rsidRPr="00286808">
              <w:t>-</w:t>
            </w:r>
          </w:p>
        </w:tc>
      </w:tr>
      <w:tr w:rsidR="004D7192" w:rsidRPr="00286808" w:rsidTr="005C3EAA">
        <w:tc>
          <w:tcPr>
            <w:tcW w:w="4066" w:type="dxa"/>
          </w:tcPr>
          <w:p w:rsidR="004D7192" w:rsidRPr="00286808" w:rsidRDefault="004D7192" w:rsidP="002B5ADF">
            <w:r w:rsidRPr="00286808">
              <w:t>Revaluation gains</w:t>
            </w:r>
          </w:p>
        </w:tc>
        <w:tc>
          <w:tcPr>
            <w:tcW w:w="1701" w:type="dxa"/>
            <w:vAlign w:val="center"/>
          </w:tcPr>
          <w:p w:rsidR="004D7192" w:rsidRPr="00286808" w:rsidRDefault="00D85330" w:rsidP="00055996">
            <w:pPr>
              <w:jc w:val="right"/>
            </w:pPr>
            <w:r w:rsidRPr="00286808">
              <w:t>831</w:t>
            </w:r>
          </w:p>
        </w:tc>
        <w:tc>
          <w:tcPr>
            <w:tcW w:w="1559" w:type="dxa"/>
            <w:vAlign w:val="center"/>
          </w:tcPr>
          <w:p w:rsidR="004D7192" w:rsidRPr="00286808" w:rsidRDefault="004D7192" w:rsidP="00983C6D">
            <w:pPr>
              <w:jc w:val="right"/>
            </w:pPr>
            <w:r w:rsidRPr="00286808">
              <w:t>-</w:t>
            </w:r>
          </w:p>
        </w:tc>
        <w:tc>
          <w:tcPr>
            <w:tcW w:w="1701" w:type="dxa"/>
            <w:vAlign w:val="center"/>
          </w:tcPr>
          <w:p w:rsidR="004D7192" w:rsidRPr="00286808" w:rsidRDefault="004D7192" w:rsidP="00055996">
            <w:pPr>
              <w:jc w:val="right"/>
            </w:pPr>
            <w:r w:rsidRPr="00286808">
              <w:t>-</w:t>
            </w:r>
          </w:p>
        </w:tc>
        <w:tc>
          <w:tcPr>
            <w:tcW w:w="1418" w:type="dxa"/>
            <w:vAlign w:val="center"/>
          </w:tcPr>
          <w:p w:rsidR="004D7192" w:rsidRPr="00286808" w:rsidRDefault="004D7192" w:rsidP="00055996">
            <w:pPr>
              <w:jc w:val="right"/>
            </w:pPr>
            <w:r w:rsidRPr="00286808">
              <w:t>-</w:t>
            </w:r>
          </w:p>
        </w:tc>
      </w:tr>
      <w:tr w:rsidR="004D7192" w:rsidRPr="00286808" w:rsidTr="005C3EAA">
        <w:tc>
          <w:tcPr>
            <w:tcW w:w="4066" w:type="dxa"/>
          </w:tcPr>
          <w:p w:rsidR="004D7192" w:rsidRPr="00286808" w:rsidRDefault="004D7192" w:rsidP="002B5ADF">
            <w:r w:rsidRPr="00286808">
              <w:t>Impairment losses</w:t>
            </w:r>
          </w:p>
        </w:tc>
        <w:tc>
          <w:tcPr>
            <w:tcW w:w="1701" w:type="dxa"/>
            <w:vAlign w:val="center"/>
          </w:tcPr>
          <w:p w:rsidR="004D7192" w:rsidRPr="00286808" w:rsidRDefault="00D85330" w:rsidP="00055996">
            <w:pPr>
              <w:jc w:val="right"/>
            </w:pPr>
            <w:r w:rsidRPr="00286808">
              <w:t>-</w:t>
            </w:r>
          </w:p>
        </w:tc>
        <w:tc>
          <w:tcPr>
            <w:tcW w:w="1559" w:type="dxa"/>
            <w:vAlign w:val="center"/>
          </w:tcPr>
          <w:p w:rsidR="004D7192" w:rsidRPr="00286808" w:rsidRDefault="004D7192" w:rsidP="00983C6D">
            <w:pPr>
              <w:jc w:val="right"/>
            </w:pPr>
            <w:r w:rsidRPr="00286808">
              <w:t>-</w:t>
            </w:r>
          </w:p>
        </w:tc>
        <w:tc>
          <w:tcPr>
            <w:tcW w:w="1701" w:type="dxa"/>
            <w:vAlign w:val="center"/>
          </w:tcPr>
          <w:p w:rsidR="004D7192" w:rsidRPr="00286808" w:rsidRDefault="004D7192" w:rsidP="00055996">
            <w:pPr>
              <w:jc w:val="right"/>
            </w:pPr>
            <w:r w:rsidRPr="00286808">
              <w:t>-</w:t>
            </w:r>
          </w:p>
        </w:tc>
        <w:tc>
          <w:tcPr>
            <w:tcW w:w="1418" w:type="dxa"/>
            <w:vAlign w:val="center"/>
          </w:tcPr>
          <w:p w:rsidR="004D7192" w:rsidRPr="00286808" w:rsidRDefault="004D7192" w:rsidP="00055996">
            <w:pPr>
              <w:jc w:val="right"/>
            </w:pPr>
            <w:r w:rsidRPr="00286808">
              <w:t>-</w:t>
            </w:r>
          </w:p>
        </w:tc>
      </w:tr>
      <w:tr w:rsidR="004D7192" w:rsidRPr="00286808" w:rsidTr="005C3EAA">
        <w:tc>
          <w:tcPr>
            <w:tcW w:w="4066" w:type="dxa"/>
          </w:tcPr>
          <w:p w:rsidR="004D7192" w:rsidRPr="00286808" w:rsidRDefault="004D7192" w:rsidP="002B5ADF"/>
        </w:tc>
        <w:tc>
          <w:tcPr>
            <w:tcW w:w="1701" w:type="dxa"/>
            <w:vAlign w:val="center"/>
          </w:tcPr>
          <w:p w:rsidR="004D7192" w:rsidRPr="00286808" w:rsidRDefault="004D7192" w:rsidP="00055996">
            <w:pPr>
              <w:jc w:val="right"/>
            </w:pPr>
          </w:p>
        </w:tc>
        <w:tc>
          <w:tcPr>
            <w:tcW w:w="1559" w:type="dxa"/>
            <w:vAlign w:val="center"/>
          </w:tcPr>
          <w:p w:rsidR="004D7192" w:rsidRPr="00286808" w:rsidRDefault="004D7192" w:rsidP="00983C6D">
            <w:pPr>
              <w:jc w:val="right"/>
            </w:pPr>
          </w:p>
        </w:tc>
        <w:tc>
          <w:tcPr>
            <w:tcW w:w="1701" w:type="dxa"/>
            <w:vAlign w:val="center"/>
          </w:tcPr>
          <w:p w:rsidR="004D7192" w:rsidRPr="00286808" w:rsidRDefault="004D7192" w:rsidP="00055996">
            <w:pPr>
              <w:jc w:val="right"/>
            </w:pPr>
          </w:p>
        </w:tc>
        <w:tc>
          <w:tcPr>
            <w:tcW w:w="1418" w:type="dxa"/>
            <w:vAlign w:val="center"/>
          </w:tcPr>
          <w:p w:rsidR="004D7192" w:rsidRPr="00286808" w:rsidRDefault="004D7192" w:rsidP="00055996">
            <w:pPr>
              <w:jc w:val="right"/>
            </w:pPr>
          </w:p>
        </w:tc>
      </w:tr>
      <w:tr w:rsidR="004D7192" w:rsidRPr="00286808" w:rsidTr="005C3EAA">
        <w:tc>
          <w:tcPr>
            <w:tcW w:w="4066" w:type="dxa"/>
          </w:tcPr>
          <w:p w:rsidR="004D7192" w:rsidRPr="00286808" w:rsidRDefault="004D7192" w:rsidP="002B5ADF">
            <w:pPr>
              <w:rPr>
                <w:b/>
              </w:rPr>
            </w:pPr>
            <w:r w:rsidRPr="00286808">
              <w:rPr>
                <w:b/>
              </w:rPr>
              <w:t>Assets declassified as held for sale:</w:t>
            </w:r>
          </w:p>
        </w:tc>
        <w:tc>
          <w:tcPr>
            <w:tcW w:w="1701" w:type="dxa"/>
            <w:vAlign w:val="center"/>
          </w:tcPr>
          <w:p w:rsidR="004D7192" w:rsidRPr="00286808" w:rsidRDefault="004D7192" w:rsidP="00055996">
            <w:pPr>
              <w:jc w:val="right"/>
            </w:pPr>
          </w:p>
        </w:tc>
        <w:tc>
          <w:tcPr>
            <w:tcW w:w="1559" w:type="dxa"/>
            <w:vAlign w:val="center"/>
          </w:tcPr>
          <w:p w:rsidR="004D7192" w:rsidRPr="00286808" w:rsidRDefault="004D7192" w:rsidP="00983C6D">
            <w:pPr>
              <w:jc w:val="right"/>
            </w:pPr>
          </w:p>
        </w:tc>
        <w:tc>
          <w:tcPr>
            <w:tcW w:w="1701" w:type="dxa"/>
            <w:vAlign w:val="center"/>
          </w:tcPr>
          <w:p w:rsidR="004D7192" w:rsidRPr="00286808" w:rsidRDefault="004D7192" w:rsidP="00055996">
            <w:pPr>
              <w:jc w:val="right"/>
            </w:pPr>
          </w:p>
        </w:tc>
        <w:tc>
          <w:tcPr>
            <w:tcW w:w="1418" w:type="dxa"/>
            <w:vAlign w:val="center"/>
          </w:tcPr>
          <w:p w:rsidR="004D7192" w:rsidRPr="00286808" w:rsidRDefault="004D7192" w:rsidP="00055996">
            <w:pPr>
              <w:jc w:val="right"/>
            </w:pPr>
          </w:p>
        </w:tc>
      </w:tr>
      <w:tr w:rsidR="004D7192" w:rsidRPr="00286808" w:rsidTr="005C3EAA">
        <w:tc>
          <w:tcPr>
            <w:tcW w:w="4066" w:type="dxa"/>
          </w:tcPr>
          <w:p w:rsidR="004D7192" w:rsidRPr="00286808" w:rsidRDefault="004D7192" w:rsidP="002B5ADF">
            <w:r w:rsidRPr="00286808">
              <w:t>Property Plant and Equipment</w:t>
            </w:r>
          </w:p>
        </w:tc>
        <w:tc>
          <w:tcPr>
            <w:tcW w:w="1701" w:type="dxa"/>
            <w:vAlign w:val="center"/>
          </w:tcPr>
          <w:p w:rsidR="004D7192" w:rsidRPr="00286808" w:rsidRDefault="00D85330" w:rsidP="00055996">
            <w:pPr>
              <w:jc w:val="right"/>
            </w:pPr>
            <w:r w:rsidRPr="00286808">
              <w:t>(1,807)</w:t>
            </w:r>
          </w:p>
        </w:tc>
        <w:tc>
          <w:tcPr>
            <w:tcW w:w="1559" w:type="dxa"/>
            <w:vAlign w:val="center"/>
          </w:tcPr>
          <w:p w:rsidR="004D7192" w:rsidRPr="00286808" w:rsidRDefault="004D7192" w:rsidP="00983C6D">
            <w:pPr>
              <w:jc w:val="right"/>
            </w:pPr>
            <w:r w:rsidRPr="00286808">
              <w:t>(298)</w:t>
            </w:r>
          </w:p>
        </w:tc>
        <w:tc>
          <w:tcPr>
            <w:tcW w:w="1701" w:type="dxa"/>
            <w:vAlign w:val="center"/>
          </w:tcPr>
          <w:p w:rsidR="004D7192" w:rsidRPr="00286808" w:rsidRDefault="004D7192" w:rsidP="00055996">
            <w:pPr>
              <w:jc w:val="right"/>
            </w:pPr>
            <w:r w:rsidRPr="00286808">
              <w:t>-</w:t>
            </w:r>
          </w:p>
        </w:tc>
        <w:tc>
          <w:tcPr>
            <w:tcW w:w="1418" w:type="dxa"/>
            <w:vAlign w:val="center"/>
          </w:tcPr>
          <w:p w:rsidR="004D7192" w:rsidRPr="00286808" w:rsidRDefault="004D7192" w:rsidP="00055996">
            <w:pPr>
              <w:jc w:val="right"/>
            </w:pPr>
            <w:r w:rsidRPr="00286808">
              <w:t>-</w:t>
            </w:r>
          </w:p>
        </w:tc>
      </w:tr>
      <w:tr w:rsidR="004D7192" w:rsidRPr="00286808" w:rsidTr="005C3EAA">
        <w:tc>
          <w:tcPr>
            <w:tcW w:w="4066" w:type="dxa"/>
          </w:tcPr>
          <w:p w:rsidR="004D7192" w:rsidRPr="00286808" w:rsidRDefault="004D7192" w:rsidP="002B5ADF">
            <w:r w:rsidRPr="00286808">
              <w:t>Intangible Assets</w:t>
            </w:r>
          </w:p>
        </w:tc>
        <w:tc>
          <w:tcPr>
            <w:tcW w:w="1701" w:type="dxa"/>
            <w:vAlign w:val="center"/>
          </w:tcPr>
          <w:p w:rsidR="004D7192" w:rsidRPr="00286808" w:rsidRDefault="00286808" w:rsidP="00055996">
            <w:pPr>
              <w:jc w:val="right"/>
            </w:pPr>
            <w:r w:rsidRPr="00286808">
              <w:t>-</w:t>
            </w:r>
          </w:p>
        </w:tc>
        <w:tc>
          <w:tcPr>
            <w:tcW w:w="1559" w:type="dxa"/>
            <w:vAlign w:val="center"/>
          </w:tcPr>
          <w:p w:rsidR="004D7192" w:rsidRPr="00286808" w:rsidRDefault="004D7192" w:rsidP="00983C6D">
            <w:pPr>
              <w:jc w:val="right"/>
            </w:pPr>
            <w:r w:rsidRPr="00286808">
              <w:t>-</w:t>
            </w:r>
          </w:p>
        </w:tc>
        <w:tc>
          <w:tcPr>
            <w:tcW w:w="1701" w:type="dxa"/>
            <w:vAlign w:val="center"/>
          </w:tcPr>
          <w:p w:rsidR="004D7192" w:rsidRPr="00286808" w:rsidRDefault="004D7192" w:rsidP="00055996">
            <w:pPr>
              <w:jc w:val="right"/>
            </w:pPr>
            <w:r w:rsidRPr="00286808">
              <w:t>-</w:t>
            </w:r>
          </w:p>
        </w:tc>
        <w:tc>
          <w:tcPr>
            <w:tcW w:w="1418" w:type="dxa"/>
            <w:vAlign w:val="center"/>
          </w:tcPr>
          <w:p w:rsidR="004D7192" w:rsidRPr="00286808" w:rsidRDefault="004D7192" w:rsidP="00055996">
            <w:pPr>
              <w:jc w:val="right"/>
            </w:pPr>
            <w:r w:rsidRPr="00286808">
              <w:t>-</w:t>
            </w:r>
          </w:p>
        </w:tc>
      </w:tr>
      <w:tr w:rsidR="004D7192" w:rsidRPr="00286808" w:rsidTr="005C3EAA">
        <w:tc>
          <w:tcPr>
            <w:tcW w:w="4066" w:type="dxa"/>
          </w:tcPr>
          <w:p w:rsidR="004D7192" w:rsidRPr="00286808" w:rsidRDefault="004D7192" w:rsidP="002B5ADF">
            <w:r w:rsidRPr="00286808">
              <w:t>Other assets/liabilities in disposal groups</w:t>
            </w:r>
          </w:p>
        </w:tc>
        <w:tc>
          <w:tcPr>
            <w:tcW w:w="1701" w:type="dxa"/>
            <w:vAlign w:val="center"/>
          </w:tcPr>
          <w:p w:rsidR="004D7192" w:rsidRPr="00286808" w:rsidRDefault="00286808" w:rsidP="00055996">
            <w:pPr>
              <w:jc w:val="right"/>
            </w:pPr>
            <w:r w:rsidRPr="00286808">
              <w:t>-</w:t>
            </w:r>
          </w:p>
        </w:tc>
        <w:tc>
          <w:tcPr>
            <w:tcW w:w="1559" w:type="dxa"/>
            <w:vAlign w:val="center"/>
          </w:tcPr>
          <w:p w:rsidR="004D7192" w:rsidRPr="00286808" w:rsidRDefault="004D7192" w:rsidP="00983C6D">
            <w:pPr>
              <w:jc w:val="right"/>
            </w:pPr>
            <w:r w:rsidRPr="00286808">
              <w:t>-</w:t>
            </w:r>
          </w:p>
        </w:tc>
        <w:tc>
          <w:tcPr>
            <w:tcW w:w="1701" w:type="dxa"/>
            <w:vAlign w:val="center"/>
          </w:tcPr>
          <w:p w:rsidR="004D7192" w:rsidRPr="00286808" w:rsidRDefault="004D7192" w:rsidP="00055996">
            <w:pPr>
              <w:jc w:val="right"/>
            </w:pPr>
            <w:r w:rsidRPr="00286808">
              <w:t>-</w:t>
            </w:r>
          </w:p>
        </w:tc>
        <w:tc>
          <w:tcPr>
            <w:tcW w:w="1418" w:type="dxa"/>
            <w:vAlign w:val="center"/>
          </w:tcPr>
          <w:p w:rsidR="004D7192" w:rsidRPr="00286808" w:rsidRDefault="004D7192" w:rsidP="00055996">
            <w:pPr>
              <w:jc w:val="right"/>
            </w:pPr>
            <w:r w:rsidRPr="00286808">
              <w:t>-</w:t>
            </w:r>
          </w:p>
        </w:tc>
      </w:tr>
      <w:tr w:rsidR="004D7192" w:rsidRPr="00286808" w:rsidTr="005C3EAA">
        <w:tc>
          <w:tcPr>
            <w:tcW w:w="4066" w:type="dxa"/>
          </w:tcPr>
          <w:p w:rsidR="004D7192" w:rsidRPr="00286808" w:rsidRDefault="004D7192" w:rsidP="002B5ADF">
            <w:r w:rsidRPr="00286808">
              <w:t>Assets sold</w:t>
            </w:r>
          </w:p>
        </w:tc>
        <w:tc>
          <w:tcPr>
            <w:tcW w:w="1701" w:type="dxa"/>
            <w:vAlign w:val="center"/>
          </w:tcPr>
          <w:p w:rsidR="004D7192" w:rsidRPr="00286808" w:rsidRDefault="00286808" w:rsidP="00055996">
            <w:pPr>
              <w:jc w:val="right"/>
            </w:pPr>
            <w:r w:rsidRPr="00286808">
              <w:t>(172)</w:t>
            </w:r>
          </w:p>
        </w:tc>
        <w:tc>
          <w:tcPr>
            <w:tcW w:w="1559" w:type="dxa"/>
            <w:vAlign w:val="center"/>
          </w:tcPr>
          <w:p w:rsidR="004D7192" w:rsidRPr="00286808" w:rsidRDefault="004D7192" w:rsidP="00983C6D">
            <w:pPr>
              <w:jc w:val="right"/>
            </w:pPr>
            <w:r w:rsidRPr="00286808">
              <w:t>(1,955)</w:t>
            </w:r>
          </w:p>
        </w:tc>
        <w:tc>
          <w:tcPr>
            <w:tcW w:w="1701" w:type="dxa"/>
            <w:vAlign w:val="center"/>
          </w:tcPr>
          <w:p w:rsidR="004D7192" w:rsidRPr="00286808" w:rsidRDefault="004D7192" w:rsidP="00055996">
            <w:pPr>
              <w:jc w:val="right"/>
            </w:pPr>
            <w:r w:rsidRPr="00286808">
              <w:t>-</w:t>
            </w:r>
          </w:p>
        </w:tc>
        <w:tc>
          <w:tcPr>
            <w:tcW w:w="1418" w:type="dxa"/>
            <w:vAlign w:val="center"/>
          </w:tcPr>
          <w:p w:rsidR="004D7192" w:rsidRPr="00286808" w:rsidRDefault="004D7192" w:rsidP="00055996">
            <w:pPr>
              <w:jc w:val="right"/>
            </w:pPr>
            <w:r w:rsidRPr="00286808">
              <w:t>-</w:t>
            </w:r>
          </w:p>
        </w:tc>
      </w:tr>
      <w:tr w:rsidR="004D7192" w:rsidRPr="00286808" w:rsidTr="005C3EAA">
        <w:tc>
          <w:tcPr>
            <w:tcW w:w="4066" w:type="dxa"/>
          </w:tcPr>
          <w:p w:rsidR="004D7192" w:rsidRPr="00286808" w:rsidRDefault="004D7192" w:rsidP="002B5ADF">
            <w:r w:rsidRPr="00286808">
              <w:t>Transfers from non-current to current</w:t>
            </w:r>
          </w:p>
        </w:tc>
        <w:tc>
          <w:tcPr>
            <w:tcW w:w="1701" w:type="dxa"/>
            <w:vAlign w:val="center"/>
          </w:tcPr>
          <w:p w:rsidR="004D7192" w:rsidRPr="00286808" w:rsidRDefault="00286808" w:rsidP="00055996">
            <w:pPr>
              <w:jc w:val="right"/>
            </w:pPr>
            <w:r w:rsidRPr="00286808">
              <w:t>-</w:t>
            </w:r>
          </w:p>
        </w:tc>
        <w:tc>
          <w:tcPr>
            <w:tcW w:w="1559" w:type="dxa"/>
            <w:vAlign w:val="center"/>
          </w:tcPr>
          <w:p w:rsidR="004D7192" w:rsidRPr="00286808" w:rsidRDefault="004D7192" w:rsidP="00983C6D">
            <w:pPr>
              <w:jc w:val="right"/>
            </w:pPr>
            <w:r w:rsidRPr="00286808">
              <w:t>-</w:t>
            </w:r>
          </w:p>
        </w:tc>
        <w:tc>
          <w:tcPr>
            <w:tcW w:w="1701" w:type="dxa"/>
            <w:vAlign w:val="center"/>
          </w:tcPr>
          <w:p w:rsidR="004D7192" w:rsidRPr="00286808" w:rsidRDefault="004D7192" w:rsidP="00055996">
            <w:pPr>
              <w:jc w:val="right"/>
            </w:pPr>
            <w:r w:rsidRPr="00286808">
              <w:t>-</w:t>
            </w:r>
          </w:p>
        </w:tc>
        <w:tc>
          <w:tcPr>
            <w:tcW w:w="1418" w:type="dxa"/>
            <w:vAlign w:val="center"/>
          </w:tcPr>
          <w:p w:rsidR="004D7192" w:rsidRPr="00286808" w:rsidRDefault="004D7192" w:rsidP="00055996">
            <w:pPr>
              <w:jc w:val="right"/>
            </w:pPr>
            <w:r w:rsidRPr="00286808">
              <w:t>-</w:t>
            </w:r>
          </w:p>
        </w:tc>
      </w:tr>
      <w:tr w:rsidR="004D7192" w:rsidRPr="00286808" w:rsidTr="005C3EAA">
        <w:tc>
          <w:tcPr>
            <w:tcW w:w="4066" w:type="dxa"/>
          </w:tcPr>
          <w:p w:rsidR="004D7192" w:rsidRPr="00286808" w:rsidRDefault="004D7192" w:rsidP="002B5ADF">
            <w:r w:rsidRPr="00286808">
              <w:t>Other movements</w:t>
            </w:r>
          </w:p>
        </w:tc>
        <w:tc>
          <w:tcPr>
            <w:tcW w:w="1701" w:type="dxa"/>
            <w:vAlign w:val="center"/>
          </w:tcPr>
          <w:p w:rsidR="004D7192" w:rsidRPr="00286808" w:rsidRDefault="00286808" w:rsidP="005961F0">
            <w:pPr>
              <w:jc w:val="right"/>
            </w:pPr>
            <w:r w:rsidRPr="00286808">
              <w:t>(13)</w:t>
            </w:r>
          </w:p>
        </w:tc>
        <w:tc>
          <w:tcPr>
            <w:tcW w:w="1559" w:type="dxa"/>
            <w:vAlign w:val="center"/>
          </w:tcPr>
          <w:p w:rsidR="004D7192" w:rsidRPr="00286808" w:rsidRDefault="004D7192" w:rsidP="00983C6D">
            <w:pPr>
              <w:jc w:val="right"/>
            </w:pPr>
            <w:r w:rsidRPr="00286808">
              <w:t>(16)</w:t>
            </w:r>
          </w:p>
        </w:tc>
        <w:tc>
          <w:tcPr>
            <w:tcW w:w="1701" w:type="dxa"/>
            <w:vAlign w:val="center"/>
          </w:tcPr>
          <w:p w:rsidR="004D7192" w:rsidRPr="00286808" w:rsidRDefault="004D7192" w:rsidP="00055996">
            <w:pPr>
              <w:jc w:val="right"/>
            </w:pPr>
            <w:r w:rsidRPr="00286808">
              <w:t>-</w:t>
            </w:r>
          </w:p>
        </w:tc>
        <w:tc>
          <w:tcPr>
            <w:tcW w:w="1418" w:type="dxa"/>
            <w:vAlign w:val="center"/>
          </w:tcPr>
          <w:p w:rsidR="004D7192" w:rsidRPr="00286808" w:rsidRDefault="004D7192" w:rsidP="00055996">
            <w:pPr>
              <w:jc w:val="right"/>
            </w:pPr>
            <w:r w:rsidRPr="00286808">
              <w:t>-</w:t>
            </w:r>
          </w:p>
        </w:tc>
      </w:tr>
      <w:tr w:rsidR="004D7192" w:rsidRPr="00286C0E" w:rsidTr="005C3EAA">
        <w:tc>
          <w:tcPr>
            <w:tcW w:w="4066" w:type="dxa"/>
          </w:tcPr>
          <w:p w:rsidR="004D7192" w:rsidRPr="00286808" w:rsidRDefault="004D7192" w:rsidP="002B5ADF">
            <w:pPr>
              <w:rPr>
                <w:b/>
              </w:rPr>
            </w:pPr>
            <w:r w:rsidRPr="00286808">
              <w:rPr>
                <w:b/>
              </w:rPr>
              <w:t>Balance outstanding at year end</w:t>
            </w:r>
          </w:p>
        </w:tc>
        <w:tc>
          <w:tcPr>
            <w:tcW w:w="1701" w:type="dxa"/>
            <w:vAlign w:val="center"/>
          </w:tcPr>
          <w:p w:rsidR="004D7192" w:rsidRPr="00286808" w:rsidRDefault="00286808" w:rsidP="005961F0">
            <w:pPr>
              <w:jc w:val="right"/>
              <w:rPr>
                <w:b/>
              </w:rPr>
            </w:pPr>
            <w:r w:rsidRPr="00286808">
              <w:rPr>
                <w:b/>
              </w:rPr>
              <w:t>1,901</w:t>
            </w:r>
          </w:p>
        </w:tc>
        <w:tc>
          <w:tcPr>
            <w:tcW w:w="1559" w:type="dxa"/>
            <w:vAlign w:val="center"/>
          </w:tcPr>
          <w:p w:rsidR="004D7192" w:rsidRPr="00286808" w:rsidRDefault="004D7192" w:rsidP="00983C6D">
            <w:pPr>
              <w:jc w:val="right"/>
              <w:rPr>
                <w:b/>
              </w:rPr>
            </w:pPr>
            <w:r w:rsidRPr="00286808">
              <w:rPr>
                <w:b/>
              </w:rPr>
              <w:t>2,365</w:t>
            </w:r>
          </w:p>
        </w:tc>
        <w:tc>
          <w:tcPr>
            <w:tcW w:w="1701" w:type="dxa"/>
            <w:vAlign w:val="center"/>
          </w:tcPr>
          <w:p w:rsidR="004D7192" w:rsidRPr="00286808" w:rsidRDefault="004D7192" w:rsidP="00055996">
            <w:pPr>
              <w:jc w:val="right"/>
            </w:pPr>
            <w:r w:rsidRPr="00286808">
              <w:t>-</w:t>
            </w:r>
          </w:p>
        </w:tc>
        <w:tc>
          <w:tcPr>
            <w:tcW w:w="1418" w:type="dxa"/>
            <w:vAlign w:val="center"/>
          </w:tcPr>
          <w:p w:rsidR="004D7192" w:rsidRPr="00286808" w:rsidRDefault="004D7192" w:rsidP="00055996">
            <w:pPr>
              <w:jc w:val="right"/>
            </w:pPr>
            <w:r w:rsidRPr="00286808">
              <w:t>-</w:t>
            </w:r>
          </w:p>
        </w:tc>
      </w:tr>
    </w:tbl>
    <w:p w:rsidR="00A6123A" w:rsidRPr="00286C0E" w:rsidRDefault="00A6123A" w:rsidP="00F076D1">
      <w:pPr>
        <w:rPr>
          <w:highlight w:val="yellow"/>
        </w:rPr>
      </w:pPr>
    </w:p>
    <w:p w:rsidR="00A6123A" w:rsidRPr="00286C0E" w:rsidRDefault="00A6123A" w:rsidP="00F076D1">
      <w:pPr>
        <w:rPr>
          <w:highlight w:val="yellow"/>
        </w:rPr>
      </w:pPr>
    </w:p>
    <w:p w:rsidR="00A6123A" w:rsidRPr="00286C0E" w:rsidRDefault="00A6123A" w:rsidP="00F076D1">
      <w:pPr>
        <w:rPr>
          <w:b/>
          <w:i/>
          <w:highlight w:val="yellow"/>
        </w:rPr>
      </w:pPr>
    </w:p>
    <w:p w:rsidR="00975DE4" w:rsidRPr="00B118AC" w:rsidRDefault="008B733F" w:rsidP="00BD07E4">
      <w:pPr>
        <w:numPr>
          <w:ilvl w:val="0"/>
          <w:numId w:val="21"/>
        </w:numPr>
        <w:spacing w:after="240"/>
        <w:rPr>
          <w:b/>
        </w:rPr>
      </w:pPr>
      <w:r w:rsidRPr="00B118AC">
        <w:rPr>
          <w:b/>
        </w:rPr>
        <w:t>Us</w:t>
      </w:r>
      <w:r w:rsidR="00975DE4" w:rsidRPr="00B118AC">
        <w:rPr>
          <w:b/>
        </w:rPr>
        <w:t xml:space="preserve">able Reserves </w:t>
      </w:r>
    </w:p>
    <w:p w:rsidR="00975DE4" w:rsidRPr="00B118AC" w:rsidRDefault="00975DE4" w:rsidP="004F2E24">
      <w:pPr>
        <w:spacing w:after="240"/>
        <w:ind w:left="720"/>
      </w:pPr>
      <w:r w:rsidRPr="00B118AC">
        <w:t>Movements in the authority's useable reserves are detailed in the Movement in Reserves Statement.</w:t>
      </w:r>
    </w:p>
    <w:p w:rsidR="00F84EDD" w:rsidRDefault="00F84EDD">
      <w:r>
        <w:br w:type="page"/>
      </w:r>
    </w:p>
    <w:p w:rsidR="00875351" w:rsidRPr="004D5C1F" w:rsidRDefault="00875351" w:rsidP="00875351">
      <w:pPr>
        <w:spacing w:after="240"/>
      </w:pPr>
    </w:p>
    <w:p w:rsidR="00975DE4" w:rsidRPr="004D5C1F" w:rsidRDefault="00975DE4" w:rsidP="00BD07E4">
      <w:pPr>
        <w:numPr>
          <w:ilvl w:val="0"/>
          <w:numId w:val="21"/>
        </w:numPr>
        <w:rPr>
          <w:b/>
        </w:rPr>
      </w:pPr>
      <w:r w:rsidRPr="004D5C1F">
        <w:rPr>
          <w:b/>
        </w:rPr>
        <w:t>Unusable Reserves</w:t>
      </w:r>
    </w:p>
    <w:p w:rsidR="00975DE4" w:rsidRPr="004D5C1F" w:rsidRDefault="00975DE4" w:rsidP="00975DE4">
      <w:pPr>
        <w:jc w:val="both"/>
        <w:rPr>
          <w:b/>
        </w:rPr>
      </w:pPr>
    </w:p>
    <w:p w:rsidR="00975DE4" w:rsidRPr="004D5C1F" w:rsidRDefault="00975DE4" w:rsidP="005E3295">
      <w:pPr>
        <w:spacing w:after="240"/>
        <w:ind w:firstLine="720"/>
        <w:jc w:val="both"/>
        <w:rPr>
          <w:b/>
        </w:rPr>
      </w:pPr>
      <w:r w:rsidRPr="004D5C1F">
        <w:rPr>
          <w:b/>
        </w:rPr>
        <w:t>Revaluation Reserve</w:t>
      </w:r>
    </w:p>
    <w:p w:rsidR="00975DE4" w:rsidRPr="004D5C1F" w:rsidRDefault="00975DE4" w:rsidP="005E3295">
      <w:pPr>
        <w:spacing w:after="240"/>
        <w:ind w:left="720"/>
        <w:jc w:val="both"/>
      </w:pPr>
      <w:r w:rsidRPr="004D5C1F">
        <w:t>The revaluation reserve contains the gains made by the authority arising from increases in the value of its property, plant and equipment and intangible assets.  The balance is reduced when assets with accumulated gains are:</w:t>
      </w:r>
    </w:p>
    <w:p w:rsidR="00975DE4" w:rsidRPr="004D5C1F" w:rsidRDefault="00975DE4" w:rsidP="00BD07E4">
      <w:pPr>
        <w:numPr>
          <w:ilvl w:val="0"/>
          <w:numId w:val="38"/>
        </w:numPr>
        <w:spacing w:after="240"/>
        <w:jc w:val="both"/>
      </w:pPr>
      <w:r w:rsidRPr="004D5C1F">
        <w:t>Revalued downwards or impaired and the gains are lost</w:t>
      </w:r>
    </w:p>
    <w:p w:rsidR="00975DE4" w:rsidRPr="004D5C1F" w:rsidRDefault="00975DE4" w:rsidP="00BD07E4">
      <w:pPr>
        <w:numPr>
          <w:ilvl w:val="0"/>
          <w:numId w:val="38"/>
        </w:numPr>
        <w:spacing w:after="240"/>
        <w:jc w:val="both"/>
      </w:pPr>
      <w:r w:rsidRPr="004D5C1F">
        <w:t>Used in the provision of services and the gains are consumed through depreciation, or</w:t>
      </w:r>
    </w:p>
    <w:p w:rsidR="00975DE4" w:rsidRPr="004D5C1F" w:rsidRDefault="00975DE4" w:rsidP="00BD07E4">
      <w:pPr>
        <w:numPr>
          <w:ilvl w:val="0"/>
          <w:numId w:val="38"/>
        </w:numPr>
        <w:spacing w:after="240"/>
        <w:jc w:val="both"/>
      </w:pPr>
      <w:r w:rsidRPr="004D5C1F">
        <w:t>Disposed of and the gains are realised.</w:t>
      </w:r>
    </w:p>
    <w:p w:rsidR="00975DE4" w:rsidRDefault="00975DE4" w:rsidP="005E3295">
      <w:pPr>
        <w:ind w:left="720"/>
        <w:jc w:val="both"/>
      </w:pPr>
      <w:r w:rsidRPr="004D5C1F">
        <w:t xml:space="preserve">The revaluation reserve </w:t>
      </w:r>
      <w:r w:rsidR="005E3295" w:rsidRPr="004D5C1F">
        <w:t xml:space="preserve">contains only revaluation gains accumulated since 1 April 2007, the date that the Reserve was created. Accumulated gains arising before that date are consolidated into the balance on the Capital Adjustment Account. </w:t>
      </w:r>
      <w:r w:rsidRPr="004D5C1F">
        <w:t xml:space="preserve"> </w:t>
      </w:r>
    </w:p>
    <w:p w:rsidR="006879B1" w:rsidRDefault="006879B1" w:rsidP="005E3295">
      <w:pPr>
        <w:ind w:left="720"/>
        <w:jc w:val="both"/>
      </w:pPr>
    </w:p>
    <w:p w:rsidR="006879B1" w:rsidRPr="004D5C1F" w:rsidRDefault="006879B1" w:rsidP="005E3295">
      <w:pPr>
        <w:ind w:left="720"/>
        <w:jc w:val="both"/>
      </w:pPr>
    </w:p>
    <w:p w:rsidR="004F2E24" w:rsidRPr="004D5C1F" w:rsidRDefault="004F2E24" w:rsidP="005E3295">
      <w:pPr>
        <w:ind w:left="720"/>
        <w:jc w:val="both"/>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7"/>
        <w:gridCol w:w="1262"/>
        <w:gridCol w:w="1132"/>
      </w:tblGrid>
      <w:tr w:rsidR="005E3295" w:rsidRPr="004D5C1F" w:rsidTr="005C3EAA">
        <w:tc>
          <w:tcPr>
            <w:tcW w:w="7654" w:type="dxa"/>
          </w:tcPr>
          <w:p w:rsidR="005E3295" w:rsidRPr="004D5C1F" w:rsidRDefault="005E3295" w:rsidP="00DA4D69">
            <w:pPr>
              <w:jc w:val="both"/>
            </w:pPr>
          </w:p>
        </w:tc>
        <w:tc>
          <w:tcPr>
            <w:tcW w:w="1276" w:type="dxa"/>
          </w:tcPr>
          <w:p w:rsidR="005E3295" w:rsidRPr="004D5C1F" w:rsidRDefault="00983C6D" w:rsidP="00983C6D">
            <w:pPr>
              <w:jc w:val="right"/>
              <w:rPr>
                <w:b/>
              </w:rPr>
            </w:pPr>
            <w:r w:rsidRPr="004D5C1F">
              <w:rPr>
                <w:b/>
              </w:rPr>
              <w:t>2011</w:t>
            </w:r>
            <w:r w:rsidR="005E3295" w:rsidRPr="004D5C1F">
              <w:rPr>
                <w:b/>
              </w:rPr>
              <w:t>/1</w:t>
            </w:r>
            <w:r w:rsidRPr="004D5C1F">
              <w:rPr>
                <w:b/>
              </w:rPr>
              <w:t>2</w:t>
            </w:r>
          </w:p>
        </w:tc>
        <w:tc>
          <w:tcPr>
            <w:tcW w:w="1134" w:type="dxa"/>
          </w:tcPr>
          <w:p w:rsidR="005E3295" w:rsidRPr="004D5C1F" w:rsidRDefault="005E3295" w:rsidP="00983C6D">
            <w:pPr>
              <w:jc w:val="right"/>
              <w:rPr>
                <w:b/>
              </w:rPr>
            </w:pPr>
            <w:r w:rsidRPr="004D5C1F">
              <w:rPr>
                <w:b/>
              </w:rPr>
              <w:t>20</w:t>
            </w:r>
            <w:r w:rsidR="00983C6D" w:rsidRPr="004D5C1F">
              <w:rPr>
                <w:b/>
              </w:rPr>
              <w:t>10</w:t>
            </w:r>
            <w:r w:rsidRPr="004D5C1F">
              <w:rPr>
                <w:b/>
              </w:rPr>
              <w:t>/1</w:t>
            </w:r>
            <w:r w:rsidR="00983C6D" w:rsidRPr="004D5C1F">
              <w:rPr>
                <w:b/>
              </w:rPr>
              <w:t>1</w:t>
            </w:r>
          </w:p>
        </w:tc>
      </w:tr>
      <w:tr w:rsidR="005E3295" w:rsidRPr="004D5C1F" w:rsidTr="005C3EAA">
        <w:tc>
          <w:tcPr>
            <w:tcW w:w="7654" w:type="dxa"/>
          </w:tcPr>
          <w:p w:rsidR="005E3295" w:rsidRPr="004D5C1F" w:rsidRDefault="005E3295" w:rsidP="00DA4D69">
            <w:pPr>
              <w:jc w:val="both"/>
            </w:pPr>
          </w:p>
        </w:tc>
        <w:tc>
          <w:tcPr>
            <w:tcW w:w="1276" w:type="dxa"/>
          </w:tcPr>
          <w:p w:rsidR="005E3295" w:rsidRPr="004D5C1F" w:rsidRDefault="005E3295" w:rsidP="00875351">
            <w:pPr>
              <w:jc w:val="right"/>
            </w:pPr>
            <w:r w:rsidRPr="004D5C1F">
              <w:t>£000</w:t>
            </w:r>
          </w:p>
        </w:tc>
        <w:tc>
          <w:tcPr>
            <w:tcW w:w="1134" w:type="dxa"/>
          </w:tcPr>
          <w:p w:rsidR="005E3295" w:rsidRPr="004D5C1F" w:rsidRDefault="005E3295" w:rsidP="00875351">
            <w:pPr>
              <w:jc w:val="right"/>
            </w:pPr>
            <w:r w:rsidRPr="004D5C1F">
              <w:t>£000</w:t>
            </w:r>
          </w:p>
        </w:tc>
      </w:tr>
      <w:tr w:rsidR="00983C6D" w:rsidRPr="004D5C1F" w:rsidTr="005C3EAA">
        <w:tc>
          <w:tcPr>
            <w:tcW w:w="7654" w:type="dxa"/>
          </w:tcPr>
          <w:p w:rsidR="00983C6D" w:rsidRPr="004D5C1F" w:rsidRDefault="00AC308D" w:rsidP="00AC308D">
            <w:pPr>
              <w:jc w:val="both"/>
            </w:pPr>
            <w:r>
              <w:t>Balance at 1</w:t>
            </w:r>
            <w:r w:rsidR="00983C6D" w:rsidRPr="004D5C1F">
              <w:t xml:space="preserve"> April</w:t>
            </w:r>
          </w:p>
        </w:tc>
        <w:tc>
          <w:tcPr>
            <w:tcW w:w="1276" w:type="dxa"/>
            <w:vAlign w:val="center"/>
          </w:tcPr>
          <w:p w:rsidR="00983C6D" w:rsidRPr="004D5C1F" w:rsidRDefault="00502706" w:rsidP="00875351">
            <w:pPr>
              <w:jc w:val="right"/>
            </w:pPr>
            <w:r w:rsidRPr="004D5C1F">
              <w:t>769,550</w:t>
            </w:r>
          </w:p>
        </w:tc>
        <w:tc>
          <w:tcPr>
            <w:tcW w:w="1134" w:type="dxa"/>
            <w:vAlign w:val="center"/>
          </w:tcPr>
          <w:p w:rsidR="00983C6D" w:rsidRPr="004D5C1F" w:rsidRDefault="00502706" w:rsidP="00983C6D">
            <w:pPr>
              <w:jc w:val="right"/>
            </w:pPr>
            <w:r w:rsidRPr="004D5C1F">
              <w:t>669,184</w:t>
            </w:r>
          </w:p>
        </w:tc>
      </w:tr>
      <w:tr w:rsidR="00983C6D" w:rsidRPr="004D5C1F" w:rsidTr="005C3EAA">
        <w:tc>
          <w:tcPr>
            <w:tcW w:w="7654" w:type="dxa"/>
          </w:tcPr>
          <w:p w:rsidR="00983C6D" w:rsidRPr="004D5C1F" w:rsidRDefault="00983C6D" w:rsidP="00DA4D69">
            <w:pPr>
              <w:jc w:val="both"/>
            </w:pPr>
          </w:p>
        </w:tc>
        <w:tc>
          <w:tcPr>
            <w:tcW w:w="1276" w:type="dxa"/>
            <w:vAlign w:val="center"/>
          </w:tcPr>
          <w:p w:rsidR="00983C6D" w:rsidRPr="004D5C1F" w:rsidRDefault="00983C6D" w:rsidP="00875351">
            <w:pPr>
              <w:jc w:val="right"/>
            </w:pPr>
          </w:p>
        </w:tc>
        <w:tc>
          <w:tcPr>
            <w:tcW w:w="1134" w:type="dxa"/>
            <w:vAlign w:val="center"/>
          </w:tcPr>
          <w:p w:rsidR="00983C6D" w:rsidRPr="004D5C1F" w:rsidRDefault="00983C6D" w:rsidP="00983C6D">
            <w:pPr>
              <w:jc w:val="right"/>
            </w:pPr>
          </w:p>
        </w:tc>
      </w:tr>
      <w:tr w:rsidR="00983C6D" w:rsidRPr="004D5C1F" w:rsidTr="005C3EAA">
        <w:tc>
          <w:tcPr>
            <w:tcW w:w="7654" w:type="dxa"/>
          </w:tcPr>
          <w:p w:rsidR="00983C6D" w:rsidRPr="004D5C1F" w:rsidRDefault="00983C6D" w:rsidP="00DA4D69">
            <w:pPr>
              <w:jc w:val="both"/>
            </w:pPr>
            <w:r w:rsidRPr="004D5C1F">
              <w:t xml:space="preserve">Upward revaluation of assets </w:t>
            </w:r>
          </w:p>
        </w:tc>
        <w:tc>
          <w:tcPr>
            <w:tcW w:w="1276" w:type="dxa"/>
            <w:vAlign w:val="center"/>
          </w:tcPr>
          <w:p w:rsidR="00983C6D" w:rsidRPr="004D5C1F" w:rsidRDefault="00502706" w:rsidP="00875351">
            <w:pPr>
              <w:jc w:val="right"/>
            </w:pPr>
            <w:r w:rsidRPr="004D5C1F">
              <w:t>16,151</w:t>
            </w:r>
          </w:p>
        </w:tc>
        <w:tc>
          <w:tcPr>
            <w:tcW w:w="1134" w:type="dxa"/>
            <w:vAlign w:val="center"/>
          </w:tcPr>
          <w:p w:rsidR="00983C6D" w:rsidRPr="004D5C1F" w:rsidRDefault="00983C6D" w:rsidP="00983C6D">
            <w:pPr>
              <w:jc w:val="right"/>
            </w:pPr>
            <w:r w:rsidRPr="004D5C1F">
              <w:t>139,1</w:t>
            </w:r>
            <w:r w:rsidR="00A6194E">
              <w:t>49</w:t>
            </w:r>
          </w:p>
        </w:tc>
      </w:tr>
      <w:tr w:rsidR="00983C6D" w:rsidRPr="004D5C1F" w:rsidTr="005C3EAA">
        <w:tc>
          <w:tcPr>
            <w:tcW w:w="7654" w:type="dxa"/>
          </w:tcPr>
          <w:p w:rsidR="00983C6D" w:rsidRPr="004D5C1F" w:rsidRDefault="00983C6D" w:rsidP="00DA4D69">
            <w:pPr>
              <w:jc w:val="both"/>
            </w:pPr>
            <w:r w:rsidRPr="004D5C1F">
              <w:t>Downward revaluation of assets and impairment losses not charged to the Surplus/Deficit on the Provision of Services</w:t>
            </w:r>
          </w:p>
        </w:tc>
        <w:tc>
          <w:tcPr>
            <w:tcW w:w="1276" w:type="dxa"/>
            <w:tcBorders>
              <w:bottom w:val="single" w:sz="12" w:space="0" w:color="auto"/>
            </w:tcBorders>
            <w:vAlign w:val="center"/>
          </w:tcPr>
          <w:p w:rsidR="00983C6D" w:rsidRPr="004D5C1F" w:rsidRDefault="00502706" w:rsidP="00875351">
            <w:pPr>
              <w:jc w:val="right"/>
            </w:pPr>
            <w:r w:rsidRPr="004D5C1F">
              <w:t>(5,257)</w:t>
            </w:r>
          </w:p>
        </w:tc>
        <w:tc>
          <w:tcPr>
            <w:tcW w:w="1134" w:type="dxa"/>
            <w:tcBorders>
              <w:bottom w:val="single" w:sz="12" w:space="0" w:color="auto"/>
            </w:tcBorders>
            <w:vAlign w:val="center"/>
          </w:tcPr>
          <w:p w:rsidR="00983C6D" w:rsidRPr="004D5C1F" w:rsidRDefault="00983C6D" w:rsidP="00983C6D">
            <w:pPr>
              <w:jc w:val="right"/>
            </w:pPr>
            <w:r w:rsidRPr="004D5C1F">
              <w:t>(20,092)</w:t>
            </w:r>
          </w:p>
        </w:tc>
      </w:tr>
      <w:tr w:rsidR="00983C6D" w:rsidRPr="004D5C1F" w:rsidTr="005C3EAA">
        <w:tc>
          <w:tcPr>
            <w:tcW w:w="7654" w:type="dxa"/>
          </w:tcPr>
          <w:p w:rsidR="00983C6D" w:rsidRPr="004D5C1F" w:rsidRDefault="00983C6D" w:rsidP="00DA4D69">
            <w:pPr>
              <w:jc w:val="both"/>
              <w:rPr>
                <w:b/>
              </w:rPr>
            </w:pPr>
            <w:r w:rsidRPr="004D5C1F">
              <w:rPr>
                <w:b/>
              </w:rPr>
              <w:t>Surplus or deficit on revaluation of non-current assets not posted to the Surplus or Deficit on the Provision of Services</w:t>
            </w:r>
          </w:p>
        </w:tc>
        <w:tc>
          <w:tcPr>
            <w:tcW w:w="1276" w:type="dxa"/>
            <w:tcBorders>
              <w:top w:val="single" w:sz="12" w:space="0" w:color="auto"/>
              <w:bottom w:val="single" w:sz="12" w:space="0" w:color="auto"/>
            </w:tcBorders>
            <w:vAlign w:val="center"/>
          </w:tcPr>
          <w:p w:rsidR="00983C6D" w:rsidRPr="004D5C1F" w:rsidRDefault="00502706" w:rsidP="00875351">
            <w:pPr>
              <w:jc w:val="right"/>
              <w:rPr>
                <w:b/>
              </w:rPr>
            </w:pPr>
            <w:r w:rsidRPr="004D5C1F">
              <w:rPr>
                <w:b/>
              </w:rPr>
              <w:t>10,894</w:t>
            </w:r>
          </w:p>
        </w:tc>
        <w:tc>
          <w:tcPr>
            <w:tcW w:w="1134" w:type="dxa"/>
            <w:tcBorders>
              <w:top w:val="single" w:sz="12" w:space="0" w:color="auto"/>
              <w:bottom w:val="single" w:sz="12" w:space="0" w:color="auto"/>
            </w:tcBorders>
            <w:vAlign w:val="center"/>
          </w:tcPr>
          <w:p w:rsidR="00983C6D" w:rsidRPr="004D5C1F" w:rsidRDefault="00983C6D" w:rsidP="00983C6D">
            <w:pPr>
              <w:jc w:val="right"/>
              <w:rPr>
                <w:b/>
              </w:rPr>
            </w:pPr>
            <w:r w:rsidRPr="004D5C1F">
              <w:rPr>
                <w:b/>
              </w:rPr>
              <w:t>119,057</w:t>
            </w:r>
          </w:p>
        </w:tc>
      </w:tr>
      <w:tr w:rsidR="00983C6D" w:rsidRPr="004D5C1F" w:rsidTr="005C3EAA">
        <w:tc>
          <w:tcPr>
            <w:tcW w:w="7654" w:type="dxa"/>
          </w:tcPr>
          <w:p w:rsidR="00983C6D" w:rsidRPr="004D5C1F" w:rsidRDefault="00983C6D" w:rsidP="00DA4D69">
            <w:pPr>
              <w:jc w:val="both"/>
            </w:pPr>
            <w:r w:rsidRPr="004D5C1F">
              <w:t>Difference between fair value depreciation and historical cost depreciation</w:t>
            </w:r>
          </w:p>
        </w:tc>
        <w:tc>
          <w:tcPr>
            <w:tcW w:w="1276" w:type="dxa"/>
            <w:tcBorders>
              <w:top w:val="single" w:sz="12" w:space="0" w:color="auto"/>
            </w:tcBorders>
            <w:vAlign w:val="center"/>
          </w:tcPr>
          <w:p w:rsidR="00983C6D" w:rsidRPr="004D5C1F" w:rsidRDefault="00502706" w:rsidP="00875351">
            <w:pPr>
              <w:jc w:val="right"/>
            </w:pPr>
            <w:r w:rsidRPr="004D5C1F">
              <w:t>(7,396)</w:t>
            </w:r>
          </w:p>
        </w:tc>
        <w:tc>
          <w:tcPr>
            <w:tcW w:w="1134" w:type="dxa"/>
            <w:tcBorders>
              <w:top w:val="single" w:sz="12" w:space="0" w:color="auto"/>
            </w:tcBorders>
            <w:vAlign w:val="center"/>
          </w:tcPr>
          <w:p w:rsidR="00983C6D" w:rsidRPr="004D5C1F" w:rsidRDefault="00983C6D" w:rsidP="00983C6D">
            <w:pPr>
              <w:jc w:val="right"/>
            </w:pPr>
            <w:r w:rsidRPr="004D5C1F">
              <w:t>(7,753)</w:t>
            </w:r>
          </w:p>
        </w:tc>
      </w:tr>
      <w:tr w:rsidR="00983C6D" w:rsidRPr="004D5C1F" w:rsidTr="005C3EAA">
        <w:tc>
          <w:tcPr>
            <w:tcW w:w="7654" w:type="dxa"/>
          </w:tcPr>
          <w:p w:rsidR="00983C6D" w:rsidRPr="004D5C1F" w:rsidRDefault="00983C6D" w:rsidP="00DA4D69">
            <w:pPr>
              <w:jc w:val="both"/>
            </w:pPr>
            <w:r w:rsidRPr="004D5C1F">
              <w:t>Accumulated gains on assets sold or scrapped</w:t>
            </w:r>
          </w:p>
        </w:tc>
        <w:tc>
          <w:tcPr>
            <w:tcW w:w="1276" w:type="dxa"/>
            <w:tcBorders>
              <w:bottom w:val="single" w:sz="4" w:space="0" w:color="auto"/>
            </w:tcBorders>
            <w:vAlign w:val="center"/>
          </w:tcPr>
          <w:p w:rsidR="00983C6D" w:rsidRPr="004D5C1F" w:rsidRDefault="00502706" w:rsidP="00875351">
            <w:pPr>
              <w:jc w:val="right"/>
            </w:pPr>
            <w:r w:rsidRPr="004D5C1F">
              <w:t>(53,224)</w:t>
            </w:r>
          </w:p>
        </w:tc>
        <w:tc>
          <w:tcPr>
            <w:tcW w:w="1134" w:type="dxa"/>
            <w:tcBorders>
              <w:bottom w:val="single" w:sz="4" w:space="0" w:color="auto"/>
            </w:tcBorders>
            <w:vAlign w:val="center"/>
          </w:tcPr>
          <w:p w:rsidR="00983C6D" w:rsidRPr="004D5C1F" w:rsidRDefault="00983C6D" w:rsidP="00983C6D">
            <w:pPr>
              <w:jc w:val="right"/>
            </w:pPr>
            <w:r w:rsidRPr="004D5C1F">
              <w:t>(10,650)</w:t>
            </w:r>
          </w:p>
        </w:tc>
      </w:tr>
      <w:tr w:rsidR="00983C6D" w:rsidRPr="004D5C1F" w:rsidTr="005C3EAA">
        <w:tc>
          <w:tcPr>
            <w:tcW w:w="7654" w:type="dxa"/>
          </w:tcPr>
          <w:p w:rsidR="00983C6D" w:rsidRPr="004D5C1F" w:rsidRDefault="00983C6D" w:rsidP="00DA4D69">
            <w:pPr>
              <w:jc w:val="both"/>
            </w:pPr>
            <w:r w:rsidRPr="004D5C1F">
              <w:t>Reclassifications</w:t>
            </w:r>
          </w:p>
        </w:tc>
        <w:tc>
          <w:tcPr>
            <w:tcW w:w="1276" w:type="dxa"/>
            <w:tcBorders>
              <w:bottom w:val="single" w:sz="12" w:space="0" w:color="auto"/>
            </w:tcBorders>
            <w:vAlign w:val="center"/>
          </w:tcPr>
          <w:p w:rsidR="00983C6D" w:rsidRPr="004D5C1F" w:rsidRDefault="00502706" w:rsidP="00875351">
            <w:pPr>
              <w:jc w:val="right"/>
            </w:pPr>
            <w:r w:rsidRPr="004D5C1F">
              <w:t>(1,156)</w:t>
            </w:r>
          </w:p>
        </w:tc>
        <w:tc>
          <w:tcPr>
            <w:tcW w:w="1134" w:type="dxa"/>
            <w:tcBorders>
              <w:bottom w:val="single" w:sz="12" w:space="0" w:color="auto"/>
            </w:tcBorders>
            <w:vAlign w:val="center"/>
          </w:tcPr>
          <w:p w:rsidR="00983C6D" w:rsidRPr="004D5C1F" w:rsidRDefault="00983C6D" w:rsidP="00983C6D">
            <w:pPr>
              <w:jc w:val="right"/>
            </w:pPr>
            <w:r w:rsidRPr="004D5C1F">
              <w:t>(288)</w:t>
            </w:r>
          </w:p>
        </w:tc>
      </w:tr>
      <w:tr w:rsidR="00983C6D" w:rsidRPr="004D5C1F" w:rsidTr="00302392">
        <w:tc>
          <w:tcPr>
            <w:tcW w:w="7654" w:type="dxa"/>
          </w:tcPr>
          <w:p w:rsidR="00983C6D" w:rsidRPr="004D5C1F" w:rsidRDefault="00983C6D" w:rsidP="00DA4D69">
            <w:pPr>
              <w:jc w:val="both"/>
            </w:pPr>
            <w:r w:rsidRPr="004D5C1F">
              <w:t>Amount written off to the Capital Adjustment Account</w:t>
            </w:r>
          </w:p>
        </w:tc>
        <w:tc>
          <w:tcPr>
            <w:tcW w:w="1276" w:type="dxa"/>
            <w:tcBorders>
              <w:top w:val="single" w:sz="12" w:space="0" w:color="auto"/>
              <w:bottom w:val="single" w:sz="12" w:space="0" w:color="auto"/>
            </w:tcBorders>
            <w:vAlign w:val="center"/>
          </w:tcPr>
          <w:p w:rsidR="00983C6D" w:rsidRPr="004D5C1F" w:rsidRDefault="002E5091" w:rsidP="00875351">
            <w:pPr>
              <w:jc w:val="right"/>
            </w:pPr>
            <w:r>
              <w:t>(</w:t>
            </w:r>
            <w:r w:rsidR="00502706" w:rsidRPr="004D5C1F">
              <w:t>61,776)</w:t>
            </w:r>
          </w:p>
        </w:tc>
        <w:tc>
          <w:tcPr>
            <w:tcW w:w="1134" w:type="dxa"/>
            <w:tcBorders>
              <w:top w:val="single" w:sz="12" w:space="0" w:color="auto"/>
              <w:bottom w:val="single" w:sz="12" w:space="0" w:color="auto"/>
            </w:tcBorders>
            <w:vAlign w:val="center"/>
          </w:tcPr>
          <w:p w:rsidR="00983C6D" w:rsidRPr="004D5C1F" w:rsidRDefault="00983C6D" w:rsidP="00983C6D">
            <w:pPr>
              <w:jc w:val="right"/>
            </w:pPr>
            <w:r w:rsidRPr="004D5C1F">
              <w:t>(18,691)</w:t>
            </w:r>
          </w:p>
        </w:tc>
      </w:tr>
      <w:tr w:rsidR="00983C6D" w:rsidRPr="004D5C1F" w:rsidTr="00302392">
        <w:tc>
          <w:tcPr>
            <w:tcW w:w="7654" w:type="dxa"/>
          </w:tcPr>
          <w:p w:rsidR="00983C6D" w:rsidRPr="004D5C1F" w:rsidRDefault="00983C6D" w:rsidP="00AC308D">
            <w:pPr>
              <w:jc w:val="both"/>
              <w:rPr>
                <w:b/>
              </w:rPr>
            </w:pPr>
            <w:r w:rsidRPr="004D5C1F">
              <w:rPr>
                <w:b/>
              </w:rPr>
              <w:t>Balance at 3</w:t>
            </w:r>
            <w:r w:rsidR="00AC308D">
              <w:rPr>
                <w:b/>
              </w:rPr>
              <w:t>1</w:t>
            </w:r>
            <w:r w:rsidRPr="004D5C1F">
              <w:rPr>
                <w:b/>
              </w:rPr>
              <w:t xml:space="preserve"> March</w:t>
            </w:r>
          </w:p>
        </w:tc>
        <w:tc>
          <w:tcPr>
            <w:tcW w:w="1276" w:type="dxa"/>
            <w:tcBorders>
              <w:top w:val="single" w:sz="12" w:space="0" w:color="auto"/>
              <w:bottom w:val="double" w:sz="6" w:space="0" w:color="auto"/>
            </w:tcBorders>
            <w:vAlign w:val="center"/>
          </w:tcPr>
          <w:p w:rsidR="00983C6D" w:rsidRPr="004D5C1F" w:rsidRDefault="00502706" w:rsidP="00875351">
            <w:pPr>
              <w:jc w:val="right"/>
              <w:rPr>
                <w:b/>
              </w:rPr>
            </w:pPr>
            <w:r w:rsidRPr="004D5C1F">
              <w:rPr>
                <w:b/>
              </w:rPr>
              <w:t>718,668</w:t>
            </w:r>
          </w:p>
        </w:tc>
        <w:tc>
          <w:tcPr>
            <w:tcW w:w="1134" w:type="dxa"/>
            <w:tcBorders>
              <w:top w:val="single" w:sz="12" w:space="0" w:color="auto"/>
              <w:bottom w:val="double" w:sz="6" w:space="0" w:color="auto"/>
            </w:tcBorders>
            <w:vAlign w:val="center"/>
          </w:tcPr>
          <w:p w:rsidR="00983C6D" w:rsidRPr="004D5C1F" w:rsidRDefault="00502706" w:rsidP="00983C6D">
            <w:pPr>
              <w:jc w:val="right"/>
              <w:rPr>
                <w:b/>
              </w:rPr>
            </w:pPr>
            <w:r w:rsidRPr="004D5C1F">
              <w:rPr>
                <w:b/>
              </w:rPr>
              <w:t>769,550</w:t>
            </w:r>
          </w:p>
        </w:tc>
      </w:tr>
    </w:tbl>
    <w:p w:rsidR="00927BE1" w:rsidRPr="004D5C1F" w:rsidRDefault="00927BE1" w:rsidP="00C51612">
      <w:pPr>
        <w:spacing w:after="240"/>
        <w:jc w:val="both"/>
        <w:rPr>
          <w:b/>
          <w:u w:val="single"/>
        </w:rPr>
      </w:pPr>
    </w:p>
    <w:p w:rsidR="00975DE4" w:rsidRPr="004D5C1F" w:rsidRDefault="00975DE4" w:rsidP="004F2E24">
      <w:pPr>
        <w:spacing w:after="240"/>
        <w:ind w:firstLine="720"/>
        <w:jc w:val="both"/>
        <w:rPr>
          <w:b/>
        </w:rPr>
      </w:pPr>
      <w:r w:rsidRPr="004D5C1F">
        <w:rPr>
          <w:b/>
        </w:rPr>
        <w:t>Capital Adjustment Account</w:t>
      </w:r>
    </w:p>
    <w:p w:rsidR="00A6123A" w:rsidRPr="004D5C1F" w:rsidRDefault="00975DE4" w:rsidP="00502706">
      <w:pPr>
        <w:spacing w:after="240"/>
        <w:ind w:left="720"/>
        <w:jc w:val="both"/>
      </w:pPr>
      <w:r w:rsidRPr="004D5C1F">
        <w:t xml:space="preserve">The capital adjustment account absorbs the timing differences arising from the different arrangements for accounting for the consumption of non-current assets and for financing the acquisition, construction or enhancement of those assets under statutory provisions. </w:t>
      </w:r>
    </w:p>
    <w:p w:rsidR="00975DE4" w:rsidRPr="004D5C1F" w:rsidRDefault="000666EB" w:rsidP="00BC6A99">
      <w:pPr>
        <w:spacing w:after="240"/>
        <w:ind w:left="720"/>
        <w:jc w:val="both"/>
      </w:pPr>
      <w:r w:rsidRPr="004D5C1F">
        <w:t>The account is debited with the cost of acquisition, construction or enhancement as depreciation, impairment losses and amortisations are charged to the Comprehensive Income and Expenditure Statement (with reconciling postings from the Revaluation Reserve to convert fair value figures to a historical cost basis). The account is credited with the amounts set aside by the authority as finance for the costs of acquisition, construction and enhancement.</w:t>
      </w:r>
      <w:r w:rsidR="00975DE4" w:rsidRPr="004D5C1F">
        <w:t xml:space="preserve"> </w:t>
      </w:r>
    </w:p>
    <w:p w:rsidR="00975DE4" w:rsidRPr="004D5C1F" w:rsidRDefault="00975DE4" w:rsidP="00BC6A99">
      <w:pPr>
        <w:spacing w:after="240"/>
        <w:ind w:left="720"/>
        <w:jc w:val="both"/>
      </w:pPr>
      <w:r w:rsidRPr="004D5C1F">
        <w:lastRenderedPageBreak/>
        <w:t xml:space="preserve">The account </w:t>
      </w:r>
      <w:r w:rsidR="00C543E1" w:rsidRPr="004D5C1F">
        <w:t>contains revaluation</w:t>
      </w:r>
      <w:r w:rsidR="000666EB" w:rsidRPr="004D5C1F">
        <w:t xml:space="preserve"> gains accumulated on Property, Plant and Equipment before 1 April 2007, the date that the Revaluation Reserve was created to hold such gains. </w:t>
      </w:r>
    </w:p>
    <w:p w:rsidR="00975DE4" w:rsidRPr="004D5C1F" w:rsidRDefault="00975DE4" w:rsidP="00BC6A99">
      <w:pPr>
        <w:spacing w:after="240"/>
        <w:ind w:left="720"/>
        <w:jc w:val="both"/>
      </w:pPr>
      <w:r w:rsidRPr="004D5C1F">
        <w:t xml:space="preserve">Note </w:t>
      </w:r>
      <w:r w:rsidR="00DE5BDB" w:rsidRPr="004D5C1F">
        <w:t>9</w:t>
      </w:r>
      <w:r w:rsidRPr="004D5C1F">
        <w:t>, adjustments between funding basis and regulations, details the source of all the transactions posted to the account.</w:t>
      </w:r>
    </w:p>
    <w:p w:rsidR="009F17FC" w:rsidRDefault="009F17FC" w:rsidP="00AF700C">
      <w:pPr>
        <w:spacing w:after="240"/>
        <w:rPr>
          <w:b/>
          <w:u w:val="single"/>
        </w:rPr>
      </w:pPr>
      <w:r w:rsidRPr="004D5C1F">
        <w:rPr>
          <w:b/>
          <w:u w:val="single"/>
        </w:rPr>
        <w:t xml:space="preserve">             </w:t>
      </w:r>
    </w:p>
    <w:p w:rsidR="00C5028E" w:rsidRPr="004D5C1F" w:rsidRDefault="00C5028E" w:rsidP="00AF700C">
      <w:pPr>
        <w:spacing w:after="240"/>
        <w:rPr>
          <w:b/>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1"/>
        <w:gridCol w:w="1132"/>
        <w:gridCol w:w="1132"/>
      </w:tblGrid>
      <w:tr w:rsidR="009F17FC" w:rsidRPr="004D5C1F" w:rsidTr="00A301AA">
        <w:tc>
          <w:tcPr>
            <w:tcW w:w="7601" w:type="dxa"/>
          </w:tcPr>
          <w:p w:rsidR="009F17FC" w:rsidRPr="004D5C1F" w:rsidRDefault="009F17FC" w:rsidP="00DA4D69">
            <w:pPr>
              <w:spacing w:after="240"/>
              <w:rPr>
                <w:b/>
                <w:u w:val="single"/>
              </w:rPr>
            </w:pPr>
          </w:p>
        </w:tc>
        <w:tc>
          <w:tcPr>
            <w:tcW w:w="1132" w:type="dxa"/>
          </w:tcPr>
          <w:p w:rsidR="009F17FC" w:rsidRPr="004D5C1F" w:rsidRDefault="00983C6D" w:rsidP="00983C6D">
            <w:pPr>
              <w:spacing w:after="240"/>
              <w:jc w:val="right"/>
              <w:rPr>
                <w:b/>
              </w:rPr>
            </w:pPr>
            <w:r w:rsidRPr="004D5C1F">
              <w:rPr>
                <w:b/>
              </w:rPr>
              <w:t>2011</w:t>
            </w:r>
            <w:r w:rsidR="00031B8F" w:rsidRPr="004D5C1F">
              <w:rPr>
                <w:b/>
              </w:rPr>
              <w:t>/1</w:t>
            </w:r>
            <w:r w:rsidRPr="004D5C1F">
              <w:rPr>
                <w:b/>
              </w:rPr>
              <w:t>2</w:t>
            </w:r>
          </w:p>
        </w:tc>
        <w:tc>
          <w:tcPr>
            <w:tcW w:w="1132" w:type="dxa"/>
          </w:tcPr>
          <w:p w:rsidR="009F17FC" w:rsidRPr="004D5C1F" w:rsidRDefault="00031B8F" w:rsidP="00983C6D">
            <w:pPr>
              <w:spacing w:after="240"/>
              <w:jc w:val="right"/>
              <w:rPr>
                <w:b/>
              </w:rPr>
            </w:pPr>
            <w:r w:rsidRPr="004D5C1F">
              <w:rPr>
                <w:b/>
              </w:rPr>
              <w:t>20</w:t>
            </w:r>
            <w:r w:rsidR="00983C6D" w:rsidRPr="004D5C1F">
              <w:rPr>
                <w:b/>
              </w:rPr>
              <w:t>10</w:t>
            </w:r>
            <w:r w:rsidRPr="004D5C1F">
              <w:rPr>
                <w:b/>
              </w:rPr>
              <w:t>/1</w:t>
            </w:r>
            <w:r w:rsidR="00983C6D" w:rsidRPr="004D5C1F">
              <w:rPr>
                <w:b/>
              </w:rPr>
              <w:t>1</w:t>
            </w:r>
          </w:p>
        </w:tc>
      </w:tr>
      <w:tr w:rsidR="009F17FC" w:rsidRPr="004D5C1F" w:rsidTr="00A301AA">
        <w:tc>
          <w:tcPr>
            <w:tcW w:w="7601" w:type="dxa"/>
          </w:tcPr>
          <w:p w:rsidR="009F17FC" w:rsidRPr="004D5C1F" w:rsidRDefault="009F17FC" w:rsidP="00DA4D69">
            <w:pPr>
              <w:spacing w:after="240"/>
              <w:rPr>
                <w:b/>
                <w:u w:val="single"/>
              </w:rPr>
            </w:pPr>
          </w:p>
        </w:tc>
        <w:tc>
          <w:tcPr>
            <w:tcW w:w="1132" w:type="dxa"/>
          </w:tcPr>
          <w:p w:rsidR="009F17FC" w:rsidRPr="004D5C1F" w:rsidRDefault="00031B8F" w:rsidP="00507600">
            <w:pPr>
              <w:spacing w:after="240"/>
              <w:jc w:val="right"/>
              <w:rPr>
                <w:b/>
              </w:rPr>
            </w:pPr>
            <w:r w:rsidRPr="004D5C1F">
              <w:rPr>
                <w:b/>
              </w:rPr>
              <w:t>£000</w:t>
            </w:r>
          </w:p>
        </w:tc>
        <w:tc>
          <w:tcPr>
            <w:tcW w:w="1132" w:type="dxa"/>
          </w:tcPr>
          <w:p w:rsidR="009F17FC" w:rsidRPr="004D5C1F" w:rsidRDefault="00031B8F" w:rsidP="00507600">
            <w:pPr>
              <w:spacing w:after="240"/>
              <w:jc w:val="right"/>
              <w:rPr>
                <w:b/>
              </w:rPr>
            </w:pPr>
            <w:r w:rsidRPr="004D5C1F">
              <w:rPr>
                <w:b/>
              </w:rPr>
              <w:t>£000</w:t>
            </w:r>
          </w:p>
        </w:tc>
      </w:tr>
      <w:tr w:rsidR="00983C6D" w:rsidRPr="004D5C1F" w:rsidTr="00A301AA">
        <w:tc>
          <w:tcPr>
            <w:tcW w:w="7601" w:type="dxa"/>
          </w:tcPr>
          <w:p w:rsidR="00983C6D" w:rsidRPr="004D5C1F" w:rsidRDefault="00983C6D" w:rsidP="00DA4D69">
            <w:pPr>
              <w:spacing w:after="240"/>
            </w:pPr>
            <w:r w:rsidRPr="004D5C1F">
              <w:t xml:space="preserve">Balance at 1 April </w:t>
            </w:r>
          </w:p>
        </w:tc>
        <w:tc>
          <w:tcPr>
            <w:tcW w:w="1132" w:type="dxa"/>
            <w:vAlign w:val="center"/>
          </w:tcPr>
          <w:p w:rsidR="00983C6D" w:rsidRPr="004D5C1F" w:rsidRDefault="00502706" w:rsidP="00507600">
            <w:pPr>
              <w:spacing w:after="240"/>
              <w:jc w:val="right"/>
            </w:pPr>
            <w:r w:rsidRPr="004D5C1F">
              <w:t>861,965</w:t>
            </w:r>
          </w:p>
        </w:tc>
        <w:tc>
          <w:tcPr>
            <w:tcW w:w="1132" w:type="dxa"/>
            <w:vAlign w:val="center"/>
          </w:tcPr>
          <w:p w:rsidR="00983C6D" w:rsidRPr="004D5C1F" w:rsidRDefault="00983C6D" w:rsidP="00983C6D">
            <w:pPr>
              <w:spacing w:after="240"/>
              <w:jc w:val="right"/>
            </w:pPr>
            <w:r w:rsidRPr="004D5C1F">
              <w:t>863,391</w:t>
            </w:r>
          </w:p>
        </w:tc>
      </w:tr>
      <w:tr w:rsidR="00983C6D" w:rsidRPr="004D5C1F" w:rsidTr="00A301AA">
        <w:tc>
          <w:tcPr>
            <w:tcW w:w="7601" w:type="dxa"/>
          </w:tcPr>
          <w:p w:rsidR="00983C6D" w:rsidRPr="004D5C1F" w:rsidRDefault="00983C6D" w:rsidP="00DA4D69">
            <w:pPr>
              <w:spacing w:after="240"/>
            </w:pPr>
            <w:r w:rsidRPr="004D5C1F">
              <w:rPr>
                <w:b/>
              </w:rPr>
              <w:t>Reversal of items relating to capital expenditure debited or credited to the Comprehensive Income and</w:t>
            </w:r>
            <w:r w:rsidRPr="004D5C1F">
              <w:t xml:space="preserve"> </w:t>
            </w:r>
            <w:r w:rsidRPr="004D5C1F">
              <w:rPr>
                <w:b/>
              </w:rPr>
              <w:t>Expenditure Statement</w:t>
            </w:r>
          </w:p>
        </w:tc>
        <w:tc>
          <w:tcPr>
            <w:tcW w:w="1132" w:type="dxa"/>
            <w:vAlign w:val="center"/>
          </w:tcPr>
          <w:p w:rsidR="00983C6D" w:rsidRPr="004D5C1F" w:rsidRDefault="00983C6D" w:rsidP="00507600">
            <w:pPr>
              <w:spacing w:after="240"/>
              <w:jc w:val="right"/>
            </w:pPr>
          </w:p>
        </w:tc>
        <w:tc>
          <w:tcPr>
            <w:tcW w:w="1132" w:type="dxa"/>
            <w:vAlign w:val="center"/>
          </w:tcPr>
          <w:p w:rsidR="00983C6D" w:rsidRPr="004D5C1F" w:rsidRDefault="00983C6D" w:rsidP="00983C6D">
            <w:pPr>
              <w:spacing w:after="240"/>
              <w:jc w:val="right"/>
              <w:rPr>
                <w:b/>
                <w:u w:val="single"/>
              </w:rPr>
            </w:pPr>
          </w:p>
        </w:tc>
      </w:tr>
      <w:tr w:rsidR="00983C6D" w:rsidRPr="004D5C1F" w:rsidTr="00A301AA">
        <w:tc>
          <w:tcPr>
            <w:tcW w:w="7601" w:type="dxa"/>
          </w:tcPr>
          <w:p w:rsidR="00983C6D" w:rsidRPr="004D5C1F" w:rsidRDefault="00983C6D" w:rsidP="00DA4D69">
            <w:pPr>
              <w:spacing w:after="240"/>
            </w:pPr>
            <w:r w:rsidRPr="004D5C1F">
              <w:t>Charges for depreciation and impairment of non current assets</w:t>
            </w:r>
          </w:p>
        </w:tc>
        <w:tc>
          <w:tcPr>
            <w:tcW w:w="1132" w:type="dxa"/>
            <w:vAlign w:val="center"/>
          </w:tcPr>
          <w:p w:rsidR="00983C6D" w:rsidRPr="004D5C1F" w:rsidRDefault="0098359E" w:rsidP="00507600">
            <w:pPr>
              <w:spacing w:after="240"/>
              <w:jc w:val="right"/>
            </w:pPr>
            <w:r>
              <w:t>(43,147)</w:t>
            </w:r>
          </w:p>
        </w:tc>
        <w:tc>
          <w:tcPr>
            <w:tcW w:w="1132" w:type="dxa"/>
            <w:vAlign w:val="center"/>
          </w:tcPr>
          <w:p w:rsidR="00983C6D" w:rsidRPr="004D5C1F" w:rsidRDefault="002E5091" w:rsidP="00983C6D">
            <w:pPr>
              <w:spacing w:after="240"/>
              <w:jc w:val="right"/>
            </w:pPr>
            <w:r>
              <w:t>(37,886</w:t>
            </w:r>
            <w:r w:rsidR="00983C6D" w:rsidRPr="004D5C1F">
              <w:t>)</w:t>
            </w:r>
          </w:p>
        </w:tc>
      </w:tr>
      <w:tr w:rsidR="00983C6D" w:rsidRPr="004D5C1F" w:rsidTr="00A301AA">
        <w:tc>
          <w:tcPr>
            <w:tcW w:w="7601" w:type="dxa"/>
          </w:tcPr>
          <w:p w:rsidR="00983C6D" w:rsidRPr="004D5C1F" w:rsidRDefault="00983C6D" w:rsidP="00DA4D69">
            <w:pPr>
              <w:spacing w:after="240"/>
            </w:pPr>
            <w:r w:rsidRPr="004D5C1F">
              <w:t>Revaluation losses on Property, Plant and Equipment</w:t>
            </w:r>
          </w:p>
        </w:tc>
        <w:tc>
          <w:tcPr>
            <w:tcW w:w="1132" w:type="dxa"/>
            <w:vAlign w:val="center"/>
          </w:tcPr>
          <w:p w:rsidR="00983C6D" w:rsidRPr="004D5C1F" w:rsidRDefault="00502706" w:rsidP="00507600">
            <w:pPr>
              <w:spacing w:after="240"/>
              <w:jc w:val="right"/>
            </w:pPr>
            <w:r w:rsidRPr="004D5C1F">
              <w:t>(16,484)</w:t>
            </w:r>
          </w:p>
        </w:tc>
        <w:tc>
          <w:tcPr>
            <w:tcW w:w="1132" w:type="dxa"/>
            <w:vAlign w:val="center"/>
          </w:tcPr>
          <w:p w:rsidR="00983C6D" w:rsidRPr="004D5C1F" w:rsidRDefault="00983C6D" w:rsidP="00983C6D">
            <w:pPr>
              <w:spacing w:after="240"/>
              <w:jc w:val="right"/>
            </w:pPr>
            <w:r w:rsidRPr="004D5C1F">
              <w:t>(65,691)</w:t>
            </w:r>
          </w:p>
        </w:tc>
      </w:tr>
      <w:tr w:rsidR="00983C6D" w:rsidRPr="004D5C1F" w:rsidTr="00A301AA">
        <w:tc>
          <w:tcPr>
            <w:tcW w:w="7601" w:type="dxa"/>
          </w:tcPr>
          <w:p w:rsidR="00983C6D" w:rsidRPr="004D5C1F" w:rsidRDefault="00983C6D" w:rsidP="00DA4D69">
            <w:pPr>
              <w:spacing w:after="240"/>
            </w:pPr>
            <w:r w:rsidRPr="004D5C1F">
              <w:t>Amortisation of intangible assets</w:t>
            </w:r>
          </w:p>
        </w:tc>
        <w:tc>
          <w:tcPr>
            <w:tcW w:w="1132" w:type="dxa"/>
            <w:vAlign w:val="center"/>
          </w:tcPr>
          <w:p w:rsidR="00983C6D" w:rsidRPr="004D5C1F" w:rsidRDefault="00502706" w:rsidP="00507600">
            <w:pPr>
              <w:spacing w:after="240"/>
              <w:jc w:val="right"/>
            </w:pPr>
            <w:r w:rsidRPr="004D5C1F">
              <w:t>(308)</w:t>
            </w:r>
          </w:p>
        </w:tc>
        <w:tc>
          <w:tcPr>
            <w:tcW w:w="1132" w:type="dxa"/>
            <w:vAlign w:val="center"/>
          </w:tcPr>
          <w:p w:rsidR="00983C6D" w:rsidRPr="004D5C1F" w:rsidRDefault="002E5091" w:rsidP="00983C6D">
            <w:pPr>
              <w:spacing w:after="240"/>
              <w:jc w:val="right"/>
            </w:pPr>
            <w:r>
              <w:t>(99)</w:t>
            </w:r>
          </w:p>
        </w:tc>
      </w:tr>
      <w:tr w:rsidR="00983C6D" w:rsidRPr="004D5C1F" w:rsidTr="00A301AA">
        <w:tc>
          <w:tcPr>
            <w:tcW w:w="7601" w:type="dxa"/>
          </w:tcPr>
          <w:p w:rsidR="00983C6D" w:rsidRPr="004D5C1F" w:rsidRDefault="00983C6D" w:rsidP="00DA4D69">
            <w:pPr>
              <w:spacing w:after="240"/>
            </w:pPr>
            <w:r w:rsidRPr="004D5C1F">
              <w:t>Revenue expenditure funded from capital under statute</w:t>
            </w:r>
          </w:p>
        </w:tc>
        <w:tc>
          <w:tcPr>
            <w:tcW w:w="1132" w:type="dxa"/>
            <w:vAlign w:val="center"/>
          </w:tcPr>
          <w:p w:rsidR="00983C6D" w:rsidRPr="004D5C1F" w:rsidRDefault="00502706" w:rsidP="00507600">
            <w:pPr>
              <w:spacing w:after="240"/>
              <w:jc w:val="right"/>
            </w:pPr>
            <w:r w:rsidRPr="004D5C1F">
              <w:t>(11,293)</w:t>
            </w:r>
          </w:p>
        </w:tc>
        <w:tc>
          <w:tcPr>
            <w:tcW w:w="1132" w:type="dxa"/>
            <w:vAlign w:val="center"/>
          </w:tcPr>
          <w:p w:rsidR="00983C6D" w:rsidRPr="004D5C1F" w:rsidRDefault="00983C6D" w:rsidP="00983C6D">
            <w:pPr>
              <w:spacing w:after="240"/>
              <w:jc w:val="right"/>
            </w:pPr>
            <w:r w:rsidRPr="004D5C1F">
              <w:t>(18,290)</w:t>
            </w:r>
          </w:p>
        </w:tc>
      </w:tr>
      <w:tr w:rsidR="00983C6D" w:rsidRPr="004D5C1F" w:rsidTr="00A301AA">
        <w:tc>
          <w:tcPr>
            <w:tcW w:w="7601" w:type="dxa"/>
          </w:tcPr>
          <w:p w:rsidR="00983C6D" w:rsidRPr="004D5C1F" w:rsidRDefault="00983C6D" w:rsidP="00DA4D69">
            <w:pPr>
              <w:spacing w:after="240"/>
            </w:pPr>
            <w:r w:rsidRPr="004D5C1F">
              <w:t>Reversal of charge re transfer of Academies</w:t>
            </w:r>
          </w:p>
        </w:tc>
        <w:tc>
          <w:tcPr>
            <w:tcW w:w="1132" w:type="dxa"/>
            <w:tcBorders>
              <w:bottom w:val="single" w:sz="4" w:space="0" w:color="auto"/>
            </w:tcBorders>
            <w:vAlign w:val="center"/>
          </w:tcPr>
          <w:p w:rsidR="00983C6D" w:rsidRPr="004D5C1F" w:rsidRDefault="00502706" w:rsidP="00507600">
            <w:pPr>
              <w:spacing w:after="240"/>
              <w:jc w:val="right"/>
            </w:pPr>
            <w:r w:rsidRPr="004D5C1F">
              <w:t>(97,988)</w:t>
            </w:r>
          </w:p>
        </w:tc>
        <w:tc>
          <w:tcPr>
            <w:tcW w:w="1132" w:type="dxa"/>
            <w:tcBorders>
              <w:bottom w:val="single" w:sz="4" w:space="0" w:color="auto"/>
            </w:tcBorders>
            <w:vAlign w:val="center"/>
          </w:tcPr>
          <w:p w:rsidR="00983C6D" w:rsidRPr="004D5C1F" w:rsidRDefault="00983C6D" w:rsidP="00983C6D">
            <w:pPr>
              <w:spacing w:after="240"/>
              <w:jc w:val="right"/>
            </w:pPr>
            <w:r w:rsidRPr="004D5C1F">
              <w:t>(19,665)</w:t>
            </w:r>
          </w:p>
        </w:tc>
      </w:tr>
      <w:tr w:rsidR="00983C6D" w:rsidRPr="004D5C1F" w:rsidTr="00A301AA">
        <w:tc>
          <w:tcPr>
            <w:tcW w:w="7601" w:type="dxa"/>
          </w:tcPr>
          <w:p w:rsidR="00983C6D" w:rsidRPr="004D5C1F" w:rsidRDefault="00983C6D" w:rsidP="00DA4D69">
            <w:pPr>
              <w:spacing w:after="240"/>
            </w:pPr>
            <w:r w:rsidRPr="004D5C1F">
              <w:t>Amounts of non-current assets written off on disposal or sale as part of the gain/loss on disposal to the Comprehensive Income and Expenditure Statement</w:t>
            </w:r>
          </w:p>
        </w:tc>
        <w:tc>
          <w:tcPr>
            <w:tcW w:w="1132" w:type="dxa"/>
            <w:tcBorders>
              <w:bottom w:val="single" w:sz="4" w:space="0" w:color="auto"/>
            </w:tcBorders>
            <w:vAlign w:val="center"/>
          </w:tcPr>
          <w:p w:rsidR="00983C6D" w:rsidRPr="004D5C1F" w:rsidRDefault="004D5C1F" w:rsidP="00507600">
            <w:pPr>
              <w:spacing w:after="240"/>
              <w:jc w:val="right"/>
            </w:pPr>
            <w:r w:rsidRPr="004D5C1F">
              <w:t>(8,968)</w:t>
            </w:r>
          </w:p>
        </w:tc>
        <w:tc>
          <w:tcPr>
            <w:tcW w:w="1132" w:type="dxa"/>
            <w:tcBorders>
              <w:bottom w:val="single" w:sz="4" w:space="0" w:color="auto"/>
            </w:tcBorders>
            <w:vAlign w:val="center"/>
          </w:tcPr>
          <w:p w:rsidR="00983C6D" w:rsidRPr="004D5C1F" w:rsidRDefault="00983C6D" w:rsidP="00983C6D">
            <w:pPr>
              <w:spacing w:after="240"/>
              <w:jc w:val="right"/>
            </w:pPr>
            <w:r w:rsidRPr="004D5C1F">
              <w:t>(7,207)</w:t>
            </w:r>
          </w:p>
        </w:tc>
      </w:tr>
      <w:tr w:rsidR="00983C6D" w:rsidRPr="004D5C1F" w:rsidTr="00A301AA">
        <w:tc>
          <w:tcPr>
            <w:tcW w:w="7601" w:type="dxa"/>
          </w:tcPr>
          <w:p w:rsidR="00983C6D" w:rsidRPr="004D5C1F" w:rsidRDefault="00983C6D" w:rsidP="00B3662C">
            <w:pPr>
              <w:spacing w:after="240"/>
            </w:pPr>
            <w:r w:rsidRPr="004D5C1F">
              <w:t>Amounts  written off on sale of Investment Bonds as part of the gain/loss on disposal to the Comprehensive Income and Expenditure Statement</w:t>
            </w:r>
          </w:p>
        </w:tc>
        <w:tc>
          <w:tcPr>
            <w:tcW w:w="1132" w:type="dxa"/>
            <w:tcBorders>
              <w:top w:val="single" w:sz="4" w:space="0" w:color="auto"/>
            </w:tcBorders>
            <w:vAlign w:val="center"/>
          </w:tcPr>
          <w:p w:rsidR="00983C6D" w:rsidRPr="004D5C1F" w:rsidRDefault="004D5C1F" w:rsidP="00507600">
            <w:pPr>
              <w:spacing w:after="240"/>
              <w:jc w:val="right"/>
            </w:pPr>
            <w:r w:rsidRPr="004D5C1F">
              <w:t>-</w:t>
            </w:r>
          </w:p>
        </w:tc>
        <w:tc>
          <w:tcPr>
            <w:tcW w:w="1132" w:type="dxa"/>
            <w:tcBorders>
              <w:top w:val="single" w:sz="4" w:space="0" w:color="auto"/>
            </w:tcBorders>
            <w:vAlign w:val="center"/>
          </w:tcPr>
          <w:p w:rsidR="00983C6D" w:rsidRPr="004D5C1F" w:rsidRDefault="00983C6D" w:rsidP="00983C6D">
            <w:pPr>
              <w:spacing w:after="240"/>
              <w:jc w:val="right"/>
            </w:pPr>
            <w:r w:rsidRPr="004D5C1F">
              <w:t>(7,635)</w:t>
            </w:r>
          </w:p>
        </w:tc>
      </w:tr>
      <w:tr w:rsidR="00983C6D" w:rsidRPr="004D5C1F" w:rsidTr="00A301AA">
        <w:tc>
          <w:tcPr>
            <w:tcW w:w="7601" w:type="dxa"/>
          </w:tcPr>
          <w:p w:rsidR="00983C6D" w:rsidRPr="004D5C1F" w:rsidRDefault="00983C6D" w:rsidP="00DA4D69">
            <w:pPr>
              <w:spacing w:after="240"/>
            </w:pPr>
            <w:r w:rsidRPr="004D5C1F">
              <w:t>Net written out amount of the cost of non-current assets consumed in the year</w:t>
            </w:r>
          </w:p>
        </w:tc>
        <w:tc>
          <w:tcPr>
            <w:tcW w:w="1132" w:type="dxa"/>
            <w:tcBorders>
              <w:top w:val="single" w:sz="4" w:space="0" w:color="auto"/>
            </w:tcBorders>
            <w:vAlign w:val="center"/>
          </w:tcPr>
          <w:p w:rsidR="00983C6D" w:rsidRPr="004D5C1F" w:rsidRDefault="00983C6D" w:rsidP="00507600">
            <w:pPr>
              <w:spacing w:after="240"/>
              <w:jc w:val="right"/>
              <w:rPr>
                <w:b/>
                <w:u w:val="single"/>
              </w:rPr>
            </w:pPr>
          </w:p>
        </w:tc>
        <w:tc>
          <w:tcPr>
            <w:tcW w:w="1132" w:type="dxa"/>
            <w:tcBorders>
              <w:top w:val="single" w:sz="4" w:space="0" w:color="auto"/>
            </w:tcBorders>
            <w:vAlign w:val="center"/>
          </w:tcPr>
          <w:p w:rsidR="00983C6D" w:rsidRPr="004D5C1F" w:rsidRDefault="00983C6D" w:rsidP="00983C6D">
            <w:pPr>
              <w:spacing w:after="240"/>
              <w:jc w:val="right"/>
              <w:rPr>
                <w:b/>
                <w:u w:val="single"/>
              </w:rPr>
            </w:pPr>
            <w:r w:rsidRPr="004D5C1F">
              <w:t>-</w:t>
            </w:r>
          </w:p>
        </w:tc>
      </w:tr>
      <w:tr w:rsidR="00983C6D" w:rsidRPr="004D5C1F" w:rsidTr="00A301AA">
        <w:tc>
          <w:tcPr>
            <w:tcW w:w="7601" w:type="dxa"/>
          </w:tcPr>
          <w:p w:rsidR="00983C6D" w:rsidRPr="004D5C1F" w:rsidRDefault="00983C6D" w:rsidP="00DA4D69">
            <w:pPr>
              <w:spacing w:after="240"/>
            </w:pPr>
            <w:r w:rsidRPr="004D5C1F">
              <w:t>Adjustment of deferred consideration</w:t>
            </w:r>
          </w:p>
        </w:tc>
        <w:tc>
          <w:tcPr>
            <w:tcW w:w="1132" w:type="dxa"/>
            <w:vAlign w:val="center"/>
          </w:tcPr>
          <w:p w:rsidR="00983C6D" w:rsidRPr="004D5C1F" w:rsidRDefault="004D5C1F" w:rsidP="00507600">
            <w:pPr>
              <w:spacing w:after="240"/>
              <w:jc w:val="right"/>
            </w:pPr>
            <w:r w:rsidRPr="004D5C1F">
              <w:t>-</w:t>
            </w:r>
          </w:p>
        </w:tc>
        <w:tc>
          <w:tcPr>
            <w:tcW w:w="1132" w:type="dxa"/>
            <w:vAlign w:val="center"/>
          </w:tcPr>
          <w:p w:rsidR="00983C6D" w:rsidRPr="004D5C1F" w:rsidRDefault="00983C6D" w:rsidP="00983C6D">
            <w:pPr>
              <w:spacing w:after="240"/>
              <w:jc w:val="right"/>
            </w:pPr>
            <w:r w:rsidRPr="004D5C1F">
              <w:t>(125)</w:t>
            </w:r>
          </w:p>
        </w:tc>
      </w:tr>
      <w:tr w:rsidR="00983C6D" w:rsidRPr="004D5C1F" w:rsidTr="00A301AA">
        <w:tc>
          <w:tcPr>
            <w:tcW w:w="7601" w:type="dxa"/>
          </w:tcPr>
          <w:p w:rsidR="00983C6D" w:rsidRPr="004D5C1F" w:rsidRDefault="00983C6D" w:rsidP="00DA4D69">
            <w:pPr>
              <w:spacing w:after="240"/>
            </w:pPr>
            <w:r w:rsidRPr="004D5C1F">
              <w:t>Write down of Private Finance Initiative (PFI) liability</w:t>
            </w:r>
          </w:p>
        </w:tc>
        <w:tc>
          <w:tcPr>
            <w:tcW w:w="1132" w:type="dxa"/>
            <w:vAlign w:val="center"/>
          </w:tcPr>
          <w:p w:rsidR="00983C6D" w:rsidRPr="004D5C1F" w:rsidRDefault="004D5C1F" w:rsidP="00507600">
            <w:pPr>
              <w:spacing w:after="240"/>
              <w:jc w:val="right"/>
            </w:pPr>
            <w:r w:rsidRPr="004D5C1F">
              <w:t>17,945</w:t>
            </w:r>
          </w:p>
        </w:tc>
        <w:tc>
          <w:tcPr>
            <w:tcW w:w="1132" w:type="dxa"/>
            <w:vAlign w:val="center"/>
          </w:tcPr>
          <w:p w:rsidR="00983C6D" w:rsidRPr="004D5C1F" w:rsidRDefault="004D5C1F" w:rsidP="00983C6D">
            <w:pPr>
              <w:spacing w:after="240"/>
              <w:jc w:val="right"/>
              <w:rPr>
                <w:b/>
                <w:u w:val="single"/>
              </w:rPr>
            </w:pPr>
            <w:r w:rsidRPr="004D5C1F">
              <w:t>4,329</w:t>
            </w:r>
          </w:p>
        </w:tc>
      </w:tr>
      <w:tr w:rsidR="00983C6D" w:rsidRPr="004D5C1F" w:rsidTr="00A301AA">
        <w:tc>
          <w:tcPr>
            <w:tcW w:w="7601" w:type="dxa"/>
          </w:tcPr>
          <w:p w:rsidR="00983C6D" w:rsidRPr="004D5C1F" w:rsidRDefault="00983C6D" w:rsidP="008376D4">
            <w:pPr>
              <w:spacing w:after="240"/>
            </w:pPr>
            <w:r w:rsidRPr="004D5C1F">
              <w:t>Adjusting amounts written out of the Revaluation Reserve</w:t>
            </w:r>
          </w:p>
        </w:tc>
        <w:tc>
          <w:tcPr>
            <w:tcW w:w="1132" w:type="dxa"/>
            <w:tcBorders>
              <w:bottom w:val="single" w:sz="12" w:space="0" w:color="auto"/>
            </w:tcBorders>
            <w:vAlign w:val="center"/>
          </w:tcPr>
          <w:p w:rsidR="00983C6D" w:rsidRPr="004D5C1F" w:rsidRDefault="004D5C1F" w:rsidP="00507600">
            <w:pPr>
              <w:spacing w:after="240"/>
              <w:jc w:val="right"/>
            </w:pPr>
            <w:r w:rsidRPr="004D5C1F">
              <w:t>60,616</w:t>
            </w:r>
          </w:p>
        </w:tc>
        <w:tc>
          <w:tcPr>
            <w:tcW w:w="1132" w:type="dxa"/>
            <w:tcBorders>
              <w:bottom w:val="single" w:sz="12" w:space="0" w:color="auto"/>
            </w:tcBorders>
            <w:vAlign w:val="center"/>
          </w:tcPr>
          <w:p w:rsidR="00983C6D" w:rsidRPr="004D5C1F" w:rsidRDefault="00983C6D" w:rsidP="00983C6D">
            <w:pPr>
              <w:spacing w:after="240"/>
              <w:jc w:val="right"/>
            </w:pPr>
            <w:r w:rsidRPr="004D5C1F">
              <w:t>18,692</w:t>
            </w:r>
          </w:p>
        </w:tc>
      </w:tr>
      <w:tr w:rsidR="00983C6D" w:rsidRPr="004D5C1F" w:rsidTr="00A301AA">
        <w:tc>
          <w:tcPr>
            <w:tcW w:w="7601" w:type="dxa"/>
            <w:tcBorders>
              <w:right w:val="single" w:sz="12" w:space="0" w:color="auto"/>
            </w:tcBorders>
          </w:tcPr>
          <w:p w:rsidR="00983C6D" w:rsidRPr="004D5C1F" w:rsidRDefault="00983C6D" w:rsidP="00DA4D69">
            <w:pPr>
              <w:spacing w:after="240"/>
              <w:rPr>
                <w:b/>
                <w:u w:val="single"/>
              </w:rPr>
            </w:pPr>
          </w:p>
        </w:tc>
        <w:tc>
          <w:tcPr>
            <w:tcW w:w="1132" w:type="dxa"/>
            <w:tcBorders>
              <w:top w:val="single" w:sz="12" w:space="0" w:color="auto"/>
              <w:left w:val="single" w:sz="12" w:space="0" w:color="auto"/>
              <w:bottom w:val="single" w:sz="12" w:space="0" w:color="auto"/>
              <w:right w:val="single" w:sz="12" w:space="0" w:color="auto"/>
            </w:tcBorders>
            <w:vAlign w:val="center"/>
          </w:tcPr>
          <w:p w:rsidR="00983C6D" w:rsidRPr="004D5C1F" w:rsidRDefault="004D5C1F" w:rsidP="00507600">
            <w:pPr>
              <w:spacing w:after="240"/>
              <w:jc w:val="right"/>
              <w:rPr>
                <w:b/>
                <w:u w:val="single"/>
              </w:rPr>
            </w:pPr>
            <w:r w:rsidRPr="004D5C1F">
              <w:rPr>
                <w:b/>
                <w:u w:val="single"/>
              </w:rPr>
              <w:t>762,338</w:t>
            </w:r>
          </w:p>
        </w:tc>
        <w:tc>
          <w:tcPr>
            <w:tcW w:w="1132" w:type="dxa"/>
            <w:tcBorders>
              <w:top w:val="single" w:sz="12" w:space="0" w:color="auto"/>
              <w:left w:val="single" w:sz="12" w:space="0" w:color="auto"/>
              <w:bottom w:val="single" w:sz="12" w:space="0" w:color="auto"/>
              <w:right w:val="single" w:sz="12" w:space="0" w:color="auto"/>
            </w:tcBorders>
            <w:vAlign w:val="center"/>
          </w:tcPr>
          <w:p w:rsidR="00983C6D" w:rsidRPr="004D5C1F" w:rsidRDefault="004D5C1F" w:rsidP="00983C6D">
            <w:pPr>
              <w:spacing w:after="240"/>
              <w:jc w:val="right"/>
              <w:rPr>
                <w:b/>
                <w:u w:val="single"/>
              </w:rPr>
            </w:pPr>
            <w:r w:rsidRPr="004D5C1F">
              <w:rPr>
                <w:b/>
                <w:u w:val="single"/>
              </w:rPr>
              <w:t>729,814</w:t>
            </w:r>
          </w:p>
        </w:tc>
      </w:tr>
      <w:tr w:rsidR="00983C6D" w:rsidRPr="004D5C1F" w:rsidTr="00A301AA">
        <w:tc>
          <w:tcPr>
            <w:tcW w:w="7601" w:type="dxa"/>
          </w:tcPr>
          <w:p w:rsidR="00983C6D" w:rsidRPr="004D5C1F" w:rsidRDefault="00983C6D" w:rsidP="00DA4D69">
            <w:pPr>
              <w:spacing w:after="240"/>
              <w:rPr>
                <w:b/>
              </w:rPr>
            </w:pPr>
          </w:p>
          <w:p w:rsidR="00983C6D" w:rsidRPr="004D5C1F" w:rsidRDefault="00983C6D" w:rsidP="00DA4D69">
            <w:pPr>
              <w:spacing w:after="240"/>
              <w:rPr>
                <w:b/>
              </w:rPr>
            </w:pPr>
            <w:r w:rsidRPr="004D5C1F">
              <w:rPr>
                <w:b/>
              </w:rPr>
              <w:t>Capital financing applied in the year:</w:t>
            </w:r>
          </w:p>
        </w:tc>
        <w:tc>
          <w:tcPr>
            <w:tcW w:w="1132" w:type="dxa"/>
            <w:tcBorders>
              <w:top w:val="single" w:sz="12" w:space="0" w:color="auto"/>
            </w:tcBorders>
            <w:vAlign w:val="center"/>
          </w:tcPr>
          <w:p w:rsidR="00983C6D" w:rsidRPr="004D5C1F" w:rsidRDefault="00983C6D" w:rsidP="00507600">
            <w:pPr>
              <w:spacing w:after="240"/>
              <w:jc w:val="right"/>
              <w:rPr>
                <w:b/>
                <w:u w:val="single"/>
              </w:rPr>
            </w:pPr>
          </w:p>
        </w:tc>
        <w:tc>
          <w:tcPr>
            <w:tcW w:w="1132" w:type="dxa"/>
            <w:tcBorders>
              <w:top w:val="single" w:sz="12" w:space="0" w:color="auto"/>
            </w:tcBorders>
            <w:vAlign w:val="center"/>
          </w:tcPr>
          <w:p w:rsidR="00983C6D" w:rsidRPr="004D5C1F" w:rsidRDefault="00983C6D" w:rsidP="00983C6D">
            <w:pPr>
              <w:spacing w:after="240"/>
              <w:jc w:val="right"/>
              <w:rPr>
                <w:b/>
                <w:u w:val="single"/>
              </w:rPr>
            </w:pPr>
          </w:p>
        </w:tc>
      </w:tr>
      <w:tr w:rsidR="00983C6D" w:rsidRPr="004D5C1F" w:rsidTr="00A301AA">
        <w:tc>
          <w:tcPr>
            <w:tcW w:w="7601" w:type="dxa"/>
          </w:tcPr>
          <w:p w:rsidR="00983C6D" w:rsidRPr="004D5C1F" w:rsidRDefault="00983C6D" w:rsidP="00DA4D69">
            <w:pPr>
              <w:spacing w:after="240"/>
            </w:pPr>
            <w:r w:rsidRPr="004D5C1F">
              <w:lastRenderedPageBreak/>
              <w:t>Use of the Capital Receipts Reserve to finance new capital expenditure</w:t>
            </w:r>
          </w:p>
        </w:tc>
        <w:tc>
          <w:tcPr>
            <w:tcW w:w="1132" w:type="dxa"/>
            <w:vAlign w:val="center"/>
          </w:tcPr>
          <w:p w:rsidR="00983C6D" w:rsidRPr="004D5C1F" w:rsidRDefault="004D5C1F" w:rsidP="00507600">
            <w:pPr>
              <w:spacing w:after="240"/>
              <w:jc w:val="right"/>
            </w:pPr>
            <w:r w:rsidRPr="004D5C1F">
              <w:t>2,105</w:t>
            </w:r>
          </w:p>
        </w:tc>
        <w:tc>
          <w:tcPr>
            <w:tcW w:w="1132" w:type="dxa"/>
            <w:vAlign w:val="center"/>
          </w:tcPr>
          <w:p w:rsidR="00983C6D" w:rsidRPr="004D5C1F" w:rsidRDefault="00983C6D" w:rsidP="00983C6D">
            <w:pPr>
              <w:spacing w:after="240"/>
              <w:jc w:val="right"/>
            </w:pPr>
            <w:r w:rsidRPr="004D5C1F">
              <w:t>10,380</w:t>
            </w:r>
          </w:p>
        </w:tc>
      </w:tr>
      <w:tr w:rsidR="00983C6D" w:rsidRPr="004D5C1F" w:rsidTr="00A301AA">
        <w:tc>
          <w:tcPr>
            <w:tcW w:w="7601" w:type="dxa"/>
          </w:tcPr>
          <w:p w:rsidR="00983C6D" w:rsidRPr="004D5C1F" w:rsidRDefault="00983C6D" w:rsidP="00DA4D69">
            <w:pPr>
              <w:spacing w:after="240"/>
            </w:pPr>
            <w:r w:rsidRPr="004D5C1F">
              <w:t>Capital grants and contributions credited to the Comprehensive Income and Expenditure Statement that have been applied to capital financing</w:t>
            </w:r>
          </w:p>
        </w:tc>
        <w:tc>
          <w:tcPr>
            <w:tcW w:w="1132" w:type="dxa"/>
            <w:vAlign w:val="center"/>
          </w:tcPr>
          <w:p w:rsidR="00983C6D" w:rsidRPr="004D5C1F" w:rsidRDefault="004D5C1F" w:rsidP="00507600">
            <w:pPr>
              <w:spacing w:after="240"/>
              <w:jc w:val="right"/>
            </w:pPr>
            <w:r w:rsidRPr="004D5C1F">
              <w:t>31,384</w:t>
            </w:r>
          </w:p>
        </w:tc>
        <w:tc>
          <w:tcPr>
            <w:tcW w:w="1132" w:type="dxa"/>
            <w:vAlign w:val="center"/>
          </w:tcPr>
          <w:p w:rsidR="00983C6D" w:rsidRPr="004D5C1F" w:rsidRDefault="00983C6D" w:rsidP="00983C6D">
            <w:pPr>
              <w:spacing w:after="240"/>
              <w:jc w:val="right"/>
            </w:pPr>
            <w:r w:rsidRPr="004D5C1F">
              <w:t>29,914</w:t>
            </w:r>
          </w:p>
        </w:tc>
      </w:tr>
      <w:tr w:rsidR="00983C6D" w:rsidRPr="004D5C1F" w:rsidTr="00A301AA">
        <w:tc>
          <w:tcPr>
            <w:tcW w:w="7601" w:type="dxa"/>
          </w:tcPr>
          <w:p w:rsidR="00983C6D" w:rsidRPr="004D5C1F" w:rsidRDefault="00983C6D" w:rsidP="00DA4D69">
            <w:pPr>
              <w:spacing w:after="240"/>
            </w:pPr>
            <w:r w:rsidRPr="004D5C1F">
              <w:t>Application of grants to capital financing from the Capital Grants Unapplied Account</w:t>
            </w:r>
          </w:p>
        </w:tc>
        <w:tc>
          <w:tcPr>
            <w:tcW w:w="1132" w:type="dxa"/>
            <w:vAlign w:val="center"/>
          </w:tcPr>
          <w:p w:rsidR="00983C6D" w:rsidRPr="004D5C1F" w:rsidRDefault="004D5C1F" w:rsidP="00507600">
            <w:pPr>
              <w:spacing w:after="240"/>
              <w:jc w:val="right"/>
            </w:pPr>
            <w:r w:rsidRPr="004D5C1F">
              <w:t>30,463</w:t>
            </w:r>
          </w:p>
        </w:tc>
        <w:tc>
          <w:tcPr>
            <w:tcW w:w="1132" w:type="dxa"/>
            <w:vAlign w:val="center"/>
          </w:tcPr>
          <w:p w:rsidR="00983C6D" w:rsidRPr="004D5C1F" w:rsidRDefault="00983C6D" w:rsidP="00983C6D">
            <w:pPr>
              <w:spacing w:after="240"/>
              <w:jc w:val="right"/>
            </w:pPr>
            <w:r w:rsidRPr="004D5C1F">
              <w:t>68,068</w:t>
            </w:r>
          </w:p>
        </w:tc>
      </w:tr>
      <w:tr w:rsidR="00983C6D" w:rsidRPr="004D5C1F" w:rsidTr="00A301AA">
        <w:tc>
          <w:tcPr>
            <w:tcW w:w="7601" w:type="dxa"/>
          </w:tcPr>
          <w:p w:rsidR="00983C6D" w:rsidRPr="004D5C1F" w:rsidRDefault="00983C6D" w:rsidP="00DA4D69">
            <w:pPr>
              <w:spacing w:after="240"/>
            </w:pPr>
            <w:r w:rsidRPr="004D5C1F">
              <w:t>Statutory provision for the financing of capital investment charged against the County Fund</w:t>
            </w:r>
          </w:p>
        </w:tc>
        <w:tc>
          <w:tcPr>
            <w:tcW w:w="1132" w:type="dxa"/>
            <w:vAlign w:val="center"/>
          </w:tcPr>
          <w:p w:rsidR="00983C6D" w:rsidRPr="004D5C1F" w:rsidRDefault="004D5C1F" w:rsidP="00507600">
            <w:pPr>
              <w:spacing w:after="240"/>
              <w:jc w:val="right"/>
            </w:pPr>
            <w:r w:rsidRPr="004D5C1F">
              <w:t>26,193</w:t>
            </w:r>
          </w:p>
        </w:tc>
        <w:tc>
          <w:tcPr>
            <w:tcW w:w="1132" w:type="dxa"/>
            <w:vAlign w:val="center"/>
          </w:tcPr>
          <w:p w:rsidR="00983C6D" w:rsidRPr="004D5C1F" w:rsidRDefault="004D5C1F" w:rsidP="00983C6D">
            <w:pPr>
              <w:spacing w:after="240"/>
              <w:jc w:val="right"/>
            </w:pPr>
            <w:r w:rsidRPr="004D5C1F">
              <w:t>24,151</w:t>
            </w:r>
          </w:p>
        </w:tc>
      </w:tr>
      <w:tr w:rsidR="00983C6D" w:rsidRPr="004D5C1F" w:rsidTr="00A301AA">
        <w:tc>
          <w:tcPr>
            <w:tcW w:w="7601" w:type="dxa"/>
          </w:tcPr>
          <w:p w:rsidR="00983C6D" w:rsidRPr="004D5C1F" w:rsidRDefault="00983C6D" w:rsidP="00DA4D69">
            <w:pPr>
              <w:spacing w:after="240"/>
            </w:pPr>
            <w:r w:rsidRPr="004D5C1F">
              <w:t>Capital expenditure charged against the County Fund</w:t>
            </w:r>
          </w:p>
        </w:tc>
        <w:tc>
          <w:tcPr>
            <w:tcW w:w="1132" w:type="dxa"/>
            <w:tcBorders>
              <w:bottom w:val="single" w:sz="12" w:space="0" w:color="auto"/>
            </w:tcBorders>
            <w:vAlign w:val="center"/>
          </w:tcPr>
          <w:p w:rsidR="00983C6D" w:rsidRPr="004D5C1F" w:rsidRDefault="004D5C1F" w:rsidP="00507600">
            <w:pPr>
              <w:spacing w:after="240"/>
              <w:jc w:val="right"/>
            </w:pPr>
            <w:r w:rsidRPr="004D5C1F">
              <w:t>15,748</w:t>
            </w:r>
          </w:p>
        </w:tc>
        <w:tc>
          <w:tcPr>
            <w:tcW w:w="1132" w:type="dxa"/>
            <w:tcBorders>
              <w:bottom w:val="single" w:sz="12" w:space="0" w:color="auto"/>
            </w:tcBorders>
            <w:vAlign w:val="center"/>
          </w:tcPr>
          <w:p w:rsidR="00983C6D" w:rsidRPr="004D5C1F" w:rsidRDefault="00983C6D" w:rsidP="00983C6D">
            <w:pPr>
              <w:spacing w:after="240"/>
              <w:jc w:val="right"/>
            </w:pPr>
            <w:r w:rsidRPr="004D5C1F">
              <w:t>2,893</w:t>
            </w:r>
          </w:p>
        </w:tc>
      </w:tr>
      <w:tr w:rsidR="00983C6D" w:rsidRPr="004D5C1F" w:rsidTr="00A301AA">
        <w:tc>
          <w:tcPr>
            <w:tcW w:w="7601" w:type="dxa"/>
          </w:tcPr>
          <w:p w:rsidR="00983C6D" w:rsidRPr="004D5C1F" w:rsidRDefault="00983C6D" w:rsidP="00DA4D69">
            <w:pPr>
              <w:spacing w:after="240"/>
              <w:rPr>
                <w:b/>
                <w:u w:val="single"/>
              </w:rPr>
            </w:pPr>
          </w:p>
        </w:tc>
        <w:tc>
          <w:tcPr>
            <w:tcW w:w="1132" w:type="dxa"/>
            <w:tcBorders>
              <w:top w:val="single" w:sz="12" w:space="0" w:color="auto"/>
              <w:bottom w:val="single" w:sz="12" w:space="0" w:color="auto"/>
            </w:tcBorders>
            <w:vAlign w:val="center"/>
          </w:tcPr>
          <w:p w:rsidR="00983C6D" w:rsidRPr="00C5028E" w:rsidRDefault="004D5C1F" w:rsidP="00507600">
            <w:pPr>
              <w:spacing w:after="240"/>
              <w:jc w:val="right"/>
              <w:rPr>
                <w:b/>
              </w:rPr>
            </w:pPr>
            <w:r w:rsidRPr="00C5028E">
              <w:rPr>
                <w:b/>
              </w:rPr>
              <w:t>105,893</w:t>
            </w:r>
          </w:p>
        </w:tc>
        <w:tc>
          <w:tcPr>
            <w:tcW w:w="1132" w:type="dxa"/>
            <w:tcBorders>
              <w:top w:val="single" w:sz="12" w:space="0" w:color="auto"/>
              <w:bottom w:val="single" w:sz="12" w:space="0" w:color="auto"/>
            </w:tcBorders>
            <w:vAlign w:val="center"/>
          </w:tcPr>
          <w:p w:rsidR="00983C6D" w:rsidRPr="00C5028E" w:rsidRDefault="004D5C1F" w:rsidP="00983C6D">
            <w:pPr>
              <w:spacing w:after="240"/>
              <w:jc w:val="right"/>
              <w:rPr>
                <w:b/>
              </w:rPr>
            </w:pPr>
            <w:r w:rsidRPr="00C5028E">
              <w:rPr>
                <w:b/>
              </w:rPr>
              <w:t>135,406</w:t>
            </w:r>
          </w:p>
        </w:tc>
      </w:tr>
      <w:tr w:rsidR="00983C6D" w:rsidRPr="004D5C1F" w:rsidTr="00A301AA">
        <w:tc>
          <w:tcPr>
            <w:tcW w:w="7601" w:type="dxa"/>
          </w:tcPr>
          <w:p w:rsidR="00983C6D" w:rsidRPr="004D5C1F" w:rsidRDefault="00983C6D" w:rsidP="00DA4D69">
            <w:pPr>
              <w:spacing w:after="240"/>
            </w:pPr>
            <w:r w:rsidRPr="004D5C1F">
              <w:t>Movements in the market value of Investment Properties debited or credited to the Comprehensive Income and Expenditure Statement</w:t>
            </w:r>
          </w:p>
        </w:tc>
        <w:tc>
          <w:tcPr>
            <w:tcW w:w="1132" w:type="dxa"/>
            <w:tcBorders>
              <w:top w:val="single" w:sz="12" w:space="0" w:color="auto"/>
            </w:tcBorders>
            <w:vAlign w:val="center"/>
          </w:tcPr>
          <w:p w:rsidR="00983C6D" w:rsidRPr="004D5C1F" w:rsidRDefault="004D5C1F" w:rsidP="00507600">
            <w:pPr>
              <w:spacing w:after="240"/>
              <w:jc w:val="right"/>
            </w:pPr>
            <w:r w:rsidRPr="004D5C1F">
              <w:t>37</w:t>
            </w:r>
          </w:p>
        </w:tc>
        <w:tc>
          <w:tcPr>
            <w:tcW w:w="1132" w:type="dxa"/>
            <w:tcBorders>
              <w:top w:val="single" w:sz="12" w:space="0" w:color="auto"/>
            </w:tcBorders>
            <w:vAlign w:val="center"/>
          </w:tcPr>
          <w:p w:rsidR="00983C6D" w:rsidRPr="004D5C1F" w:rsidRDefault="00983C6D" w:rsidP="00983C6D">
            <w:pPr>
              <w:spacing w:after="240"/>
              <w:jc w:val="right"/>
            </w:pPr>
            <w:r w:rsidRPr="004D5C1F">
              <w:t>51</w:t>
            </w:r>
          </w:p>
        </w:tc>
      </w:tr>
      <w:tr w:rsidR="00983C6D" w:rsidRPr="004D5C1F" w:rsidTr="00A301AA">
        <w:tc>
          <w:tcPr>
            <w:tcW w:w="7601" w:type="dxa"/>
          </w:tcPr>
          <w:p w:rsidR="00983C6D" w:rsidRPr="004D5C1F" w:rsidRDefault="00983C6D" w:rsidP="00DA4D69">
            <w:pPr>
              <w:spacing w:after="240"/>
            </w:pPr>
            <w:r w:rsidRPr="004D5C1F">
              <w:t>Reclassifications</w:t>
            </w:r>
            <w:r w:rsidR="004D5C1F" w:rsidRPr="004D5C1F">
              <w:t xml:space="preserve"> – write out waste PFI deferred consideration</w:t>
            </w:r>
          </w:p>
        </w:tc>
        <w:tc>
          <w:tcPr>
            <w:tcW w:w="1132" w:type="dxa"/>
            <w:tcBorders>
              <w:bottom w:val="single" w:sz="12" w:space="0" w:color="auto"/>
            </w:tcBorders>
            <w:vAlign w:val="center"/>
          </w:tcPr>
          <w:p w:rsidR="00983C6D" w:rsidRPr="004D5C1F" w:rsidRDefault="004D5C1F" w:rsidP="00507600">
            <w:pPr>
              <w:spacing w:after="240"/>
              <w:jc w:val="right"/>
            </w:pPr>
            <w:r w:rsidRPr="004D5C1F">
              <w:t>(2,672)</w:t>
            </w:r>
          </w:p>
        </w:tc>
        <w:tc>
          <w:tcPr>
            <w:tcW w:w="1132" w:type="dxa"/>
            <w:tcBorders>
              <w:bottom w:val="single" w:sz="12" w:space="0" w:color="auto"/>
            </w:tcBorders>
            <w:vAlign w:val="center"/>
          </w:tcPr>
          <w:p w:rsidR="00983C6D" w:rsidRPr="004D5C1F" w:rsidRDefault="00983C6D" w:rsidP="00983C6D">
            <w:pPr>
              <w:spacing w:after="240"/>
              <w:jc w:val="right"/>
              <w:rPr>
                <w:u w:val="single"/>
              </w:rPr>
            </w:pPr>
            <w:r w:rsidRPr="004D5C1F">
              <w:t>(3,306)</w:t>
            </w:r>
          </w:p>
        </w:tc>
      </w:tr>
      <w:tr w:rsidR="00983C6D" w:rsidRPr="00286C0E" w:rsidTr="00A301AA">
        <w:tc>
          <w:tcPr>
            <w:tcW w:w="7601" w:type="dxa"/>
          </w:tcPr>
          <w:p w:rsidR="00983C6D" w:rsidRPr="004D5C1F" w:rsidRDefault="00983C6D" w:rsidP="00DA4D69">
            <w:pPr>
              <w:spacing w:after="240"/>
              <w:rPr>
                <w:b/>
              </w:rPr>
            </w:pPr>
            <w:r w:rsidRPr="004D5C1F">
              <w:rPr>
                <w:b/>
              </w:rPr>
              <w:t>Balance at 31 March</w:t>
            </w:r>
          </w:p>
        </w:tc>
        <w:tc>
          <w:tcPr>
            <w:tcW w:w="1132" w:type="dxa"/>
            <w:tcBorders>
              <w:top w:val="single" w:sz="12" w:space="0" w:color="auto"/>
              <w:bottom w:val="double" w:sz="6" w:space="0" w:color="auto"/>
            </w:tcBorders>
            <w:vAlign w:val="center"/>
          </w:tcPr>
          <w:p w:rsidR="00983C6D" w:rsidRPr="004D5C1F" w:rsidRDefault="004D5C1F" w:rsidP="00507600">
            <w:pPr>
              <w:spacing w:after="240"/>
              <w:jc w:val="right"/>
              <w:rPr>
                <w:b/>
              </w:rPr>
            </w:pPr>
            <w:r w:rsidRPr="004D5C1F">
              <w:rPr>
                <w:b/>
              </w:rPr>
              <w:t>865,596</w:t>
            </w:r>
          </w:p>
        </w:tc>
        <w:tc>
          <w:tcPr>
            <w:tcW w:w="1132" w:type="dxa"/>
            <w:tcBorders>
              <w:top w:val="single" w:sz="12" w:space="0" w:color="auto"/>
              <w:bottom w:val="double" w:sz="6" w:space="0" w:color="auto"/>
            </w:tcBorders>
            <w:vAlign w:val="center"/>
          </w:tcPr>
          <w:p w:rsidR="00983C6D" w:rsidRPr="004D5C1F" w:rsidRDefault="00983C6D" w:rsidP="00983C6D">
            <w:pPr>
              <w:spacing w:after="240"/>
              <w:jc w:val="right"/>
              <w:rPr>
                <w:b/>
              </w:rPr>
            </w:pPr>
            <w:r w:rsidRPr="004D5C1F">
              <w:rPr>
                <w:b/>
              </w:rPr>
              <w:t>861,965</w:t>
            </w:r>
          </w:p>
        </w:tc>
      </w:tr>
    </w:tbl>
    <w:p w:rsidR="00AF700C" w:rsidRPr="00286C0E" w:rsidRDefault="00AF700C" w:rsidP="00034BF3">
      <w:pPr>
        <w:spacing w:after="240"/>
        <w:rPr>
          <w:b/>
          <w:highlight w:val="yellow"/>
          <w:u w:val="single"/>
        </w:rPr>
      </w:pPr>
    </w:p>
    <w:p w:rsidR="00975DE4" w:rsidRPr="00CA3109" w:rsidRDefault="00975DE4" w:rsidP="00034BF3">
      <w:pPr>
        <w:spacing w:after="240"/>
        <w:ind w:firstLine="720"/>
        <w:rPr>
          <w:b/>
        </w:rPr>
      </w:pPr>
      <w:r w:rsidRPr="00CA3109">
        <w:rPr>
          <w:b/>
        </w:rPr>
        <w:t>Available for Sale Financial Instruments Reserve</w:t>
      </w:r>
    </w:p>
    <w:p w:rsidR="00975DE4" w:rsidRPr="00CA3109" w:rsidRDefault="00975DE4" w:rsidP="00034BF3">
      <w:pPr>
        <w:autoSpaceDE w:val="0"/>
        <w:autoSpaceDN w:val="0"/>
        <w:adjustRightInd w:val="0"/>
        <w:ind w:left="720"/>
        <w:jc w:val="both"/>
        <w:rPr>
          <w:color w:val="000000"/>
        </w:rPr>
      </w:pPr>
      <w:r w:rsidRPr="00CA3109">
        <w:rPr>
          <w:color w:val="000000"/>
        </w:rPr>
        <w:t>The Available for Sale Financial Instruments Reserve contains the gains made by the authority arising from increases in the value of its investments that have quoted market prices or otherwise do not have fixed or determinable payments. The balance is reduced when investments with accumulated gains are revalued downwards or impaired and the gains are lost,</w:t>
      </w:r>
      <w:r w:rsidR="009B0842" w:rsidRPr="00CA3109">
        <w:rPr>
          <w:color w:val="000000"/>
        </w:rPr>
        <w:t xml:space="preserve"> </w:t>
      </w:r>
      <w:r w:rsidRPr="00CA3109">
        <w:rPr>
          <w:color w:val="000000"/>
        </w:rPr>
        <w:t>or</w:t>
      </w:r>
      <w:r w:rsidRPr="00CA3109">
        <w:rPr>
          <w:color w:val="949699"/>
        </w:rPr>
        <w:t xml:space="preserve"> </w:t>
      </w:r>
      <w:r w:rsidRPr="00CA3109">
        <w:rPr>
          <w:color w:val="000000"/>
        </w:rPr>
        <w:t>disposed of and the gains are realised.</w:t>
      </w:r>
    </w:p>
    <w:p w:rsidR="009B0842" w:rsidRPr="00286C0E" w:rsidRDefault="009B0842" w:rsidP="00AF700C">
      <w:pPr>
        <w:autoSpaceDE w:val="0"/>
        <w:autoSpaceDN w:val="0"/>
        <w:adjustRightInd w:val="0"/>
        <w:jc w:val="both"/>
        <w:rPr>
          <w:color w:val="000000"/>
          <w:highlight w:val="yellow"/>
        </w:rPr>
      </w:pPr>
    </w:p>
    <w:p w:rsidR="009B0842" w:rsidRPr="00286C0E" w:rsidRDefault="009B0842" w:rsidP="00AF700C">
      <w:pPr>
        <w:autoSpaceDE w:val="0"/>
        <w:autoSpaceDN w:val="0"/>
        <w:adjustRightInd w:val="0"/>
        <w:jc w:val="both"/>
        <w:rPr>
          <w:color w:val="000000"/>
          <w:highlight w:val="yellow"/>
        </w:rPr>
      </w:pPr>
    </w:p>
    <w:tbl>
      <w:tblPr>
        <w:tblW w:w="9923" w:type="dxa"/>
        <w:tblInd w:w="759" w:type="dxa"/>
        <w:tblLook w:val="04A0"/>
      </w:tblPr>
      <w:tblGrid>
        <w:gridCol w:w="7569"/>
        <w:gridCol w:w="1270"/>
        <w:gridCol w:w="1084"/>
      </w:tblGrid>
      <w:tr w:rsidR="00F50D95" w:rsidRPr="001E0E51" w:rsidTr="00C5028E">
        <w:trPr>
          <w:trHeight w:val="300"/>
        </w:trPr>
        <w:tc>
          <w:tcPr>
            <w:tcW w:w="7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D95" w:rsidRPr="001E0E51" w:rsidRDefault="00F50D95" w:rsidP="00F50D95">
            <w:pPr>
              <w:jc w:val="center"/>
              <w:rPr>
                <w:b/>
                <w:bCs/>
              </w:rPr>
            </w:pP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F50D95" w:rsidRPr="001E0E51" w:rsidRDefault="00F50D95" w:rsidP="00F50D95">
            <w:pPr>
              <w:jc w:val="center"/>
              <w:rPr>
                <w:b/>
                <w:bCs/>
              </w:rPr>
            </w:pPr>
            <w:r w:rsidRPr="001E0E51">
              <w:rPr>
                <w:b/>
                <w:bCs/>
              </w:rPr>
              <w:t>2011/12</w:t>
            </w:r>
          </w:p>
        </w:tc>
        <w:tc>
          <w:tcPr>
            <w:tcW w:w="1082" w:type="dxa"/>
            <w:tcBorders>
              <w:top w:val="single" w:sz="4" w:space="0" w:color="auto"/>
              <w:left w:val="nil"/>
              <w:bottom w:val="single" w:sz="4" w:space="0" w:color="auto"/>
              <w:right w:val="single" w:sz="4" w:space="0" w:color="auto"/>
            </w:tcBorders>
            <w:shd w:val="clear" w:color="auto" w:fill="auto"/>
            <w:noWrap/>
            <w:vAlign w:val="center"/>
            <w:hideMark/>
          </w:tcPr>
          <w:p w:rsidR="00F50D95" w:rsidRPr="001E0E51" w:rsidRDefault="00F50D95" w:rsidP="00F50D95">
            <w:pPr>
              <w:jc w:val="center"/>
              <w:rPr>
                <w:b/>
                <w:bCs/>
                <w:color w:val="000000"/>
              </w:rPr>
            </w:pPr>
            <w:r w:rsidRPr="001E0E51">
              <w:rPr>
                <w:b/>
                <w:bCs/>
                <w:color w:val="000000"/>
              </w:rPr>
              <w:t>2010/11</w:t>
            </w:r>
          </w:p>
        </w:tc>
      </w:tr>
      <w:tr w:rsidR="00F50D95" w:rsidRPr="001E0E51" w:rsidTr="00C5028E">
        <w:trPr>
          <w:trHeight w:val="300"/>
        </w:trPr>
        <w:tc>
          <w:tcPr>
            <w:tcW w:w="7571" w:type="dxa"/>
            <w:tcBorders>
              <w:top w:val="nil"/>
              <w:left w:val="single" w:sz="4" w:space="0" w:color="auto"/>
              <w:bottom w:val="single" w:sz="4" w:space="0" w:color="auto"/>
              <w:right w:val="single" w:sz="4" w:space="0" w:color="auto"/>
            </w:tcBorders>
            <w:shd w:val="clear" w:color="auto" w:fill="auto"/>
            <w:noWrap/>
            <w:vAlign w:val="center"/>
            <w:hideMark/>
          </w:tcPr>
          <w:p w:rsidR="00F50D95" w:rsidRPr="001E0E51" w:rsidRDefault="00F50D95" w:rsidP="00F50D95">
            <w:pPr>
              <w:jc w:val="center"/>
            </w:pPr>
          </w:p>
        </w:tc>
        <w:tc>
          <w:tcPr>
            <w:tcW w:w="1270" w:type="dxa"/>
            <w:tcBorders>
              <w:top w:val="nil"/>
              <w:left w:val="nil"/>
              <w:bottom w:val="single" w:sz="4" w:space="0" w:color="auto"/>
              <w:right w:val="single" w:sz="4" w:space="0" w:color="auto"/>
            </w:tcBorders>
            <w:shd w:val="clear" w:color="auto" w:fill="auto"/>
            <w:noWrap/>
            <w:vAlign w:val="center"/>
            <w:hideMark/>
          </w:tcPr>
          <w:p w:rsidR="00F50D95" w:rsidRPr="001E0E51" w:rsidRDefault="00F50D95" w:rsidP="00F50D95">
            <w:pPr>
              <w:jc w:val="center"/>
              <w:rPr>
                <w:b/>
                <w:bCs/>
              </w:rPr>
            </w:pPr>
            <w:r w:rsidRPr="001E0E51">
              <w:rPr>
                <w:b/>
                <w:bCs/>
              </w:rPr>
              <w:t>£000</w:t>
            </w:r>
          </w:p>
        </w:tc>
        <w:tc>
          <w:tcPr>
            <w:tcW w:w="1082" w:type="dxa"/>
            <w:tcBorders>
              <w:top w:val="nil"/>
              <w:left w:val="nil"/>
              <w:bottom w:val="single" w:sz="4" w:space="0" w:color="auto"/>
              <w:right w:val="single" w:sz="4" w:space="0" w:color="auto"/>
            </w:tcBorders>
            <w:shd w:val="clear" w:color="auto" w:fill="auto"/>
            <w:noWrap/>
            <w:vAlign w:val="center"/>
            <w:hideMark/>
          </w:tcPr>
          <w:p w:rsidR="00F50D95" w:rsidRPr="001E0E51" w:rsidRDefault="00F50D95" w:rsidP="00F50D95">
            <w:pPr>
              <w:jc w:val="center"/>
              <w:rPr>
                <w:b/>
                <w:bCs/>
                <w:color w:val="000000"/>
              </w:rPr>
            </w:pPr>
            <w:r w:rsidRPr="001E0E51">
              <w:rPr>
                <w:b/>
                <w:bCs/>
                <w:color w:val="000000"/>
              </w:rPr>
              <w:t>£000</w:t>
            </w:r>
          </w:p>
        </w:tc>
      </w:tr>
      <w:tr w:rsidR="00F50D95" w:rsidRPr="001E0E51" w:rsidTr="00C5028E">
        <w:trPr>
          <w:trHeight w:val="300"/>
        </w:trPr>
        <w:tc>
          <w:tcPr>
            <w:tcW w:w="7571" w:type="dxa"/>
            <w:tcBorders>
              <w:top w:val="nil"/>
              <w:left w:val="single" w:sz="4" w:space="0" w:color="auto"/>
              <w:bottom w:val="single" w:sz="4" w:space="0" w:color="auto"/>
              <w:right w:val="single" w:sz="4" w:space="0" w:color="auto"/>
            </w:tcBorders>
            <w:shd w:val="clear" w:color="auto" w:fill="auto"/>
            <w:noWrap/>
            <w:vAlign w:val="center"/>
            <w:hideMark/>
          </w:tcPr>
          <w:p w:rsidR="00F50D95" w:rsidRPr="001E0E51" w:rsidRDefault="00F50D95" w:rsidP="00481144">
            <w:pPr>
              <w:rPr>
                <w:b/>
                <w:bCs/>
              </w:rPr>
            </w:pPr>
            <w:r w:rsidRPr="001E0E51">
              <w:rPr>
                <w:b/>
                <w:bCs/>
              </w:rPr>
              <w:t>Balance at 1 April</w:t>
            </w:r>
          </w:p>
        </w:tc>
        <w:tc>
          <w:tcPr>
            <w:tcW w:w="1270" w:type="dxa"/>
            <w:tcBorders>
              <w:top w:val="nil"/>
              <w:left w:val="nil"/>
              <w:bottom w:val="single" w:sz="4" w:space="0" w:color="auto"/>
              <w:right w:val="single" w:sz="4" w:space="0" w:color="auto"/>
            </w:tcBorders>
            <w:shd w:val="clear" w:color="auto" w:fill="auto"/>
            <w:noWrap/>
            <w:vAlign w:val="center"/>
            <w:hideMark/>
          </w:tcPr>
          <w:p w:rsidR="00F50D95" w:rsidRPr="001E0E51" w:rsidRDefault="00F50D95" w:rsidP="00F50D95">
            <w:pPr>
              <w:jc w:val="center"/>
            </w:pPr>
            <w:r w:rsidRPr="001E0E51">
              <w:t>(7,159)</w:t>
            </w:r>
          </w:p>
        </w:tc>
        <w:tc>
          <w:tcPr>
            <w:tcW w:w="1082" w:type="dxa"/>
            <w:tcBorders>
              <w:top w:val="nil"/>
              <w:left w:val="nil"/>
              <w:bottom w:val="single" w:sz="4" w:space="0" w:color="auto"/>
              <w:right w:val="single" w:sz="4" w:space="0" w:color="auto"/>
            </w:tcBorders>
            <w:shd w:val="clear" w:color="auto" w:fill="auto"/>
            <w:noWrap/>
            <w:vAlign w:val="center"/>
            <w:hideMark/>
          </w:tcPr>
          <w:p w:rsidR="00F50D95" w:rsidRPr="001E0E51" w:rsidRDefault="00F50D95" w:rsidP="00F50D95">
            <w:pPr>
              <w:jc w:val="center"/>
              <w:rPr>
                <w:color w:val="000000"/>
              </w:rPr>
            </w:pPr>
            <w:r w:rsidRPr="001E0E51">
              <w:rPr>
                <w:color w:val="000000"/>
              </w:rPr>
              <w:t>-</w:t>
            </w:r>
          </w:p>
        </w:tc>
      </w:tr>
      <w:tr w:rsidR="00F50D95" w:rsidRPr="001E0E51" w:rsidTr="00C5028E">
        <w:trPr>
          <w:trHeight w:val="300"/>
        </w:trPr>
        <w:tc>
          <w:tcPr>
            <w:tcW w:w="7571" w:type="dxa"/>
            <w:tcBorders>
              <w:top w:val="nil"/>
              <w:left w:val="single" w:sz="4" w:space="0" w:color="auto"/>
              <w:bottom w:val="single" w:sz="4" w:space="0" w:color="auto"/>
              <w:right w:val="single" w:sz="4" w:space="0" w:color="auto"/>
            </w:tcBorders>
            <w:shd w:val="clear" w:color="auto" w:fill="auto"/>
            <w:noWrap/>
            <w:vAlign w:val="center"/>
            <w:hideMark/>
          </w:tcPr>
          <w:p w:rsidR="00F50D95" w:rsidRPr="001E0E51" w:rsidRDefault="00F50D95" w:rsidP="00481144">
            <w:r w:rsidRPr="001E0E51">
              <w:t>Upwards revaluation of investments</w:t>
            </w:r>
          </w:p>
        </w:tc>
        <w:tc>
          <w:tcPr>
            <w:tcW w:w="1270" w:type="dxa"/>
            <w:tcBorders>
              <w:top w:val="nil"/>
              <w:left w:val="nil"/>
              <w:bottom w:val="single" w:sz="4" w:space="0" w:color="auto"/>
              <w:right w:val="single" w:sz="4" w:space="0" w:color="auto"/>
            </w:tcBorders>
            <w:shd w:val="clear" w:color="auto" w:fill="auto"/>
            <w:noWrap/>
            <w:vAlign w:val="center"/>
            <w:hideMark/>
          </w:tcPr>
          <w:p w:rsidR="00F50D95" w:rsidRPr="001E0E51" w:rsidRDefault="00F50D95" w:rsidP="00F50D95">
            <w:pPr>
              <w:jc w:val="center"/>
            </w:pPr>
            <w:r w:rsidRPr="001E0E51">
              <w:t>6,680</w:t>
            </w:r>
          </w:p>
        </w:tc>
        <w:tc>
          <w:tcPr>
            <w:tcW w:w="1082" w:type="dxa"/>
            <w:tcBorders>
              <w:top w:val="nil"/>
              <w:left w:val="nil"/>
              <w:bottom w:val="single" w:sz="4" w:space="0" w:color="auto"/>
              <w:right w:val="single" w:sz="4" w:space="0" w:color="auto"/>
            </w:tcBorders>
            <w:shd w:val="clear" w:color="auto" w:fill="auto"/>
            <w:noWrap/>
            <w:vAlign w:val="center"/>
            <w:hideMark/>
          </w:tcPr>
          <w:p w:rsidR="00F50D95" w:rsidRPr="001E0E51" w:rsidRDefault="00F50D95" w:rsidP="00F50D95">
            <w:pPr>
              <w:jc w:val="center"/>
              <w:rPr>
                <w:color w:val="000000"/>
              </w:rPr>
            </w:pPr>
            <w:r w:rsidRPr="001E0E51">
              <w:rPr>
                <w:color w:val="000000"/>
              </w:rPr>
              <w:t>-</w:t>
            </w:r>
          </w:p>
        </w:tc>
      </w:tr>
      <w:tr w:rsidR="00F50D95" w:rsidRPr="001E0E51" w:rsidTr="00C5028E">
        <w:trPr>
          <w:trHeight w:val="540"/>
        </w:trPr>
        <w:tc>
          <w:tcPr>
            <w:tcW w:w="7571" w:type="dxa"/>
            <w:tcBorders>
              <w:top w:val="nil"/>
              <w:left w:val="single" w:sz="4" w:space="0" w:color="auto"/>
              <w:bottom w:val="single" w:sz="4" w:space="0" w:color="auto"/>
              <w:right w:val="single" w:sz="4" w:space="0" w:color="auto"/>
            </w:tcBorders>
            <w:shd w:val="clear" w:color="auto" w:fill="auto"/>
            <w:vAlign w:val="center"/>
            <w:hideMark/>
          </w:tcPr>
          <w:p w:rsidR="00F50D95" w:rsidRPr="001E0E51" w:rsidRDefault="00F50D95" w:rsidP="00481144">
            <w:r w:rsidRPr="001E0E51">
              <w:t>Downward revaluation of investments not charged to the surplus/(deficit) on the Provision of Services</w:t>
            </w:r>
          </w:p>
        </w:tc>
        <w:tc>
          <w:tcPr>
            <w:tcW w:w="1270" w:type="dxa"/>
            <w:tcBorders>
              <w:top w:val="nil"/>
              <w:left w:val="nil"/>
              <w:bottom w:val="nil"/>
              <w:right w:val="single" w:sz="4" w:space="0" w:color="auto"/>
            </w:tcBorders>
            <w:shd w:val="clear" w:color="auto" w:fill="auto"/>
            <w:noWrap/>
            <w:vAlign w:val="center"/>
            <w:hideMark/>
          </w:tcPr>
          <w:p w:rsidR="00F50D95" w:rsidRPr="001E0E51" w:rsidRDefault="007F230E" w:rsidP="00F50D95">
            <w:pPr>
              <w:jc w:val="center"/>
            </w:pPr>
            <w:r>
              <w:t>-</w:t>
            </w:r>
          </w:p>
        </w:tc>
        <w:tc>
          <w:tcPr>
            <w:tcW w:w="1082" w:type="dxa"/>
            <w:tcBorders>
              <w:top w:val="nil"/>
              <w:left w:val="nil"/>
              <w:bottom w:val="nil"/>
              <w:right w:val="single" w:sz="4" w:space="0" w:color="auto"/>
            </w:tcBorders>
            <w:shd w:val="clear" w:color="auto" w:fill="auto"/>
            <w:noWrap/>
            <w:vAlign w:val="center"/>
            <w:hideMark/>
          </w:tcPr>
          <w:p w:rsidR="00F50D95" w:rsidRPr="001E0E51" w:rsidRDefault="00F50D95" w:rsidP="00F50D95">
            <w:pPr>
              <w:jc w:val="center"/>
              <w:rPr>
                <w:color w:val="000000"/>
              </w:rPr>
            </w:pPr>
            <w:r w:rsidRPr="001E0E51">
              <w:rPr>
                <w:color w:val="000000"/>
              </w:rPr>
              <w:t>7,159</w:t>
            </w:r>
          </w:p>
        </w:tc>
      </w:tr>
      <w:tr w:rsidR="00F50D95" w:rsidRPr="001E0E51" w:rsidTr="00C5028E">
        <w:trPr>
          <w:trHeight w:val="315"/>
        </w:trPr>
        <w:tc>
          <w:tcPr>
            <w:tcW w:w="7571" w:type="dxa"/>
            <w:tcBorders>
              <w:top w:val="nil"/>
              <w:left w:val="single" w:sz="4" w:space="0" w:color="auto"/>
              <w:bottom w:val="single" w:sz="4" w:space="0" w:color="auto"/>
              <w:right w:val="single" w:sz="4" w:space="0" w:color="auto"/>
            </w:tcBorders>
            <w:shd w:val="clear" w:color="auto" w:fill="auto"/>
            <w:noWrap/>
            <w:vAlign w:val="center"/>
            <w:hideMark/>
          </w:tcPr>
          <w:p w:rsidR="00F50D95" w:rsidRPr="001E0E51" w:rsidRDefault="00F50D95" w:rsidP="00481144"/>
        </w:tc>
        <w:tc>
          <w:tcPr>
            <w:tcW w:w="1270" w:type="dxa"/>
            <w:tcBorders>
              <w:top w:val="single" w:sz="8" w:space="0" w:color="auto"/>
              <w:left w:val="nil"/>
              <w:bottom w:val="single" w:sz="8" w:space="0" w:color="auto"/>
              <w:right w:val="single" w:sz="4" w:space="0" w:color="auto"/>
            </w:tcBorders>
            <w:shd w:val="clear" w:color="auto" w:fill="auto"/>
            <w:noWrap/>
            <w:vAlign w:val="center"/>
            <w:hideMark/>
          </w:tcPr>
          <w:p w:rsidR="00F50D95" w:rsidRPr="001E0E51" w:rsidRDefault="00F50D95" w:rsidP="00F50D95">
            <w:pPr>
              <w:jc w:val="center"/>
            </w:pPr>
            <w:r w:rsidRPr="001E0E51">
              <w:t>(479)</w:t>
            </w:r>
          </w:p>
        </w:tc>
        <w:tc>
          <w:tcPr>
            <w:tcW w:w="1082" w:type="dxa"/>
            <w:tcBorders>
              <w:top w:val="single" w:sz="8" w:space="0" w:color="auto"/>
              <w:left w:val="nil"/>
              <w:bottom w:val="single" w:sz="8" w:space="0" w:color="auto"/>
              <w:right w:val="single" w:sz="4" w:space="0" w:color="auto"/>
            </w:tcBorders>
            <w:shd w:val="clear" w:color="auto" w:fill="auto"/>
            <w:noWrap/>
            <w:vAlign w:val="center"/>
            <w:hideMark/>
          </w:tcPr>
          <w:p w:rsidR="00F50D95" w:rsidRPr="001E0E51" w:rsidRDefault="00F50D95" w:rsidP="00F50D95">
            <w:pPr>
              <w:jc w:val="center"/>
            </w:pPr>
            <w:r w:rsidRPr="001E0E51">
              <w:t>7,159</w:t>
            </w:r>
          </w:p>
        </w:tc>
      </w:tr>
      <w:tr w:rsidR="00F50D95" w:rsidRPr="001E0E51" w:rsidTr="00C5028E">
        <w:trPr>
          <w:trHeight w:val="525"/>
        </w:trPr>
        <w:tc>
          <w:tcPr>
            <w:tcW w:w="7571" w:type="dxa"/>
            <w:tcBorders>
              <w:top w:val="nil"/>
              <w:left w:val="single" w:sz="4" w:space="0" w:color="auto"/>
              <w:bottom w:val="single" w:sz="4" w:space="0" w:color="auto"/>
              <w:right w:val="single" w:sz="4" w:space="0" w:color="auto"/>
            </w:tcBorders>
            <w:shd w:val="clear" w:color="auto" w:fill="auto"/>
            <w:vAlign w:val="center"/>
            <w:hideMark/>
          </w:tcPr>
          <w:p w:rsidR="00F50D95" w:rsidRPr="001E0E51" w:rsidRDefault="00F50D95" w:rsidP="00481144">
            <w:r w:rsidRPr="001E0E51">
              <w:t>Accumulated gains on assets sold and maturing assets written out to the Comprehensive Income and Expenditure Statement as part of Other Investment Income</w:t>
            </w:r>
          </w:p>
        </w:tc>
        <w:tc>
          <w:tcPr>
            <w:tcW w:w="1270" w:type="dxa"/>
            <w:tcBorders>
              <w:top w:val="nil"/>
              <w:left w:val="nil"/>
              <w:bottom w:val="single" w:sz="4" w:space="0" w:color="auto"/>
              <w:right w:val="single" w:sz="4" w:space="0" w:color="auto"/>
            </w:tcBorders>
            <w:shd w:val="clear" w:color="auto" w:fill="auto"/>
            <w:noWrap/>
            <w:vAlign w:val="center"/>
            <w:hideMark/>
          </w:tcPr>
          <w:p w:rsidR="00F50D95" w:rsidRPr="001E0E51" w:rsidRDefault="00F50D95" w:rsidP="00F50D95">
            <w:pPr>
              <w:jc w:val="center"/>
            </w:pPr>
            <w:r w:rsidRPr="001E0E51">
              <w:t>-</w:t>
            </w:r>
          </w:p>
        </w:tc>
        <w:tc>
          <w:tcPr>
            <w:tcW w:w="1082" w:type="dxa"/>
            <w:tcBorders>
              <w:top w:val="nil"/>
              <w:left w:val="nil"/>
              <w:bottom w:val="single" w:sz="4" w:space="0" w:color="auto"/>
              <w:right w:val="single" w:sz="4" w:space="0" w:color="auto"/>
            </w:tcBorders>
            <w:shd w:val="clear" w:color="auto" w:fill="auto"/>
            <w:noWrap/>
            <w:vAlign w:val="center"/>
            <w:hideMark/>
          </w:tcPr>
          <w:p w:rsidR="00F50D95" w:rsidRPr="001E0E51" w:rsidRDefault="00F50D95" w:rsidP="00F50D95">
            <w:pPr>
              <w:jc w:val="center"/>
              <w:rPr>
                <w:color w:val="000000"/>
              </w:rPr>
            </w:pPr>
            <w:r w:rsidRPr="001E0E51">
              <w:rPr>
                <w:color w:val="000000"/>
              </w:rPr>
              <w:t>-</w:t>
            </w:r>
          </w:p>
        </w:tc>
      </w:tr>
      <w:tr w:rsidR="00F50D95" w:rsidRPr="001E0E51" w:rsidTr="00C5028E">
        <w:trPr>
          <w:trHeight w:val="315"/>
        </w:trPr>
        <w:tc>
          <w:tcPr>
            <w:tcW w:w="7571" w:type="dxa"/>
            <w:tcBorders>
              <w:top w:val="nil"/>
              <w:left w:val="single" w:sz="4" w:space="0" w:color="auto"/>
              <w:bottom w:val="single" w:sz="4" w:space="0" w:color="auto"/>
              <w:right w:val="single" w:sz="4" w:space="0" w:color="auto"/>
            </w:tcBorders>
            <w:shd w:val="clear" w:color="auto" w:fill="auto"/>
            <w:noWrap/>
            <w:vAlign w:val="center"/>
            <w:hideMark/>
          </w:tcPr>
          <w:p w:rsidR="00F50D95" w:rsidRPr="001E0E51" w:rsidRDefault="00F50D95" w:rsidP="00481144">
            <w:pPr>
              <w:rPr>
                <w:b/>
                <w:bCs/>
              </w:rPr>
            </w:pPr>
            <w:r w:rsidRPr="001E0E51">
              <w:rPr>
                <w:b/>
                <w:bCs/>
              </w:rPr>
              <w:t>Balance at 31 March</w:t>
            </w:r>
          </w:p>
        </w:tc>
        <w:tc>
          <w:tcPr>
            <w:tcW w:w="1270" w:type="dxa"/>
            <w:tcBorders>
              <w:top w:val="nil"/>
              <w:left w:val="nil"/>
              <w:bottom w:val="double" w:sz="6" w:space="0" w:color="auto"/>
              <w:right w:val="single" w:sz="4" w:space="0" w:color="auto"/>
            </w:tcBorders>
            <w:shd w:val="clear" w:color="auto" w:fill="auto"/>
            <w:noWrap/>
            <w:vAlign w:val="center"/>
            <w:hideMark/>
          </w:tcPr>
          <w:p w:rsidR="00F50D95" w:rsidRPr="001E0E51" w:rsidRDefault="00F50D95" w:rsidP="00F50D95">
            <w:pPr>
              <w:jc w:val="center"/>
            </w:pPr>
            <w:r w:rsidRPr="001E0E51">
              <w:t>(479)</w:t>
            </w:r>
          </w:p>
        </w:tc>
        <w:tc>
          <w:tcPr>
            <w:tcW w:w="1082" w:type="dxa"/>
            <w:tcBorders>
              <w:top w:val="nil"/>
              <w:left w:val="nil"/>
              <w:bottom w:val="double" w:sz="6" w:space="0" w:color="auto"/>
              <w:right w:val="single" w:sz="4" w:space="0" w:color="auto"/>
            </w:tcBorders>
            <w:shd w:val="clear" w:color="auto" w:fill="auto"/>
            <w:noWrap/>
            <w:vAlign w:val="center"/>
            <w:hideMark/>
          </w:tcPr>
          <w:p w:rsidR="00F50D95" w:rsidRPr="001E0E51" w:rsidRDefault="00F50D95" w:rsidP="00F50D95">
            <w:pPr>
              <w:jc w:val="center"/>
              <w:rPr>
                <w:color w:val="000000"/>
              </w:rPr>
            </w:pPr>
          </w:p>
        </w:tc>
      </w:tr>
    </w:tbl>
    <w:p w:rsidR="00E744DE" w:rsidRDefault="00E744DE" w:rsidP="00C51612">
      <w:pPr>
        <w:spacing w:after="240"/>
        <w:rPr>
          <w:b/>
          <w:highlight w:val="yellow"/>
        </w:rPr>
      </w:pPr>
    </w:p>
    <w:p w:rsidR="00F84EDD" w:rsidRDefault="00F84EDD">
      <w:pPr>
        <w:rPr>
          <w:b/>
          <w:highlight w:val="yellow"/>
        </w:rPr>
      </w:pPr>
      <w:r>
        <w:rPr>
          <w:b/>
          <w:highlight w:val="yellow"/>
        </w:rPr>
        <w:br w:type="page"/>
      </w:r>
    </w:p>
    <w:p w:rsidR="00F50D95" w:rsidRDefault="00F50D95" w:rsidP="00C51612">
      <w:pPr>
        <w:spacing w:after="240"/>
        <w:rPr>
          <w:b/>
          <w:highlight w:val="yellow"/>
        </w:rPr>
      </w:pPr>
    </w:p>
    <w:p w:rsidR="00975DE4" w:rsidRPr="00F50D95" w:rsidRDefault="00975DE4" w:rsidP="009D11C5">
      <w:pPr>
        <w:spacing w:after="240"/>
        <w:ind w:firstLine="720"/>
        <w:rPr>
          <w:b/>
        </w:rPr>
      </w:pPr>
      <w:r w:rsidRPr="00F50D95">
        <w:rPr>
          <w:b/>
        </w:rPr>
        <w:t>Financial Instruments Adjustment Account</w:t>
      </w:r>
    </w:p>
    <w:p w:rsidR="00975DE4" w:rsidRDefault="00975DE4" w:rsidP="009D11C5">
      <w:pPr>
        <w:autoSpaceDE w:val="0"/>
        <w:autoSpaceDN w:val="0"/>
        <w:adjustRightInd w:val="0"/>
        <w:ind w:left="720"/>
        <w:jc w:val="both"/>
      </w:pPr>
      <w:r w:rsidRPr="00F50D95">
        <w:t xml:space="preserve">The financial instruments adjustment account absorbs the timing differences arising from the different arrangements for accounting for income and expenses relating to certain financial instruments and for bearing losses or benefiting from gains per statutory provisions. </w:t>
      </w:r>
    </w:p>
    <w:p w:rsidR="00481144" w:rsidRDefault="00481144" w:rsidP="009D11C5">
      <w:pPr>
        <w:autoSpaceDE w:val="0"/>
        <w:autoSpaceDN w:val="0"/>
        <w:adjustRightInd w:val="0"/>
        <w:ind w:left="720"/>
        <w:jc w:val="both"/>
      </w:pPr>
    </w:p>
    <w:p w:rsidR="00481144" w:rsidRPr="00F50D95" w:rsidRDefault="00481144" w:rsidP="009D11C5">
      <w:pPr>
        <w:autoSpaceDE w:val="0"/>
        <w:autoSpaceDN w:val="0"/>
        <w:adjustRightInd w:val="0"/>
        <w:ind w:left="720"/>
        <w:jc w:val="both"/>
      </w:pPr>
    </w:p>
    <w:p w:rsidR="00975DE4" w:rsidRPr="00286C0E" w:rsidRDefault="00975DE4" w:rsidP="00975DE4">
      <w:pPr>
        <w:autoSpaceDE w:val="0"/>
        <w:autoSpaceDN w:val="0"/>
        <w:adjustRightInd w:val="0"/>
        <w:jc w:val="both"/>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6"/>
        <w:gridCol w:w="977"/>
        <w:gridCol w:w="951"/>
        <w:gridCol w:w="977"/>
        <w:gridCol w:w="951"/>
      </w:tblGrid>
      <w:tr w:rsidR="00771865" w:rsidRPr="00F50D95" w:rsidTr="00481144">
        <w:tc>
          <w:tcPr>
            <w:tcW w:w="3195" w:type="pct"/>
          </w:tcPr>
          <w:p w:rsidR="00771865" w:rsidRPr="00F50D95" w:rsidRDefault="00771865" w:rsidP="00DA4D69">
            <w:pPr>
              <w:spacing w:after="240"/>
              <w:rPr>
                <w:b/>
              </w:rPr>
            </w:pPr>
          </w:p>
        </w:tc>
        <w:tc>
          <w:tcPr>
            <w:tcW w:w="902" w:type="pct"/>
            <w:gridSpan w:val="2"/>
          </w:tcPr>
          <w:p w:rsidR="00771865" w:rsidRPr="00F50D95" w:rsidRDefault="00771865" w:rsidP="00C71AED">
            <w:pPr>
              <w:spacing w:after="240"/>
              <w:jc w:val="center"/>
              <w:rPr>
                <w:b/>
              </w:rPr>
            </w:pPr>
            <w:r w:rsidRPr="00F50D95">
              <w:rPr>
                <w:b/>
              </w:rPr>
              <w:t>201</w:t>
            </w:r>
            <w:r w:rsidR="00C71AED" w:rsidRPr="00F50D95">
              <w:rPr>
                <w:b/>
              </w:rPr>
              <w:t>1</w:t>
            </w:r>
            <w:r w:rsidRPr="00F50D95">
              <w:rPr>
                <w:b/>
              </w:rPr>
              <w:t>/1</w:t>
            </w:r>
            <w:r w:rsidR="00C71AED" w:rsidRPr="00F50D95">
              <w:rPr>
                <w:b/>
              </w:rPr>
              <w:t>2</w:t>
            </w:r>
          </w:p>
        </w:tc>
        <w:tc>
          <w:tcPr>
            <w:tcW w:w="902" w:type="pct"/>
            <w:gridSpan w:val="2"/>
          </w:tcPr>
          <w:p w:rsidR="00771865" w:rsidRPr="00F50D95" w:rsidRDefault="00771865" w:rsidP="00C71AED">
            <w:pPr>
              <w:spacing w:after="240"/>
              <w:jc w:val="center"/>
              <w:rPr>
                <w:b/>
              </w:rPr>
            </w:pPr>
            <w:r w:rsidRPr="00F50D95">
              <w:rPr>
                <w:b/>
              </w:rPr>
              <w:t>20</w:t>
            </w:r>
            <w:r w:rsidR="00C71AED" w:rsidRPr="00F50D95">
              <w:rPr>
                <w:b/>
              </w:rPr>
              <w:t>10</w:t>
            </w:r>
            <w:r w:rsidRPr="00F50D95">
              <w:rPr>
                <w:b/>
              </w:rPr>
              <w:t>/1</w:t>
            </w:r>
            <w:r w:rsidR="00C71AED" w:rsidRPr="00F50D95">
              <w:rPr>
                <w:b/>
              </w:rPr>
              <w:t>1</w:t>
            </w:r>
          </w:p>
        </w:tc>
      </w:tr>
      <w:tr w:rsidR="005B2153" w:rsidRPr="00F50D95" w:rsidTr="00481144">
        <w:trPr>
          <w:trHeight w:val="698"/>
        </w:trPr>
        <w:tc>
          <w:tcPr>
            <w:tcW w:w="3195" w:type="pct"/>
          </w:tcPr>
          <w:p w:rsidR="005B2153" w:rsidRPr="00F50D95" w:rsidRDefault="005B2153" w:rsidP="00DA4D69">
            <w:pPr>
              <w:spacing w:after="240"/>
              <w:rPr>
                <w:b/>
              </w:rPr>
            </w:pPr>
          </w:p>
        </w:tc>
        <w:tc>
          <w:tcPr>
            <w:tcW w:w="457" w:type="pct"/>
          </w:tcPr>
          <w:p w:rsidR="005B2153" w:rsidRPr="00F50D95" w:rsidRDefault="005B2153" w:rsidP="00257923">
            <w:pPr>
              <w:spacing w:after="240"/>
              <w:jc w:val="right"/>
              <w:rPr>
                <w:b/>
              </w:rPr>
            </w:pPr>
            <w:r w:rsidRPr="00F50D95">
              <w:rPr>
                <w:b/>
              </w:rPr>
              <w:t>£000</w:t>
            </w:r>
          </w:p>
        </w:tc>
        <w:tc>
          <w:tcPr>
            <w:tcW w:w="445" w:type="pct"/>
          </w:tcPr>
          <w:p w:rsidR="005B2153" w:rsidRPr="00F50D95" w:rsidRDefault="005B2153" w:rsidP="00257923">
            <w:pPr>
              <w:spacing w:after="240"/>
              <w:jc w:val="right"/>
              <w:rPr>
                <w:b/>
              </w:rPr>
            </w:pPr>
            <w:r w:rsidRPr="00F50D95">
              <w:rPr>
                <w:b/>
              </w:rPr>
              <w:t>£000</w:t>
            </w:r>
          </w:p>
        </w:tc>
        <w:tc>
          <w:tcPr>
            <w:tcW w:w="457" w:type="pct"/>
          </w:tcPr>
          <w:p w:rsidR="005B2153" w:rsidRPr="00F50D95" w:rsidRDefault="005B2153" w:rsidP="00257923">
            <w:pPr>
              <w:spacing w:after="240"/>
              <w:jc w:val="right"/>
              <w:rPr>
                <w:b/>
              </w:rPr>
            </w:pPr>
            <w:r w:rsidRPr="00F50D95">
              <w:rPr>
                <w:b/>
              </w:rPr>
              <w:t>£000</w:t>
            </w:r>
          </w:p>
        </w:tc>
        <w:tc>
          <w:tcPr>
            <w:tcW w:w="445" w:type="pct"/>
          </w:tcPr>
          <w:p w:rsidR="005B2153" w:rsidRPr="00F50D95" w:rsidRDefault="005B2153" w:rsidP="00257923">
            <w:pPr>
              <w:spacing w:after="240"/>
              <w:jc w:val="right"/>
              <w:rPr>
                <w:b/>
              </w:rPr>
            </w:pPr>
            <w:r w:rsidRPr="00F50D95">
              <w:rPr>
                <w:b/>
              </w:rPr>
              <w:t>£000</w:t>
            </w:r>
          </w:p>
        </w:tc>
      </w:tr>
      <w:tr w:rsidR="00C71AED" w:rsidRPr="00F50D95" w:rsidTr="00481144">
        <w:tc>
          <w:tcPr>
            <w:tcW w:w="3195" w:type="pct"/>
          </w:tcPr>
          <w:p w:rsidR="00C71AED" w:rsidRPr="00F50D95" w:rsidRDefault="00C71AED" w:rsidP="00DA4D69">
            <w:pPr>
              <w:spacing w:after="240"/>
              <w:rPr>
                <w:b/>
              </w:rPr>
            </w:pPr>
            <w:r w:rsidRPr="00F50D95">
              <w:rPr>
                <w:b/>
              </w:rPr>
              <w:t>Balance at 1 April</w:t>
            </w:r>
          </w:p>
        </w:tc>
        <w:tc>
          <w:tcPr>
            <w:tcW w:w="457" w:type="pct"/>
          </w:tcPr>
          <w:p w:rsidR="00C71AED" w:rsidRPr="00F50D95" w:rsidRDefault="00C71AED" w:rsidP="00E36C17">
            <w:pPr>
              <w:spacing w:after="240"/>
              <w:jc w:val="right"/>
              <w:rPr>
                <w:b/>
              </w:rPr>
            </w:pPr>
          </w:p>
        </w:tc>
        <w:tc>
          <w:tcPr>
            <w:tcW w:w="445" w:type="pct"/>
            <w:vAlign w:val="center"/>
          </w:tcPr>
          <w:p w:rsidR="00C71AED" w:rsidRPr="00F50D95" w:rsidRDefault="00F50D95" w:rsidP="00E36C17">
            <w:pPr>
              <w:spacing w:after="240"/>
              <w:jc w:val="right"/>
              <w:rPr>
                <w:b/>
              </w:rPr>
            </w:pPr>
            <w:r>
              <w:rPr>
                <w:b/>
              </w:rPr>
              <w:t>25,622</w:t>
            </w:r>
          </w:p>
        </w:tc>
        <w:tc>
          <w:tcPr>
            <w:tcW w:w="457" w:type="pct"/>
          </w:tcPr>
          <w:p w:rsidR="00C71AED" w:rsidRPr="00F50D95" w:rsidRDefault="00C71AED" w:rsidP="00C71AED">
            <w:pPr>
              <w:spacing w:after="240"/>
              <w:jc w:val="right"/>
              <w:rPr>
                <w:b/>
              </w:rPr>
            </w:pPr>
            <w:r w:rsidRPr="00F50D95">
              <w:rPr>
                <w:b/>
              </w:rPr>
              <w:t>-</w:t>
            </w:r>
          </w:p>
        </w:tc>
        <w:tc>
          <w:tcPr>
            <w:tcW w:w="445" w:type="pct"/>
            <w:vAlign w:val="center"/>
          </w:tcPr>
          <w:p w:rsidR="00C71AED" w:rsidRPr="00F50D95" w:rsidRDefault="00C71AED" w:rsidP="00C71AED">
            <w:pPr>
              <w:spacing w:after="240"/>
              <w:jc w:val="right"/>
              <w:rPr>
                <w:b/>
              </w:rPr>
            </w:pPr>
            <w:r w:rsidRPr="00F50D95">
              <w:rPr>
                <w:b/>
              </w:rPr>
              <w:t>(83)</w:t>
            </w:r>
          </w:p>
        </w:tc>
      </w:tr>
      <w:tr w:rsidR="00C71AED" w:rsidRPr="00F50D95" w:rsidTr="00481144">
        <w:tc>
          <w:tcPr>
            <w:tcW w:w="3195" w:type="pct"/>
          </w:tcPr>
          <w:p w:rsidR="00C71AED" w:rsidRPr="00F50D95" w:rsidRDefault="00C71AED" w:rsidP="00DA4D69">
            <w:pPr>
              <w:spacing w:after="240"/>
            </w:pPr>
            <w:r w:rsidRPr="00F50D95">
              <w:t>Premiums incurred in year and charged to the Comprehensive Income and Expenditure Statement</w:t>
            </w:r>
          </w:p>
        </w:tc>
        <w:tc>
          <w:tcPr>
            <w:tcW w:w="457" w:type="pct"/>
            <w:vAlign w:val="center"/>
          </w:tcPr>
          <w:p w:rsidR="00C71AED" w:rsidRPr="00F50D95" w:rsidRDefault="00F50D95" w:rsidP="005B2153">
            <w:pPr>
              <w:spacing w:after="240"/>
              <w:jc w:val="right"/>
            </w:pPr>
            <w:r>
              <w:t>-</w:t>
            </w:r>
          </w:p>
        </w:tc>
        <w:tc>
          <w:tcPr>
            <w:tcW w:w="445" w:type="pct"/>
            <w:vAlign w:val="center"/>
          </w:tcPr>
          <w:p w:rsidR="00C71AED" w:rsidRPr="00F50D95" w:rsidRDefault="00F50D95" w:rsidP="00055996">
            <w:pPr>
              <w:spacing w:after="240"/>
              <w:jc w:val="right"/>
            </w:pPr>
            <w:r>
              <w:t>-</w:t>
            </w:r>
          </w:p>
        </w:tc>
        <w:tc>
          <w:tcPr>
            <w:tcW w:w="457" w:type="pct"/>
            <w:vAlign w:val="center"/>
          </w:tcPr>
          <w:p w:rsidR="00C71AED" w:rsidRPr="00F50D95" w:rsidRDefault="00C71AED" w:rsidP="00C71AED">
            <w:pPr>
              <w:spacing w:after="240"/>
              <w:jc w:val="right"/>
            </w:pPr>
            <w:r w:rsidRPr="00F50D95">
              <w:t>27,092</w:t>
            </w:r>
          </w:p>
        </w:tc>
        <w:tc>
          <w:tcPr>
            <w:tcW w:w="445" w:type="pct"/>
            <w:vAlign w:val="center"/>
          </w:tcPr>
          <w:p w:rsidR="00C71AED" w:rsidRPr="00F50D95" w:rsidRDefault="00C71AED" w:rsidP="00C71AED">
            <w:pPr>
              <w:spacing w:after="240"/>
              <w:jc w:val="right"/>
            </w:pPr>
            <w:r w:rsidRPr="00F50D95">
              <w:t>-</w:t>
            </w:r>
          </w:p>
        </w:tc>
      </w:tr>
      <w:tr w:rsidR="00C71AED" w:rsidRPr="00F50D95" w:rsidTr="00481144">
        <w:trPr>
          <w:trHeight w:val="873"/>
        </w:trPr>
        <w:tc>
          <w:tcPr>
            <w:tcW w:w="3195" w:type="pct"/>
          </w:tcPr>
          <w:p w:rsidR="00C71AED" w:rsidRPr="00F50D95" w:rsidRDefault="00C71AED" w:rsidP="00DA4D69">
            <w:pPr>
              <w:spacing w:after="240"/>
            </w:pPr>
            <w:r w:rsidRPr="00F50D95">
              <w:t>Proportion of premiums incurred in previous financial years to be charged against the County Fund balance</w:t>
            </w:r>
          </w:p>
        </w:tc>
        <w:tc>
          <w:tcPr>
            <w:tcW w:w="457" w:type="pct"/>
            <w:vAlign w:val="center"/>
          </w:tcPr>
          <w:p w:rsidR="00C71AED" w:rsidRPr="00F50D95" w:rsidRDefault="00F50D95" w:rsidP="00E36C17">
            <w:pPr>
              <w:spacing w:after="240"/>
              <w:jc w:val="right"/>
            </w:pPr>
            <w:r>
              <w:t>(2,056)</w:t>
            </w:r>
          </w:p>
        </w:tc>
        <w:tc>
          <w:tcPr>
            <w:tcW w:w="445" w:type="pct"/>
            <w:vAlign w:val="center"/>
          </w:tcPr>
          <w:p w:rsidR="00C71AED" w:rsidRPr="00F50D95" w:rsidRDefault="00F50D95" w:rsidP="00E36C17">
            <w:pPr>
              <w:spacing w:after="240"/>
              <w:jc w:val="right"/>
            </w:pPr>
            <w:r>
              <w:t>-</w:t>
            </w:r>
          </w:p>
        </w:tc>
        <w:tc>
          <w:tcPr>
            <w:tcW w:w="457" w:type="pct"/>
            <w:vAlign w:val="center"/>
          </w:tcPr>
          <w:p w:rsidR="00C71AED" w:rsidRPr="00F50D95" w:rsidRDefault="00C71AED" w:rsidP="00C71AED">
            <w:pPr>
              <w:spacing w:after="240"/>
              <w:jc w:val="right"/>
            </w:pPr>
            <w:r w:rsidRPr="00F50D95">
              <w:t>(207)</w:t>
            </w:r>
          </w:p>
        </w:tc>
        <w:tc>
          <w:tcPr>
            <w:tcW w:w="445" w:type="pct"/>
            <w:vAlign w:val="center"/>
          </w:tcPr>
          <w:p w:rsidR="00C71AED" w:rsidRPr="00F50D95" w:rsidRDefault="00C71AED" w:rsidP="00C71AED">
            <w:pPr>
              <w:spacing w:after="240"/>
              <w:jc w:val="right"/>
            </w:pPr>
            <w:r w:rsidRPr="00F50D95">
              <w:t>-</w:t>
            </w:r>
          </w:p>
        </w:tc>
      </w:tr>
      <w:tr w:rsidR="00C71AED" w:rsidRPr="00F50D95" w:rsidTr="00481144">
        <w:tc>
          <w:tcPr>
            <w:tcW w:w="3195" w:type="pct"/>
          </w:tcPr>
          <w:p w:rsidR="00C71AED" w:rsidRPr="00F50D95" w:rsidRDefault="00C71AED" w:rsidP="00DA4D69">
            <w:pPr>
              <w:spacing w:after="240"/>
            </w:pPr>
            <w:r w:rsidRPr="00F50D95">
              <w:t>Reversal of soft loan fair value adjustment</w:t>
            </w:r>
          </w:p>
        </w:tc>
        <w:tc>
          <w:tcPr>
            <w:tcW w:w="457" w:type="pct"/>
            <w:vAlign w:val="center"/>
          </w:tcPr>
          <w:p w:rsidR="00C71AED" w:rsidRPr="00F50D95" w:rsidRDefault="00F50D95" w:rsidP="00055996">
            <w:pPr>
              <w:spacing w:after="240"/>
              <w:jc w:val="right"/>
            </w:pPr>
            <w:r>
              <w:t>-</w:t>
            </w:r>
          </w:p>
        </w:tc>
        <w:tc>
          <w:tcPr>
            <w:tcW w:w="445" w:type="pct"/>
            <w:tcBorders>
              <w:bottom w:val="single" w:sz="4" w:space="0" w:color="auto"/>
            </w:tcBorders>
            <w:vAlign w:val="center"/>
          </w:tcPr>
          <w:p w:rsidR="00C71AED" w:rsidRPr="00F50D95" w:rsidRDefault="00F50D95" w:rsidP="00055996">
            <w:pPr>
              <w:spacing w:after="240"/>
              <w:jc w:val="right"/>
            </w:pPr>
            <w:r>
              <w:t>-</w:t>
            </w:r>
          </w:p>
        </w:tc>
        <w:tc>
          <w:tcPr>
            <w:tcW w:w="457" w:type="pct"/>
            <w:tcBorders>
              <w:bottom w:val="single" w:sz="4" w:space="0" w:color="auto"/>
            </w:tcBorders>
            <w:vAlign w:val="center"/>
          </w:tcPr>
          <w:p w:rsidR="00C71AED" w:rsidRPr="00F50D95" w:rsidRDefault="00C71AED" w:rsidP="00C71AED">
            <w:pPr>
              <w:spacing w:after="240"/>
              <w:jc w:val="right"/>
            </w:pPr>
            <w:r w:rsidRPr="00F50D95">
              <w:t>-</w:t>
            </w:r>
          </w:p>
        </w:tc>
        <w:tc>
          <w:tcPr>
            <w:tcW w:w="445" w:type="pct"/>
            <w:tcBorders>
              <w:bottom w:val="single" w:sz="4" w:space="0" w:color="auto"/>
            </w:tcBorders>
            <w:vAlign w:val="center"/>
          </w:tcPr>
          <w:p w:rsidR="00C71AED" w:rsidRPr="00F50D95" w:rsidRDefault="00C71AED" w:rsidP="00C71AED">
            <w:pPr>
              <w:spacing w:after="240"/>
              <w:jc w:val="right"/>
            </w:pPr>
            <w:r w:rsidRPr="00F50D95">
              <w:t>-</w:t>
            </w:r>
          </w:p>
        </w:tc>
      </w:tr>
      <w:tr w:rsidR="00C71AED" w:rsidRPr="00F50D95" w:rsidTr="00481144">
        <w:tc>
          <w:tcPr>
            <w:tcW w:w="3195" w:type="pct"/>
            <w:tcBorders>
              <w:bottom w:val="single" w:sz="12" w:space="0" w:color="auto"/>
            </w:tcBorders>
          </w:tcPr>
          <w:p w:rsidR="00C71AED" w:rsidRPr="00F50D95" w:rsidRDefault="00C71AED" w:rsidP="00C10C0A">
            <w:pPr>
              <w:spacing w:after="240"/>
            </w:pPr>
            <w:r w:rsidRPr="00F50D95">
              <w:t>Reversal of previous Landsbanki impairment</w:t>
            </w:r>
          </w:p>
        </w:tc>
        <w:tc>
          <w:tcPr>
            <w:tcW w:w="457" w:type="pct"/>
            <w:tcBorders>
              <w:bottom w:val="single" w:sz="12" w:space="0" w:color="auto"/>
            </w:tcBorders>
            <w:vAlign w:val="center"/>
          </w:tcPr>
          <w:p w:rsidR="00C71AED" w:rsidRPr="00F50D95" w:rsidRDefault="00F50D95" w:rsidP="00E36C17">
            <w:pPr>
              <w:spacing w:after="240"/>
              <w:jc w:val="right"/>
            </w:pPr>
            <w:r>
              <w:t>-</w:t>
            </w:r>
          </w:p>
        </w:tc>
        <w:tc>
          <w:tcPr>
            <w:tcW w:w="445" w:type="pct"/>
            <w:tcBorders>
              <w:bottom w:val="single" w:sz="12" w:space="0" w:color="auto"/>
            </w:tcBorders>
            <w:vAlign w:val="center"/>
          </w:tcPr>
          <w:p w:rsidR="00C71AED" w:rsidRPr="00F50D95" w:rsidRDefault="00F50D95" w:rsidP="00E36C17">
            <w:pPr>
              <w:spacing w:after="240"/>
              <w:jc w:val="right"/>
            </w:pPr>
            <w:r>
              <w:t>-</w:t>
            </w:r>
          </w:p>
        </w:tc>
        <w:tc>
          <w:tcPr>
            <w:tcW w:w="457" w:type="pct"/>
            <w:tcBorders>
              <w:bottom w:val="single" w:sz="12" w:space="0" w:color="auto"/>
            </w:tcBorders>
            <w:vAlign w:val="center"/>
          </w:tcPr>
          <w:p w:rsidR="00C71AED" w:rsidRPr="00F50D95" w:rsidRDefault="00C71AED" w:rsidP="00C71AED">
            <w:pPr>
              <w:spacing w:after="240"/>
              <w:jc w:val="right"/>
            </w:pPr>
            <w:r w:rsidRPr="00F50D95">
              <w:t>(1,180)</w:t>
            </w:r>
          </w:p>
        </w:tc>
        <w:tc>
          <w:tcPr>
            <w:tcW w:w="445" w:type="pct"/>
            <w:tcBorders>
              <w:bottom w:val="single" w:sz="12" w:space="0" w:color="auto"/>
            </w:tcBorders>
            <w:vAlign w:val="center"/>
          </w:tcPr>
          <w:p w:rsidR="00C71AED" w:rsidRPr="00F50D95" w:rsidRDefault="00C71AED" w:rsidP="00C71AED">
            <w:pPr>
              <w:spacing w:after="240"/>
              <w:jc w:val="right"/>
            </w:pPr>
            <w:r w:rsidRPr="00F50D95">
              <w:t>-</w:t>
            </w:r>
          </w:p>
        </w:tc>
      </w:tr>
      <w:tr w:rsidR="00C71AED" w:rsidRPr="00F50D95" w:rsidTr="00481144">
        <w:tc>
          <w:tcPr>
            <w:tcW w:w="3195" w:type="pct"/>
            <w:tcBorders>
              <w:bottom w:val="single" w:sz="12" w:space="0" w:color="auto"/>
            </w:tcBorders>
          </w:tcPr>
          <w:p w:rsidR="00C71AED" w:rsidRPr="00F50D95" w:rsidRDefault="00C71AED" w:rsidP="00C10C0A">
            <w:pPr>
              <w:spacing w:after="240"/>
            </w:pPr>
            <w:r w:rsidRPr="00F50D95">
              <w:t>Current year Landsbanki impairment</w:t>
            </w:r>
          </w:p>
        </w:tc>
        <w:tc>
          <w:tcPr>
            <w:tcW w:w="457" w:type="pct"/>
            <w:tcBorders>
              <w:bottom w:val="single" w:sz="12" w:space="0" w:color="auto"/>
            </w:tcBorders>
            <w:vAlign w:val="center"/>
          </w:tcPr>
          <w:p w:rsidR="00C71AED" w:rsidRPr="00F50D95" w:rsidRDefault="00F50D95" w:rsidP="00E36C17">
            <w:pPr>
              <w:spacing w:after="240"/>
              <w:jc w:val="right"/>
            </w:pPr>
            <w:r>
              <w:t>-</w:t>
            </w:r>
          </w:p>
        </w:tc>
        <w:tc>
          <w:tcPr>
            <w:tcW w:w="445" w:type="pct"/>
            <w:tcBorders>
              <w:bottom w:val="single" w:sz="12" w:space="0" w:color="auto"/>
            </w:tcBorders>
            <w:vAlign w:val="center"/>
          </w:tcPr>
          <w:p w:rsidR="00C71AED" w:rsidRPr="00F50D95" w:rsidDel="005B2153" w:rsidRDefault="00F50D95" w:rsidP="00E36C17">
            <w:pPr>
              <w:spacing w:after="240"/>
              <w:jc w:val="right"/>
            </w:pPr>
            <w:r>
              <w:t>-</w:t>
            </w:r>
          </w:p>
        </w:tc>
        <w:tc>
          <w:tcPr>
            <w:tcW w:w="457" w:type="pct"/>
            <w:tcBorders>
              <w:bottom w:val="single" w:sz="12" w:space="0" w:color="auto"/>
            </w:tcBorders>
            <w:vAlign w:val="center"/>
          </w:tcPr>
          <w:p w:rsidR="00C71AED" w:rsidRPr="00F50D95" w:rsidRDefault="00C71AED" w:rsidP="00C71AED">
            <w:pPr>
              <w:spacing w:after="240"/>
              <w:jc w:val="right"/>
            </w:pPr>
            <w:r w:rsidRPr="00F50D95">
              <w:t>-</w:t>
            </w:r>
          </w:p>
        </w:tc>
        <w:tc>
          <w:tcPr>
            <w:tcW w:w="445" w:type="pct"/>
            <w:tcBorders>
              <w:bottom w:val="single" w:sz="12" w:space="0" w:color="auto"/>
            </w:tcBorders>
            <w:vAlign w:val="center"/>
          </w:tcPr>
          <w:p w:rsidR="00C71AED" w:rsidRPr="00F50D95" w:rsidDel="005B2153" w:rsidRDefault="00C71AED" w:rsidP="00C71AED">
            <w:pPr>
              <w:spacing w:after="240"/>
              <w:jc w:val="right"/>
            </w:pPr>
            <w:r w:rsidRPr="00F50D95">
              <w:t>-</w:t>
            </w:r>
          </w:p>
        </w:tc>
      </w:tr>
      <w:tr w:rsidR="00C71AED" w:rsidRPr="00F50D95" w:rsidTr="00481144">
        <w:tc>
          <w:tcPr>
            <w:tcW w:w="3195" w:type="pct"/>
            <w:tcBorders>
              <w:top w:val="single" w:sz="12" w:space="0" w:color="auto"/>
              <w:bottom w:val="single" w:sz="12" w:space="0" w:color="auto"/>
            </w:tcBorders>
          </w:tcPr>
          <w:p w:rsidR="00C71AED" w:rsidRPr="00F50D95" w:rsidRDefault="00C71AED" w:rsidP="00DA4D69">
            <w:pPr>
              <w:spacing w:after="240"/>
            </w:pPr>
            <w:r w:rsidRPr="00F50D95">
              <w:t>Amount by which finance costs charged to the Comprehensive Income and Expenditure Statement are different from finance costs chargeable in the year in accordance with statutory requirements</w:t>
            </w:r>
          </w:p>
        </w:tc>
        <w:tc>
          <w:tcPr>
            <w:tcW w:w="457" w:type="pct"/>
            <w:tcBorders>
              <w:top w:val="single" w:sz="12" w:space="0" w:color="auto"/>
              <w:bottom w:val="single" w:sz="12" w:space="0" w:color="auto"/>
            </w:tcBorders>
            <w:vAlign w:val="center"/>
          </w:tcPr>
          <w:p w:rsidR="00C71AED" w:rsidRPr="00F50D95" w:rsidRDefault="00F50D95" w:rsidP="009E006E">
            <w:pPr>
              <w:spacing w:after="240"/>
              <w:jc w:val="right"/>
            </w:pPr>
            <w:r>
              <w:t>-</w:t>
            </w:r>
          </w:p>
        </w:tc>
        <w:tc>
          <w:tcPr>
            <w:tcW w:w="445" w:type="pct"/>
            <w:tcBorders>
              <w:top w:val="single" w:sz="12" w:space="0" w:color="auto"/>
              <w:bottom w:val="single" w:sz="12" w:space="0" w:color="auto"/>
            </w:tcBorders>
            <w:vAlign w:val="center"/>
          </w:tcPr>
          <w:p w:rsidR="00C71AED" w:rsidRPr="00F50D95" w:rsidRDefault="00F50D95" w:rsidP="005B2153">
            <w:pPr>
              <w:spacing w:after="240"/>
              <w:jc w:val="right"/>
            </w:pPr>
            <w:r>
              <w:t>-</w:t>
            </w:r>
          </w:p>
        </w:tc>
        <w:tc>
          <w:tcPr>
            <w:tcW w:w="457" w:type="pct"/>
            <w:tcBorders>
              <w:top w:val="single" w:sz="12" w:space="0" w:color="auto"/>
              <w:bottom w:val="single" w:sz="12" w:space="0" w:color="auto"/>
            </w:tcBorders>
            <w:vAlign w:val="center"/>
          </w:tcPr>
          <w:p w:rsidR="00C71AED" w:rsidRPr="00F50D95" w:rsidRDefault="00C71AED" w:rsidP="00C71AED">
            <w:pPr>
              <w:spacing w:after="240"/>
              <w:jc w:val="right"/>
            </w:pPr>
            <w:r w:rsidRPr="00F50D95">
              <w:t>-</w:t>
            </w:r>
          </w:p>
        </w:tc>
        <w:tc>
          <w:tcPr>
            <w:tcW w:w="445" w:type="pct"/>
            <w:tcBorders>
              <w:top w:val="single" w:sz="12" w:space="0" w:color="auto"/>
              <w:bottom w:val="single" w:sz="12" w:space="0" w:color="auto"/>
            </w:tcBorders>
            <w:vAlign w:val="center"/>
          </w:tcPr>
          <w:p w:rsidR="00C71AED" w:rsidRPr="00F50D95" w:rsidRDefault="00C71AED" w:rsidP="00C71AED">
            <w:pPr>
              <w:spacing w:after="240"/>
              <w:jc w:val="right"/>
            </w:pPr>
            <w:r w:rsidRPr="00F50D95">
              <w:t>25,705</w:t>
            </w:r>
          </w:p>
        </w:tc>
      </w:tr>
      <w:tr w:rsidR="00C71AED" w:rsidRPr="00286C0E" w:rsidTr="00481144">
        <w:tc>
          <w:tcPr>
            <w:tcW w:w="3195" w:type="pct"/>
            <w:tcBorders>
              <w:top w:val="single" w:sz="12" w:space="0" w:color="auto"/>
            </w:tcBorders>
          </w:tcPr>
          <w:p w:rsidR="00C71AED" w:rsidRPr="00F50D95" w:rsidRDefault="00C71AED" w:rsidP="00AC308D">
            <w:pPr>
              <w:spacing w:after="240"/>
              <w:rPr>
                <w:b/>
              </w:rPr>
            </w:pPr>
            <w:r w:rsidRPr="00F50D95">
              <w:rPr>
                <w:b/>
              </w:rPr>
              <w:t>Balance as at 31</w:t>
            </w:r>
            <w:r w:rsidR="00AC308D" w:rsidRPr="00F50D95">
              <w:rPr>
                <w:b/>
                <w:vertAlign w:val="superscript"/>
              </w:rPr>
              <w:t xml:space="preserve"> </w:t>
            </w:r>
            <w:r w:rsidRPr="00F50D95">
              <w:rPr>
                <w:b/>
              </w:rPr>
              <w:t>March</w:t>
            </w:r>
          </w:p>
        </w:tc>
        <w:tc>
          <w:tcPr>
            <w:tcW w:w="457" w:type="pct"/>
            <w:tcBorders>
              <w:top w:val="single" w:sz="12" w:space="0" w:color="auto"/>
              <w:bottom w:val="double" w:sz="6" w:space="0" w:color="auto"/>
            </w:tcBorders>
          </w:tcPr>
          <w:p w:rsidR="00C71AED" w:rsidRPr="00F50D95" w:rsidRDefault="007F230E" w:rsidP="00055996">
            <w:pPr>
              <w:spacing w:after="240"/>
              <w:jc w:val="right"/>
              <w:rPr>
                <w:b/>
              </w:rPr>
            </w:pPr>
            <w:r>
              <w:rPr>
                <w:b/>
              </w:rPr>
              <w:t>-</w:t>
            </w:r>
          </w:p>
        </w:tc>
        <w:tc>
          <w:tcPr>
            <w:tcW w:w="445" w:type="pct"/>
            <w:tcBorders>
              <w:top w:val="single" w:sz="12" w:space="0" w:color="auto"/>
              <w:bottom w:val="double" w:sz="6" w:space="0" w:color="auto"/>
            </w:tcBorders>
            <w:vAlign w:val="center"/>
          </w:tcPr>
          <w:p w:rsidR="00C71AED" w:rsidRPr="00F50D95" w:rsidRDefault="00F50D95" w:rsidP="00055996">
            <w:pPr>
              <w:spacing w:after="240"/>
              <w:jc w:val="right"/>
              <w:rPr>
                <w:b/>
              </w:rPr>
            </w:pPr>
            <w:r>
              <w:rPr>
                <w:b/>
              </w:rPr>
              <w:t>23,566</w:t>
            </w:r>
          </w:p>
        </w:tc>
        <w:tc>
          <w:tcPr>
            <w:tcW w:w="457" w:type="pct"/>
            <w:tcBorders>
              <w:top w:val="single" w:sz="12" w:space="0" w:color="auto"/>
              <w:bottom w:val="double" w:sz="6" w:space="0" w:color="auto"/>
            </w:tcBorders>
          </w:tcPr>
          <w:p w:rsidR="00C71AED" w:rsidRPr="00F50D95" w:rsidRDefault="00C71AED" w:rsidP="00C71AED">
            <w:pPr>
              <w:spacing w:after="240"/>
              <w:jc w:val="right"/>
              <w:rPr>
                <w:b/>
              </w:rPr>
            </w:pPr>
            <w:r w:rsidRPr="00F50D95">
              <w:rPr>
                <w:b/>
              </w:rPr>
              <w:t>-</w:t>
            </w:r>
          </w:p>
        </w:tc>
        <w:tc>
          <w:tcPr>
            <w:tcW w:w="445" w:type="pct"/>
            <w:tcBorders>
              <w:top w:val="single" w:sz="12" w:space="0" w:color="auto"/>
              <w:bottom w:val="double" w:sz="6" w:space="0" w:color="auto"/>
            </w:tcBorders>
            <w:vAlign w:val="center"/>
          </w:tcPr>
          <w:p w:rsidR="00C71AED" w:rsidRPr="00F50D95" w:rsidRDefault="00C71AED" w:rsidP="00C71AED">
            <w:pPr>
              <w:spacing w:after="240"/>
              <w:jc w:val="right"/>
              <w:rPr>
                <w:b/>
              </w:rPr>
            </w:pPr>
            <w:r w:rsidRPr="00F50D95">
              <w:rPr>
                <w:b/>
              </w:rPr>
              <w:t>25,622</w:t>
            </w:r>
          </w:p>
        </w:tc>
      </w:tr>
    </w:tbl>
    <w:p w:rsidR="006165FA" w:rsidRPr="00F50D95" w:rsidRDefault="001D1AF6" w:rsidP="006165FA">
      <w:pPr>
        <w:spacing w:after="240"/>
      </w:pPr>
      <w:r w:rsidRPr="00F50D95">
        <w:tab/>
      </w:r>
      <w:r w:rsidRPr="00F50D95">
        <w:tab/>
      </w:r>
    </w:p>
    <w:p w:rsidR="00DE51C0" w:rsidRPr="00F50D95" w:rsidRDefault="001D1AF6" w:rsidP="00BC6A99">
      <w:pPr>
        <w:spacing w:after="240"/>
        <w:ind w:left="720"/>
        <w:jc w:val="both"/>
      </w:pPr>
      <w:r w:rsidRPr="00F50D95">
        <w:t>The amount by which finance costs charged to the Comprehensive Income and Expenditure Statement (CIES) are different from finance costs chargeable in the year is the net premium incurred in the debt restructure. This will be written down to Comprehensive Income and Expenditure Statement, in accordance with our accounting policies, over the term that was remaining on the loan against which the premium was payable or discount receivable when it was repaid.</w:t>
      </w:r>
    </w:p>
    <w:p w:rsidR="00975DE4" w:rsidRPr="00F50D95" w:rsidRDefault="00975DE4" w:rsidP="00C51612">
      <w:pPr>
        <w:spacing w:after="240"/>
        <w:ind w:firstLine="720"/>
        <w:rPr>
          <w:b/>
        </w:rPr>
      </w:pPr>
      <w:r w:rsidRPr="00F50D95">
        <w:rPr>
          <w:b/>
        </w:rPr>
        <w:t>Pensions Reserve</w:t>
      </w:r>
    </w:p>
    <w:p w:rsidR="00805408" w:rsidRPr="00F50D95" w:rsidRDefault="00975DE4" w:rsidP="00977E9B">
      <w:pPr>
        <w:autoSpaceDE w:val="0"/>
        <w:autoSpaceDN w:val="0"/>
        <w:adjustRightInd w:val="0"/>
        <w:ind w:left="720"/>
        <w:jc w:val="both"/>
      </w:pPr>
      <w:r w:rsidRPr="00F50D95">
        <w:t xml:space="preserve">The pensions reserve absorbs the timing differences arising from the different arrangements for accounting for post employment benefits and for funding benefits in accordance with statutory provisions. </w:t>
      </w:r>
    </w:p>
    <w:p w:rsidR="00805408" w:rsidRPr="00F50D95" w:rsidRDefault="00805408" w:rsidP="00977E9B">
      <w:pPr>
        <w:autoSpaceDE w:val="0"/>
        <w:autoSpaceDN w:val="0"/>
        <w:adjustRightInd w:val="0"/>
        <w:ind w:left="720"/>
        <w:jc w:val="both"/>
      </w:pPr>
    </w:p>
    <w:p w:rsidR="00A17805" w:rsidRPr="00F50D95" w:rsidRDefault="00975DE4" w:rsidP="00977E9B">
      <w:pPr>
        <w:autoSpaceDE w:val="0"/>
        <w:autoSpaceDN w:val="0"/>
        <w:adjustRightInd w:val="0"/>
        <w:ind w:left="720"/>
        <w:jc w:val="both"/>
      </w:pPr>
      <w:r w:rsidRPr="00F50D95">
        <w:lastRenderedPageBreak/>
        <w:t xml:space="preserve">The authority accounts for post employment benefits in the comprehensive income and expenditure statement as the benefits are earned by employees accruing years of service, updating the liabilities recognised to reflect inflation, changing assumptions and investment returns on any resources set aside to meet the costs. </w:t>
      </w:r>
    </w:p>
    <w:p w:rsidR="00AC308D" w:rsidRPr="00F50D95" w:rsidRDefault="00AC308D" w:rsidP="00977E9B">
      <w:pPr>
        <w:autoSpaceDE w:val="0"/>
        <w:autoSpaceDN w:val="0"/>
        <w:adjustRightInd w:val="0"/>
        <w:ind w:left="720"/>
        <w:jc w:val="both"/>
      </w:pPr>
    </w:p>
    <w:p w:rsidR="00975DE4" w:rsidRPr="00F50D95" w:rsidRDefault="00441305" w:rsidP="00977E9B">
      <w:pPr>
        <w:autoSpaceDE w:val="0"/>
        <w:autoSpaceDN w:val="0"/>
        <w:adjustRightInd w:val="0"/>
        <w:ind w:left="720"/>
        <w:jc w:val="both"/>
      </w:pPr>
      <w:r w:rsidRPr="00F50D95">
        <w:t>However, statutory arrangements require benefits earned to be financed</w:t>
      </w:r>
      <w:r w:rsidR="00FB45F6" w:rsidRPr="00F50D95">
        <w:t>,</w:t>
      </w:r>
      <w:r w:rsidRPr="00F50D95">
        <w:t xml:space="preserve"> as the authority makes employer's contributions to pension funds or eventually pay any pensions for which it is directly responsible. The debit balance on the Pensions Reserve therefore shows a substantial shortfall in the benefits earned by past and current employees and the resources the authority has set aside to meet them. The statutory arrangements will ensure that funding will have been set aside by the time the benefits come to be paid.</w:t>
      </w:r>
    </w:p>
    <w:p w:rsidR="00441305" w:rsidRPr="00286C0E" w:rsidRDefault="00441305" w:rsidP="00AF700C">
      <w:pPr>
        <w:autoSpaceDE w:val="0"/>
        <w:autoSpaceDN w:val="0"/>
        <w:adjustRightInd w:val="0"/>
        <w:jc w:val="both"/>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4"/>
        <w:gridCol w:w="1244"/>
        <w:gridCol w:w="1444"/>
      </w:tblGrid>
      <w:tr w:rsidR="00441305" w:rsidRPr="00DA4A74" w:rsidTr="00481144">
        <w:tc>
          <w:tcPr>
            <w:tcW w:w="3742" w:type="pct"/>
          </w:tcPr>
          <w:p w:rsidR="00441305" w:rsidRPr="00DB5096" w:rsidRDefault="00441305" w:rsidP="00DA4D69">
            <w:pPr>
              <w:autoSpaceDE w:val="0"/>
              <w:autoSpaceDN w:val="0"/>
              <w:adjustRightInd w:val="0"/>
              <w:jc w:val="both"/>
            </w:pPr>
          </w:p>
        </w:tc>
        <w:tc>
          <w:tcPr>
            <w:tcW w:w="582" w:type="pct"/>
          </w:tcPr>
          <w:p w:rsidR="00441305" w:rsidRPr="00DA4A74" w:rsidRDefault="00441305" w:rsidP="00C71AED">
            <w:pPr>
              <w:autoSpaceDE w:val="0"/>
              <w:autoSpaceDN w:val="0"/>
              <w:adjustRightInd w:val="0"/>
              <w:jc w:val="right"/>
              <w:rPr>
                <w:b/>
              </w:rPr>
            </w:pPr>
            <w:r w:rsidRPr="00DA4A74">
              <w:rPr>
                <w:b/>
              </w:rPr>
              <w:t>201</w:t>
            </w:r>
            <w:r w:rsidR="00C71AED" w:rsidRPr="00DA4A74">
              <w:rPr>
                <w:b/>
              </w:rPr>
              <w:t>1</w:t>
            </w:r>
            <w:r w:rsidRPr="00DA4A74">
              <w:rPr>
                <w:b/>
              </w:rPr>
              <w:t>/1</w:t>
            </w:r>
            <w:r w:rsidR="00C71AED" w:rsidRPr="00DA4A74">
              <w:rPr>
                <w:b/>
              </w:rPr>
              <w:t>2</w:t>
            </w:r>
          </w:p>
        </w:tc>
        <w:tc>
          <w:tcPr>
            <w:tcW w:w="676" w:type="pct"/>
          </w:tcPr>
          <w:p w:rsidR="00441305" w:rsidRPr="00DA4A74" w:rsidRDefault="00E51B0C" w:rsidP="00C71AED">
            <w:pPr>
              <w:autoSpaceDE w:val="0"/>
              <w:autoSpaceDN w:val="0"/>
              <w:adjustRightInd w:val="0"/>
              <w:jc w:val="right"/>
              <w:rPr>
                <w:b/>
              </w:rPr>
            </w:pPr>
            <w:r w:rsidRPr="00DA4A74">
              <w:rPr>
                <w:b/>
              </w:rPr>
              <w:t>20</w:t>
            </w:r>
            <w:r w:rsidR="00C71AED" w:rsidRPr="00DA4A74">
              <w:rPr>
                <w:b/>
              </w:rPr>
              <w:t>10</w:t>
            </w:r>
            <w:r w:rsidRPr="00DA4A74">
              <w:rPr>
                <w:b/>
              </w:rPr>
              <w:t>/1</w:t>
            </w:r>
            <w:r w:rsidR="00C71AED" w:rsidRPr="00DA4A74">
              <w:rPr>
                <w:b/>
              </w:rPr>
              <w:t>1</w:t>
            </w:r>
          </w:p>
        </w:tc>
      </w:tr>
      <w:tr w:rsidR="00441305" w:rsidRPr="00DA4A74" w:rsidTr="00481144">
        <w:tc>
          <w:tcPr>
            <w:tcW w:w="3742" w:type="pct"/>
          </w:tcPr>
          <w:p w:rsidR="00441305" w:rsidRPr="00DA4A74" w:rsidRDefault="00441305" w:rsidP="00DA4D69">
            <w:pPr>
              <w:autoSpaceDE w:val="0"/>
              <w:autoSpaceDN w:val="0"/>
              <w:adjustRightInd w:val="0"/>
              <w:jc w:val="both"/>
            </w:pPr>
          </w:p>
        </w:tc>
        <w:tc>
          <w:tcPr>
            <w:tcW w:w="582" w:type="pct"/>
          </w:tcPr>
          <w:p w:rsidR="00441305" w:rsidRPr="00DA4A74" w:rsidRDefault="00E51B0C" w:rsidP="00257923">
            <w:pPr>
              <w:autoSpaceDE w:val="0"/>
              <w:autoSpaceDN w:val="0"/>
              <w:adjustRightInd w:val="0"/>
              <w:jc w:val="right"/>
              <w:rPr>
                <w:b/>
              </w:rPr>
            </w:pPr>
            <w:r w:rsidRPr="00DA4A74">
              <w:rPr>
                <w:b/>
              </w:rPr>
              <w:t>£000</w:t>
            </w:r>
          </w:p>
        </w:tc>
        <w:tc>
          <w:tcPr>
            <w:tcW w:w="676" w:type="pct"/>
          </w:tcPr>
          <w:p w:rsidR="00441305" w:rsidRPr="00DA4A74" w:rsidRDefault="00E51B0C" w:rsidP="00257923">
            <w:pPr>
              <w:autoSpaceDE w:val="0"/>
              <w:autoSpaceDN w:val="0"/>
              <w:adjustRightInd w:val="0"/>
              <w:jc w:val="right"/>
              <w:rPr>
                <w:b/>
              </w:rPr>
            </w:pPr>
            <w:r w:rsidRPr="00DA4A74">
              <w:rPr>
                <w:b/>
              </w:rPr>
              <w:t>£000</w:t>
            </w:r>
          </w:p>
        </w:tc>
      </w:tr>
      <w:tr w:rsidR="00C71AED" w:rsidRPr="00DA4A74" w:rsidTr="00481144">
        <w:tc>
          <w:tcPr>
            <w:tcW w:w="3742" w:type="pct"/>
          </w:tcPr>
          <w:p w:rsidR="00C71AED" w:rsidRPr="00DA4A74" w:rsidRDefault="00C71AED" w:rsidP="00DA4D69">
            <w:pPr>
              <w:autoSpaceDE w:val="0"/>
              <w:autoSpaceDN w:val="0"/>
              <w:adjustRightInd w:val="0"/>
              <w:jc w:val="both"/>
            </w:pPr>
            <w:r w:rsidRPr="00DA4A74">
              <w:t>Balance at 1 April</w:t>
            </w:r>
          </w:p>
        </w:tc>
        <w:tc>
          <w:tcPr>
            <w:tcW w:w="582" w:type="pct"/>
            <w:vAlign w:val="center"/>
          </w:tcPr>
          <w:p w:rsidR="00C71AED" w:rsidRPr="00DA4A74" w:rsidRDefault="00DB5096" w:rsidP="00055996">
            <w:pPr>
              <w:autoSpaceDE w:val="0"/>
              <w:autoSpaceDN w:val="0"/>
              <w:adjustRightInd w:val="0"/>
              <w:jc w:val="right"/>
            </w:pPr>
            <w:r w:rsidRPr="00DA4A74">
              <w:t>(765,212)</w:t>
            </w:r>
          </w:p>
        </w:tc>
        <w:tc>
          <w:tcPr>
            <w:tcW w:w="676" w:type="pct"/>
            <w:vAlign w:val="center"/>
          </w:tcPr>
          <w:p w:rsidR="00C71AED" w:rsidRPr="00DA4A74" w:rsidRDefault="00C71AED" w:rsidP="00C71AED">
            <w:pPr>
              <w:autoSpaceDE w:val="0"/>
              <w:autoSpaceDN w:val="0"/>
              <w:adjustRightInd w:val="0"/>
              <w:jc w:val="right"/>
            </w:pPr>
            <w:r w:rsidRPr="00DA4A74">
              <w:t>(1,059,958)</w:t>
            </w:r>
          </w:p>
        </w:tc>
      </w:tr>
      <w:tr w:rsidR="00C71AED" w:rsidRPr="00DA4A74" w:rsidTr="00481144">
        <w:tc>
          <w:tcPr>
            <w:tcW w:w="3742" w:type="pct"/>
          </w:tcPr>
          <w:p w:rsidR="00C71AED" w:rsidRPr="00DA4A74" w:rsidRDefault="00C71AED" w:rsidP="00DA4D69">
            <w:pPr>
              <w:autoSpaceDE w:val="0"/>
              <w:autoSpaceDN w:val="0"/>
              <w:adjustRightInd w:val="0"/>
              <w:jc w:val="both"/>
            </w:pPr>
            <w:r w:rsidRPr="00DA4A74">
              <w:t>Actuarial gains or (losses) on pensions assets and liabilities</w:t>
            </w:r>
          </w:p>
        </w:tc>
        <w:tc>
          <w:tcPr>
            <w:tcW w:w="582" w:type="pct"/>
            <w:vAlign w:val="center"/>
          </w:tcPr>
          <w:p w:rsidR="00C71AED" w:rsidRPr="00DA4A74" w:rsidRDefault="00DA4A74" w:rsidP="00055996">
            <w:pPr>
              <w:autoSpaceDE w:val="0"/>
              <w:autoSpaceDN w:val="0"/>
              <w:adjustRightInd w:val="0"/>
              <w:jc w:val="right"/>
            </w:pPr>
            <w:r>
              <w:t>(62,179)</w:t>
            </w:r>
          </w:p>
        </w:tc>
        <w:tc>
          <w:tcPr>
            <w:tcW w:w="676" w:type="pct"/>
            <w:vAlign w:val="center"/>
          </w:tcPr>
          <w:p w:rsidR="00C71AED" w:rsidRPr="00DA4A74" w:rsidRDefault="00C71AED" w:rsidP="00C71AED">
            <w:pPr>
              <w:autoSpaceDE w:val="0"/>
              <w:autoSpaceDN w:val="0"/>
              <w:adjustRightInd w:val="0"/>
              <w:jc w:val="right"/>
            </w:pPr>
            <w:r w:rsidRPr="00DA4A74">
              <w:t>281,902</w:t>
            </w:r>
          </w:p>
        </w:tc>
      </w:tr>
      <w:tr w:rsidR="00C71AED" w:rsidRPr="00DA4A74" w:rsidTr="00481144">
        <w:tc>
          <w:tcPr>
            <w:tcW w:w="3742" w:type="pct"/>
          </w:tcPr>
          <w:p w:rsidR="00C71AED" w:rsidRPr="00DA4A74" w:rsidRDefault="00C71AED" w:rsidP="00DA4D69">
            <w:pPr>
              <w:autoSpaceDE w:val="0"/>
              <w:autoSpaceDN w:val="0"/>
              <w:adjustRightInd w:val="0"/>
              <w:jc w:val="both"/>
            </w:pPr>
            <w:r w:rsidRPr="00DA4A74">
              <w:t>Reversal of items relating to retirement benefits debited or credited to the Surplus or Deficit on the Provision of Services in the Comprehensive Income and Expenditure Statement</w:t>
            </w:r>
          </w:p>
        </w:tc>
        <w:tc>
          <w:tcPr>
            <w:tcW w:w="582" w:type="pct"/>
            <w:vAlign w:val="center"/>
          </w:tcPr>
          <w:p w:rsidR="00C71AED" w:rsidRPr="00DA4A74" w:rsidRDefault="00DA4A74" w:rsidP="00055996">
            <w:pPr>
              <w:autoSpaceDE w:val="0"/>
              <w:autoSpaceDN w:val="0"/>
              <w:adjustRightInd w:val="0"/>
              <w:jc w:val="right"/>
            </w:pPr>
            <w:r>
              <w:t>(193,106)</w:t>
            </w:r>
          </w:p>
        </w:tc>
        <w:tc>
          <w:tcPr>
            <w:tcW w:w="676" w:type="pct"/>
            <w:vAlign w:val="center"/>
          </w:tcPr>
          <w:p w:rsidR="00C71AED" w:rsidRPr="00DA4A74" w:rsidRDefault="00C71AED" w:rsidP="00C71AED">
            <w:pPr>
              <w:autoSpaceDE w:val="0"/>
              <w:autoSpaceDN w:val="0"/>
              <w:adjustRightInd w:val="0"/>
              <w:jc w:val="right"/>
            </w:pPr>
            <w:r w:rsidRPr="00DA4A74">
              <w:t>(73,630)</w:t>
            </w:r>
          </w:p>
        </w:tc>
      </w:tr>
      <w:tr w:rsidR="00C71AED" w:rsidRPr="00DA4A74" w:rsidTr="00481144">
        <w:tc>
          <w:tcPr>
            <w:tcW w:w="3742" w:type="pct"/>
          </w:tcPr>
          <w:p w:rsidR="00C71AED" w:rsidRPr="00DA4A74" w:rsidRDefault="00C71AED" w:rsidP="00DA4D69">
            <w:pPr>
              <w:autoSpaceDE w:val="0"/>
              <w:autoSpaceDN w:val="0"/>
              <w:adjustRightInd w:val="0"/>
              <w:jc w:val="both"/>
            </w:pPr>
            <w:r w:rsidRPr="00DA4A74">
              <w:t>Employer's pension contributions and direct payments to pensioners payable in the year</w:t>
            </w:r>
          </w:p>
        </w:tc>
        <w:tc>
          <w:tcPr>
            <w:tcW w:w="582" w:type="pct"/>
            <w:tcBorders>
              <w:bottom w:val="single" w:sz="12" w:space="0" w:color="auto"/>
            </w:tcBorders>
            <w:vAlign w:val="center"/>
          </w:tcPr>
          <w:p w:rsidR="00C71AED" w:rsidRPr="00DA4A74" w:rsidRDefault="00856DC9" w:rsidP="00055996">
            <w:pPr>
              <w:autoSpaceDE w:val="0"/>
              <w:autoSpaceDN w:val="0"/>
              <w:adjustRightInd w:val="0"/>
              <w:jc w:val="right"/>
            </w:pPr>
            <w:r>
              <w:t>81,002</w:t>
            </w:r>
          </w:p>
        </w:tc>
        <w:tc>
          <w:tcPr>
            <w:tcW w:w="676" w:type="pct"/>
            <w:tcBorders>
              <w:bottom w:val="single" w:sz="12" w:space="0" w:color="auto"/>
            </w:tcBorders>
            <w:vAlign w:val="center"/>
          </w:tcPr>
          <w:p w:rsidR="00C71AED" w:rsidRPr="00DA4A74" w:rsidRDefault="00C71AED" w:rsidP="00C71AED">
            <w:pPr>
              <w:autoSpaceDE w:val="0"/>
              <w:autoSpaceDN w:val="0"/>
              <w:adjustRightInd w:val="0"/>
              <w:jc w:val="right"/>
            </w:pPr>
            <w:r w:rsidRPr="00DA4A74">
              <w:t>86,474</w:t>
            </w:r>
          </w:p>
        </w:tc>
      </w:tr>
      <w:tr w:rsidR="00C71AED" w:rsidRPr="00286C0E" w:rsidTr="00481144">
        <w:tc>
          <w:tcPr>
            <w:tcW w:w="3742" w:type="pct"/>
          </w:tcPr>
          <w:p w:rsidR="00C71AED" w:rsidRPr="00DA4A74" w:rsidRDefault="00C71AED" w:rsidP="00DA4D69">
            <w:pPr>
              <w:autoSpaceDE w:val="0"/>
              <w:autoSpaceDN w:val="0"/>
              <w:adjustRightInd w:val="0"/>
              <w:jc w:val="both"/>
              <w:rPr>
                <w:b/>
              </w:rPr>
            </w:pPr>
            <w:r w:rsidRPr="00DA4A74">
              <w:rPr>
                <w:b/>
              </w:rPr>
              <w:t>Balance at 31</w:t>
            </w:r>
            <w:r w:rsidR="00AC308D" w:rsidRPr="00DA4A74">
              <w:rPr>
                <w:b/>
                <w:vertAlign w:val="superscript"/>
              </w:rPr>
              <w:t xml:space="preserve"> </w:t>
            </w:r>
            <w:r w:rsidRPr="00DA4A74">
              <w:rPr>
                <w:b/>
              </w:rPr>
              <w:t>March</w:t>
            </w:r>
          </w:p>
        </w:tc>
        <w:tc>
          <w:tcPr>
            <w:tcW w:w="582" w:type="pct"/>
            <w:tcBorders>
              <w:top w:val="single" w:sz="12" w:space="0" w:color="auto"/>
              <w:bottom w:val="double" w:sz="6" w:space="0" w:color="auto"/>
            </w:tcBorders>
            <w:vAlign w:val="center"/>
          </w:tcPr>
          <w:p w:rsidR="00C71AED" w:rsidRPr="00DA4A74" w:rsidRDefault="006D0EE8" w:rsidP="00055996">
            <w:pPr>
              <w:autoSpaceDE w:val="0"/>
              <w:autoSpaceDN w:val="0"/>
              <w:adjustRightInd w:val="0"/>
              <w:jc w:val="right"/>
              <w:rPr>
                <w:b/>
              </w:rPr>
            </w:pPr>
            <w:r>
              <w:rPr>
                <w:b/>
              </w:rPr>
              <w:t>(</w:t>
            </w:r>
            <w:r w:rsidR="00856DC9">
              <w:rPr>
                <w:b/>
              </w:rPr>
              <w:t>939,495</w:t>
            </w:r>
            <w:r>
              <w:rPr>
                <w:b/>
              </w:rPr>
              <w:t>)</w:t>
            </w:r>
          </w:p>
        </w:tc>
        <w:tc>
          <w:tcPr>
            <w:tcW w:w="676" w:type="pct"/>
            <w:tcBorders>
              <w:top w:val="single" w:sz="12" w:space="0" w:color="auto"/>
              <w:bottom w:val="double" w:sz="6" w:space="0" w:color="auto"/>
            </w:tcBorders>
            <w:vAlign w:val="center"/>
          </w:tcPr>
          <w:p w:rsidR="00C71AED" w:rsidRPr="00DB5096" w:rsidRDefault="00C71AED" w:rsidP="00C71AED">
            <w:pPr>
              <w:autoSpaceDE w:val="0"/>
              <w:autoSpaceDN w:val="0"/>
              <w:adjustRightInd w:val="0"/>
              <w:jc w:val="right"/>
              <w:rPr>
                <w:b/>
              </w:rPr>
            </w:pPr>
            <w:r w:rsidRPr="00DA4A74">
              <w:rPr>
                <w:b/>
              </w:rPr>
              <w:t>(765,212)</w:t>
            </w:r>
          </w:p>
        </w:tc>
      </w:tr>
    </w:tbl>
    <w:p w:rsidR="00B66B0B" w:rsidRPr="00286C0E" w:rsidRDefault="00B66B0B" w:rsidP="00B66B0B">
      <w:pPr>
        <w:autoSpaceDE w:val="0"/>
        <w:autoSpaceDN w:val="0"/>
        <w:adjustRightInd w:val="0"/>
        <w:jc w:val="both"/>
        <w:rPr>
          <w:b/>
          <w:color w:val="FF0000"/>
          <w:highlight w:val="yellow"/>
          <w:u w:val="single"/>
        </w:rPr>
      </w:pPr>
    </w:p>
    <w:p w:rsidR="00975DE4" w:rsidRPr="00995084" w:rsidRDefault="00975DE4" w:rsidP="00836EFD">
      <w:pPr>
        <w:autoSpaceDE w:val="0"/>
        <w:autoSpaceDN w:val="0"/>
        <w:adjustRightInd w:val="0"/>
        <w:ind w:firstLine="720"/>
        <w:jc w:val="both"/>
        <w:rPr>
          <w:b/>
        </w:rPr>
      </w:pPr>
      <w:r w:rsidRPr="00995084">
        <w:rPr>
          <w:b/>
        </w:rPr>
        <w:t>Collection Fund Adjustment Account</w:t>
      </w:r>
    </w:p>
    <w:p w:rsidR="00975DE4" w:rsidRPr="00995084" w:rsidRDefault="00975DE4" w:rsidP="00975DE4">
      <w:pPr>
        <w:autoSpaceDE w:val="0"/>
        <w:autoSpaceDN w:val="0"/>
        <w:adjustRightInd w:val="0"/>
        <w:ind w:left="720"/>
        <w:jc w:val="both"/>
        <w:rPr>
          <w:b/>
        </w:rPr>
      </w:pPr>
    </w:p>
    <w:p w:rsidR="00975DE4" w:rsidRPr="00995084" w:rsidRDefault="00975DE4" w:rsidP="00836EFD">
      <w:pPr>
        <w:autoSpaceDE w:val="0"/>
        <w:autoSpaceDN w:val="0"/>
        <w:adjustRightInd w:val="0"/>
        <w:ind w:left="720"/>
        <w:jc w:val="both"/>
      </w:pPr>
      <w:r w:rsidRPr="00995084">
        <w:t xml:space="preserve">The Collection Fund Adjustment Account manages the difference arising from the recognition of council tax income in the Comprehensive Income and Expenditure Statement as it falls due from council tax payers compared with the statutory arrangements for paying across amounts to the </w:t>
      </w:r>
      <w:r w:rsidR="00F730B9" w:rsidRPr="00995084">
        <w:t>County fund</w:t>
      </w:r>
      <w:r w:rsidRPr="00995084">
        <w:t xml:space="preserve"> from the Collection Fund.</w:t>
      </w:r>
    </w:p>
    <w:p w:rsidR="00D7657C" w:rsidRPr="00286C0E" w:rsidRDefault="00D7657C" w:rsidP="00975DE4">
      <w:pPr>
        <w:autoSpaceDE w:val="0"/>
        <w:autoSpaceDN w:val="0"/>
        <w:adjustRightInd w:val="0"/>
        <w:ind w:left="720"/>
        <w:jc w:val="both"/>
        <w:rPr>
          <w:b/>
          <w:color w:val="FF0000"/>
          <w:highlight w:val="yellow"/>
        </w:rPr>
      </w:pPr>
    </w:p>
    <w:tbl>
      <w:tblPr>
        <w:tblW w:w="9240" w:type="dxa"/>
        <w:tblInd w:w="814" w:type="dxa"/>
        <w:tblLook w:val="04A0"/>
      </w:tblPr>
      <w:tblGrid>
        <w:gridCol w:w="7072"/>
        <w:gridCol w:w="1084"/>
        <w:gridCol w:w="1084"/>
      </w:tblGrid>
      <w:tr w:rsidR="00995084" w:rsidRPr="00995084" w:rsidTr="001E0E51">
        <w:trPr>
          <w:trHeight w:val="645"/>
        </w:trPr>
        <w:tc>
          <w:tcPr>
            <w:tcW w:w="7072" w:type="dxa"/>
            <w:tcBorders>
              <w:top w:val="single" w:sz="8" w:space="0" w:color="auto"/>
              <w:left w:val="single" w:sz="8" w:space="0" w:color="auto"/>
              <w:bottom w:val="single" w:sz="8" w:space="0" w:color="auto"/>
              <w:right w:val="single" w:sz="8" w:space="0" w:color="auto"/>
            </w:tcBorders>
            <w:shd w:val="clear" w:color="auto" w:fill="auto"/>
            <w:hideMark/>
          </w:tcPr>
          <w:p w:rsidR="00995084" w:rsidRPr="00995084" w:rsidRDefault="00995084" w:rsidP="00995084">
            <w:pPr>
              <w:jc w:val="both"/>
              <w:rPr>
                <w:b/>
                <w:bCs/>
                <w:color w:val="FF0000"/>
              </w:rPr>
            </w:pPr>
            <w:r w:rsidRPr="00995084">
              <w:rPr>
                <w:b/>
                <w:bCs/>
                <w:color w:val="FF0000"/>
              </w:rPr>
              <w:t> </w:t>
            </w:r>
          </w:p>
        </w:tc>
        <w:tc>
          <w:tcPr>
            <w:tcW w:w="1084" w:type="dxa"/>
            <w:tcBorders>
              <w:top w:val="single" w:sz="8" w:space="0" w:color="auto"/>
              <w:left w:val="nil"/>
              <w:bottom w:val="single" w:sz="8" w:space="0" w:color="auto"/>
              <w:right w:val="single" w:sz="8" w:space="0" w:color="auto"/>
            </w:tcBorders>
            <w:shd w:val="clear" w:color="auto" w:fill="auto"/>
            <w:hideMark/>
          </w:tcPr>
          <w:p w:rsidR="00995084" w:rsidRPr="00995084" w:rsidRDefault="00995084" w:rsidP="00995084">
            <w:pPr>
              <w:jc w:val="center"/>
              <w:rPr>
                <w:b/>
                <w:bCs/>
                <w:color w:val="000000"/>
              </w:rPr>
            </w:pPr>
            <w:r w:rsidRPr="00995084">
              <w:rPr>
                <w:b/>
                <w:bCs/>
                <w:color w:val="000000"/>
              </w:rPr>
              <w:t>2011/12</w:t>
            </w:r>
          </w:p>
        </w:tc>
        <w:tc>
          <w:tcPr>
            <w:tcW w:w="1084" w:type="dxa"/>
            <w:tcBorders>
              <w:top w:val="single" w:sz="8" w:space="0" w:color="auto"/>
              <w:left w:val="nil"/>
              <w:bottom w:val="single" w:sz="8" w:space="0" w:color="auto"/>
              <w:right w:val="single" w:sz="8" w:space="0" w:color="auto"/>
            </w:tcBorders>
            <w:shd w:val="clear" w:color="auto" w:fill="auto"/>
            <w:hideMark/>
          </w:tcPr>
          <w:p w:rsidR="00995084" w:rsidRPr="00995084" w:rsidRDefault="00995084" w:rsidP="00995084">
            <w:pPr>
              <w:jc w:val="center"/>
              <w:rPr>
                <w:b/>
                <w:bCs/>
                <w:color w:val="000000"/>
              </w:rPr>
            </w:pPr>
            <w:r w:rsidRPr="00995084">
              <w:rPr>
                <w:b/>
                <w:bCs/>
                <w:color w:val="000000"/>
              </w:rPr>
              <w:t>2010/11</w:t>
            </w:r>
          </w:p>
        </w:tc>
      </w:tr>
      <w:tr w:rsidR="00995084" w:rsidRPr="00995084" w:rsidTr="001E0E51">
        <w:trPr>
          <w:trHeight w:val="330"/>
        </w:trPr>
        <w:tc>
          <w:tcPr>
            <w:tcW w:w="7072" w:type="dxa"/>
            <w:tcBorders>
              <w:top w:val="nil"/>
              <w:left w:val="single" w:sz="8" w:space="0" w:color="auto"/>
              <w:bottom w:val="single" w:sz="8" w:space="0" w:color="auto"/>
              <w:right w:val="single" w:sz="8" w:space="0" w:color="auto"/>
            </w:tcBorders>
            <w:shd w:val="clear" w:color="auto" w:fill="auto"/>
            <w:hideMark/>
          </w:tcPr>
          <w:p w:rsidR="00995084" w:rsidRPr="00995084" w:rsidRDefault="00995084" w:rsidP="00995084">
            <w:pPr>
              <w:jc w:val="both"/>
              <w:rPr>
                <w:b/>
                <w:bCs/>
                <w:color w:val="FF0000"/>
              </w:rPr>
            </w:pPr>
            <w:r w:rsidRPr="00995084">
              <w:rPr>
                <w:b/>
                <w:bCs/>
                <w:color w:val="FF0000"/>
              </w:rPr>
              <w:t> </w:t>
            </w:r>
          </w:p>
        </w:tc>
        <w:tc>
          <w:tcPr>
            <w:tcW w:w="1084" w:type="dxa"/>
            <w:tcBorders>
              <w:top w:val="nil"/>
              <w:left w:val="nil"/>
              <w:bottom w:val="single" w:sz="8" w:space="0" w:color="auto"/>
              <w:right w:val="single" w:sz="8" w:space="0" w:color="auto"/>
            </w:tcBorders>
            <w:shd w:val="clear" w:color="auto" w:fill="auto"/>
            <w:hideMark/>
          </w:tcPr>
          <w:p w:rsidR="00995084" w:rsidRPr="00995084" w:rsidRDefault="00995084" w:rsidP="00995084">
            <w:pPr>
              <w:jc w:val="center"/>
              <w:rPr>
                <w:b/>
                <w:bCs/>
                <w:color w:val="000000"/>
              </w:rPr>
            </w:pPr>
            <w:r w:rsidRPr="00995084">
              <w:rPr>
                <w:b/>
                <w:bCs/>
                <w:color w:val="000000"/>
              </w:rPr>
              <w:t>£0</w:t>
            </w:r>
            <w:r w:rsidR="00807F17">
              <w:rPr>
                <w:b/>
                <w:bCs/>
                <w:color w:val="000000"/>
              </w:rPr>
              <w:t>00</w:t>
            </w:r>
          </w:p>
        </w:tc>
        <w:tc>
          <w:tcPr>
            <w:tcW w:w="1084" w:type="dxa"/>
            <w:tcBorders>
              <w:top w:val="nil"/>
              <w:left w:val="nil"/>
              <w:bottom w:val="single" w:sz="8" w:space="0" w:color="auto"/>
              <w:right w:val="single" w:sz="8" w:space="0" w:color="auto"/>
            </w:tcBorders>
            <w:shd w:val="clear" w:color="auto" w:fill="auto"/>
            <w:hideMark/>
          </w:tcPr>
          <w:p w:rsidR="00995084" w:rsidRPr="00995084" w:rsidRDefault="00995084" w:rsidP="00995084">
            <w:pPr>
              <w:jc w:val="center"/>
              <w:rPr>
                <w:b/>
                <w:bCs/>
                <w:color w:val="000000"/>
              </w:rPr>
            </w:pPr>
            <w:r w:rsidRPr="00995084">
              <w:rPr>
                <w:b/>
                <w:bCs/>
                <w:color w:val="000000"/>
              </w:rPr>
              <w:t>£0</w:t>
            </w:r>
            <w:r w:rsidR="00807F17">
              <w:rPr>
                <w:b/>
                <w:bCs/>
                <w:color w:val="000000"/>
              </w:rPr>
              <w:t>00</w:t>
            </w:r>
          </w:p>
        </w:tc>
      </w:tr>
      <w:tr w:rsidR="00995084" w:rsidRPr="00995084" w:rsidTr="001E0E51">
        <w:trPr>
          <w:trHeight w:val="315"/>
        </w:trPr>
        <w:tc>
          <w:tcPr>
            <w:tcW w:w="7072" w:type="dxa"/>
            <w:tcBorders>
              <w:top w:val="nil"/>
              <w:left w:val="single" w:sz="8" w:space="0" w:color="auto"/>
              <w:bottom w:val="single" w:sz="8" w:space="0" w:color="auto"/>
              <w:right w:val="single" w:sz="8" w:space="0" w:color="auto"/>
            </w:tcBorders>
            <w:shd w:val="clear" w:color="auto" w:fill="auto"/>
            <w:hideMark/>
          </w:tcPr>
          <w:p w:rsidR="00995084" w:rsidRPr="00995084" w:rsidRDefault="00995084" w:rsidP="00995084">
            <w:pPr>
              <w:jc w:val="both"/>
              <w:rPr>
                <w:color w:val="000000"/>
              </w:rPr>
            </w:pPr>
            <w:r w:rsidRPr="00995084">
              <w:rPr>
                <w:color w:val="000000"/>
              </w:rPr>
              <w:t>Balance at 1 April</w:t>
            </w:r>
          </w:p>
        </w:tc>
        <w:tc>
          <w:tcPr>
            <w:tcW w:w="1084" w:type="dxa"/>
            <w:tcBorders>
              <w:top w:val="nil"/>
              <w:left w:val="nil"/>
              <w:bottom w:val="single" w:sz="8" w:space="0" w:color="auto"/>
              <w:right w:val="single" w:sz="8" w:space="0" w:color="auto"/>
            </w:tcBorders>
            <w:shd w:val="clear" w:color="auto" w:fill="auto"/>
            <w:hideMark/>
          </w:tcPr>
          <w:p w:rsidR="00995084" w:rsidRPr="00995084" w:rsidRDefault="00995084" w:rsidP="00995084">
            <w:pPr>
              <w:jc w:val="center"/>
              <w:rPr>
                <w:color w:val="000000"/>
              </w:rPr>
            </w:pPr>
            <w:r w:rsidRPr="00995084">
              <w:rPr>
                <w:color w:val="000000"/>
              </w:rPr>
              <w:t>1,170</w:t>
            </w:r>
          </w:p>
        </w:tc>
        <w:tc>
          <w:tcPr>
            <w:tcW w:w="1084" w:type="dxa"/>
            <w:tcBorders>
              <w:top w:val="nil"/>
              <w:left w:val="nil"/>
              <w:bottom w:val="single" w:sz="8" w:space="0" w:color="auto"/>
              <w:right w:val="single" w:sz="8" w:space="0" w:color="auto"/>
            </w:tcBorders>
            <w:shd w:val="clear" w:color="auto" w:fill="auto"/>
            <w:hideMark/>
          </w:tcPr>
          <w:p w:rsidR="00995084" w:rsidRPr="00995084" w:rsidRDefault="00A301AA" w:rsidP="00995084">
            <w:pPr>
              <w:jc w:val="center"/>
              <w:rPr>
                <w:color w:val="000000"/>
              </w:rPr>
            </w:pPr>
            <w:r>
              <w:rPr>
                <w:color w:val="000000"/>
              </w:rPr>
              <w:t>(</w:t>
            </w:r>
            <w:r w:rsidR="00995084" w:rsidRPr="00995084">
              <w:rPr>
                <w:color w:val="000000"/>
              </w:rPr>
              <w:t>1,255</w:t>
            </w:r>
            <w:r>
              <w:rPr>
                <w:color w:val="000000"/>
              </w:rPr>
              <w:t>)</w:t>
            </w:r>
          </w:p>
        </w:tc>
      </w:tr>
      <w:tr w:rsidR="00995084" w:rsidRPr="00995084" w:rsidTr="001E0E51">
        <w:trPr>
          <w:trHeight w:val="1215"/>
        </w:trPr>
        <w:tc>
          <w:tcPr>
            <w:tcW w:w="7072" w:type="dxa"/>
            <w:tcBorders>
              <w:top w:val="nil"/>
              <w:left w:val="single" w:sz="8" w:space="0" w:color="auto"/>
              <w:bottom w:val="single" w:sz="8" w:space="0" w:color="auto"/>
              <w:right w:val="single" w:sz="8" w:space="0" w:color="auto"/>
            </w:tcBorders>
            <w:shd w:val="clear" w:color="auto" w:fill="auto"/>
            <w:hideMark/>
          </w:tcPr>
          <w:p w:rsidR="00995084" w:rsidRPr="00995084" w:rsidRDefault="00995084" w:rsidP="00995084">
            <w:pPr>
              <w:jc w:val="both"/>
              <w:rPr>
                <w:color w:val="000000"/>
              </w:rPr>
            </w:pPr>
            <w:r w:rsidRPr="00995084">
              <w:rPr>
                <w:color w:val="000000"/>
              </w:rPr>
              <w:t>Amount by which council tax income credited to the Comprehensive Income and Expenditure Statement is different from council tax income calculated for the year in accordance with statutory requirements</w:t>
            </w:r>
          </w:p>
        </w:tc>
        <w:tc>
          <w:tcPr>
            <w:tcW w:w="1084" w:type="dxa"/>
            <w:tcBorders>
              <w:top w:val="nil"/>
              <w:left w:val="nil"/>
              <w:bottom w:val="single" w:sz="8" w:space="0" w:color="auto"/>
              <w:right w:val="single" w:sz="8" w:space="0" w:color="auto"/>
            </w:tcBorders>
            <w:shd w:val="clear" w:color="auto" w:fill="auto"/>
            <w:hideMark/>
          </w:tcPr>
          <w:p w:rsidR="00995084" w:rsidRPr="00995084" w:rsidRDefault="00995084" w:rsidP="00995084">
            <w:pPr>
              <w:jc w:val="center"/>
              <w:rPr>
                <w:color w:val="000000"/>
              </w:rPr>
            </w:pPr>
            <w:r w:rsidRPr="00995084">
              <w:rPr>
                <w:color w:val="000000"/>
              </w:rPr>
              <w:t>351</w:t>
            </w:r>
          </w:p>
        </w:tc>
        <w:tc>
          <w:tcPr>
            <w:tcW w:w="1084" w:type="dxa"/>
            <w:tcBorders>
              <w:top w:val="nil"/>
              <w:left w:val="nil"/>
              <w:bottom w:val="single" w:sz="8" w:space="0" w:color="auto"/>
              <w:right w:val="single" w:sz="8" w:space="0" w:color="auto"/>
            </w:tcBorders>
            <w:shd w:val="clear" w:color="auto" w:fill="auto"/>
            <w:hideMark/>
          </w:tcPr>
          <w:p w:rsidR="00995084" w:rsidRPr="00995084" w:rsidRDefault="00995084" w:rsidP="00995084">
            <w:pPr>
              <w:jc w:val="center"/>
              <w:rPr>
                <w:color w:val="000000"/>
              </w:rPr>
            </w:pPr>
            <w:r w:rsidRPr="00995084">
              <w:rPr>
                <w:color w:val="000000"/>
              </w:rPr>
              <w:t>2,425</w:t>
            </w:r>
          </w:p>
        </w:tc>
      </w:tr>
      <w:tr w:rsidR="00995084" w:rsidRPr="00995084" w:rsidTr="001E0E51">
        <w:trPr>
          <w:trHeight w:val="330"/>
        </w:trPr>
        <w:tc>
          <w:tcPr>
            <w:tcW w:w="7072" w:type="dxa"/>
            <w:tcBorders>
              <w:top w:val="nil"/>
              <w:left w:val="single" w:sz="8" w:space="0" w:color="auto"/>
              <w:bottom w:val="single" w:sz="8" w:space="0" w:color="auto"/>
              <w:right w:val="single" w:sz="8" w:space="0" w:color="auto"/>
            </w:tcBorders>
            <w:shd w:val="clear" w:color="auto" w:fill="auto"/>
            <w:hideMark/>
          </w:tcPr>
          <w:p w:rsidR="00995084" w:rsidRPr="00995084" w:rsidRDefault="00995084" w:rsidP="00995084">
            <w:pPr>
              <w:jc w:val="both"/>
              <w:rPr>
                <w:b/>
                <w:bCs/>
                <w:color w:val="000000"/>
              </w:rPr>
            </w:pPr>
            <w:r w:rsidRPr="00995084">
              <w:rPr>
                <w:b/>
                <w:bCs/>
                <w:color w:val="000000"/>
              </w:rPr>
              <w:t>Balance at 31 March</w:t>
            </w:r>
          </w:p>
        </w:tc>
        <w:tc>
          <w:tcPr>
            <w:tcW w:w="1084" w:type="dxa"/>
            <w:tcBorders>
              <w:top w:val="nil"/>
              <w:left w:val="nil"/>
              <w:bottom w:val="double" w:sz="6" w:space="0" w:color="auto"/>
              <w:right w:val="single" w:sz="8" w:space="0" w:color="auto"/>
            </w:tcBorders>
            <w:shd w:val="clear" w:color="auto" w:fill="auto"/>
            <w:hideMark/>
          </w:tcPr>
          <w:p w:rsidR="00995084" w:rsidRPr="00995084" w:rsidRDefault="00995084" w:rsidP="00995084">
            <w:pPr>
              <w:jc w:val="center"/>
              <w:rPr>
                <w:b/>
                <w:bCs/>
                <w:color w:val="000000"/>
              </w:rPr>
            </w:pPr>
            <w:r w:rsidRPr="00995084">
              <w:rPr>
                <w:b/>
                <w:bCs/>
                <w:color w:val="000000"/>
              </w:rPr>
              <w:t>1,521</w:t>
            </w:r>
          </w:p>
        </w:tc>
        <w:tc>
          <w:tcPr>
            <w:tcW w:w="1084" w:type="dxa"/>
            <w:tcBorders>
              <w:top w:val="nil"/>
              <w:left w:val="nil"/>
              <w:bottom w:val="double" w:sz="6" w:space="0" w:color="auto"/>
              <w:right w:val="single" w:sz="8" w:space="0" w:color="auto"/>
            </w:tcBorders>
            <w:shd w:val="clear" w:color="auto" w:fill="auto"/>
            <w:hideMark/>
          </w:tcPr>
          <w:p w:rsidR="00995084" w:rsidRPr="00995084" w:rsidRDefault="00995084" w:rsidP="00995084">
            <w:pPr>
              <w:jc w:val="center"/>
              <w:rPr>
                <w:b/>
                <w:bCs/>
                <w:color w:val="000000"/>
              </w:rPr>
            </w:pPr>
            <w:r w:rsidRPr="00995084">
              <w:rPr>
                <w:b/>
                <w:bCs/>
                <w:color w:val="000000"/>
              </w:rPr>
              <w:t>1,170</w:t>
            </w:r>
          </w:p>
        </w:tc>
      </w:tr>
    </w:tbl>
    <w:p w:rsidR="00C51612" w:rsidRPr="0065682E" w:rsidRDefault="00C51612" w:rsidP="00B66B0B">
      <w:pPr>
        <w:autoSpaceDE w:val="0"/>
        <w:autoSpaceDN w:val="0"/>
        <w:adjustRightInd w:val="0"/>
        <w:jc w:val="both"/>
        <w:rPr>
          <w:b/>
          <w:color w:val="FF0000"/>
        </w:rPr>
      </w:pPr>
    </w:p>
    <w:p w:rsidR="00CD5C0F" w:rsidRPr="0065682E" w:rsidRDefault="00CD5C0F" w:rsidP="00034BF3">
      <w:pPr>
        <w:autoSpaceDE w:val="0"/>
        <w:autoSpaceDN w:val="0"/>
        <w:adjustRightInd w:val="0"/>
        <w:ind w:firstLine="720"/>
        <w:jc w:val="both"/>
        <w:rPr>
          <w:b/>
        </w:rPr>
      </w:pPr>
      <w:r w:rsidRPr="0065682E">
        <w:rPr>
          <w:b/>
        </w:rPr>
        <w:t>Accumulated Absences Account</w:t>
      </w:r>
    </w:p>
    <w:p w:rsidR="00CD5C0F" w:rsidRPr="0065682E" w:rsidRDefault="00CD5C0F" w:rsidP="00975DE4">
      <w:pPr>
        <w:autoSpaceDE w:val="0"/>
        <w:autoSpaceDN w:val="0"/>
        <w:adjustRightInd w:val="0"/>
        <w:ind w:left="720"/>
        <w:jc w:val="both"/>
        <w:rPr>
          <w:b/>
        </w:rPr>
      </w:pPr>
    </w:p>
    <w:p w:rsidR="00CD5C0F" w:rsidRPr="0065682E" w:rsidRDefault="00CD5C0F" w:rsidP="00A62F07">
      <w:pPr>
        <w:autoSpaceDE w:val="0"/>
        <w:autoSpaceDN w:val="0"/>
        <w:adjustRightInd w:val="0"/>
        <w:ind w:left="720"/>
        <w:jc w:val="both"/>
      </w:pPr>
      <w:r w:rsidRPr="0065682E">
        <w:t xml:space="preserve">The Accumulated Absences Account absorbs the differences that would otherwise arise on the </w:t>
      </w:r>
      <w:r w:rsidR="00F730B9" w:rsidRPr="0065682E">
        <w:t>County fund</w:t>
      </w:r>
      <w:r w:rsidRPr="0065682E">
        <w:t xml:space="preserve"> Balance from accruing for compensated absences earned but not taken in the year, e.g. annual leave entitlement carried forward at 31</w:t>
      </w:r>
      <w:r w:rsidRPr="0065682E">
        <w:rPr>
          <w:vertAlign w:val="superscript"/>
        </w:rPr>
        <w:t>st</w:t>
      </w:r>
      <w:r w:rsidRPr="0065682E">
        <w:t xml:space="preserve"> March.  Statutory arrangements require that the impact on the </w:t>
      </w:r>
      <w:r w:rsidR="00F730B9" w:rsidRPr="0065682E">
        <w:t>County fund</w:t>
      </w:r>
      <w:r w:rsidRPr="0065682E">
        <w:t xml:space="preserve"> Balance is neutralised by transfers to or from the account.</w:t>
      </w:r>
    </w:p>
    <w:p w:rsidR="00A62F07" w:rsidRPr="0065682E" w:rsidRDefault="00A62F07" w:rsidP="00AF700C">
      <w:pPr>
        <w:autoSpaceDE w:val="0"/>
        <w:autoSpaceDN w:val="0"/>
        <w:adjustRightInd w:val="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1"/>
        <w:gridCol w:w="1132"/>
        <w:gridCol w:w="1132"/>
      </w:tblGrid>
      <w:tr w:rsidR="00A62F07" w:rsidRPr="0065682E" w:rsidTr="005C3EAA">
        <w:tc>
          <w:tcPr>
            <w:tcW w:w="8080" w:type="dxa"/>
          </w:tcPr>
          <w:p w:rsidR="00A62F07" w:rsidRPr="0065682E" w:rsidRDefault="00A62F07" w:rsidP="00DA4D69">
            <w:pPr>
              <w:autoSpaceDE w:val="0"/>
              <w:autoSpaceDN w:val="0"/>
              <w:adjustRightInd w:val="0"/>
              <w:jc w:val="both"/>
            </w:pPr>
          </w:p>
        </w:tc>
        <w:tc>
          <w:tcPr>
            <w:tcW w:w="1134" w:type="dxa"/>
          </w:tcPr>
          <w:p w:rsidR="00A62F07" w:rsidRPr="0065682E" w:rsidRDefault="00A62F07" w:rsidP="00C71AED">
            <w:pPr>
              <w:autoSpaceDE w:val="0"/>
              <w:autoSpaceDN w:val="0"/>
              <w:adjustRightInd w:val="0"/>
              <w:jc w:val="center"/>
              <w:rPr>
                <w:b/>
              </w:rPr>
            </w:pPr>
            <w:r w:rsidRPr="0065682E">
              <w:rPr>
                <w:b/>
              </w:rPr>
              <w:t>201</w:t>
            </w:r>
            <w:r w:rsidR="00C71AED" w:rsidRPr="0065682E">
              <w:rPr>
                <w:b/>
              </w:rPr>
              <w:t>1</w:t>
            </w:r>
            <w:r w:rsidRPr="0065682E">
              <w:rPr>
                <w:b/>
              </w:rPr>
              <w:t>/1</w:t>
            </w:r>
            <w:r w:rsidR="00C71AED" w:rsidRPr="0065682E">
              <w:rPr>
                <w:b/>
              </w:rPr>
              <w:t>2</w:t>
            </w:r>
          </w:p>
        </w:tc>
        <w:tc>
          <w:tcPr>
            <w:tcW w:w="1134" w:type="dxa"/>
          </w:tcPr>
          <w:p w:rsidR="00A62F07" w:rsidRPr="0065682E" w:rsidRDefault="00A62F07" w:rsidP="00C71AED">
            <w:pPr>
              <w:autoSpaceDE w:val="0"/>
              <w:autoSpaceDN w:val="0"/>
              <w:adjustRightInd w:val="0"/>
              <w:jc w:val="center"/>
              <w:rPr>
                <w:b/>
              </w:rPr>
            </w:pPr>
            <w:r w:rsidRPr="0065682E">
              <w:rPr>
                <w:b/>
              </w:rPr>
              <w:t>20</w:t>
            </w:r>
            <w:r w:rsidR="00C71AED" w:rsidRPr="0065682E">
              <w:rPr>
                <w:b/>
              </w:rPr>
              <w:t>10</w:t>
            </w:r>
            <w:r w:rsidRPr="0065682E">
              <w:rPr>
                <w:b/>
              </w:rPr>
              <w:t>/1</w:t>
            </w:r>
            <w:r w:rsidR="00C71AED" w:rsidRPr="0065682E">
              <w:rPr>
                <w:b/>
              </w:rPr>
              <w:t>1</w:t>
            </w:r>
          </w:p>
        </w:tc>
      </w:tr>
      <w:tr w:rsidR="00A62F07" w:rsidRPr="0065682E" w:rsidTr="005C3EAA">
        <w:tc>
          <w:tcPr>
            <w:tcW w:w="8080" w:type="dxa"/>
          </w:tcPr>
          <w:p w:rsidR="00A62F07" w:rsidRPr="0065682E" w:rsidRDefault="00A62F07" w:rsidP="00DA4D69">
            <w:pPr>
              <w:autoSpaceDE w:val="0"/>
              <w:autoSpaceDN w:val="0"/>
              <w:adjustRightInd w:val="0"/>
              <w:jc w:val="both"/>
            </w:pPr>
          </w:p>
        </w:tc>
        <w:tc>
          <w:tcPr>
            <w:tcW w:w="1134" w:type="dxa"/>
          </w:tcPr>
          <w:p w:rsidR="00A62F07" w:rsidRPr="0065682E" w:rsidRDefault="00A62F07" w:rsidP="00DA4D69">
            <w:pPr>
              <w:autoSpaceDE w:val="0"/>
              <w:autoSpaceDN w:val="0"/>
              <w:adjustRightInd w:val="0"/>
              <w:jc w:val="center"/>
              <w:rPr>
                <w:b/>
              </w:rPr>
            </w:pPr>
            <w:r w:rsidRPr="0065682E">
              <w:rPr>
                <w:b/>
              </w:rPr>
              <w:t>£000</w:t>
            </w:r>
          </w:p>
        </w:tc>
        <w:tc>
          <w:tcPr>
            <w:tcW w:w="1134" w:type="dxa"/>
          </w:tcPr>
          <w:p w:rsidR="00A62F07" w:rsidRPr="0065682E" w:rsidRDefault="00A62F07" w:rsidP="00DA4D69">
            <w:pPr>
              <w:autoSpaceDE w:val="0"/>
              <w:autoSpaceDN w:val="0"/>
              <w:adjustRightInd w:val="0"/>
              <w:jc w:val="center"/>
              <w:rPr>
                <w:b/>
              </w:rPr>
            </w:pPr>
            <w:r w:rsidRPr="0065682E">
              <w:rPr>
                <w:b/>
              </w:rPr>
              <w:t>£000</w:t>
            </w:r>
          </w:p>
        </w:tc>
      </w:tr>
      <w:tr w:rsidR="00C71AED" w:rsidRPr="0065682E" w:rsidTr="005C3EAA">
        <w:tc>
          <w:tcPr>
            <w:tcW w:w="8080" w:type="dxa"/>
          </w:tcPr>
          <w:p w:rsidR="00C71AED" w:rsidRPr="0065682E" w:rsidRDefault="00C71AED" w:rsidP="00DA4D69">
            <w:pPr>
              <w:autoSpaceDE w:val="0"/>
              <w:autoSpaceDN w:val="0"/>
              <w:adjustRightInd w:val="0"/>
              <w:jc w:val="both"/>
            </w:pPr>
            <w:r w:rsidRPr="0065682E">
              <w:t xml:space="preserve">Balance at 1 April </w:t>
            </w:r>
          </w:p>
        </w:tc>
        <w:tc>
          <w:tcPr>
            <w:tcW w:w="1134" w:type="dxa"/>
            <w:vAlign w:val="center"/>
          </w:tcPr>
          <w:p w:rsidR="00C71AED" w:rsidRPr="0065682E" w:rsidRDefault="0065682E" w:rsidP="00055996">
            <w:pPr>
              <w:autoSpaceDE w:val="0"/>
              <w:autoSpaceDN w:val="0"/>
              <w:adjustRightInd w:val="0"/>
              <w:jc w:val="right"/>
            </w:pPr>
            <w:r w:rsidRPr="0065682E">
              <w:t>(37,890)</w:t>
            </w:r>
          </w:p>
        </w:tc>
        <w:tc>
          <w:tcPr>
            <w:tcW w:w="1134" w:type="dxa"/>
            <w:vAlign w:val="center"/>
          </w:tcPr>
          <w:p w:rsidR="00C71AED" w:rsidRPr="0065682E" w:rsidRDefault="00C71AED" w:rsidP="00C71AED">
            <w:pPr>
              <w:autoSpaceDE w:val="0"/>
              <w:autoSpaceDN w:val="0"/>
              <w:adjustRightInd w:val="0"/>
              <w:jc w:val="right"/>
            </w:pPr>
            <w:r w:rsidRPr="0065682E">
              <w:t>(46,992)</w:t>
            </w:r>
          </w:p>
        </w:tc>
      </w:tr>
      <w:tr w:rsidR="00C71AED" w:rsidRPr="0065682E" w:rsidTr="005C3EAA">
        <w:tc>
          <w:tcPr>
            <w:tcW w:w="8080" w:type="dxa"/>
          </w:tcPr>
          <w:p w:rsidR="00C71AED" w:rsidRPr="0065682E" w:rsidRDefault="00C71AED" w:rsidP="00DA4D69">
            <w:pPr>
              <w:autoSpaceDE w:val="0"/>
              <w:autoSpaceDN w:val="0"/>
              <w:adjustRightInd w:val="0"/>
              <w:jc w:val="both"/>
            </w:pPr>
            <w:r w:rsidRPr="0065682E">
              <w:t>Settlement or cancellation of accrual made at the end of the preceding year</w:t>
            </w:r>
          </w:p>
        </w:tc>
        <w:tc>
          <w:tcPr>
            <w:tcW w:w="1134" w:type="dxa"/>
            <w:tcBorders>
              <w:bottom w:val="single" w:sz="4" w:space="0" w:color="auto"/>
            </w:tcBorders>
            <w:vAlign w:val="center"/>
          </w:tcPr>
          <w:p w:rsidR="00C71AED" w:rsidRPr="0065682E" w:rsidRDefault="0065682E" w:rsidP="00055996">
            <w:pPr>
              <w:tabs>
                <w:tab w:val="center" w:pos="1026"/>
              </w:tabs>
              <w:autoSpaceDE w:val="0"/>
              <w:autoSpaceDN w:val="0"/>
              <w:adjustRightInd w:val="0"/>
              <w:jc w:val="right"/>
            </w:pPr>
            <w:r w:rsidRPr="0065682E">
              <w:t>37,890</w:t>
            </w:r>
          </w:p>
        </w:tc>
        <w:tc>
          <w:tcPr>
            <w:tcW w:w="1134" w:type="dxa"/>
            <w:tcBorders>
              <w:bottom w:val="single" w:sz="4" w:space="0" w:color="auto"/>
            </w:tcBorders>
            <w:vAlign w:val="center"/>
          </w:tcPr>
          <w:p w:rsidR="00C71AED" w:rsidRPr="0065682E" w:rsidRDefault="00C71AED" w:rsidP="00C71AED">
            <w:pPr>
              <w:tabs>
                <w:tab w:val="center" w:pos="1026"/>
              </w:tabs>
              <w:autoSpaceDE w:val="0"/>
              <w:autoSpaceDN w:val="0"/>
              <w:adjustRightInd w:val="0"/>
              <w:jc w:val="right"/>
            </w:pPr>
            <w:r w:rsidRPr="0065682E">
              <w:t>46,992</w:t>
            </w:r>
          </w:p>
        </w:tc>
      </w:tr>
      <w:tr w:rsidR="00C71AED" w:rsidRPr="0065682E" w:rsidTr="005C3EAA">
        <w:tc>
          <w:tcPr>
            <w:tcW w:w="8080" w:type="dxa"/>
          </w:tcPr>
          <w:p w:rsidR="00C71AED" w:rsidRPr="0065682E" w:rsidRDefault="00C71AED" w:rsidP="00DA4D69">
            <w:pPr>
              <w:autoSpaceDE w:val="0"/>
              <w:autoSpaceDN w:val="0"/>
              <w:adjustRightInd w:val="0"/>
              <w:jc w:val="both"/>
            </w:pPr>
            <w:r w:rsidRPr="0065682E">
              <w:t>Amounts accrued at the end of the current year</w:t>
            </w:r>
          </w:p>
        </w:tc>
        <w:tc>
          <w:tcPr>
            <w:tcW w:w="1134" w:type="dxa"/>
            <w:tcBorders>
              <w:bottom w:val="single" w:sz="12" w:space="0" w:color="auto"/>
            </w:tcBorders>
            <w:vAlign w:val="center"/>
          </w:tcPr>
          <w:p w:rsidR="00C71AED" w:rsidRPr="0065682E" w:rsidRDefault="0065682E" w:rsidP="00055996">
            <w:pPr>
              <w:autoSpaceDE w:val="0"/>
              <w:autoSpaceDN w:val="0"/>
              <w:adjustRightInd w:val="0"/>
              <w:jc w:val="right"/>
            </w:pPr>
            <w:r w:rsidRPr="0065682E">
              <w:t>(29,432)</w:t>
            </w:r>
          </w:p>
        </w:tc>
        <w:tc>
          <w:tcPr>
            <w:tcW w:w="1134" w:type="dxa"/>
            <w:tcBorders>
              <w:bottom w:val="single" w:sz="12" w:space="0" w:color="auto"/>
            </w:tcBorders>
            <w:vAlign w:val="center"/>
          </w:tcPr>
          <w:p w:rsidR="00C71AED" w:rsidRPr="0065682E" w:rsidRDefault="00C71AED" w:rsidP="00C71AED">
            <w:pPr>
              <w:autoSpaceDE w:val="0"/>
              <w:autoSpaceDN w:val="0"/>
              <w:adjustRightInd w:val="0"/>
              <w:jc w:val="right"/>
            </w:pPr>
            <w:r w:rsidRPr="0065682E">
              <w:t>(37,890)</w:t>
            </w:r>
          </w:p>
        </w:tc>
      </w:tr>
      <w:tr w:rsidR="00C71AED" w:rsidRPr="0065682E" w:rsidTr="00302392">
        <w:tc>
          <w:tcPr>
            <w:tcW w:w="8080" w:type="dxa"/>
          </w:tcPr>
          <w:p w:rsidR="00C71AED" w:rsidRPr="0065682E" w:rsidRDefault="00C71AED" w:rsidP="00DA4D69">
            <w:pPr>
              <w:autoSpaceDE w:val="0"/>
              <w:autoSpaceDN w:val="0"/>
              <w:adjustRightInd w:val="0"/>
              <w:jc w:val="both"/>
            </w:pPr>
            <w:r w:rsidRPr="0065682E">
              <w:t>Amount by which officer remuneration charged to the Comprehensive Income and Expenditure Statement on an accruals basis is different from remuneration chargeable in the year in accordance with statutory requirements</w:t>
            </w:r>
          </w:p>
        </w:tc>
        <w:tc>
          <w:tcPr>
            <w:tcW w:w="1134" w:type="dxa"/>
            <w:tcBorders>
              <w:top w:val="single" w:sz="12" w:space="0" w:color="auto"/>
              <w:bottom w:val="single" w:sz="12" w:space="0" w:color="auto"/>
            </w:tcBorders>
            <w:vAlign w:val="center"/>
          </w:tcPr>
          <w:p w:rsidR="00C71AED" w:rsidRPr="0065682E" w:rsidRDefault="0065682E" w:rsidP="00400DCE">
            <w:pPr>
              <w:autoSpaceDE w:val="0"/>
              <w:autoSpaceDN w:val="0"/>
              <w:adjustRightInd w:val="0"/>
              <w:jc w:val="right"/>
            </w:pPr>
            <w:r w:rsidRPr="0065682E">
              <w:t>8,458</w:t>
            </w:r>
          </w:p>
        </w:tc>
        <w:tc>
          <w:tcPr>
            <w:tcW w:w="1134" w:type="dxa"/>
            <w:tcBorders>
              <w:top w:val="single" w:sz="12" w:space="0" w:color="auto"/>
              <w:bottom w:val="single" w:sz="12" w:space="0" w:color="auto"/>
            </w:tcBorders>
            <w:vAlign w:val="center"/>
          </w:tcPr>
          <w:p w:rsidR="00C71AED" w:rsidRPr="0065682E" w:rsidRDefault="00C71AED" w:rsidP="00C71AED">
            <w:pPr>
              <w:autoSpaceDE w:val="0"/>
              <w:autoSpaceDN w:val="0"/>
              <w:adjustRightInd w:val="0"/>
              <w:jc w:val="right"/>
            </w:pPr>
            <w:r w:rsidRPr="0065682E">
              <w:t>9,101</w:t>
            </w:r>
          </w:p>
        </w:tc>
      </w:tr>
      <w:tr w:rsidR="00C71AED" w:rsidRPr="00286C0E" w:rsidTr="00302392">
        <w:tc>
          <w:tcPr>
            <w:tcW w:w="8080" w:type="dxa"/>
          </w:tcPr>
          <w:p w:rsidR="00C71AED" w:rsidRPr="0065682E" w:rsidRDefault="00C71AED" w:rsidP="00DA4D69">
            <w:pPr>
              <w:autoSpaceDE w:val="0"/>
              <w:autoSpaceDN w:val="0"/>
              <w:adjustRightInd w:val="0"/>
              <w:jc w:val="both"/>
              <w:rPr>
                <w:b/>
              </w:rPr>
            </w:pPr>
            <w:r w:rsidRPr="0065682E">
              <w:rPr>
                <w:b/>
              </w:rPr>
              <w:t>Balance at 31 March</w:t>
            </w:r>
          </w:p>
        </w:tc>
        <w:tc>
          <w:tcPr>
            <w:tcW w:w="1134" w:type="dxa"/>
            <w:tcBorders>
              <w:top w:val="single" w:sz="12" w:space="0" w:color="auto"/>
              <w:bottom w:val="double" w:sz="6" w:space="0" w:color="auto"/>
            </w:tcBorders>
            <w:vAlign w:val="center"/>
          </w:tcPr>
          <w:p w:rsidR="00C71AED" w:rsidRPr="0065682E" w:rsidRDefault="0065682E" w:rsidP="00055996">
            <w:pPr>
              <w:autoSpaceDE w:val="0"/>
              <w:autoSpaceDN w:val="0"/>
              <w:adjustRightInd w:val="0"/>
              <w:jc w:val="right"/>
              <w:rPr>
                <w:b/>
              </w:rPr>
            </w:pPr>
            <w:r w:rsidRPr="0065682E">
              <w:rPr>
                <w:b/>
              </w:rPr>
              <w:t>(29,432)</w:t>
            </w:r>
          </w:p>
        </w:tc>
        <w:tc>
          <w:tcPr>
            <w:tcW w:w="1134" w:type="dxa"/>
            <w:tcBorders>
              <w:top w:val="single" w:sz="12" w:space="0" w:color="auto"/>
              <w:bottom w:val="double" w:sz="6" w:space="0" w:color="auto"/>
            </w:tcBorders>
            <w:vAlign w:val="center"/>
          </w:tcPr>
          <w:p w:rsidR="00C71AED" w:rsidRPr="0065682E" w:rsidRDefault="00C71AED" w:rsidP="00C71AED">
            <w:pPr>
              <w:autoSpaceDE w:val="0"/>
              <w:autoSpaceDN w:val="0"/>
              <w:adjustRightInd w:val="0"/>
              <w:jc w:val="right"/>
              <w:rPr>
                <w:b/>
              </w:rPr>
            </w:pPr>
            <w:r w:rsidRPr="0065682E">
              <w:rPr>
                <w:b/>
              </w:rPr>
              <w:t>(37,890)</w:t>
            </w:r>
          </w:p>
        </w:tc>
      </w:tr>
    </w:tbl>
    <w:p w:rsidR="00875351" w:rsidRPr="00286C0E" w:rsidRDefault="00875351" w:rsidP="00DA6557">
      <w:pPr>
        <w:jc w:val="both"/>
        <w:rPr>
          <w:highlight w:val="yellow"/>
        </w:rPr>
      </w:pPr>
    </w:p>
    <w:p w:rsidR="00712CEB" w:rsidRPr="009B287B" w:rsidRDefault="00712CEB" w:rsidP="00BD07E4">
      <w:pPr>
        <w:numPr>
          <w:ilvl w:val="0"/>
          <w:numId w:val="21"/>
        </w:numPr>
        <w:jc w:val="both"/>
        <w:rPr>
          <w:b/>
        </w:rPr>
      </w:pPr>
      <w:r w:rsidRPr="009B287B">
        <w:rPr>
          <w:b/>
        </w:rPr>
        <w:t>Long Term Debtors</w:t>
      </w:r>
    </w:p>
    <w:p w:rsidR="00712CEB" w:rsidRPr="009B287B" w:rsidRDefault="00712CEB" w:rsidP="00712CEB">
      <w:pPr>
        <w:jc w:val="both"/>
        <w:rPr>
          <w:b/>
        </w:rPr>
      </w:pPr>
    </w:p>
    <w:p w:rsidR="00712CEB" w:rsidRPr="009B287B" w:rsidRDefault="00712CEB" w:rsidP="00712CEB">
      <w:pPr>
        <w:ind w:left="720"/>
        <w:jc w:val="both"/>
      </w:pPr>
      <w:r w:rsidRPr="009B287B">
        <w:t>Long term debts to the authority are shown below:</w:t>
      </w:r>
    </w:p>
    <w:p w:rsidR="00712CEB" w:rsidRPr="009B287B" w:rsidRDefault="00712CEB" w:rsidP="00712CEB">
      <w:pPr>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858"/>
        <w:gridCol w:w="1969"/>
      </w:tblGrid>
      <w:tr w:rsidR="00856DC9" w:rsidRPr="009B287B" w:rsidTr="00055996">
        <w:trPr>
          <w:jc w:val="center"/>
        </w:trPr>
        <w:tc>
          <w:tcPr>
            <w:tcW w:w="0" w:type="auto"/>
          </w:tcPr>
          <w:p w:rsidR="00856DC9" w:rsidRPr="009B287B" w:rsidRDefault="00856DC9" w:rsidP="00D73A7C">
            <w:pPr>
              <w:jc w:val="both"/>
            </w:pPr>
          </w:p>
        </w:tc>
        <w:tc>
          <w:tcPr>
            <w:tcW w:w="0" w:type="auto"/>
          </w:tcPr>
          <w:p w:rsidR="00856DC9" w:rsidRPr="009B287B" w:rsidRDefault="00856DC9" w:rsidP="00AC308D">
            <w:pPr>
              <w:jc w:val="right"/>
              <w:rPr>
                <w:b/>
              </w:rPr>
            </w:pPr>
            <w:r w:rsidRPr="009B287B">
              <w:rPr>
                <w:b/>
              </w:rPr>
              <w:t>31</w:t>
            </w:r>
            <w:r>
              <w:rPr>
                <w:b/>
              </w:rPr>
              <w:t xml:space="preserve"> March </w:t>
            </w:r>
            <w:r w:rsidRPr="009B287B">
              <w:rPr>
                <w:b/>
              </w:rPr>
              <w:t>2012</w:t>
            </w:r>
          </w:p>
        </w:tc>
        <w:tc>
          <w:tcPr>
            <w:tcW w:w="0" w:type="auto"/>
          </w:tcPr>
          <w:p w:rsidR="00856DC9" w:rsidRPr="009B287B" w:rsidRDefault="00856DC9" w:rsidP="00C71AED">
            <w:pPr>
              <w:jc w:val="right"/>
              <w:rPr>
                <w:b/>
              </w:rPr>
            </w:pPr>
            <w:r w:rsidRPr="009B287B">
              <w:rPr>
                <w:b/>
              </w:rPr>
              <w:t>31</w:t>
            </w:r>
            <w:r>
              <w:rPr>
                <w:b/>
                <w:vertAlign w:val="superscript"/>
              </w:rPr>
              <w:t xml:space="preserve"> </w:t>
            </w:r>
            <w:r w:rsidRPr="009B287B">
              <w:rPr>
                <w:b/>
              </w:rPr>
              <w:t xml:space="preserve"> March  2011</w:t>
            </w:r>
          </w:p>
        </w:tc>
      </w:tr>
      <w:tr w:rsidR="00856DC9" w:rsidRPr="009B287B" w:rsidTr="00055996">
        <w:trPr>
          <w:jc w:val="center"/>
        </w:trPr>
        <w:tc>
          <w:tcPr>
            <w:tcW w:w="0" w:type="auto"/>
          </w:tcPr>
          <w:p w:rsidR="00856DC9" w:rsidRPr="009B287B" w:rsidRDefault="00856DC9" w:rsidP="00D73A7C">
            <w:pPr>
              <w:jc w:val="both"/>
            </w:pPr>
          </w:p>
        </w:tc>
        <w:tc>
          <w:tcPr>
            <w:tcW w:w="0" w:type="auto"/>
          </w:tcPr>
          <w:p w:rsidR="00856DC9" w:rsidRPr="009B287B" w:rsidRDefault="00856DC9" w:rsidP="00257923">
            <w:pPr>
              <w:jc w:val="right"/>
              <w:rPr>
                <w:b/>
              </w:rPr>
            </w:pPr>
            <w:r>
              <w:rPr>
                <w:b/>
              </w:rPr>
              <w:t>£000</w:t>
            </w:r>
          </w:p>
        </w:tc>
        <w:tc>
          <w:tcPr>
            <w:tcW w:w="0" w:type="auto"/>
          </w:tcPr>
          <w:p w:rsidR="00856DC9" w:rsidRPr="009B287B" w:rsidRDefault="00856DC9" w:rsidP="00C71AED">
            <w:pPr>
              <w:jc w:val="right"/>
              <w:rPr>
                <w:b/>
              </w:rPr>
            </w:pPr>
            <w:r w:rsidRPr="009B287B">
              <w:rPr>
                <w:b/>
              </w:rPr>
              <w:t>£000</w:t>
            </w:r>
          </w:p>
        </w:tc>
      </w:tr>
      <w:tr w:rsidR="00856DC9" w:rsidRPr="009B287B" w:rsidTr="00302392">
        <w:trPr>
          <w:jc w:val="center"/>
        </w:trPr>
        <w:tc>
          <w:tcPr>
            <w:tcW w:w="0" w:type="auto"/>
          </w:tcPr>
          <w:p w:rsidR="00856DC9" w:rsidRPr="009B287B" w:rsidRDefault="00856DC9" w:rsidP="00D73A7C">
            <w:pPr>
              <w:jc w:val="both"/>
            </w:pPr>
            <w:r w:rsidRPr="009B287B">
              <w:t>Transferred Debt</w:t>
            </w:r>
          </w:p>
        </w:tc>
        <w:tc>
          <w:tcPr>
            <w:tcW w:w="0" w:type="auto"/>
            <w:tcBorders>
              <w:bottom w:val="single" w:sz="4" w:space="0" w:color="auto"/>
            </w:tcBorders>
          </w:tcPr>
          <w:p w:rsidR="00856DC9" w:rsidRPr="009B287B" w:rsidRDefault="00856DC9" w:rsidP="00055996">
            <w:pPr>
              <w:jc w:val="right"/>
            </w:pPr>
            <w:r w:rsidRPr="009B287B">
              <w:t>45,227</w:t>
            </w:r>
          </w:p>
        </w:tc>
        <w:tc>
          <w:tcPr>
            <w:tcW w:w="0" w:type="auto"/>
            <w:tcBorders>
              <w:bottom w:val="single" w:sz="4" w:space="0" w:color="auto"/>
            </w:tcBorders>
          </w:tcPr>
          <w:p w:rsidR="00856DC9" w:rsidRPr="009B287B" w:rsidRDefault="00856DC9" w:rsidP="00C71AED">
            <w:pPr>
              <w:jc w:val="right"/>
            </w:pPr>
            <w:r w:rsidRPr="009B287B">
              <w:t>47,900</w:t>
            </w:r>
          </w:p>
        </w:tc>
      </w:tr>
      <w:tr w:rsidR="00856DC9" w:rsidRPr="009B287B" w:rsidTr="00302392">
        <w:trPr>
          <w:jc w:val="center"/>
        </w:trPr>
        <w:tc>
          <w:tcPr>
            <w:tcW w:w="0" w:type="auto"/>
          </w:tcPr>
          <w:p w:rsidR="00856DC9" w:rsidRPr="009B287B" w:rsidRDefault="00856DC9" w:rsidP="00D73A7C">
            <w:pPr>
              <w:jc w:val="both"/>
              <w:rPr>
                <w:b/>
              </w:rPr>
            </w:pPr>
            <w:r w:rsidRPr="009B287B">
              <w:rPr>
                <w:b/>
              </w:rPr>
              <w:t>Total</w:t>
            </w:r>
          </w:p>
        </w:tc>
        <w:tc>
          <w:tcPr>
            <w:tcW w:w="0" w:type="auto"/>
            <w:tcBorders>
              <w:bottom w:val="double" w:sz="6" w:space="0" w:color="auto"/>
            </w:tcBorders>
          </w:tcPr>
          <w:p w:rsidR="00856DC9" w:rsidRPr="009B287B" w:rsidRDefault="00856DC9" w:rsidP="00055996">
            <w:pPr>
              <w:jc w:val="right"/>
              <w:rPr>
                <w:b/>
              </w:rPr>
            </w:pPr>
            <w:r w:rsidRPr="009B287B">
              <w:rPr>
                <w:b/>
              </w:rPr>
              <w:t>45,227</w:t>
            </w:r>
          </w:p>
        </w:tc>
        <w:tc>
          <w:tcPr>
            <w:tcW w:w="0" w:type="auto"/>
            <w:tcBorders>
              <w:bottom w:val="double" w:sz="6" w:space="0" w:color="auto"/>
            </w:tcBorders>
          </w:tcPr>
          <w:p w:rsidR="00856DC9" w:rsidRPr="009B287B" w:rsidRDefault="00856DC9" w:rsidP="00C71AED">
            <w:pPr>
              <w:jc w:val="right"/>
              <w:rPr>
                <w:b/>
              </w:rPr>
            </w:pPr>
            <w:r w:rsidRPr="009B287B">
              <w:rPr>
                <w:b/>
              </w:rPr>
              <w:t>47,900</w:t>
            </w:r>
          </w:p>
        </w:tc>
      </w:tr>
    </w:tbl>
    <w:p w:rsidR="00712CEB" w:rsidRPr="009B287B" w:rsidRDefault="00712CEB" w:rsidP="00A17805">
      <w:pPr>
        <w:jc w:val="both"/>
      </w:pPr>
    </w:p>
    <w:p w:rsidR="00712CEB" w:rsidRPr="009B287B" w:rsidRDefault="00712CEB" w:rsidP="00712CEB">
      <w:pPr>
        <w:ind w:left="720"/>
        <w:jc w:val="both"/>
        <w:rPr>
          <w:b/>
        </w:rPr>
      </w:pPr>
    </w:p>
    <w:p w:rsidR="00712CEB" w:rsidRPr="009B287B" w:rsidRDefault="00712CEB" w:rsidP="00712CEB">
      <w:pPr>
        <w:ind w:left="720"/>
        <w:jc w:val="both"/>
      </w:pPr>
      <w:r w:rsidRPr="009B287B">
        <w:t>Transferred debt is debt which we manage for other authorities</w:t>
      </w:r>
      <w:r w:rsidR="00A301AA">
        <w:t xml:space="preserve"> as a result of various local government reorganisations</w:t>
      </w:r>
      <w:r w:rsidRPr="009B287B">
        <w:t>, which is being repaid over time.</w:t>
      </w:r>
    </w:p>
    <w:p w:rsidR="00712CEB" w:rsidRPr="009B287B" w:rsidRDefault="00712CEB" w:rsidP="00712CEB">
      <w:pPr>
        <w:ind w:left="720"/>
        <w:jc w:val="both"/>
        <w:rPr>
          <w:b/>
        </w:rPr>
      </w:pPr>
    </w:p>
    <w:p w:rsidR="006C142B" w:rsidRPr="00FE0ABB" w:rsidRDefault="006C142B" w:rsidP="00BD07E4">
      <w:pPr>
        <w:numPr>
          <w:ilvl w:val="0"/>
          <w:numId w:val="21"/>
        </w:numPr>
        <w:rPr>
          <w:b/>
        </w:rPr>
      </w:pPr>
      <w:r w:rsidRPr="00FE0ABB">
        <w:rPr>
          <w:b/>
        </w:rPr>
        <w:t>Deferred consideration</w:t>
      </w:r>
    </w:p>
    <w:p w:rsidR="006C142B" w:rsidRPr="00FE0ABB" w:rsidRDefault="006C142B" w:rsidP="006C142B">
      <w:pPr>
        <w:rPr>
          <w:b/>
        </w:rPr>
      </w:pPr>
    </w:p>
    <w:p w:rsidR="00FE0ABB" w:rsidRPr="00FE0ABB" w:rsidRDefault="00FE0ABB" w:rsidP="00FE0ABB">
      <w:pPr>
        <w:ind w:left="720"/>
        <w:jc w:val="both"/>
      </w:pPr>
      <w:r w:rsidRPr="00FE0ABB">
        <w:t>Deferred consideration relates to the difference between the market value of the land transferred at zero value to the contractors as part of the Lancashire Waste PFI schemes and the estimated value of the land subject to PFI restrictions. However, during 2011/12 the waste PFI scheme reached commencement stage and under the accounting regulations the assets, including the land now forms part of the Balance Sheet. The deferred consideration has therefore been written out to n</w:t>
      </w:r>
      <w:r w:rsidR="003768B7">
        <w:t>il compared to a balance at 31 March 20</w:t>
      </w:r>
      <w:r w:rsidRPr="00FE0ABB">
        <w:t>11 of £3.263m.</w:t>
      </w:r>
    </w:p>
    <w:p w:rsidR="00FE0ABB" w:rsidRDefault="00FE0ABB" w:rsidP="006C142B">
      <w:pPr>
        <w:ind w:left="720"/>
        <w:jc w:val="both"/>
        <w:rPr>
          <w:highlight w:val="yellow"/>
        </w:rPr>
      </w:pPr>
    </w:p>
    <w:p w:rsidR="006C142B" w:rsidRPr="00407111" w:rsidRDefault="006C142B" w:rsidP="00BD07E4">
      <w:pPr>
        <w:numPr>
          <w:ilvl w:val="0"/>
          <w:numId w:val="21"/>
        </w:numPr>
        <w:jc w:val="both"/>
      </w:pPr>
      <w:r w:rsidRPr="00407111">
        <w:rPr>
          <w:b/>
        </w:rPr>
        <w:t xml:space="preserve">Deferred liabilities </w:t>
      </w:r>
    </w:p>
    <w:p w:rsidR="006C142B" w:rsidRPr="00407111" w:rsidRDefault="006C142B" w:rsidP="006C142B">
      <w:pPr>
        <w:ind w:left="720"/>
        <w:jc w:val="both"/>
      </w:pPr>
    </w:p>
    <w:p w:rsidR="006C142B" w:rsidRPr="00407111" w:rsidRDefault="006C142B" w:rsidP="006C142B">
      <w:pPr>
        <w:spacing w:after="240"/>
        <w:ind w:left="720"/>
        <w:jc w:val="both"/>
      </w:pPr>
      <w:r w:rsidRPr="00407111">
        <w:t>Deferred liabilities consist of liabilities which by arrangement are payable beyond the next year at some point in the future, or paid off by annual lump sum over a period of time.</w:t>
      </w:r>
    </w:p>
    <w:p w:rsidR="006C142B" w:rsidRPr="00407111" w:rsidRDefault="006C142B" w:rsidP="00A6123A">
      <w:pPr>
        <w:spacing w:after="240"/>
        <w:ind w:left="720"/>
        <w:jc w:val="both"/>
      </w:pPr>
      <w:r w:rsidRPr="00407111">
        <w:t>The table below breaks down the amount we owe.</w:t>
      </w:r>
    </w:p>
    <w:tbl>
      <w:tblPr>
        <w:tblW w:w="0" w:type="auto"/>
        <w:tblInd w:w="738" w:type="dxa"/>
        <w:tblLayout w:type="fixed"/>
        <w:tblLook w:val="0000"/>
      </w:tblPr>
      <w:tblGrid>
        <w:gridCol w:w="5891"/>
        <w:gridCol w:w="1378"/>
        <w:gridCol w:w="1378"/>
      </w:tblGrid>
      <w:tr w:rsidR="00C5028E" w:rsidRPr="00407111" w:rsidTr="005C0D19">
        <w:trPr>
          <w:cantSplit/>
        </w:trPr>
        <w:tc>
          <w:tcPr>
            <w:tcW w:w="5891" w:type="dxa"/>
          </w:tcPr>
          <w:p w:rsidR="00C5028E" w:rsidRPr="00407111" w:rsidRDefault="00C5028E" w:rsidP="006C142B">
            <w:pPr>
              <w:rPr>
                <w:b/>
                <w:sz w:val="22"/>
              </w:rPr>
            </w:pPr>
          </w:p>
        </w:tc>
        <w:tc>
          <w:tcPr>
            <w:tcW w:w="1378" w:type="dxa"/>
            <w:shd w:val="clear" w:color="00FFFF" w:fill="auto"/>
          </w:tcPr>
          <w:p w:rsidR="00C5028E" w:rsidRPr="00407111" w:rsidRDefault="00C5028E" w:rsidP="005C0D19">
            <w:pPr>
              <w:tabs>
                <w:tab w:val="decimal" w:pos="1003"/>
              </w:tabs>
              <w:jc w:val="center"/>
              <w:rPr>
                <w:b/>
                <w:sz w:val="22"/>
              </w:rPr>
            </w:pPr>
            <w:r w:rsidRPr="00407111">
              <w:rPr>
                <w:b/>
                <w:sz w:val="22"/>
              </w:rPr>
              <w:t>31 March</w:t>
            </w:r>
          </w:p>
        </w:tc>
        <w:tc>
          <w:tcPr>
            <w:tcW w:w="1378" w:type="dxa"/>
            <w:shd w:val="clear" w:color="00FFFF" w:fill="auto"/>
          </w:tcPr>
          <w:p w:rsidR="00C5028E" w:rsidRPr="00407111" w:rsidRDefault="00C5028E" w:rsidP="005C0D19">
            <w:pPr>
              <w:tabs>
                <w:tab w:val="decimal" w:pos="1003"/>
              </w:tabs>
              <w:jc w:val="center"/>
              <w:rPr>
                <w:b/>
                <w:sz w:val="22"/>
              </w:rPr>
            </w:pPr>
            <w:r w:rsidRPr="00407111">
              <w:rPr>
                <w:b/>
                <w:sz w:val="22"/>
              </w:rPr>
              <w:t>31 March</w:t>
            </w:r>
          </w:p>
        </w:tc>
      </w:tr>
      <w:tr w:rsidR="00C5028E" w:rsidRPr="00407111" w:rsidTr="005C0D19">
        <w:trPr>
          <w:cantSplit/>
        </w:trPr>
        <w:tc>
          <w:tcPr>
            <w:tcW w:w="5891" w:type="dxa"/>
          </w:tcPr>
          <w:p w:rsidR="00C5028E" w:rsidRPr="00407111" w:rsidRDefault="00C5028E" w:rsidP="006C142B">
            <w:pPr>
              <w:rPr>
                <w:b/>
                <w:sz w:val="22"/>
              </w:rPr>
            </w:pPr>
          </w:p>
        </w:tc>
        <w:tc>
          <w:tcPr>
            <w:tcW w:w="1378" w:type="dxa"/>
            <w:shd w:val="clear" w:color="00FFFF" w:fill="auto"/>
          </w:tcPr>
          <w:p w:rsidR="00C5028E" w:rsidRPr="00407111" w:rsidRDefault="00C5028E" w:rsidP="00C71AED">
            <w:pPr>
              <w:tabs>
                <w:tab w:val="decimal" w:pos="1003"/>
              </w:tabs>
              <w:jc w:val="center"/>
              <w:rPr>
                <w:b/>
                <w:sz w:val="22"/>
              </w:rPr>
            </w:pPr>
            <w:r w:rsidRPr="00407111">
              <w:rPr>
                <w:b/>
                <w:sz w:val="22"/>
              </w:rPr>
              <w:t>2012</w:t>
            </w:r>
          </w:p>
        </w:tc>
        <w:tc>
          <w:tcPr>
            <w:tcW w:w="1378" w:type="dxa"/>
            <w:shd w:val="clear" w:color="00FFFF" w:fill="auto"/>
          </w:tcPr>
          <w:p w:rsidR="00C5028E" w:rsidRPr="00407111" w:rsidRDefault="00C5028E" w:rsidP="00C71AED">
            <w:pPr>
              <w:tabs>
                <w:tab w:val="decimal" w:pos="1003"/>
              </w:tabs>
              <w:jc w:val="center"/>
              <w:rPr>
                <w:b/>
                <w:sz w:val="22"/>
              </w:rPr>
            </w:pPr>
            <w:r w:rsidRPr="00407111">
              <w:rPr>
                <w:b/>
                <w:sz w:val="22"/>
              </w:rPr>
              <w:t>2011</w:t>
            </w:r>
          </w:p>
        </w:tc>
      </w:tr>
      <w:tr w:rsidR="00C5028E" w:rsidRPr="00407111" w:rsidTr="005C0D19">
        <w:trPr>
          <w:cantSplit/>
        </w:trPr>
        <w:tc>
          <w:tcPr>
            <w:tcW w:w="5891" w:type="dxa"/>
          </w:tcPr>
          <w:p w:rsidR="00C5028E" w:rsidRPr="00407111" w:rsidRDefault="00C5028E" w:rsidP="006C142B">
            <w:pPr>
              <w:rPr>
                <w:sz w:val="22"/>
              </w:rPr>
            </w:pPr>
          </w:p>
        </w:tc>
        <w:tc>
          <w:tcPr>
            <w:tcW w:w="1378" w:type="dxa"/>
            <w:tcBorders>
              <w:bottom w:val="single" w:sz="4" w:space="0" w:color="auto"/>
            </w:tcBorders>
            <w:shd w:val="clear" w:color="00FFFF" w:fill="auto"/>
          </w:tcPr>
          <w:p w:rsidR="00C5028E" w:rsidRPr="00407111" w:rsidRDefault="00C5028E" w:rsidP="005C0D19">
            <w:pPr>
              <w:tabs>
                <w:tab w:val="decimal" w:pos="1003"/>
              </w:tabs>
              <w:jc w:val="center"/>
              <w:rPr>
                <w:b/>
                <w:sz w:val="22"/>
              </w:rPr>
            </w:pPr>
            <w:r w:rsidRPr="00407111">
              <w:rPr>
                <w:b/>
                <w:sz w:val="22"/>
              </w:rPr>
              <w:t>£000</w:t>
            </w:r>
          </w:p>
        </w:tc>
        <w:tc>
          <w:tcPr>
            <w:tcW w:w="1378" w:type="dxa"/>
            <w:tcBorders>
              <w:bottom w:val="single" w:sz="4" w:space="0" w:color="auto"/>
            </w:tcBorders>
            <w:shd w:val="clear" w:color="00FFFF" w:fill="auto"/>
          </w:tcPr>
          <w:p w:rsidR="00C5028E" w:rsidRPr="00407111" w:rsidRDefault="00C5028E" w:rsidP="005C0D19">
            <w:pPr>
              <w:tabs>
                <w:tab w:val="decimal" w:pos="1003"/>
              </w:tabs>
              <w:jc w:val="center"/>
              <w:rPr>
                <w:b/>
                <w:sz w:val="22"/>
              </w:rPr>
            </w:pPr>
            <w:r w:rsidRPr="00407111">
              <w:rPr>
                <w:b/>
                <w:sz w:val="22"/>
              </w:rPr>
              <w:t>£000</w:t>
            </w:r>
          </w:p>
        </w:tc>
      </w:tr>
      <w:tr w:rsidR="00C5028E" w:rsidRPr="00407111" w:rsidTr="00C326EA">
        <w:trPr>
          <w:cantSplit/>
          <w:trHeight w:val="288"/>
        </w:trPr>
        <w:tc>
          <w:tcPr>
            <w:tcW w:w="5891" w:type="dxa"/>
            <w:vAlign w:val="bottom"/>
          </w:tcPr>
          <w:p w:rsidR="00C5028E" w:rsidRPr="00407111" w:rsidRDefault="00C5028E" w:rsidP="006C142B">
            <w:pPr>
              <w:rPr>
                <w:sz w:val="22"/>
              </w:rPr>
            </w:pPr>
            <w:r w:rsidRPr="00407111">
              <w:rPr>
                <w:sz w:val="22"/>
              </w:rPr>
              <w:t>Premiums paid by university</w:t>
            </w:r>
          </w:p>
        </w:tc>
        <w:tc>
          <w:tcPr>
            <w:tcW w:w="1378" w:type="dxa"/>
            <w:tcBorders>
              <w:top w:val="single" w:sz="4" w:space="0" w:color="auto"/>
            </w:tcBorders>
            <w:shd w:val="clear" w:color="00FFFF" w:fill="auto"/>
          </w:tcPr>
          <w:p w:rsidR="00C5028E" w:rsidRPr="00407111" w:rsidRDefault="00C5028E" w:rsidP="006C142B">
            <w:pPr>
              <w:pStyle w:val="Footer"/>
              <w:tabs>
                <w:tab w:val="clear" w:pos="4153"/>
                <w:tab w:val="clear" w:pos="8306"/>
                <w:tab w:val="decimal" w:pos="1003"/>
              </w:tabs>
              <w:jc w:val="center"/>
              <w:rPr>
                <w:sz w:val="22"/>
              </w:rPr>
            </w:pPr>
            <w:r w:rsidRPr="00407111">
              <w:rPr>
                <w:sz w:val="22"/>
              </w:rPr>
              <w:t>(334)</w:t>
            </w:r>
          </w:p>
        </w:tc>
        <w:tc>
          <w:tcPr>
            <w:tcW w:w="1378" w:type="dxa"/>
            <w:tcBorders>
              <w:top w:val="single" w:sz="4" w:space="0" w:color="auto"/>
            </w:tcBorders>
            <w:shd w:val="clear" w:color="00FFFF" w:fill="auto"/>
          </w:tcPr>
          <w:p w:rsidR="00C5028E" w:rsidRPr="00407111" w:rsidRDefault="00C5028E" w:rsidP="00C71AED">
            <w:pPr>
              <w:pStyle w:val="Footer"/>
              <w:tabs>
                <w:tab w:val="clear" w:pos="4153"/>
                <w:tab w:val="clear" w:pos="8306"/>
                <w:tab w:val="decimal" w:pos="1003"/>
              </w:tabs>
              <w:jc w:val="center"/>
              <w:rPr>
                <w:sz w:val="22"/>
              </w:rPr>
            </w:pPr>
            <w:r w:rsidRPr="00407111">
              <w:rPr>
                <w:sz w:val="22"/>
              </w:rPr>
              <w:t>(365)</w:t>
            </w:r>
          </w:p>
        </w:tc>
      </w:tr>
      <w:tr w:rsidR="00C5028E" w:rsidRPr="00407111" w:rsidTr="00C71AED">
        <w:trPr>
          <w:cantSplit/>
        </w:trPr>
        <w:tc>
          <w:tcPr>
            <w:tcW w:w="5891" w:type="dxa"/>
            <w:vAlign w:val="bottom"/>
          </w:tcPr>
          <w:p w:rsidR="00C5028E" w:rsidRPr="00407111" w:rsidRDefault="00C5028E" w:rsidP="006C142B">
            <w:pPr>
              <w:rPr>
                <w:sz w:val="22"/>
              </w:rPr>
            </w:pPr>
            <w:r w:rsidRPr="00407111">
              <w:rPr>
                <w:sz w:val="22"/>
              </w:rPr>
              <w:t>Fleetwood Sports College PFI development costs</w:t>
            </w:r>
          </w:p>
        </w:tc>
        <w:tc>
          <w:tcPr>
            <w:tcW w:w="1378" w:type="dxa"/>
            <w:shd w:val="clear" w:color="00FFFF" w:fill="auto"/>
            <w:vAlign w:val="center"/>
          </w:tcPr>
          <w:p w:rsidR="00C5028E" w:rsidRPr="00407111" w:rsidRDefault="00C5028E" w:rsidP="006C142B">
            <w:pPr>
              <w:pStyle w:val="Footer"/>
              <w:tabs>
                <w:tab w:val="clear" w:pos="4153"/>
                <w:tab w:val="clear" w:pos="8306"/>
                <w:tab w:val="decimal" w:pos="1003"/>
              </w:tabs>
              <w:jc w:val="center"/>
              <w:rPr>
                <w:sz w:val="22"/>
              </w:rPr>
            </w:pPr>
            <w:r w:rsidRPr="00407111">
              <w:rPr>
                <w:sz w:val="22"/>
              </w:rPr>
              <w:t>-</w:t>
            </w:r>
          </w:p>
        </w:tc>
        <w:tc>
          <w:tcPr>
            <w:tcW w:w="1378" w:type="dxa"/>
            <w:shd w:val="clear" w:color="00FFFF" w:fill="auto"/>
            <w:vAlign w:val="center"/>
          </w:tcPr>
          <w:p w:rsidR="00C5028E" w:rsidRPr="00407111" w:rsidRDefault="00C5028E" w:rsidP="00C71AED">
            <w:pPr>
              <w:pStyle w:val="Footer"/>
              <w:tabs>
                <w:tab w:val="clear" w:pos="4153"/>
                <w:tab w:val="clear" w:pos="8306"/>
                <w:tab w:val="decimal" w:pos="1003"/>
              </w:tabs>
              <w:jc w:val="center"/>
              <w:rPr>
                <w:sz w:val="22"/>
              </w:rPr>
            </w:pPr>
            <w:r w:rsidRPr="00407111">
              <w:rPr>
                <w:sz w:val="22"/>
              </w:rPr>
              <w:t>(164)</w:t>
            </w:r>
          </w:p>
        </w:tc>
      </w:tr>
      <w:tr w:rsidR="00C5028E" w:rsidRPr="00407111" w:rsidTr="00C71AED">
        <w:trPr>
          <w:cantSplit/>
        </w:trPr>
        <w:tc>
          <w:tcPr>
            <w:tcW w:w="5891" w:type="dxa"/>
            <w:vAlign w:val="bottom"/>
          </w:tcPr>
          <w:p w:rsidR="00C5028E" w:rsidRPr="00407111" w:rsidRDefault="00C5028E" w:rsidP="006C142B">
            <w:pPr>
              <w:rPr>
                <w:sz w:val="22"/>
              </w:rPr>
            </w:pPr>
            <w:r w:rsidRPr="00407111">
              <w:rPr>
                <w:sz w:val="22"/>
              </w:rPr>
              <w:t xml:space="preserve">Purchase of </w:t>
            </w:r>
            <w:smartTag w:uri="urn:schemas-microsoft-com:office:smarttags" w:element="place">
              <w:smartTag w:uri="urn:schemas-microsoft-com:office:smarttags" w:element="PlaceName">
                <w:r w:rsidRPr="00407111">
                  <w:rPr>
                    <w:sz w:val="22"/>
                  </w:rPr>
                  <w:t>Moor</w:t>
                </w:r>
              </w:smartTag>
              <w:r w:rsidRPr="00407111">
                <w:rPr>
                  <w:sz w:val="22"/>
                </w:rPr>
                <w:t xml:space="preserve"> </w:t>
              </w:r>
              <w:smartTag w:uri="urn:schemas-microsoft-com:office:smarttags" w:element="PlaceType">
                <w:r w:rsidRPr="00407111">
                  <w:rPr>
                    <w:sz w:val="22"/>
                  </w:rPr>
                  <w:t>Park</w:t>
                </w:r>
              </w:smartTag>
              <w:r w:rsidRPr="00407111">
                <w:rPr>
                  <w:sz w:val="22"/>
                </w:rPr>
                <w:t xml:space="preserve"> </w:t>
              </w:r>
              <w:smartTag w:uri="urn:schemas-microsoft-com:office:smarttags" w:element="PlaceType">
                <w:r w:rsidRPr="00407111">
                  <w:rPr>
                    <w:sz w:val="22"/>
                  </w:rPr>
                  <w:t>High School</w:t>
                </w:r>
              </w:smartTag>
            </w:smartTag>
          </w:p>
        </w:tc>
        <w:tc>
          <w:tcPr>
            <w:tcW w:w="1378" w:type="dxa"/>
            <w:shd w:val="clear" w:color="00FFFF" w:fill="auto"/>
            <w:vAlign w:val="center"/>
          </w:tcPr>
          <w:p w:rsidR="00C5028E" w:rsidRPr="00407111" w:rsidRDefault="00C5028E" w:rsidP="006C142B">
            <w:pPr>
              <w:pStyle w:val="Footer"/>
              <w:tabs>
                <w:tab w:val="clear" w:pos="4153"/>
                <w:tab w:val="clear" w:pos="8306"/>
                <w:tab w:val="decimal" w:pos="1003"/>
              </w:tabs>
              <w:jc w:val="center"/>
              <w:rPr>
                <w:sz w:val="22"/>
              </w:rPr>
            </w:pPr>
            <w:r w:rsidRPr="00407111">
              <w:rPr>
                <w:sz w:val="22"/>
              </w:rPr>
              <w:t>(154)</w:t>
            </w:r>
          </w:p>
        </w:tc>
        <w:tc>
          <w:tcPr>
            <w:tcW w:w="1378" w:type="dxa"/>
            <w:shd w:val="clear" w:color="00FFFF" w:fill="auto"/>
            <w:vAlign w:val="center"/>
          </w:tcPr>
          <w:p w:rsidR="00C5028E" w:rsidRPr="00407111" w:rsidRDefault="00C5028E" w:rsidP="00C71AED">
            <w:pPr>
              <w:pStyle w:val="Footer"/>
              <w:tabs>
                <w:tab w:val="clear" w:pos="4153"/>
                <w:tab w:val="clear" w:pos="8306"/>
                <w:tab w:val="decimal" w:pos="1003"/>
              </w:tabs>
              <w:jc w:val="center"/>
              <w:rPr>
                <w:sz w:val="22"/>
              </w:rPr>
            </w:pPr>
            <w:r w:rsidRPr="00407111">
              <w:rPr>
                <w:sz w:val="22"/>
              </w:rPr>
              <w:t>271</w:t>
            </w:r>
          </w:p>
        </w:tc>
      </w:tr>
      <w:tr w:rsidR="00C5028E" w:rsidRPr="00407111" w:rsidTr="00C71AED">
        <w:trPr>
          <w:cantSplit/>
        </w:trPr>
        <w:tc>
          <w:tcPr>
            <w:tcW w:w="5891" w:type="dxa"/>
            <w:vAlign w:val="bottom"/>
          </w:tcPr>
          <w:p w:rsidR="00C5028E" w:rsidRPr="00407111" w:rsidRDefault="00C5028E" w:rsidP="006C142B">
            <w:pPr>
              <w:rPr>
                <w:sz w:val="22"/>
              </w:rPr>
            </w:pPr>
            <w:r w:rsidRPr="00407111">
              <w:rPr>
                <w:sz w:val="22"/>
              </w:rPr>
              <w:t>Blackpool Borough Council interest in waste PFI assets</w:t>
            </w:r>
          </w:p>
        </w:tc>
        <w:tc>
          <w:tcPr>
            <w:tcW w:w="1378" w:type="dxa"/>
            <w:tcBorders>
              <w:bottom w:val="single" w:sz="4" w:space="0" w:color="auto"/>
            </w:tcBorders>
            <w:shd w:val="clear" w:color="00FFFF" w:fill="auto"/>
            <w:vAlign w:val="center"/>
          </w:tcPr>
          <w:p w:rsidR="00C5028E" w:rsidRPr="00407111" w:rsidRDefault="00C5028E" w:rsidP="006C142B">
            <w:pPr>
              <w:pStyle w:val="Footer"/>
              <w:tabs>
                <w:tab w:val="clear" w:pos="4153"/>
                <w:tab w:val="clear" w:pos="8306"/>
                <w:tab w:val="decimal" w:pos="1003"/>
              </w:tabs>
              <w:jc w:val="both"/>
              <w:rPr>
                <w:sz w:val="22"/>
              </w:rPr>
            </w:pPr>
            <w:r w:rsidRPr="00407111">
              <w:rPr>
                <w:sz w:val="22"/>
              </w:rPr>
              <w:t>-</w:t>
            </w:r>
          </w:p>
        </w:tc>
        <w:tc>
          <w:tcPr>
            <w:tcW w:w="1378" w:type="dxa"/>
            <w:tcBorders>
              <w:bottom w:val="single" w:sz="4" w:space="0" w:color="auto"/>
            </w:tcBorders>
            <w:shd w:val="clear" w:color="00FFFF" w:fill="auto"/>
            <w:vAlign w:val="center"/>
          </w:tcPr>
          <w:p w:rsidR="00C5028E" w:rsidRPr="00407111" w:rsidRDefault="00C5028E" w:rsidP="00C71AED">
            <w:pPr>
              <w:pStyle w:val="Footer"/>
              <w:tabs>
                <w:tab w:val="clear" w:pos="4153"/>
                <w:tab w:val="clear" w:pos="8306"/>
                <w:tab w:val="decimal" w:pos="1003"/>
              </w:tabs>
              <w:jc w:val="both"/>
              <w:rPr>
                <w:sz w:val="22"/>
              </w:rPr>
            </w:pPr>
            <w:r w:rsidRPr="00407111">
              <w:rPr>
                <w:sz w:val="22"/>
              </w:rPr>
              <w:t>(552)</w:t>
            </w:r>
          </w:p>
        </w:tc>
      </w:tr>
      <w:tr w:rsidR="00C5028E" w:rsidRPr="00407111" w:rsidTr="00C71AED">
        <w:trPr>
          <w:cantSplit/>
        </w:trPr>
        <w:tc>
          <w:tcPr>
            <w:tcW w:w="5891" w:type="dxa"/>
            <w:vAlign w:val="bottom"/>
          </w:tcPr>
          <w:p w:rsidR="00C5028E" w:rsidRPr="00407111" w:rsidRDefault="00C5028E" w:rsidP="006C142B">
            <w:pPr>
              <w:tabs>
                <w:tab w:val="left" w:pos="0"/>
              </w:tabs>
              <w:rPr>
                <w:b/>
                <w:sz w:val="22"/>
              </w:rPr>
            </w:pPr>
            <w:r w:rsidRPr="00407111">
              <w:rPr>
                <w:b/>
                <w:sz w:val="22"/>
              </w:rPr>
              <w:t>Total</w:t>
            </w:r>
          </w:p>
        </w:tc>
        <w:tc>
          <w:tcPr>
            <w:tcW w:w="1378" w:type="dxa"/>
            <w:tcBorders>
              <w:top w:val="single" w:sz="4" w:space="0" w:color="auto"/>
              <w:bottom w:val="double" w:sz="6" w:space="0" w:color="auto"/>
            </w:tcBorders>
            <w:shd w:val="clear" w:color="00FFFF" w:fill="auto"/>
            <w:vAlign w:val="center"/>
          </w:tcPr>
          <w:p w:rsidR="00C5028E" w:rsidRPr="00407111" w:rsidRDefault="00C5028E" w:rsidP="006C142B">
            <w:pPr>
              <w:pStyle w:val="Footer"/>
              <w:tabs>
                <w:tab w:val="clear" w:pos="4153"/>
                <w:tab w:val="clear" w:pos="8306"/>
                <w:tab w:val="decimal" w:pos="1003"/>
              </w:tabs>
              <w:jc w:val="both"/>
              <w:rPr>
                <w:b/>
                <w:sz w:val="22"/>
              </w:rPr>
            </w:pPr>
            <w:r w:rsidRPr="00407111">
              <w:rPr>
                <w:b/>
                <w:sz w:val="22"/>
              </w:rPr>
              <w:t>(488)</w:t>
            </w:r>
          </w:p>
        </w:tc>
        <w:tc>
          <w:tcPr>
            <w:tcW w:w="1378" w:type="dxa"/>
            <w:tcBorders>
              <w:top w:val="single" w:sz="4" w:space="0" w:color="auto"/>
              <w:bottom w:val="double" w:sz="6" w:space="0" w:color="auto"/>
            </w:tcBorders>
            <w:shd w:val="clear" w:color="00FFFF" w:fill="auto"/>
            <w:vAlign w:val="center"/>
          </w:tcPr>
          <w:p w:rsidR="00C5028E" w:rsidRPr="00407111" w:rsidRDefault="00C5028E" w:rsidP="00C71AED">
            <w:pPr>
              <w:pStyle w:val="Footer"/>
              <w:tabs>
                <w:tab w:val="clear" w:pos="4153"/>
                <w:tab w:val="clear" w:pos="8306"/>
                <w:tab w:val="decimal" w:pos="1003"/>
              </w:tabs>
              <w:jc w:val="both"/>
              <w:rPr>
                <w:b/>
                <w:sz w:val="22"/>
              </w:rPr>
            </w:pPr>
            <w:r w:rsidRPr="00407111">
              <w:rPr>
                <w:b/>
                <w:sz w:val="22"/>
              </w:rPr>
              <w:t>(810)</w:t>
            </w:r>
          </w:p>
        </w:tc>
      </w:tr>
    </w:tbl>
    <w:p w:rsidR="006C142B" w:rsidRPr="00407111" w:rsidRDefault="006C142B" w:rsidP="006C142B">
      <w:pPr>
        <w:spacing w:after="240"/>
        <w:ind w:left="720"/>
      </w:pPr>
    </w:p>
    <w:p w:rsidR="006C142B" w:rsidRPr="00407111" w:rsidRDefault="006C142B" w:rsidP="006C142B">
      <w:pPr>
        <w:ind w:left="720"/>
        <w:jc w:val="both"/>
      </w:pPr>
      <w:r w:rsidRPr="00407111">
        <w:t xml:space="preserve">The balance of premiums paid by universities arose in 2005 when the </w:t>
      </w:r>
      <w:smartTag w:uri="urn:schemas-microsoft-com:office:smarttags" w:element="PlaceType">
        <w:r w:rsidRPr="00407111">
          <w:t>University</w:t>
        </w:r>
      </w:smartTag>
      <w:r w:rsidRPr="00407111">
        <w:t xml:space="preserve"> of </w:t>
      </w:r>
      <w:smartTag w:uri="urn:schemas-microsoft-com:office:smarttags" w:element="PlaceName">
        <w:r w:rsidRPr="00407111">
          <w:t>Central Lancashire</w:t>
        </w:r>
      </w:smartTag>
      <w:r w:rsidRPr="00407111">
        <w:t xml:space="preserve"> and </w:t>
      </w:r>
      <w:smartTag w:uri="urn:schemas-microsoft-com:office:smarttags" w:element="place">
        <w:smartTag w:uri="urn:schemas-microsoft-com:office:smarttags" w:element="PlaceName">
          <w:r w:rsidRPr="00407111">
            <w:t>Edge</w:t>
          </w:r>
        </w:smartTag>
        <w:r w:rsidRPr="00407111">
          <w:t xml:space="preserve"> </w:t>
        </w:r>
        <w:smartTag w:uri="urn:schemas-microsoft-com:office:smarttags" w:element="PlaceType">
          <w:r w:rsidRPr="00407111">
            <w:t>Hill</w:t>
          </w:r>
        </w:smartTag>
        <w:r w:rsidRPr="00407111">
          <w:t xml:space="preserve"> </w:t>
        </w:r>
        <w:smartTag w:uri="urn:schemas-microsoft-com:office:smarttags" w:element="PlaceType">
          <w:r w:rsidRPr="00407111">
            <w:t>University</w:t>
          </w:r>
        </w:smartTag>
      </w:smartTag>
      <w:r w:rsidRPr="00407111">
        <w:t xml:space="preserve"> paid off the balance of debt, managed by us, on assets that they had inherited when they became independent of the </w:t>
      </w:r>
      <w:r w:rsidR="001F1A1A">
        <w:t>County Council</w:t>
      </w:r>
      <w:r w:rsidRPr="00407111">
        <w:t>.</w:t>
      </w:r>
    </w:p>
    <w:p w:rsidR="00507600" w:rsidRPr="00407111" w:rsidRDefault="00507600" w:rsidP="006C142B">
      <w:pPr>
        <w:ind w:left="720"/>
        <w:jc w:val="both"/>
      </w:pPr>
    </w:p>
    <w:p w:rsidR="00B36881" w:rsidRDefault="006C142B" w:rsidP="006C142B">
      <w:pPr>
        <w:ind w:left="720"/>
        <w:jc w:val="both"/>
      </w:pPr>
      <w:r w:rsidRPr="00407111">
        <w:t>Because there was some financial disadvantage to us in accepting this repayment, we required the universities to pay premiums to compensate us for the loss. Rather than bring in the whole amount of the premiums to the income and expenditure account in the year we received them, we placed a credit item on the balance sheet a</w:t>
      </w:r>
      <w:r w:rsidR="00B36881">
        <w:t>nd are transferring this credit</w:t>
      </w:r>
    </w:p>
    <w:p w:rsidR="00B36881" w:rsidRDefault="006C142B" w:rsidP="00240F10">
      <w:pPr>
        <w:ind w:left="720"/>
        <w:jc w:val="both"/>
      </w:pPr>
      <w:r w:rsidRPr="00407111">
        <w:t xml:space="preserve">to the income and expenditure account in equal instalments over 18 years. </w:t>
      </w:r>
    </w:p>
    <w:p w:rsidR="00B36881" w:rsidRDefault="00B36881" w:rsidP="006C142B">
      <w:pPr>
        <w:ind w:left="720"/>
        <w:jc w:val="both"/>
      </w:pPr>
    </w:p>
    <w:p w:rsidR="006C142B" w:rsidRPr="00407111" w:rsidRDefault="006C142B" w:rsidP="006C142B">
      <w:pPr>
        <w:ind w:left="720"/>
        <w:jc w:val="both"/>
      </w:pPr>
      <w:r w:rsidRPr="00407111">
        <w:t>Deferred liabilities on the Fleetwood Sports College PFI relate to development costs being transferred to the income and expenditure account over a period of time.</w:t>
      </w:r>
    </w:p>
    <w:p w:rsidR="006C142B" w:rsidRPr="00407111" w:rsidRDefault="006C142B" w:rsidP="006C142B">
      <w:pPr>
        <w:ind w:left="720"/>
        <w:jc w:val="both"/>
      </w:pPr>
    </w:p>
    <w:p w:rsidR="006C142B" w:rsidRDefault="006C142B" w:rsidP="006C142B">
      <w:pPr>
        <w:spacing w:after="240"/>
        <w:ind w:left="720"/>
        <w:jc w:val="both"/>
      </w:pPr>
      <w:r w:rsidRPr="00407111">
        <w:t xml:space="preserve">The </w:t>
      </w:r>
      <w:smartTag w:uri="urn:schemas-microsoft-com:office:smarttags" w:element="place">
        <w:smartTag w:uri="urn:schemas-microsoft-com:office:smarttags" w:element="PlaceName">
          <w:r w:rsidRPr="00407111">
            <w:t>Moor</w:t>
          </w:r>
        </w:smartTag>
        <w:r w:rsidRPr="00407111">
          <w:t xml:space="preserve"> </w:t>
        </w:r>
        <w:smartTag w:uri="urn:schemas-microsoft-com:office:smarttags" w:element="PlaceType">
          <w:r w:rsidRPr="00407111">
            <w:t>Park</w:t>
          </w:r>
        </w:smartTag>
        <w:r w:rsidRPr="00407111">
          <w:t xml:space="preserve"> </w:t>
        </w:r>
        <w:smartTag w:uri="urn:schemas-microsoft-com:office:smarttags" w:element="PlaceType">
          <w:r w:rsidRPr="00407111">
            <w:t>High School</w:t>
          </w:r>
        </w:smartTag>
      </w:smartTag>
      <w:r w:rsidRPr="00407111">
        <w:t xml:space="preserve"> item relates to the discharge of a high interest credit liability. At the end of 2006/07 the remaining capital outstanding on this arrangement was repaid prematurely and without penalty to avoid the high rate of interest being paid. The balance will be written down to the income and expenditure over a period of five years, this is the same period as that remaining on the arrangement when it was discharged.</w:t>
      </w:r>
    </w:p>
    <w:p w:rsidR="00E73016" w:rsidRPr="00407111" w:rsidRDefault="00E73016" w:rsidP="006C142B">
      <w:pPr>
        <w:spacing w:after="240"/>
        <w:ind w:left="720"/>
        <w:jc w:val="both"/>
      </w:pPr>
      <w:r>
        <w:t xml:space="preserve">The deferred liability </w:t>
      </w:r>
      <w:r w:rsidR="0036027B">
        <w:t xml:space="preserve">on the </w:t>
      </w:r>
      <w:r>
        <w:t>B</w:t>
      </w:r>
      <w:r w:rsidR="0036027B">
        <w:t xml:space="preserve">lackpool Borough Council interest in Waste PFI assets </w:t>
      </w:r>
      <w:r w:rsidR="00F84EDD">
        <w:t>is in</w:t>
      </w:r>
      <w:r>
        <w:t xml:space="preserve"> respect of land transferred to the operator for the waste PFI contract. </w:t>
      </w:r>
    </w:p>
    <w:p w:rsidR="006165FA" w:rsidRPr="00286C0E" w:rsidRDefault="006165FA" w:rsidP="00F076D1">
      <w:pPr>
        <w:rPr>
          <w:b/>
          <w:i/>
          <w:highlight w:val="yellow"/>
        </w:rPr>
      </w:pPr>
    </w:p>
    <w:p w:rsidR="00A6123A" w:rsidRPr="00286C0E" w:rsidRDefault="00A6123A" w:rsidP="00F076D1">
      <w:pPr>
        <w:rPr>
          <w:b/>
          <w:i/>
          <w:highlight w:val="yellow"/>
        </w:rPr>
      </w:pPr>
    </w:p>
    <w:p w:rsidR="00004258" w:rsidRPr="00947EE3" w:rsidRDefault="00004258" w:rsidP="00F076D1">
      <w:pPr>
        <w:rPr>
          <w:b/>
          <w:i/>
        </w:rPr>
      </w:pPr>
      <w:r w:rsidRPr="00947EE3">
        <w:rPr>
          <w:b/>
          <w:i/>
        </w:rPr>
        <w:t>Cashflow Statement Notes</w:t>
      </w:r>
    </w:p>
    <w:p w:rsidR="00004258" w:rsidRPr="00947EE3" w:rsidRDefault="00004258" w:rsidP="00F076D1">
      <w:pPr>
        <w:rPr>
          <w:b/>
          <w:i/>
        </w:rPr>
      </w:pPr>
    </w:p>
    <w:p w:rsidR="00A678F8" w:rsidRPr="00947EE3" w:rsidRDefault="00682418" w:rsidP="00BD07E4">
      <w:pPr>
        <w:numPr>
          <w:ilvl w:val="0"/>
          <w:numId w:val="21"/>
        </w:numPr>
        <w:spacing w:after="240"/>
        <w:rPr>
          <w:b/>
        </w:rPr>
      </w:pPr>
      <w:r w:rsidRPr="00947EE3">
        <w:rPr>
          <w:b/>
        </w:rPr>
        <w:t xml:space="preserve">Net </w:t>
      </w:r>
      <w:r w:rsidR="00C041A3" w:rsidRPr="00947EE3">
        <w:rPr>
          <w:b/>
        </w:rPr>
        <w:t>(</w:t>
      </w:r>
      <w:r w:rsidRPr="00947EE3">
        <w:rPr>
          <w:b/>
        </w:rPr>
        <w:t>Surplus</w:t>
      </w:r>
      <w:r w:rsidR="00C041A3" w:rsidRPr="00947EE3">
        <w:rPr>
          <w:b/>
        </w:rPr>
        <w:t>)</w:t>
      </w:r>
      <w:r w:rsidRPr="00947EE3">
        <w:rPr>
          <w:b/>
        </w:rPr>
        <w:t xml:space="preserve"> or Deficit on the Provision of Services</w:t>
      </w:r>
    </w:p>
    <w:tbl>
      <w:tblPr>
        <w:tblStyle w:val="TableGrid"/>
        <w:tblW w:w="0" w:type="auto"/>
        <w:jc w:val="center"/>
        <w:tblLook w:val="04A0"/>
      </w:tblPr>
      <w:tblGrid>
        <w:gridCol w:w="1244"/>
        <w:gridCol w:w="1269"/>
        <w:gridCol w:w="3974"/>
        <w:gridCol w:w="1444"/>
        <w:gridCol w:w="1444"/>
      </w:tblGrid>
      <w:tr w:rsidR="00240F10" w:rsidRPr="00F17F90" w:rsidTr="008947C5">
        <w:trPr>
          <w:jc w:val="center"/>
        </w:trPr>
        <w:tc>
          <w:tcPr>
            <w:tcW w:w="2513" w:type="dxa"/>
            <w:gridSpan w:val="2"/>
            <w:shd w:val="clear" w:color="auto" w:fill="auto"/>
          </w:tcPr>
          <w:p w:rsidR="00240F10" w:rsidRPr="00F17F90" w:rsidRDefault="00240F10" w:rsidP="00240F10">
            <w:pPr>
              <w:jc w:val="center"/>
              <w:rPr>
                <w:b/>
              </w:rPr>
            </w:pPr>
            <w:r w:rsidRPr="00F17F90">
              <w:rPr>
                <w:b/>
              </w:rPr>
              <w:t>2010/11</w:t>
            </w:r>
          </w:p>
        </w:tc>
        <w:tc>
          <w:tcPr>
            <w:tcW w:w="3974" w:type="dxa"/>
            <w:shd w:val="clear" w:color="auto" w:fill="auto"/>
          </w:tcPr>
          <w:p w:rsidR="00240F10" w:rsidRPr="00F17F90" w:rsidRDefault="00240F10" w:rsidP="00240F10">
            <w:pPr>
              <w:jc w:val="center"/>
            </w:pPr>
          </w:p>
        </w:tc>
        <w:tc>
          <w:tcPr>
            <w:tcW w:w="2888" w:type="dxa"/>
            <w:gridSpan w:val="2"/>
          </w:tcPr>
          <w:p w:rsidR="00240F10" w:rsidRPr="00F17F90" w:rsidRDefault="00240F10" w:rsidP="00240F10">
            <w:pPr>
              <w:jc w:val="center"/>
              <w:rPr>
                <w:b/>
              </w:rPr>
            </w:pPr>
            <w:r w:rsidRPr="00F17F90">
              <w:rPr>
                <w:b/>
              </w:rPr>
              <w:t>2011/12</w:t>
            </w:r>
          </w:p>
        </w:tc>
      </w:tr>
      <w:tr w:rsidR="00240F10" w:rsidRPr="00F17F90" w:rsidTr="008947C5">
        <w:trPr>
          <w:jc w:val="center"/>
        </w:trPr>
        <w:tc>
          <w:tcPr>
            <w:tcW w:w="1244" w:type="dxa"/>
            <w:shd w:val="clear" w:color="auto" w:fill="auto"/>
          </w:tcPr>
          <w:p w:rsidR="00240F10" w:rsidRPr="00F17F90" w:rsidRDefault="00240F10" w:rsidP="00240F10">
            <w:pPr>
              <w:jc w:val="center"/>
              <w:rPr>
                <w:b/>
              </w:rPr>
            </w:pPr>
            <w:r w:rsidRPr="00F17F90">
              <w:rPr>
                <w:b/>
              </w:rPr>
              <w:t>£000</w:t>
            </w:r>
          </w:p>
        </w:tc>
        <w:tc>
          <w:tcPr>
            <w:tcW w:w="1269" w:type="dxa"/>
            <w:shd w:val="clear" w:color="auto" w:fill="auto"/>
          </w:tcPr>
          <w:p w:rsidR="00240F10" w:rsidRPr="00F17F90" w:rsidRDefault="00240F10" w:rsidP="00240F10">
            <w:pPr>
              <w:jc w:val="center"/>
              <w:rPr>
                <w:b/>
              </w:rPr>
            </w:pPr>
            <w:r w:rsidRPr="00F17F90">
              <w:rPr>
                <w:b/>
              </w:rPr>
              <w:t>£000</w:t>
            </w:r>
          </w:p>
        </w:tc>
        <w:tc>
          <w:tcPr>
            <w:tcW w:w="3974" w:type="dxa"/>
            <w:shd w:val="clear" w:color="auto" w:fill="auto"/>
          </w:tcPr>
          <w:p w:rsidR="00240F10" w:rsidRPr="00F17F90" w:rsidRDefault="00240F10" w:rsidP="00240F10">
            <w:pPr>
              <w:jc w:val="center"/>
            </w:pPr>
          </w:p>
        </w:tc>
        <w:tc>
          <w:tcPr>
            <w:tcW w:w="1444" w:type="dxa"/>
          </w:tcPr>
          <w:p w:rsidR="00240F10" w:rsidRPr="00F17F90" w:rsidRDefault="00240F10" w:rsidP="00240F10">
            <w:pPr>
              <w:jc w:val="center"/>
              <w:rPr>
                <w:b/>
              </w:rPr>
            </w:pPr>
            <w:r w:rsidRPr="00F17F90">
              <w:rPr>
                <w:b/>
              </w:rPr>
              <w:t>£000</w:t>
            </w:r>
          </w:p>
        </w:tc>
        <w:tc>
          <w:tcPr>
            <w:tcW w:w="1444" w:type="dxa"/>
          </w:tcPr>
          <w:p w:rsidR="00240F10" w:rsidRPr="00F17F90" w:rsidRDefault="00240F10" w:rsidP="00240F10">
            <w:pPr>
              <w:jc w:val="center"/>
              <w:rPr>
                <w:b/>
              </w:rPr>
            </w:pPr>
            <w:r w:rsidRPr="00F17F90">
              <w:rPr>
                <w:b/>
              </w:rPr>
              <w:t>£000</w:t>
            </w:r>
          </w:p>
        </w:tc>
      </w:tr>
      <w:tr w:rsidR="00240F10" w:rsidRPr="00F17F90" w:rsidTr="008947C5">
        <w:trPr>
          <w:jc w:val="center"/>
        </w:trPr>
        <w:tc>
          <w:tcPr>
            <w:tcW w:w="1244" w:type="dxa"/>
            <w:shd w:val="clear" w:color="auto" w:fill="auto"/>
          </w:tcPr>
          <w:p w:rsidR="00240F10" w:rsidRPr="00F17F90" w:rsidRDefault="00240F10" w:rsidP="00652F0A">
            <w:pPr>
              <w:jc w:val="right"/>
            </w:pPr>
          </w:p>
        </w:tc>
        <w:tc>
          <w:tcPr>
            <w:tcW w:w="1269" w:type="dxa"/>
            <w:shd w:val="clear" w:color="auto" w:fill="auto"/>
          </w:tcPr>
          <w:p w:rsidR="00240F10" w:rsidRPr="00F17F90" w:rsidRDefault="00240F10" w:rsidP="00652F0A">
            <w:pPr>
              <w:jc w:val="right"/>
            </w:pPr>
            <w:r w:rsidRPr="00F17F90">
              <w:rPr>
                <w:b/>
              </w:rPr>
              <w:t>(128,034)</w:t>
            </w:r>
          </w:p>
        </w:tc>
        <w:tc>
          <w:tcPr>
            <w:tcW w:w="3974" w:type="dxa"/>
            <w:shd w:val="clear" w:color="auto" w:fill="auto"/>
          </w:tcPr>
          <w:p w:rsidR="00240F10" w:rsidRPr="00F17F90" w:rsidRDefault="00240F10" w:rsidP="00240F10">
            <w:r w:rsidRPr="00F17F90">
              <w:rPr>
                <w:b/>
              </w:rPr>
              <w:t>Net (Surplus) or Deficit on the Provision of Services</w:t>
            </w:r>
          </w:p>
        </w:tc>
        <w:tc>
          <w:tcPr>
            <w:tcW w:w="1444" w:type="dxa"/>
          </w:tcPr>
          <w:p w:rsidR="00240F10" w:rsidRPr="00F17F90" w:rsidRDefault="00240F10" w:rsidP="00240F10">
            <w:pPr>
              <w:jc w:val="right"/>
            </w:pPr>
          </w:p>
        </w:tc>
        <w:tc>
          <w:tcPr>
            <w:tcW w:w="1444" w:type="dxa"/>
          </w:tcPr>
          <w:p w:rsidR="00240F10" w:rsidRPr="00F17F90" w:rsidRDefault="00240F10" w:rsidP="00240F10">
            <w:pPr>
              <w:jc w:val="right"/>
            </w:pPr>
            <w:r w:rsidRPr="00F17F90">
              <w:rPr>
                <w:b/>
              </w:rPr>
              <w:t>(70,275)</w:t>
            </w:r>
          </w:p>
        </w:tc>
      </w:tr>
      <w:tr w:rsidR="00240F10" w:rsidRPr="00F17F90" w:rsidTr="008947C5">
        <w:trPr>
          <w:jc w:val="center"/>
        </w:trPr>
        <w:tc>
          <w:tcPr>
            <w:tcW w:w="1244" w:type="dxa"/>
            <w:shd w:val="clear" w:color="auto" w:fill="auto"/>
          </w:tcPr>
          <w:p w:rsidR="00240F10" w:rsidRPr="00F17F90" w:rsidRDefault="00240F10" w:rsidP="00652F0A">
            <w:pPr>
              <w:spacing w:after="240"/>
              <w:jc w:val="right"/>
            </w:pPr>
            <w:r w:rsidRPr="00F17F90">
              <w:t>(103,676)</w:t>
            </w:r>
          </w:p>
        </w:tc>
        <w:tc>
          <w:tcPr>
            <w:tcW w:w="1269" w:type="dxa"/>
            <w:shd w:val="clear" w:color="auto" w:fill="auto"/>
          </w:tcPr>
          <w:p w:rsidR="00240F10" w:rsidRPr="00F17F90" w:rsidRDefault="00240F10" w:rsidP="00652F0A">
            <w:pPr>
              <w:jc w:val="right"/>
            </w:pPr>
          </w:p>
        </w:tc>
        <w:tc>
          <w:tcPr>
            <w:tcW w:w="3974" w:type="dxa"/>
            <w:shd w:val="clear" w:color="auto" w:fill="auto"/>
          </w:tcPr>
          <w:p w:rsidR="00240F10" w:rsidRPr="00F17F90" w:rsidRDefault="00240F10" w:rsidP="00240F10">
            <w:r w:rsidRPr="00F17F90">
              <w:t>Depreciation &amp; Impairments</w:t>
            </w:r>
          </w:p>
        </w:tc>
        <w:tc>
          <w:tcPr>
            <w:tcW w:w="1444" w:type="dxa"/>
          </w:tcPr>
          <w:p w:rsidR="00240F10" w:rsidRPr="00F17F90" w:rsidRDefault="00240F10" w:rsidP="008947C5">
            <w:pPr>
              <w:jc w:val="right"/>
            </w:pPr>
            <w:r w:rsidRPr="00F17F90">
              <w:t>(</w:t>
            </w:r>
            <w:r w:rsidR="008947C5">
              <w:t>59,939</w:t>
            </w:r>
            <w:r w:rsidRPr="00F17F90">
              <w:t>)</w:t>
            </w:r>
          </w:p>
        </w:tc>
        <w:tc>
          <w:tcPr>
            <w:tcW w:w="1444" w:type="dxa"/>
          </w:tcPr>
          <w:p w:rsidR="00240F10" w:rsidRPr="00F17F90" w:rsidRDefault="00240F10" w:rsidP="00240F10">
            <w:pPr>
              <w:jc w:val="right"/>
            </w:pPr>
          </w:p>
        </w:tc>
      </w:tr>
      <w:tr w:rsidR="00240F10" w:rsidRPr="00F17F90" w:rsidTr="008947C5">
        <w:trPr>
          <w:jc w:val="center"/>
        </w:trPr>
        <w:tc>
          <w:tcPr>
            <w:tcW w:w="1244" w:type="dxa"/>
            <w:shd w:val="clear" w:color="auto" w:fill="auto"/>
          </w:tcPr>
          <w:p w:rsidR="00240F10" w:rsidRPr="00F17F90" w:rsidRDefault="00240F10" w:rsidP="00652F0A">
            <w:pPr>
              <w:spacing w:after="240"/>
              <w:jc w:val="right"/>
            </w:pPr>
            <w:r w:rsidRPr="00F17F90">
              <w:t>426</w:t>
            </w:r>
          </w:p>
        </w:tc>
        <w:tc>
          <w:tcPr>
            <w:tcW w:w="1269" w:type="dxa"/>
            <w:shd w:val="clear" w:color="auto" w:fill="auto"/>
          </w:tcPr>
          <w:p w:rsidR="00240F10" w:rsidRPr="00F17F90" w:rsidRDefault="00240F10" w:rsidP="00652F0A">
            <w:pPr>
              <w:jc w:val="right"/>
            </w:pPr>
          </w:p>
        </w:tc>
        <w:tc>
          <w:tcPr>
            <w:tcW w:w="3974" w:type="dxa"/>
            <w:shd w:val="clear" w:color="auto" w:fill="auto"/>
          </w:tcPr>
          <w:p w:rsidR="00240F10" w:rsidRPr="00F17F90" w:rsidRDefault="00240F10" w:rsidP="00240F10">
            <w:pPr>
              <w:spacing w:after="240"/>
            </w:pPr>
            <w:r w:rsidRPr="00F17F90">
              <w:t>Material Impairment losses on Investments debited to surplus or deficit on the provision of services in year</w:t>
            </w:r>
          </w:p>
        </w:tc>
        <w:tc>
          <w:tcPr>
            <w:tcW w:w="1444" w:type="dxa"/>
          </w:tcPr>
          <w:p w:rsidR="00240F10" w:rsidRPr="00F17F90" w:rsidRDefault="00240F10" w:rsidP="00240F10">
            <w:pPr>
              <w:jc w:val="right"/>
            </w:pPr>
            <w:r w:rsidRPr="00F17F90">
              <w:t>62</w:t>
            </w:r>
          </w:p>
        </w:tc>
        <w:tc>
          <w:tcPr>
            <w:tcW w:w="1444" w:type="dxa"/>
          </w:tcPr>
          <w:p w:rsidR="00240F10" w:rsidRPr="00F17F90" w:rsidRDefault="00240F10" w:rsidP="00240F10">
            <w:pPr>
              <w:jc w:val="right"/>
            </w:pPr>
          </w:p>
        </w:tc>
      </w:tr>
      <w:tr w:rsidR="00240F10" w:rsidRPr="00F17F90" w:rsidTr="008947C5">
        <w:trPr>
          <w:jc w:val="center"/>
        </w:trPr>
        <w:tc>
          <w:tcPr>
            <w:tcW w:w="1244" w:type="dxa"/>
            <w:shd w:val="clear" w:color="auto" w:fill="auto"/>
          </w:tcPr>
          <w:p w:rsidR="00240F10" w:rsidRPr="00F17F90" w:rsidRDefault="00240F10" w:rsidP="00652F0A">
            <w:pPr>
              <w:spacing w:after="240"/>
              <w:jc w:val="right"/>
            </w:pPr>
            <w:r w:rsidRPr="00F17F90">
              <w:t>(7,160)</w:t>
            </w:r>
          </w:p>
        </w:tc>
        <w:tc>
          <w:tcPr>
            <w:tcW w:w="1269" w:type="dxa"/>
            <w:shd w:val="clear" w:color="auto" w:fill="auto"/>
          </w:tcPr>
          <w:p w:rsidR="00240F10" w:rsidRPr="00F17F90" w:rsidRDefault="00240F10" w:rsidP="00652F0A">
            <w:pPr>
              <w:jc w:val="right"/>
            </w:pPr>
          </w:p>
        </w:tc>
        <w:tc>
          <w:tcPr>
            <w:tcW w:w="3974" w:type="dxa"/>
            <w:shd w:val="clear" w:color="auto" w:fill="auto"/>
          </w:tcPr>
          <w:p w:rsidR="00240F10" w:rsidRPr="00F17F90" w:rsidRDefault="00240F10" w:rsidP="00240F10">
            <w:pPr>
              <w:spacing w:after="240"/>
            </w:pPr>
            <w:r w:rsidRPr="00F17F90">
              <w:t>Adjustment for movements in fair value of investments classified as Fair Value through Profit &amp; Loss a/c</w:t>
            </w:r>
          </w:p>
        </w:tc>
        <w:tc>
          <w:tcPr>
            <w:tcW w:w="1444" w:type="dxa"/>
          </w:tcPr>
          <w:p w:rsidR="00240F10" w:rsidRPr="00F17F90" w:rsidRDefault="00240F10" w:rsidP="00240F10">
            <w:pPr>
              <w:jc w:val="right"/>
            </w:pPr>
            <w:r w:rsidRPr="00F17F90">
              <w:t>(19</w:t>
            </w:r>
            <w:r>
              <w:t>,</w:t>
            </w:r>
            <w:r w:rsidRPr="00F17F90">
              <w:t>283)</w:t>
            </w:r>
          </w:p>
        </w:tc>
        <w:tc>
          <w:tcPr>
            <w:tcW w:w="1444" w:type="dxa"/>
          </w:tcPr>
          <w:p w:rsidR="00240F10" w:rsidRPr="00F17F90" w:rsidRDefault="00240F10" w:rsidP="00240F10">
            <w:pPr>
              <w:jc w:val="right"/>
            </w:pPr>
          </w:p>
        </w:tc>
      </w:tr>
      <w:tr w:rsidR="00240F10" w:rsidRPr="00F17F90" w:rsidTr="008947C5">
        <w:trPr>
          <w:jc w:val="center"/>
        </w:trPr>
        <w:tc>
          <w:tcPr>
            <w:tcW w:w="1244" w:type="dxa"/>
            <w:shd w:val="clear" w:color="auto" w:fill="auto"/>
          </w:tcPr>
          <w:p w:rsidR="00240F10" w:rsidRPr="00F17F90" w:rsidRDefault="00240F10" w:rsidP="00652F0A">
            <w:pPr>
              <w:spacing w:after="240"/>
              <w:jc w:val="right"/>
            </w:pPr>
            <w:r w:rsidRPr="00F17F90">
              <w:t>1,768</w:t>
            </w:r>
          </w:p>
        </w:tc>
        <w:tc>
          <w:tcPr>
            <w:tcW w:w="1269" w:type="dxa"/>
            <w:shd w:val="clear" w:color="auto" w:fill="auto"/>
          </w:tcPr>
          <w:p w:rsidR="00240F10" w:rsidRPr="00F17F90" w:rsidRDefault="00240F10" w:rsidP="00652F0A">
            <w:pPr>
              <w:spacing w:after="240"/>
              <w:jc w:val="right"/>
            </w:pPr>
          </w:p>
        </w:tc>
        <w:tc>
          <w:tcPr>
            <w:tcW w:w="3974" w:type="dxa"/>
            <w:shd w:val="clear" w:color="auto" w:fill="auto"/>
          </w:tcPr>
          <w:p w:rsidR="00240F10" w:rsidRPr="00F17F90" w:rsidRDefault="00240F10" w:rsidP="00240F10">
            <w:pPr>
              <w:spacing w:after="240"/>
            </w:pPr>
            <w:r w:rsidRPr="00F17F90">
              <w:t xml:space="preserve">Adjustments for effective interest rates                     </w:t>
            </w:r>
          </w:p>
        </w:tc>
        <w:tc>
          <w:tcPr>
            <w:tcW w:w="1444" w:type="dxa"/>
          </w:tcPr>
          <w:p w:rsidR="00240F10" w:rsidRPr="00F17F90" w:rsidRDefault="00240F10" w:rsidP="00240F10">
            <w:pPr>
              <w:jc w:val="right"/>
            </w:pPr>
            <w:r w:rsidRPr="00F17F90">
              <w:t>56</w:t>
            </w:r>
            <w:r>
              <w:t>,</w:t>
            </w:r>
            <w:r w:rsidRPr="00F17F90">
              <w:t>054</w:t>
            </w:r>
          </w:p>
        </w:tc>
        <w:tc>
          <w:tcPr>
            <w:tcW w:w="1444" w:type="dxa"/>
          </w:tcPr>
          <w:p w:rsidR="00240F10" w:rsidRPr="00F17F90" w:rsidRDefault="00240F10" w:rsidP="00240F10">
            <w:pPr>
              <w:jc w:val="right"/>
            </w:pPr>
          </w:p>
        </w:tc>
      </w:tr>
      <w:tr w:rsidR="00240F10" w:rsidRPr="00F17F90" w:rsidTr="008947C5">
        <w:trPr>
          <w:jc w:val="center"/>
        </w:trPr>
        <w:tc>
          <w:tcPr>
            <w:tcW w:w="1244" w:type="dxa"/>
            <w:shd w:val="clear" w:color="auto" w:fill="auto"/>
          </w:tcPr>
          <w:p w:rsidR="00240F10" w:rsidRPr="00F17F90" w:rsidRDefault="00240F10" w:rsidP="00652F0A">
            <w:pPr>
              <w:spacing w:after="240"/>
              <w:jc w:val="right"/>
            </w:pPr>
            <w:r w:rsidRPr="00F17F90">
              <w:t>(125)</w:t>
            </w:r>
          </w:p>
        </w:tc>
        <w:tc>
          <w:tcPr>
            <w:tcW w:w="1269" w:type="dxa"/>
            <w:shd w:val="clear" w:color="auto" w:fill="auto"/>
          </w:tcPr>
          <w:p w:rsidR="00240F10" w:rsidRPr="00F17F90" w:rsidRDefault="00240F10" w:rsidP="00652F0A">
            <w:pPr>
              <w:spacing w:after="240"/>
              <w:jc w:val="right"/>
            </w:pPr>
          </w:p>
        </w:tc>
        <w:tc>
          <w:tcPr>
            <w:tcW w:w="3974" w:type="dxa"/>
            <w:shd w:val="clear" w:color="auto" w:fill="auto"/>
          </w:tcPr>
          <w:p w:rsidR="00240F10" w:rsidRPr="00F17F90" w:rsidRDefault="00240F10" w:rsidP="00240F10">
            <w:pPr>
              <w:spacing w:after="240"/>
            </w:pPr>
            <w:r w:rsidRPr="00F17F90">
              <w:t>Net PFI Debtor Adjustments</w:t>
            </w:r>
          </w:p>
        </w:tc>
        <w:tc>
          <w:tcPr>
            <w:tcW w:w="1444" w:type="dxa"/>
          </w:tcPr>
          <w:p w:rsidR="00240F10" w:rsidRPr="00F17F90" w:rsidRDefault="00240F10" w:rsidP="00240F10">
            <w:pPr>
              <w:jc w:val="right"/>
            </w:pPr>
            <w:r w:rsidRPr="00F17F90">
              <w:t>(3</w:t>
            </w:r>
            <w:r>
              <w:t>,</w:t>
            </w:r>
            <w:r w:rsidRPr="00F17F90">
              <w:t>263)</w:t>
            </w:r>
          </w:p>
        </w:tc>
        <w:tc>
          <w:tcPr>
            <w:tcW w:w="1444" w:type="dxa"/>
          </w:tcPr>
          <w:p w:rsidR="00240F10" w:rsidRPr="00F17F90" w:rsidRDefault="00240F10" w:rsidP="00240F10">
            <w:pPr>
              <w:jc w:val="right"/>
            </w:pPr>
          </w:p>
        </w:tc>
      </w:tr>
      <w:tr w:rsidR="00240F10" w:rsidRPr="00F17F90" w:rsidTr="008947C5">
        <w:trPr>
          <w:jc w:val="center"/>
        </w:trPr>
        <w:tc>
          <w:tcPr>
            <w:tcW w:w="1244" w:type="dxa"/>
            <w:shd w:val="clear" w:color="auto" w:fill="auto"/>
          </w:tcPr>
          <w:p w:rsidR="00240F10" w:rsidRPr="00F17F90" w:rsidRDefault="00240F10" w:rsidP="00652F0A">
            <w:pPr>
              <w:spacing w:after="240"/>
              <w:jc w:val="right"/>
            </w:pPr>
            <w:r w:rsidRPr="00F17F90">
              <w:lastRenderedPageBreak/>
              <w:t>9,807</w:t>
            </w:r>
          </w:p>
        </w:tc>
        <w:tc>
          <w:tcPr>
            <w:tcW w:w="1269" w:type="dxa"/>
            <w:shd w:val="clear" w:color="auto" w:fill="auto"/>
          </w:tcPr>
          <w:p w:rsidR="00240F10" w:rsidRPr="00F17F90" w:rsidRDefault="00240F10" w:rsidP="00652F0A">
            <w:pPr>
              <w:spacing w:after="240"/>
              <w:jc w:val="right"/>
            </w:pPr>
          </w:p>
        </w:tc>
        <w:tc>
          <w:tcPr>
            <w:tcW w:w="3974" w:type="dxa"/>
            <w:shd w:val="clear" w:color="auto" w:fill="auto"/>
          </w:tcPr>
          <w:p w:rsidR="00240F10" w:rsidRPr="00F17F90" w:rsidRDefault="00240F10" w:rsidP="00240F10">
            <w:pPr>
              <w:spacing w:after="240"/>
            </w:pPr>
            <w:r w:rsidRPr="00F17F90">
              <w:t>Increase/Decrease in Interest Creditors</w:t>
            </w:r>
          </w:p>
        </w:tc>
        <w:tc>
          <w:tcPr>
            <w:tcW w:w="1444" w:type="dxa"/>
          </w:tcPr>
          <w:p w:rsidR="00240F10" w:rsidRPr="00F17F90" w:rsidRDefault="00240F10" w:rsidP="00240F10">
            <w:pPr>
              <w:jc w:val="right"/>
            </w:pPr>
            <w:r w:rsidRPr="00F17F90">
              <w:t>(32</w:t>
            </w:r>
            <w:r>
              <w:t>1</w:t>
            </w:r>
            <w:r w:rsidRPr="00F17F90">
              <w:t>)</w:t>
            </w:r>
          </w:p>
        </w:tc>
        <w:tc>
          <w:tcPr>
            <w:tcW w:w="1444" w:type="dxa"/>
          </w:tcPr>
          <w:p w:rsidR="00240F10" w:rsidRPr="00F17F90" w:rsidRDefault="00240F10" w:rsidP="00240F10">
            <w:pPr>
              <w:jc w:val="right"/>
            </w:pPr>
          </w:p>
        </w:tc>
      </w:tr>
      <w:tr w:rsidR="00240F10" w:rsidRPr="00F17F90" w:rsidTr="008947C5">
        <w:trPr>
          <w:jc w:val="center"/>
        </w:trPr>
        <w:tc>
          <w:tcPr>
            <w:tcW w:w="1244" w:type="dxa"/>
            <w:shd w:val="clear" w:color="auto" w:fill="auto"/>
          </w:tcPr>
          <w:p w:rsidR="00240F10" w:rsidRPr="00F17F90" w:rsidRDefault="00240F10" w:rsidP="00652F0A">
            <w:pPr>
              <w:spacing w:after="240"/>
              <w:jc w:val="right"/>
            </w:pPr>
            <w:r w:rsidRPr="00F17F90">
              <w:t>45,132</w:t>
            </w:r>
          </w:p>
        </w:tc>
        <w:tc>
          <w:tcPr>
            <w:tcW w:w="1269" w:type="dxa"/>
            <w:shd w:val="clear" w:color="auto" w:fill="auto"/>
          </w:tcPr>
          <w:p w:rsidR="00240F10" w:rsidRPr="00F17F90" w:rsidRDefault="00240F10" w:rsidP="00652F0A">
            <w:pPr>
              <w:spacing w:after="240"/>
              <w:jc w:val="right"/>
            </w:pPr>
          </w:p>
        </w:tc>
        <w:tc>
          <w:tcPr>
            <w:tcW w:w="3974" w:type="dxa"/>
            <w:shd w:val="clear" w:color="auto" w:fill="auto"/>
          </w:tcPr>
          <w:p w:rsidR="00240F10" w:rsidRPr="00F17F90" w:rsidRDefault="00240F10" w:rsidP="00240F10">
            <w:pPr>
              <w:spacing w:after="240"/>
            </w:pPr>
            <w:r w:rsidRPr="00F17F90">
              <w:t>Increase/Decrease in Creditors</w:t>
            </w:r>
          </w:p>
        </w:tc>
        <w:tc>
          <w:tcPr>
            <w:tcW w:w="1444" w:type="dxa"/>
          </w:tcPr>
          <w:p w:rsidR="00240F10" w:rsidRPr="00F17F90" w:rsidRDefault="00240F10" w:rsidP="00240F10">
            <w:pPr>
              <w:jc w:val="right"/>
            </w:pPr>
            <w:r w:rsidRPr="00F17F90">
              <w:t>10,632</w:t>
            </w:r>
          </w:p>
        </w:tc>
        <w:tc>
          <w:tcPr>
            <w:tcW w:w="1444" w:type="dxa"/>
          </w:tcPr>
          <w:p w:rsidR="00240F10" w:rsidRPr="00F17F90" w:rsidRDefault="00240F10" w:rsidP="00240F10">
            <w:pPr>
              <w:jc w:val="right"/>
            </w:pPr>
          </w:p>
        </w:tc>
      </w:tr>
      <w:tr w:rsidR="00240F10" w:rsidRPr="00F17F90" w:rsidTr="008947C5">
        <w:trPr>
          <w:jc w:val="center"/>
        </w:trPr>
        <w:tc>
          <w:tcPr>
            <w:tcW w:w="1244" w:type="dxa"/>
            <w:shd w:val="clear" w:color="auto" w:fill="auto"/>
          </w:tcPr>
          <w:p w:rsidR="00240F10" w:rsidRPr="00F17F90" w:rsidRDefault="00240F10" w:rsidP="00652F0A">
            <w:pPr>
              <w:spacing w:after="240"/>
              <w:jc w:val="right"/>
            </w:pPr>
            <w:r w:rsidRPr="00F17F90">
              <w:t>(1,993)</w:t>
            </w:r>
          </w:p>
        </w:tc>
        <w:tc>
          <w:tcPr>
            <w:tcW w:w="1269" w:type="dxa"/>
            <w:shd w:val="clear" w:color="auto" w:fill="auto"/>
          </w:tcPr>
          <w:p w:rsidR="00240F10" w:rsidRPr="00F17F90" w:rsidRDefault="00240F10" w:rsidP="00652F0A">
            <w:pPr>
              <w:spacing w:after="240"/>
              <w:jc w:val="right"/>
            </w:pPr>
          </w:p>
        </w:tc>
        <w:tc>
          <w:tcPr>
            <w:tcW w:w="3974" w:type="dxa"/>
            <w:shd w:val="clear" w:color="auto" w:fill="auto"/>
          </w:tcPr>
          <w:p w:rsidR="00240F10" w:rsidRPr="00F17F90" w:rsidRDefault="00240F10" w:rsidP="00240F10">
            <w:pPr>
              <w:spacing w:after="240"/>
            </w:pPr>
            <w:r w:rsidRPr="00F17F90">
              <w:t>Increase/Decrease in Interest and Dividend Debtors</w:t>
            </w:r>
          </w:p>
        </w:tc>
        <w:tc>
          <w:tcPr>
            <w:tcW w:w="1444" w:type="dxa"/>
          </w:tcPr>
          <w:p w:rsidR="00240F10" w:rsidRPr="00F17F90" w:rsidRDefault="00240F10" w:rsidP="00240F10">
            <w:pPr>
              <w:jc w:val="right"/>
            </w:pPr>
            <w:r w:rsidRPr="00F17F90">
              <w:t>16</w:t>
            </w:r>
          </w:p>
        </w:tc>
        <w:tc>
          <w:tcPr>
            <w:tcW w:w="1444" w:type="dxa"/>
          </w:tcPr>
          <w:p w:rsidR="00240F10" w:rsidRPr="00F17F90" w:rsidRDefault="00240F10" w:rsidP="00240F10">
            <w:pPr>
              <w:jc w:val="right"/>
            </w:pPr>
          </w:p>
        </w:tc>
      </w:tr>
      <w:tr w:rsidR="00240F10" w:rsidRPr="00F17F90" w:rsidTr="008947C5">
        <w:trPr>
          <w:jc w:val="center"/>
        </w:trPr>
        <w:tc>
          <w:tcPr>
            <w:tcW w:w="1244" w:type="dxa"/>
            <w:shd w:val="clear" w:color="auto" w:fill="auto"/>
          </w:tcPr>
          <w:p w:rsidR="00240F10" w:rsidRPr="00F17F90" w:rsidRDefault="00240F10" w:rsidP="00652F0A">
            <w:pPr>
              <w:spacing w:after="240"/>
              <w:jc w:val="right"/>
            </w:pPr>
            <w:r w:rsidRPr="00F17F90">
              <w:t>1,170</w:t>
            </w:r>
          </w:p>
        </w:tc>
        <w:tc>
          <w:tcPr>
            <w:tcW w:w="1269" w:type="dxa"/>
            <w:shd w:val="clear" w:color="auto" w:fill="auto"/>
          </w:tcPr>
          <w:p w:rsidR="00240F10" w:rsidRPr="00F17F90" w:rsidRDefault="00240F10" w:rsidP="00652F0A">
            <w:pPr>
              <w:spacing w:after="240"/>
              <w:jc w:val="right"/>
            </w:pPr>
          </w:p>
        </w:tc>
        <w:tc>
          <w:tcPr>
            <w:tcW w:w="3974" w:type="dxa"/>
            <w:shd w:val="clear" w:color="auto" w:fill="auto"/>
          </w:tcPr>
          <w:p w:rsidR="00240F10" w:rsidRPr="00F17F90" w:rsidRDefault="00240F10" w:rsidP="00240F10">
            <w:pPr>
              <w:spacing w:after="240"/>
            </w:pPr>
            <w:r w:rsidRPr="00F17F90">
              <w:t>Increase/Decrease in Debtors</w:t>
            </w:r>
          </w:p>
        </w:tc>
        <w:tc>
          <w:tcPr>
            <w:tcW w:w="1444" w:type="dxa"/>
          </w:tcPr>
          <w:p w:rsidR="00240F10" w:rsidRPr="00F17F90" w:rsidRDefault="00240F10" w:rsidP="00240F10">
            <w:pPr>
              <w:jc w:val="right"/>
            </w:pPr>
            <w:r w:rsidRPr="00F17F90">
              <w:t>(4</w:t>
            </w:r>
            <w:r>
              <w:t>,</w:t>
            </w:r>
            <w:r w:rsidRPr="00F17F90">
              <w:t>888)</w:t>
            </w:r>
          </w:p>
        </w:tc>
        <w:tc>
          <w:tcPr>
            <w:tcW w:w="1444" w:type="dxa"/>
          </w:tcPr>
          <w:p w:rsidR="00240F10" w:rsidRPr="00F17F90" w:rsidRDefault="00240F10" w:rsidP="00240F10">
            <w:pPr>
              <w:jc w:val="right"/>
            </w:pPr>
          </w:p>
        </w:tc>
      </w:tr>
      <w:tr w:rsidR="00240F10" w:rsidRPr="00F17F90" w:rsidTr="008947C5">
        <w:trPr>
          <w:jc w:val="center"/>
        </w:trPr>
        <w:tc>
          <w:tcPr>
            <w:tcW w:w="1244" w:type="dxa"/>
            <w:shd w:val="clear" w:color="auto" w:fill="auto"/>
          </w:tcPr>
          <w:p w:rsidR="00240F10" w:rsidRPr="00F17F90" w:rsidRDefault="00240F10" w:rsidP="00652F0A">
            <w:pPr>
              <w:spacing w:after="240"/>
              <w:jc w:val="right"/>
            </w:pPr>
            <w:r w:rsidRPr="00F17F90">
              <w:t>438</w:t>
            </w:r>
          </w:p>
        </w:tc>
        <w:tc>
          <w:tcPr>
            <w:tcW w:w="1269" w:type="dxa"/>
            <w:shd w:val="clear" w:color="auto" w:fill="auto"/>
          </w:tcPr>
          <w:p w:rsidR="00240F10" w:rsidRPr="00F17F90" w:rsidRDefault="00240F10" w:rsidP="00652F0A">
            <w:pPr>
              <w:spacing w:after="240"/>
              <w:jc w:val="right"/>
            </w:pPr>
          </w:p>
        </w:tc>
        <w:tc>
          <w:tcPr>
            <w:tcW w:w="3974" w:type="dxa"/>
            <w:shd w:val="clear" w:color="auto" w:fill="auto"/>
          </w:tcPr>
          <w:p w:rsidR="00240F10" w:rsidRPr="00F17F90" w:rsidRDefault="00240F10" w:rsidP="00240F10">
            <w:pPr>
              <w:spacing w:after="240"/>
            </w:pPr>
            <w:r w:rsidRPr="00F17F90">
              <w:t>Increase/Decrease in Inventories</w:t>
            </w:r>
          </w:p>
        </w:tc>
        <w:tc>
          <w:tcPr>
            <w:tcW w:w="1444" w:type="dxa"/>
          </w:tcPr>
          <w:p w:rsidR="00240F10" w:rsidRPr="00F17F90" w:rsidRDefault="00240F10" w:rsidP="00240F10">
            <w:pPr>
              <w:jc w:val="right"/>
            </w:pPr>
            <w:r w:rsidRPr="00F17F90">
              <w:t>(340)</w:t>
            </w:r>
          </w:p>
        </w:tc>
        <w:tc>
          <w:tcPr>
            <w:tcW w:w="1444" w:type="dxa"/>
          </w:tcPr>
          <w:p w:rsidR="00240F10" w:rsidRPr="00F17F90" w:rsidRDefault="00240F10" w:rsidP="00240F10">
            <w:pPr>
              <w:jc w:val="right"/>
            </w:pPr>
          </w:p>
        </w:tc>
      </w:tr>
      <w:tr w:rsidR="00240F10" w:rsidRPr="00F17F90" w:rsidTr="008947C5">
        <w:trPr>
          <w:jc w:val="center"/>
        </w:trPr>
        <w:tc>
          <w:tcPr>
            <w:tcW w:w="1244" w:type="dxa"/>
            <w:shd w:val="clear" w:color="auto" w:fill="auto"/>
          </w:tcPr>
          <w:p w:rsidR="00240F10" w:rsidRPr="00F17F90" w:rsidRDefault="00240F10" w:rsidP="00652F0A">
            <w:pPr>
              <w:spacing w:after="240"/>
              <w:jc w:val="right"/>
            </w:pPr>
            <w:r w:rsidRPr="00F17F90">
              <w:t>116,156</w:t>
            </w:r>
          </w:p>
        </w:tc>
        <w:tc>
          <w:tcPr>
            <w:tcW w:w="1269" w:type="dxa"/>
            <w:shd w:val="clear" w:color="auto" w:fill="auto"/>
          </w:tcPr>
          <w:p w:rsidR="00240F10" w:rsidRPr="00F17F90" w:rsidRDefault="00240F10" w:rsidP="00652F0A">
            <w:pPr>
              <w:spacing w:after="240"/>
              <w:jc w:val="right"/>
            </w:pPr>
          </w:p>
        </w:tc>
        <w:tc>
          <w:tcPr>
            <w:tcW w:w="3974" w:type="dxa"/>
            <w:shd w:val="clear" w:color="auto" w:fill="auto"/>
          </w:tcPr>
          <w:p w:rsidR="00240F10" w:rsidRPr="00F17F90" w:rsidRDefault="008947C5" w:rsidP="00240F10">
            <w:pPr>
              <w:spacing w:after="240"/>
            </w:pPr>
            <w:r>
              <w:t xml:space="preserve">Movement in </w:t>
            </w:r>
            <w:r w:rsidR="00240F10" w:rsidRPr="00F17F90">
              <w:t>Pension Liability</w:t>
            </w:r>
          </w:p>
        </w:tc>
        <w:tc>
          <w:tcPr>
            <w:tcW w:w="1444" w:type="dxa"/>
          </w:tcPr>
          <w:p w:rsidR="00240F10" w:rsidRPr="00F17F90" w:rsidRDefault="00240F10" w:rsidP="008F33CD">
            <w:pPr>
              <w:jc w:val="right"/>
            </w:pPr>
            <w:r w:rsidRPr="00F17F90">
              <w:t>1,117</w:t>
            </w:r>
          </w:p>
        </w:tc>
        <w:tc>
          <w:tcPr>
            <w:tcW w:w="1444" w:type="dxa"/>
          </w:tcPr>
          <w:p w:rsidR="00240F10" w:rsidRPr="00F17F90" w:rsidRDefault="00240F10" w:rsidP="00240F10">
            <w:pPr>
              <w:jc w:val="right"/>
            </w:pPr>
          </w:p>
        </w:tc>
      </w:tr>
      <w:tr w:rsidR="00240F10" w:rsidRPr="00F17F90" w:rsidTr="008947C5">
        <w:trPr>
          <w:jc w:val="center"/>
        </w:trPr>
        <w:tc>
          <w:tcPr>
            <w:tcW w:w="1244" w:type="dxa"/>
            <w:shd w:val="clear" w:color="auto" w:fill="auto"/>
          </w:tcPr>
          <w:p w:rsidR="00240F10" w:rsidRPr="00F17F90" w:rsidRDefault="00240F10" w:rsidP="00652F0A">
            <w:pPr>
              <w:spacing w:after="240"/>
              <w:jc w:val="right"/>
            </w:pPr>
            <w:r w:rsidRPr="00F17F90">
              <w:t>15,795</w:t>
            </w:r>
          </w:p>
        </w:tc>
        <w:tc>
          <w:tcPr>
            <w:tcW w:w="1269" w:type="dxa"/>
            <w:shd w:val="clear" w:color="auto" w:fill="auto"/>
          </w:tcPr>
          <w:p w:rsidR="00240F10" w:rsidRPr="00F17F90" w:rsidRDefault="00240F10" w:rsidP="00652F0A">
            <w:pPr>
              <w:jc w:val="right"/>
            </w:pPr>
          </w:p>
        </w:tc>
        <w:tc>
          <w:tcPr>
            <w:tcW w:w="3974" w:type="dxa"/>
            <w:shd w:val="clear" w:color="auto" w:fill="auto"/>
          </w:tcPr>
          <w:p w:rsidR="00240F10" w:rsidRPr="00F17F90" w:rsidRDefault="00240F10" w:rsidP="00240F10">
            <w:pPr>
              <w:spacing w:after="240"/>
            </w:pPr>
            <w:r w:rsidRPr="00F17F90">
              <w:t>Contributions (to)/from Provisions</w:t>
            </w:r>
          </w:p>
        </w:tc>
        <w:tc>
          <w:tcPr>
            <w:tcW w:w="1444" w:type="dxa"/>
          </w:tcPr>
          <w:p w:rsidR="00240F10" w:rsidRPr="00F17F90" w:rsidRDefault="00240F10" w:rsidP="00240F10">
            <w:pPr>
              <w:jc w:val="right"/>
            </w:pPr>
            <w:r w:rsidRPr="00F17F90">
              <w:t>8,067</w:t>
            </w:r>
          </w:p>
        </w:tc>
        <w:tc>
          <w:tcPr>
            <w:tcW w:w="1444" w:type="dxa"/>
          </w:tcPr>
          <w:p w:rsidR="00240F10" w:rsidRPr="00F17F90" w:rsidRDefault="00240F10" w:rsidP="00240F10">
            <w:pPr>
              <w:jc w:val="right"/>
            </w:pPr>
          </w:p>
        </w:tc>
      </w:tr>
      <w:tr w:rsidR="00240F10" w:rsidRPr="00F17F90" w:rsidTr="008947C5">
        <w:trPr>
          <w:jc w:val="center"/>
        </w:trPr>
        <w:tc>
          <w:tcPr>
            <w:tcW w:w="1244" w:type="dxa"/>
            <w:shd w:val="clear" w:color="auto" w:fill="auto"/>
          </w:tcPr>
          <w:p w:rsidR="00240F10" w:rsidRPr="00F17F90" w:rsidRDefault="00240F10" w:rsidP="00652F0A">
            <w:pPr>
              <w:spacing w:after="240"/>
              <w:jc w:val="right"/>
            </w:pPr>
            <w:r w:rsidRPr="00F17F90">
              <w:t>(3,007)</w:t>
            </w:r>
          </w:p>
        </w:tc>
        <w:tc>
          <w:tcPr>
            <w:tcW w:w="1269" w:type="dxa"/>
            <w:shd w:val="clear" w:color="auto" w:fill="auto"/>
          </w:tcPr>
          <w:p w:rsidR="00240F10" w:rsidRPr="00F17F90" w:rsidRDefault="00240F10" w:rsidP="00652F0A">
            <w:pPr>
              <w:jc w:val="right"/>
            </w:pPr>
          </w:p>
        </w:tc>
        <w:tc>
          <w:tcPr>
            <w:tcW w:w="3974" w:type="dxa"/>
            <w:shd w:val="clear" w:color="auto" w:fill="auto"/>
          </w:tcPr>
          <w:p w:rsidR="00240F10" w:rsidRPr="00F17F90" w:rsidRDefault="00240F10" w:rsidP="00240F10">
            <w:pPr>
              <w:spacing w:after="240"/>
            </w:pPr>
            <w:r w:rsidRPr="00F17F90">
              <w:t>Transferred Debt</w:t>
            </w:r>
          </w:p>
        </w:tc>
        <w:tc>
          <w:tcPr>
            <w:tcW w:w="1444" w:type="dxa"/>
          </w:tcPr>
          <w:p w:rsidR="00240F10" w:rsidRPr="00F17F90" w:rsidRDefault="00240F10" w:rsidP="00240F10">
            <w:pPr>
              <w:jc w:val="right"/>
            </w:pPr>
          </w:p>
        </w:tc>
        <w:tc>
          <w:tcPr>
            <w:tcW w:w="1444" w:type="dxa"/>
          </w:tcPr>
          <w:p w:rsidR="00240F10" w:rsidRPr="00F17F90" w:rsidRDefault="00240F10" w:rsidP="00240F10">
            <w:pPr>
              <w:jc w:val="right"/>
            </w:pPr>
          </w:p>
        </w:tc>
      </w:tr>
      <w:tr w:rsidR="00240F10" w:rsidRPr="00F17F90" w:rsidTr="008947C5">
        <w:trPr>
          <w:jc w:val="center"/>
        </w:trPr>
        <w:tc>
          <w:tcPr>
            <w:tcW w:w="1244" w:type="dxa"/>
            <w:shd w:val="clear" w:color="auto" w:fill="auto"/>
          </w:tcPr>
          <w:p w:rsidR="00240F10" w:rsidRPr="00F17F90" w:rsidRDefault="00240F10" w:rsidP="00652F0A">
            <w:pPr>
              <w:spacing w:after="240"/>
              <w:jc w:val="right"/>
            </w:pPr>
            <w:r w:rsidRPr="00F17F90">
              <w:t>(566)</w:t>
            </w:r>
          </w:p>
        </w:tc>
        <w:tc>
          <w:tcPr>
            <w:tcW w:w="1269" w:type="dxa"/>
            <w:shd w:val="clear" w:color="auto" w:fill="auto"/>
          </w:tcPr>
          <w:p w:rsidR="00240F10" w:rsidRPr="00F17F90" w:rsidRDefault="00240F10" w:rsidP="00652F0A">
            <w:pPr>
              <w:jc w:val="right"/>
            </w:pPr>
          </w:p>
        </w:tc>
        <w:tc>
          <w:tcPr>
            <w:tcW w:w="3974" w:type="dxa"/>
            <w:shd w:val="clear" w:color="auto" w:fill="auto"/>
          </w:tcPr>
          <w:p w:rsidR="00240F10" w:rsidRPr="00F17F90" w:rsidRDefault="00240F10" w:rsidP="00240F10">
            <w:pPr>
              <w:spacing w:after="240"/>
            </w:pPr>
            <w:r>
              <w:t>O</w:t>
            </w:r>
            <w:r w:rsidRPr="00F17F90">
              <w:t>ther non cash movement</w:t>
            </w:r>
          </w:p>
        </w:tc>
        <w:tc>
          <w:tcPr>
            <w:tcW w:w="1444" w:type="dxa"/>
          </w:tcPr>
          <w:p w:rsidR="00240F10" w:rsidRPr="00F17F90" w:rsidRDefault="00240F10" w:rsidP="00240F10">
            <w:pPr>
              <w:jc w:val="right"/>
            </w:pPr>
          </w:p>
        </w:tc>
        <w:tc>
          <w:tcPr>
            <w:tcW w:w="1444" w:type="dxa"/>
          </w:tcPr>
          <w:p w:rsidR="00240F10" w:rsidRPr="00F17F90" w:rsidRDefault="00240F10" w:rsidP="00240F10">
            <w:pPr>
              <w:jc w:val="right"/>
            </w:pPr>
          </w:p>
        </w:tc>
      </w:tr>
      <w:tr w:rsidR="00240F10" w:rsidRPr="00F17F90" w:rsidTr="008947C5">
        <w:trPr>
          <w:jc w:val="center"/>
        </w:trPr>
        <w:tc>
          <w:tcPr>
            <w:tcW w:w="1244" w:type="dxa"/>
            <w:shd w:val="clear" w:color="auto" w:fill="auto"/>
          </w:tcPr>
          <w:p w:rsidR="00240F10" w:rsidRPr="00F17F90" w:rsidRDefault="00240F10" w:rsidP="00652F0A">
            <w:pPr>
              <w:spacing w:after="240"/>
              <w:jc w:val="right"/>
            </w:pPr>
          </w:p>
        </w:tc>
        <w:tc>
          <w:tcPr>
            <w:tcW w:w="1269" w:type="dxa"/>
            <w:shd w:val="clear" w:color="auto" w:fill="auto"/>
          </w:tcPr>
          <w:p w:rsidR="00240F10" w:rsidRPr="00F17F90" w:rsidRDefault="00240F10" w:rsidP="00652F0A">
            <w:pPr>
              <w:jc w:val="right"/>
            </w:pPr>
          </w:p>
        </w:tc>
        <w:tc>
          <w:tcPr>
            <w:tcW w:w="3974" w:type="dxa"/>
            <w:shd w:val="clear" w:color="auto" w:fill="auto"/>
          </w:tcPr>
          <w:p w:rsidR="00240F10" w:rsidRPr="00F17F90" w:rsidRDefault="00240F10" w:rsidP="00240F10">
            <w:pPr>
              <w:spacing w:after="240"/>
            </w:pPr>
            <w:r>
              <w:t>Other cash movement</w:t>
            </w:r>
          </w:p>
        </w:tc>
        <w:tc>
          <w:tcPr>
            <w:tcW w:w="1444" w:type="dxa"/>
          </w:tcPr>
          <w:p w:rsidR="00240F10" w:rsidRPr="00F17F90" w:rsidRDefault="00240F10" w:rsidP="00240F10">
            <w:pPr>
              <w:jc w:val="right"/>
            </w:pPr>
            <w:r>
              <w:t>(406)</w:t>
            </w:r>
          </w:p>
        </w:tc>
        <w:tc>
          <w:tcPr>
            <w:tcW w:w="1444" w:type="dxa"/>
          </w:tcPr>
          <w:p w:rsidR="00240F10" w:rsidRPr="00F17F90" w:rsidRDefault="00240F10" w:rsidP="00240F10">
            <w:pPr>
              <w:jc w:val="right"/>
            </w:pPr>
          </w:p>
        </w:tc>
      </w:tr>
      <w:tr w:rsidR="00240F10" w:rsidRPr="00F17F90" w:rsidTr="008947C5">
        <w:trPr>
          <w:jc w:val="center"/>
        </w:trPr>
        <w:tc>
          <w:tcPr>
            <w:tcW w:w="1244" w:type="dxa"/>
            <w:shd w:val="clear" w:color="auto" w:fill="auto"/>
          </w:tcPr>
          <w:p w:rsidR="00240F10" w:rsidRPr="00F17F90" w:rsidRDefault="00240F10" w:rsidP="00652F0A">
            <w:pPr>
              <w:spacing w:after="240"/>
              <w:jc w:val="right"/>
            </w:pPr>
            <w:r w:rsidRPr="00F17F90">
              <w:t>(34,507)</w:t>
            </w:r>
          </w:p>
        </w:tc>
        <w:tc>
          <w:tcPr>
            <w:tcW w:w="1269" w:type="dxa"/>
            <w:shd w:val="clear" w:color="auto" w:fill="auto"/>
          </w:tcPr>
          <w:p w:rsidR="00240F10" w:rsidRPr="00F17F90" w:rsidRDefault="00240F10" w:rsidP="00652F0A">
            <w:pPr>
              <w:jc w:val="right"/>
            </w:pPr>
          </w:p>
        </w:tc>
        <w:tc>
          <w:tcPr>
            <w:tcW w:w="3974" w:type="dxa"/>
            <w:shd w:val="clear" w:color="auto" w:fill="auto"/>
          </w:tcPr>
          <w:p w:rsidR="00240F10" w:rsidRPr="00F17F90" w:rsidRDefault="00240F10" w:rsidP="00240F10">
            <w:pPr>
              <w:spacing w:after="240"/>
            </w:pPr>
            <w:r w:rsidRPr="00F17F90">
              <w:t>Carrying amount of non-current assets sold [property plant and equipment, investment property and intangible assets]</w:t>
            </w:r>
          </w:p>
        </w:tc>
        <w:tc>
          <w:tcPr>
            <w:tcW w:w="1444" w:type="dxa"/>
          </w:tcPr>
          <w:p w:rsidR="00240F10" w:rsidRPr="00F17F90" w:rsidRDefault="00240F10" w:rsidP="00240F10">
            <w:pPr>
              <w:jc w:val="right"/>
            </w:pPr>
            <w:r w:rsidRPr="00F17F90">
              <w:t>(106,956)</w:t>
            </w:r>
          </w:p>
        </w:tc>
        <w:tc>
          <w:tcPr>
            <w:tcW w:w="1444" w:type="dxa"/>
          </w:tcPr>
          <w:p w:rsidR="00240F10" w:rsidRPr="00F17F90" w:rsidRDefault="00240F10" w:rsidP="00240F10">
            <w:pPr>
              <w:jc w:val="right"/>
            </w:pPr>
          </w:p>
        </w:tc>
      </w:tr>
      <w:tr w:rsidR="00240F10" w:rsidRPr="00F17F90" w:rsidTr="008947C5">
        <w:trPr>
          <w:jc w:val="center"/>
        </w:trPr>
        <w:tc>
          <w:tcPr>
            <w:tcW w:w="1244" w:type="dxa"/>
            <w:shd w:val="clear" w:color="auto" w:fill="auto"/>
          </w:tcPr>
          <w:p w:rsidR="00240F10" w:rsidRPr="00F17F90" w:rsidRDefault="00240F10" w:rsidP="00652F0A">
            <w:pPr>
              <w:spacing w:after="240"/>
              <w:jc w:val="right"/>
            </w:pPr>
            <w:r w:rsidRPr="00F17F90">
              <w:t>(471,912)</w:t>
            </w:r>
          </w:p>
        </w:tc>
        <w:tc>
          <w:tcPr>
            <w:tcW w:w="1269" w:type="dxa"/>
            <w:shd w:val="clear" w:color="auto" w:fill="auto"/>
          </w:tcPr>
          <w:p w:rsidR="00240F10" w:rsidRPr="00F17F90" w:rsidRDefault="00240F10" w:rsidP="00652F0A">
            <w:pPr>
              <w:spacing w:after="240"/>
              <w:jc w:val="right"/>
            </w:pPr>
          </w:p>
        </w:tc>
        <w:tc>
          <w:tcPr>
            <w:tcW w:w="3974" w:type="dxa"/>
            <w:shd w:val="clear" w:color="auto" w:fill="auto"/>
          </w:tcPr>
          <w:p w:rsidR="00240F10" w:rsidRPr="00F17F90" w:rsidRDefault="00240F10" w:rsidP="00240F10">
            <w:pPr>
              <w:spacing w:after="240"/>
            </w:pPr>
            <w:r w:rsidRPr="00F17F90">
              <w:t>Carrying amount of short and long term investments sold</w:t>
            </w:r>
          </w:p>
        </w:tc>
        <w:tc>
          <w:tcPr>
            <w:tcW w:w="1444" w:type="dxa"/>
          </w:tcPr>
          <w:p w:rsidR="00240F10" w:rsidRPr="00F17F90" w:rsidRDefault="00240F10" w:rsidP="00240F10">
            <w:pPr>
              <w:jc w:val="right"/>
            </w:pPr>
          </w:p>
        </w:tc>
        <w:tc>
          <w:tcPr>
            <w:tcW w:w="1444" w:type="dxa"/>
          </w:tcPr>
          <w:p w:rsidR="00240F10" w:rsidRPr="00F17F90" w:rsidRDefault="00240F10" w:rsidP="00240F10">
            <w:pPr>
              <w:jc w:val="right"/>
            </w:pPr>
          </w:p>
        </w:tc>
      </w:tr>
      <w:tr w:rsidR="00240F10" w:rsidRPr="00F17F90" w:rsidTr="008947C5">
        <w:trPr>
          <w:jc w:val="center"/>
        </w:trPr>
        <w:tc>
          <w:tcPr>
            <w:tcW w:w="1244" w:type="dxa"/>
            <w:shd w:val="clear" w:color="auto" w:fill="auto"/>
          </w:tcPr>
          <w:p w:rsidR="00240F10" w:rsidRPr="00F17F90" w:rsidRDefault="00240F10" w:rsidP="00652F0A">
            <w:pPr>
              <w:spacing w:after="240"/>
              <w:jc w:val="right"/>
            </w:pPr>
            <w:r w:rsidRPr="00F17F90">
              <w:t>52</w:t>
            </w:r>
          </w:p>
        </w:tc>
        <w:tc>
          <w:tcPr>
            <w:tcW w:w="1269" w:type="dxa"/>
            <w:shd w:val="clear" w:color="auto" w:fill="auto"/>
          </w:tcPr>
          <w:p w:rsidR="00240F10" w:rsidRPr="00F17F90" w:rsidRDefault="00240F10" w:rsidP="00652F0A">
            <w:pPr>
              <w:spacing w:after="240"/>
              <w:jc w:val="right"/>
            </w:pPr>
          </w:p>
        </w:tc>
        <w:tc>
          <w:tcPr>
            <w:tcW w:w="3974" w:type="dxa"/>
            <w:shd w:val="clear" w:color="auto" w:fill="auto"/>
          </w:tcPr>
          <w:p w:rsidR="00240F10" w:rsidRPr="00F17F90" w:rsidRDefault="00240F10" w:rsidP="00240F10">
            <w:pPr>
              <w:spacing w:after="240"/>
            </w:pPr>
            <w:r w:rsidRPr="00F17F90">
              <w:t>Movement in Investment Property Values</w:t>
            </w:r>
          </w:p>
        </w:tc>
        <w:tc>
          <w:tcPr>
            <w:tcW w:w="1444" w:type="dxa"/>
          </w:tcPr>
          <w:p w:rsidR="00240F10" w:rsidRPr="00F17F90" w:rsidRDefault="00240F10" w:rsidP="00240F10">
            <w:pPr>
              <w:jc w:val="right"/>
            </w:pPr>
            <w:r w:rsidRPr="00F17F90">
              <w:t>37</w:t>
            </w:r>
          </w:p>
        </w:tc>
        <w:tc>
          <w:tcPr>
            <w:tcW w:w="1444" w:type="dxa"/>
          </w:tcPr>
          <w:p w:rsidR="00240F10" w:rsidRPr="00F17F90" w:rsidRDefault="00240F10" w:rsidP="00240F10">
            <w:pPr>
              <w:jc w:val="right"/>
            </w:pPr>
          </w:p>
        </w:tc>
      </w:tr>
      <w:tr w:rsidR="00240F10" w:rsidRPr="00F17F90" w:rsidTr="008947C5">
        <w:trPr>
          <w:jc w:val="center"/>
        </w:trPr>
        <w:tc>
          <w:tcPr>
            <w:tcW w:w="1244" w:type="dxa"/>
            <w:shd w:val="clear" w:color="auto" w:fill="auto"/>
          </w:tcPr>
          <w:p w:rsidR="00240F10" w:rsidRPr="00F17F90" w:rsidRDefault="00240F10" w:rsidP="00652F0A">
            <w:pPr>
              <w:jc w:val="right"/>
            </w:pPr>
          </w:p>
        </w:tc>
        <w:tc>
          <w:tcPr>
            <w:tcW w:w="1269" w:type="dxa"/>
            <w:shd w:val="clear" w:color="auto" w:fill="auto"/>
          </w:tcPr>
          <w:p w:rsidR="00240F10" w:rsidRPr="00F17F90" w:rsidRDefault="00240F10" w:rsidP="00652F0A">
            <w:pPr>
              <w:jc w:val="right"/>
            </w:pPr>
            <w:r w:rsidRPr="00F17F90">
              <w:rPr>
                <w:b/>
              </w:rPr>
              <w:t>(432,202)</w:t>
            </w:r>
          </w:p>
        </w:tc>
        <w:tc>
          <w:tcPr>
            <w:tcW w:w="3974" w:type="dxa"/>
            <w:shd w:val="clear" w:color="auto" w:fill="auto"/>
          </w:tcPr>
          <w:p w:rsidR="00240F10" w:rsidRPr="00F17F90" w:rsidRDefault="00240F10" w:rsidP="00240F10"/>
        </w:tc>
        <w:tc>
          <w:tcPr>
            <w:tcW w:w="1444" w:type="dxa"/>
          </w:tcPr>
          <w:p w:rsidR="00240F10" w:rsidRPr="00F17F90" w:rsidRDefault="00240F10" w:rsidP="00240F10">
            <w:pPr>
              <w:jc w:val="right"/>
            </w:pPr>
          </w:p>
        </w:tc>
        <w:tc>
          <w:tcPr>
            <w:tcW w:w="1444" w:type="dxa"/>
          </w:tcPr>
          <w:p w:rsidR="00240F10" w:rsidRPr="00F17F90" w:rsidRDefault="00652F0A" w:rsidP="00240F10">
            <w:pPr>
              <w:jc w:val="right"/>
              <w:rPr>
                <w:b/>
              </w:rPr>
            </w:pPr>
            <w:r>
              <w:rPr>
                <w:b/>
              </w:rPr>
              <w:t>(119,41</w:t>
            </w:r>
            <w:r w:rsidR="00240F10" w:rsidRPr="00F17F90">
              <w:rPr>
                <w:b/>
              </w:rPr>
              <w:t>1)</w:t>
            </w:r>
          </w:p>
        </w:tc>
      </w:tr>
      <w:tr w:rsidR="00240F10" w:rsidRPr="00F17F90" w:rsidTr="008947C5">
        <w:trPr>
          <w:jc w:val="center"/>
        </w:trPr>
        <w:tc>
          <w:tcPr>
            <w:tcW w:w="1244" w:type="dxa"/>
            <w:shd w:val="clear" w:color="auto" w:fill="auto"/>
          </w:tcPr>
          <w:p w:rsidR="00240F10" w:rsidRPr="00F17F90" w:rsidRDefault="00240F10" w:rsidP="00652F0A">
            <w:pPr>
              <w:jc w:val="right"/>
            </w:pPr>
          </w:p>
        </w:tc>
        <w:tc>
          <w:tcPr>
            <w:tcW w:w="1269" w:type="dxa"/>
            <w:shd w:val="clear" w:color="auto" w:fill="auto"/>
          </w:tcPr>
          <w:p w:rsidR="00240F10" w:rsidRPr="00F17F90" w:rsidRDefault="00240F10" w:rsidP="00652F0A">
            <w:pPr>
              <w:jc w:val="right"/>
            </w:pPr>
          </w:p>
        </w:tc>
        <w:tc>
          <w:tcPr>
            <w:tcW w:w="3974" w:type="dxa"/>
            <w:shd w:val="clear" w:color="auto" w:fill="auto"/>
          </w:tcPr>
          <w:p w:rsidR="00240F10" w:rsidRPr="00F17F90" w:rsidRDefault="00240F10" w:rsidP="00240F10">
            <w:r w:rsidRPr="00F17F90">
              <w:rPr>
                <w:u w:val="single"/>
              </w:rPr>
              <w:t>Adjust for items included in the net surplus or deficit on the provision of services that are investing or financing activities</w:t>
            </w:r>
          </w:p>
        </w:tc>
        <w:tc>
          <w:tcPr>
            <w:tcW w:w="1444" w:type="dxa"/>
          </w:tcPr>
          <w:p w:rsidR="00240F10" w:rsidRPr="00F17F90" w:rsidRDefault="00240F10" w:rsidP="00240F10">
            <w:pPr>
              <w:jc w:val="right"/>
            </w:pPr>
          </w:p>
        </w:tc>
        <w:tc>
          <w:tcPr>
            <w:tcW w:w="1444" w:type="dxa"/>
          </w:tcPr>
          <w:p w:rsidR="00240F10" w:rsidRPr="00F17F90" w:rsidRDefault="00240F10" w:rsidP="00240F10">
            <w:pPr>
              <w:jc w:val="right"/>
            </w:pPr>
          </w:p>
        </w:tc>
      </w:tr>
      <w:tr w:rsidR="00240F10" w:rsidRPr="00F17F90" w:rsidTr="008947C5">
        <w:trPr>
          <w:jc w:val="center"/>
        </w:trPr>
        <w:tc>
          <w:tcPr>
            <w:tcW w:w="1244" w:type="dxa"/>
            <w:shd w:val="clear" w:color="auto" w:fill="auto"/>
          </w:tcPr>
          <w:p w:rsidR="00240F10" w:rsidRPr="00F17F90" w:rsidRDefault="00240F10" w:rsidP="00652F0A">
            <w:pPr>
              <w:jc w:val="right"/>
            </w:pPr>
            <w:r w:rsidRPr="00F17F90">
              <w:t>100,107</w:t>
            </w:r>
          </w:p>
        </w:tc>
        <w:tc>
          <w:tcPr>
            <w:tcW w:w="1269" w:type="dxa"/>
            <w:shd w:val="clear" w:color="auto" w:fill="auto"/>
          </w:tcPr>
          <w:p w:rsidR="00240F10" w:rsidRPr="00F17F90" w:rsidRDefault="00240F10" w:rsidP="00652F0A">
            <w:pPr>
              <w:jc w:val="right"/>
            </w:pPr>
          </w:p>
        </w:tc>
        <w:tc>
          <w:tcPr>
            <w:tcW w:w="3974" w:type="dxa"/>
            <w:shd w:val="clear" w:color="auto" w:fill="auto"/>
          </w:tcPr>
          <w:p w:rsidR="00240F10" w:rsidRPr="00F17F90" w:rsidRDefault="00240F10" w:rsidP="00240F10">
            <w:r w:rsidRPr="00F17F90">
              <w:t>Capital Grants credited to surplus or deficit on the provision of services</w:t>
            </w:r>
          </w:p>
        </w:tc>
        <w:tc>
          <w:tcPr>
            <w:tcW w:w="1444" w:type="dxa"/>
          </w:tcPr>
          <w:p w:rsidR="00240F10" w:rsidRPr="00F17F90" w:rsidRDefault="00240F10" w:rsidP="00240F10">
            <w:pPr>
              <w:jc w:val="right"/>
            </w:pPr>
            <w:r w:rsidRPr="00F17F90">
              <w:t>126</w:t>
            </w:r>
            <w:r w:rsidR="00652F0A">
              <w:t>,</w:t>
            </w:r>
            <w:r w:rsidRPr="00F17F90">
              <w:t>565</w:t>
            </w:r>
          </w:p>
        </w:tc>
        <w:tc>
          <w:tcPr>
            <w:tcW w:w="1444" w:type="dxa"/>
          </w:tcPr>
          <w:p w:rsidR="00240F10" w:rsidRPr="00F17F90" w:rsidRDefault="00240F10" w:rsidP="00240F10">
            <w:pPr>
              <w:jc w:val="right"/>
            </w:pPr>
          </w:p>
        </w:tc>
      </w:tr>
      <w:tr w:rsidR="00240F10" w:rsidRPr="00F17F90" w:rsidTr="008947C5">
        <w:trPr>
          <w:jc w:val="center"/>
        </w:trPr>
        <w:tc>
          <w:tcPr>
            <w:tcW w:w="1244" w:type="dxa"/>
            <w:shd w:val="clear" w:color="auto" w:fill="auto"/>
          </w:tcPr>
          <w:p w:rsidR="00240F10" w:rsidRPr="00F17F90" w:rsidRDefault="00240F10" w:rsidP="00652F0A">
            <w:pPr>
              <w:jc w:val="right"/>
            </w:pPr>
            <w:r w:rsidRPr="00F17F90">
              <w:t>471,912</w:t>
            </w:r>
          </w:p>
        </w:tc>
        <w:tc>
          <w:tcPr>
            <w:tcW w:w="1269" w:type="dxa"/>
            <w:shd w:val="clear" w:color="auto" w:fill="auto"/>
          </w:tcPr>
          <w:p w:rsidR="00240F10" w:rsidRPr="00F17F90" w:rsidRDefault="00240F10" w:rsidP="00652F0A">
            <w:pPr>
              <w:jc w:val="right"/>
            </w:pPr>
          </w:p>
        </w:tc>
        <w:tc>
          <w:tcPr>
            <w:tcW w:w="3974" w:type="dxa"/>
            <w:shd w:val="clear" w:color="auto" w:fill="auto"/>
          </w:tcPr>
          <w:p w:rsidR="00240F10" w:rsidRPr="00F17F90" w:rsidRDefault="00240F10" w:rsidP="00240F10">
            <w:r w:rsidRPr="00F17F90">
              <w:t>Proceeds from the sale of short and long term investments</w:t>
            </w:r>
          </w:p>
        </w:tc>
        <w:tc>
          <w:tcPr>
            <w:tcW w:w="1444" w:type="dxa"/>
          </w:tcPr>
          <w:p w:rsidR="00240F10" w:rsidRPr="00F17F90" w:rsidRDefault="00240F10" w:rsidP="008F33CD">
            <w:pPr>
              <w:jc w:val="right"/>
            </w:pPr>
            <w:r w:rsidRPr="00F17F90">
              <w:t>(2</w:t>
            </w:r>
            <w:r w:rsidR="00652F0A">
              <w:t>,</w:t>
            </w:r>
            <w:r w:rsidRPr="00F17F90">
              <w:t>674</w:t>
            </w:r>
            <w:r w:rsidR="00652F0A">
              <w:t>,</w:t>
            </w:r>
            <w:r w:rsidRPr="00F17F90">
              <w:t>6</w:t>
            </w:r>
            <w:r w:rsidR="008F33CD">
              <w:t>58</w:t>
            </w:r>
            <w:r w:rsidRPr="00F17F90">
              <w:t>)</w:t>
            </w:r>
          </w:p>
        </w:tc>
        <w:tc>
          <w:tcPr>
            <w:tcW w:w="1444" w:type="dxa"/>
          </w:tcPr>
          <w:p w:rsidR="00240F10" w:rsidRPr="00F17F90" w:rsidRDefault="00240F10" w:rsidP="00240F10">
            <w:pPr>
              <w:jc w:val="right"/>
            </w:pPr>
          </w:p>
        </w:tc>
      </w:tr>
      <w:tr w:rsidR="00240F10" w:rsidRPr="00F17F90" w:rsidTr="008947C5">
        <w:trPr>
          <w:jc w:val="center"/>
        </w:trPr>
        <w:tc>
          <w:tcPr>
            <w:tcW w:w="1244" w:type="dxa"/>
            <w:shd w:val="clear" w:color="auto" w:fill="auto"/>
          </w:tcPr>
          <w:p w:rsidR="00240F10" w:rsidRPr="00F17F90" w:rsidRDefault="00240F10" w:rsidP="00652F0A">
            <w:pPr>
              <w:jc w:val="right"/>
            </w:pPr>
            <w:r w:rsidRPr="00F17F90">
              <w:t>785</w:t>
            </w:r>
          </w:p>
        </w:tc>
        <w:tc>
          <w:tcPr>
            <w:tcW w:w="1269" w:type="dxa"/>
            <w:shd w:val="clear" w:color="auto" w:fill="auto"/>
          </w:tcPr>
          <w:p w:rsidR="00240F10" w:rsidRPr="00F17F90" w:rsidRDefault="00240F10" w:rsidP="00652F0A">
            <w:pPr>
              <w:jc w:val="right"/>
            </w:pPr>
          </w:p>
        </w:tc>
        <w:tc>
          <w:tcPr>
            <w:tcW w:w="3974" w:type="dxa"/>
            <w:shd w:val="clear" w:color="auto" w:fill="auto"/>
          </w:tcPr>
          <w:p w:rsidR="00240F10" w:rsidRPr="00F17F90" w:rsidRDefault="00240F10" w:rsidP="00240F10">
            <w:pPr>
              <w:spacing w:after="240"/>
            </w:pPr>
            <w:r w:rsidRPr="00F17F90">
              <w:t>Premiums or Discounts on the repayment of financial liabilities</w:t>
            </w:r>
          </w:p>
        </w:tc>
        <w:tc>
          <w:tcPr>
            <w:tcW w:w="1444" w:type="dxa"/>
          </w:tcPr>
          <w:p w:rsidR="00240F10" w:rsidRPr="00F17F90" w:rsidRDefault="00240F10" w:rsidP="00240F10">
            <w:pPr>
              <w:jc w:val="right"/>
            </w:pPr>
          </w:p>
        </w:tc>
        <w:tc>
          <w:tcPr>
            <w:tcW w:w="1444" w:type="dxa"/>
          </w:tcPr>
          <w:p w:rsidR="00240F10" w:rsidRPr="00F17F90" w:rsidRDefault="00240F10" w:rsidP="00240F10">
            <w:pPr>
              <w:jc w:val="right"/>
            </w:pPr>
          </w:p>
        </w:tc>
      </w:tr>
      <w:tr w:rsidR="00240F10" w:rsidRPr="00F17F90" w:rsidTr="008947C5">
        <w:trPr>
          <w:jc w:val="center"/>
        </w:trPr>
        <w:tc>
          <w:tcPr>
            <w:tcW w:w="1244" w:type="dxa"/>
            <w:shd w:val="clear" w:color="auto" w:fill="auto"/>
          </w:tcPr>
          <w:p w:rsidR="00240F10" w:rsidRPr="00F17F90" w:rsidRDefault="00240F10" w:rsidP="00652F0A">
            <w:pPr>
              <w:jc w:val="right"/>
            </w:pPr>
            <w:r w:rsidRPr="00F17F90">
              <w:t>13,275</w:t>
            </w:r>
          </w:p>
        </w:tc>
        <w:tc>
          <w:tcPr>
            <w:tcW w:w="1269" w:type="dxa"/>
            <w:shd w:val="clear" w:color="auto" w:fill="auto"/>
          </w:tcPr>
          <w:p w:rsidR="00240F10" w:rsidRPr="00F17F90" w:rsidRDefault="00240F10" w:rsidP="00652F0A">
            <w:pPr>
              <w:jc w:val="right"/>
            </w:pPr>
          </w:p>
        </w:tc>
        <w:tc>
          <w:tcPr>
            <w:tcW w:w="3974" w:type="dxa"/>
            <w:shd w:val="clear" w:color="auto" w:fill="auto"/>
          </w:tcPr>
          <w:p w:rsidR="00240F10" w:rsidRPr="00F17F90" w:rsidRDefault="00240F10" w:rsidP="00240F10">
            <w:r w:rsidRPr="00F17F90">
              <w:t>Proceeds from the sale of property plant and equipment, investment property and intangible assets</w:t>
            </w:r>
          </w:p>
        </w:tc>
        <w:tc>
          <w:tcPr>
            <w:tcW w:w="1444" w:type="dxa"/>
          </w:tcPr>
          <w:p w:rsidR="00240F10" w:rsidRPr="00F17F90" w:rsidRDefault="00240F10" w:rsidP="00240F10">
            <w:pPr>
              <w:jc w:val="right"/>
            </w:pPr>
            <w:r w:rsidRPr="00F17F90">
              <w:t>883</w:t>
            </w:r>
          </w:p>
        </w:tc>
        <w:tc>
          <w:tcPr>
            <w:tcW w:w="1444" w:type="dxa"/>
          </w:tcPr>
          <w:p w:rsidR="00240F10" w:rsidRPr="00F17F90" w:rsidRDefault="00240F10" w:rsidP="00240F10">
            <w:pPr>
              <w:jc w:val="right"/>
            </w:pPr>
          </w:p>
        </w:tc>
      </w:tr>
      <w:tr w:rsidR="00240F10" w:rsidRPr="00F17F90" w:rsidTr="008947C5">
        <w:trPr>
          <w:jc w:val="center"/>
        </w:trPr>
        <w:tc>
          <w:tcPr>
            <w:tcW w:w="1244" w:type="dxa"/>
            <w:shd w:val="clear" w:color="auto" w:fill="auto"/>
          </w:tcPr>
          <w:p w:rsidR="00240F10" w:rsidRPr="00F17F90" w:rsidRDefault="00240F10" w:rsidP="00652F0A">
            <w:pPr>
              <w:jc w:val="right"/>
            </w:pPr>
          </w:p>
        </w:tc>
        <w:tc>
          <w:tcPr>
            <w:tcW w:w="1269" w:type="dxa"/>
            <w:shd w:val="clear" w:color="auto" w:fill="auto"/>
          </w:tcPr>
          <w:p w:rsidR="00240F10" w:rsidRPr="00F17F90" w:rsidRDefault="00240F10" w:rsidP="00652F0A">
            <w:pPr>
              <w:jc w:val="right"/>
            </w:pPr>
            <w:r w:rsidRPr="00F17F90">
              <w:rPr>
                <w:b/>
              </w:rPr>
              <w:t>586,079</w:t>
            </w:r>
          </w:p>
        </w:tc>
        <w:tc>
          <w:tcPr>
            <w:tcW w:w="3974" w:type="dxa"/>
            <w:shd w:val="clear" w:color="auto" w:fill="auto"/>
          </w:tcPr>
          <w:p w:rsidR="00240F10" w:rsidRPr="00F17F90" w:rsidRDefault="00240F10" w:rsidP="00240F10"/>
        </w:tc>
        <w:tc>
          <w:tcPr>
            <w:tcW w:w="1444" w:type="dxa"/>
          </w:tcPr>
          <w:p w:rsidR="00240F10" w:rsidRPr="00F17F90" w:rsidRDefault="00240F10" w:rsidP="00240F10">
            <w:pPr>
              <w:jc w:val="right"/>
            </w:pPr>
          </w:p>
        </w:tc>
        <w:tc>
          <w:tcPr>
            <w:tcW w:w="1444" w:type="dxa"/>
          </w:tcPr>
          <w:p w:rsidR="00240F10" w:rsidRPr="00F17F90" w:rsidRDefault="00652F0A" w:rsidP="00240F10">
            <w:pPr>
              <w:jc w:val="right"/>
              <w:rPr>
                <w:b/>
              </w:rPr>
            </w:pPr>
            <w:r>
              <w:rPr>
                <w:b/>
              </w:rPr>
              <w:t>(2,547,210</w:t>
            </w:r>
            <w:r w:rsidR="00240F10" w:rsidRPr="00F17F90">
              <w:rPr>
                <w:b/>
              </w:rPr>
              <w:t>)</w:t>
            </w:r>
          </w:p>
        </w:tc>
      </w:tr>
      <w:tr w:rsidR="00240F10" w:rsidRPr="00F17F90" w:rsidTr="008947C5">
        <w:trPr>
          <w:jc w:val="center"/>
        </w:trPr>
        <w:tc>
          <w:tcPr>
            <w:tcW w:w="1244" w:type="dxa"/>
            <w:shd w:val="clear" w:color="auto" w:fill="auto"/>
          </w:tcPr>
          <w:p w:rsidR="00240F10" w:rsidRPr="00F17F90" w:rsidRDefault="00240F10" w:rsidP="00652F0A">
            <w:pPr>
              <w:jc w:val="right"/>
              <w:rPr>
                <w:b/>
              </w:rPr>
            </w:pPr>
            <w:r w:rsidRPr="00F17F90">
              <w:rPr>
                <w:b/>
              </w:rPr>
              <w:t>25</w:t>
            </w:r>
            <w:r w:rsidR="00652F0A">
              <w:rPr>
                <w:b/>
              </w:rPr>
              <w:t>,</w:t>
            </w:r>
            <w:r w:rsidRPr="00F17F90">
              <w:rPr>
                <w:b/>
              </w:rPr>
              <w:t>843</w:t>
            </w:r>
          </w:p>
        </w:tc>
        <w:tc>
          <w:tcPr>
            <w:tcW w:w="1269" w:type="dxa"/>
            <w:shd w:val="clear" w:color="auto" w:fill="auto"/>
          </w:tcPr>
          <w:p w:rsidR="00240F10" w:rsidRPr="00F17F90" w:rsidRDefault="00240F10" w:rsidP="00652F0A">
            <w:pPr>
              <w:jc w:val="right"/>
            </w:pPr>
          </w:p>
        </w:tc>
        <w:tc>
          <w:tcPr>
            <w:tcW w:w="3974" w:type="dxa"/>
            <w:shd w:val="clear" w:color="auto" w:fill="auto"/>
          </w:tcPr>
          <w:p w:rsidR="00240F10" w:rsidRPr="00F17F90" w:rsidRDefault="00240F10" w:rsidP="00240F10">
            <w:r w:rsidRPr="00F17F90">
              <w:rPr>
                <w:b/>
              </w:rPr>
              <w:t>Net Cash Flows from Operating Activities</w:t>
            </w:r>
          </w:p>
        </w:tc>
        <w:tc>
          <w:tcPr>
            <w:tcW w:w="1444" w:type="dxa"/>
          </w:tcPr>
          <w:p w:rsidR="00240F10" w:rsidRPr="00F17F90" w:rsidRDefault="00240F10" w:rsidP="00240F10">
            <w:pPr>
              <w:jc w:val="right"/>
            </w:pPr>
          </w:p>
        </w:tc>
        <w:tc>
          <w:tcPr>
            <w:tcW w:w="1444" w:type="dxa"/>
          </w:tcPr>
          <w:p w:rsidR="00240F10" w:rsidRPr="00F17F90" w:rsidRDefault="00652F0A" w:rsidP="00240F10">
            <w:pPr>
              <w:jc w:val="right"/>
              <w:rPr>
                <w:b/>
              </w:rPr>
            </w:pPr>
            <w:r>
              <w:rPr>
                <w:b/>
              </w:rPr>
              <w:t>(2,736,896)</w:t>
            </w:r>
          </w:p>
        </w:tc>
      </w:tr>
    </w:tbl>
    <w:p w:rsidR="008A08A9" w:rsidRDefault="008A08A9" w:rsidP="00A6123A">
      <w:pPr>
        <w:spacing w:after="240"/>
        <w:rPr>
          <w:b/>
          <w:highlight w:val="yellow"/>
        </w:rPr>
      </w:pPr>
    </w:p>
    <w:p w:rsidR="00892C2C" w:rsidRPr="00947EE3" w:rsidRDefault="004D1AB8" w:rsidP="00BD07E4">
      <w:pPr>
        <w:numPr>
          <w:ilvl w:val="0"/>
          <w:numId w:val="21"/>
        </w:numPr>
        <w:spacing w:after="240"/>
        <w:rPr>
          <w:b/>
        </w:rPr>
      </w:pPr>
      <w:r w:rsidRPr="00947EE3">
        <w:rPr>
          <w:b/>
        </w:rPr>
        <w:t>Cash Flow Statement - Operating Activities (Interest)</w:t>
      </w:r>
    </w:p>
    <w:p w:rsidR="00892C2C" w:rsidRDefault="00892C2C" w:rsidP="00F076D1">
      <w:pPr>
        <w:rPr>
          <w:b/>
          <w:highlight w:val="yellow"/>
        </w:rPr>
      </w:pPr>
    </w:p>
    <w:tbl>
      <w:tblPr>
        <w:tblStyle w:val="TableGrid"/>
        <w:tblW w:w="0" w:type="auto"/>
        <w:tblLook w:val="04A0"/>
      </w:tblPr>
      <w:tblGrid>
        <w:gridCol w:w="1110"/>
        <w:gridCol w:w="1417"/>
        <w:gridCol w:w="3791"/>
        <w:gridCol w:w="1596"/>
        <w:gridCol w:w="1337"/>
      </w:tblGrid>
      <w:tr w:rsidR="00B36881" w:rsidTr="00CC5E7F">
        <w:tc>
          <w:tcPr>
            <w:tcW w:w="2518" w:type="dxa"/>
            <w:gridSpan w:val="2"/>
          </w:tcPr>
          <w:p w:rsidR="00B36881" w:rsidRDefault="00B36881" w:rsidP="00CC5E7F">
            <w:pPr>
              <w:jc w:val="center"/>
            </w:pPr>
            <w:r w:rsidRPr="00F765E0">
              <w:rPr>
                <w:b/>
              </w:rPr>
              <w:t>2010/11</w:t>
            </w:r>
          </w:p>
        </w:tc>
        <w:tc>
          <w:tcPr>
            <w:tcW w:w="3791" w:type="dxa"/>
          </w:tcPr>
          <w:p w:rsidR="00B36881" w:rsidRDefault="00B36881" w:rsidP="00CC5E7F">
            <w:pPr>
              <w:jc w:val="center"/>
            </w:pPr>
          </w:p>
        </w:tc>
        <w:tc>
          <w:tcPr>
            <w:tcW w:w="2933" w:type="dxa"/>
            <w:gridSpan w:val="2"/>
          </w:tcPr>
          <w:p w:rsidR="00B36881" w:rsidRDefault="00B36881" w:rsidP="00CC5E7F">
            <w:pPr>
              <w:jc w:val="center"/>
            </w:pPr>
            <w:r w:rsidRPr="00F765E0">
              <w:rPr>
                <w:b/>
              </w:rPr>
              <w:t>2011/12</w:t>
            </w:r>
          </w:p>
        </w:tc>
      </w:tr>
      <w:tr w:rsidR="00B36881" w:rsidTr="00CC5E7F">
        <w:tc>
          <w:tcPr>
            <w:tcW w:w="1101" w:type="dxa"/>
          </w:tcPr>
          <w:p w:rsidR="00B36881" w:rsidRPr="00F765E0" w:rsidRDefault="00B36881" w:rsidP="00CC5E7F">
            <w:pPr>
              <w:jc w:val="center"/>
              <w:rPr>
                <w:b/>
              </w:rPr>
            </w:pPr>
            <w:r w:rsidRPr="00F765E0">
              <w:rPr>
                <w:b/>
              </w:rPr>
              <w:t>£000</w:t>
            </w:r>
          </w:p>
        </w:tc>
        <w:tc>
          <w:tcPr>
            <w:tcW w:w="1417" w:type="dxa"/>
          </w:tcPr>
          <w:p w:rsidR="00B36881" w:rsidRPr="00F765E0" w:rsidRDefault="00B36881" w:rsidP="00CC5E7F">
            <w:pPr>
              <w:jc w:val="center"/>
              <w:rPr>
                <w:b/>
              </w:rPr>
            </w:pPr>
            <w:r w:rsidRPr="00F765E0">
              <w:rPr>
                <w:b/>
              </w:rPr>
              <w:t>£000</w:t>
            </w:r>
          </w:p>
        </w:tc>
        <w:tc>
          <w:tcPr>
            <w:tcW w:w="3791" w:type="dxa"/>
          </w:tcPr>
          <w:p w:rsidR="00B36881" w:rsidRDefault="00B36881" w:rsidP="00CC5E7F">
            <w:pPr>
              <w:jc w:val="center"/>
            </w:pPr>
          </w:p>
        </w:tc>
        <w:tc>
          <w:tcPr>
            <w:tcW w:w="1596" w:type="dxa"/>
          </w:tcPr>
          <w:p w:rsidR="00B36881" w:rsidRPr="00F765E0" w:rsidRDefault="00B36881" w:rsidP="00CC5E7F">
            <w:pPr>
              <w:jc w:val="center"/>
              <w:rPr>
                <w:b/>
              </w:rPr>
            </w:pPr>
            <w:r w:rsidRPr="00F765E0">
              <w:rPr>
                <w:b/>
              </w:rPr>
              <w:t>£000</w:t>
            </w:r>
          </w:p>
        </w:tc>
        <w:tc>
          <w:tcPr>
            <w:tcW w:w="1337" w:type="dxa"/>
          </w:tcPr>
          <w:p w:rsidR="00B36881" w:rsidRPr="00F765E0" w:rsidRDefault="00B36881" w:rsidP="00CC5E7F">
            <w:pPr>
              <w:jc w:val="center"/>
              <w:rPr>
                <w:b/>
              </w:rPr>
            </w:pPr>
            <w:r w:rsidRPr="00F765E0">
              <w:rPr>
                <w:b/>
              </w:rPr>
              <w:t>£000</w:t>
            </w:r>
          </w:p>
        </w:tc>
      </w:tr>
      <w:tr w:rsidR="00B36881" w:rsidTr="00481144">
        <w:tc>
          <w:tcPr>
            <w:tcW w:w="1101" w:type="dxa"/>
          </w:tcPr>
          <w:p w:rsidR="00B36881" w:rsidRPr="00B36881" w:rsidRDefault="00B36881" w:rsidP="00481144">
            <w:pPr>
              <w:jc w:val="right"/>
            </w:pPr>
            <w:r w:rsidRPr="00B36881">
              <w:t>(17,993)</w:t>
            </w:r>
          </w:p>
        </w:tc>
        <w:tc>
          <w:tcPr>
            <w:tcW w:w="1417" w:type="dxa"/>
          </w:tcPr>
          <w:p w:rsidR="00B36881" w:rsidRPr="00B36881" w:rsidRDefault="00B36881" w:rsidP="00481144">
            <w:pPr>
              <w:jc w:val="right"/>
            </w:pPr>
          </w:p>
        </w:tc>
        <w:tc>
          <w:tcPr>
            <w:tcW w:w="3791" w:type="dxa"/>
          </w:tcPr>
          <w:p w:rsidR="00B36881" w:rsidRPr="00B36881" w:rsidRDefault="00B36881" w:rsidP="00CC5E7F">
            <w:r w:rsidRPr="00B36881">
              <w:t>Ordinary interest received</w:t>
            </w:r>
          </w:p>
        </w:tc>
        <w:tc>
          <w:tcPr>
            <w:tcW w:w="1596" w:type="dxa"/>
            <w:vAlign w:val="center"/>
          </w:tcPr>
          <w:p w:rsidR="00B36881" w:rsidRPr="00B36881" w:rsidRDefault="00B36881" w:rsidP="00481144">
            <w:pPr>
              <w:jc w:val="right"/>
            </w:pPr>
            <w:r w:rsidRPr="00B36881">
              <w:t>(47,459)</w:t>
            </w:r>
          </w:p>
        </w:tc>
        <w:tc>
          <w:tcPr>
            <w:tcW w:w="1337" w:type="dxa"/>
            <w:vAlign w:val="center"/>
          </w:tcPr>
          <w:p w:rsidR="00B36881" w:rsidRPr="00B36881" w:rsidRDefault="00B36881" w:rsidP="00481144">
            <w:pPr>
              <w:jc w:val="right"/>
            </w:pPr>
          </w:p>
        </w:tc>
      </w:tr>
      <w:tr w:rsidR="00B36881" w:rsidTr="00481144">
        <w:tc>
          <w:tcPr>
            <w:tcW w:w="1101" w:type="dxa"/>
          </w:tcPr>
          <w:p w:rsidR="00B36881" w:rsidRPr="00B36881" w:rsidRDefault="00B36881" w:rsidP="00481144">
            <w:pPr>
              <w:jc w:val="right"/>
            </w:pPr>
            <w:r w:rsidRPr="00B36881">
              <w:t>1,768</w:t>
            </w:r>
          </w:p>
        </w:tc>
        <w:tc>
          <w:tcPr>
            <w:tcW w:w="1417" w:type="dxa"/>
          </w:tcPr>
          <w:p w:rsidR="00B36881" w:rsidRPr="00B36881" w:rsidRDefault="00B36881" w:rsidP="00481144">
            <w:pPr>
              <w:jc w:val="right"/>
            </w:pPr>
          </w:p>
        </w:tc>
        <w:tc>
          <w:tcPr>
            <w:tcW w:w="3791" w:type="dxa"/>
          </w:tcPr>
          <w:p w:rsidR="00B36881" w:rsidRPr="00B36881" w:rsidRDefault="00B36881" w:rsidP="00CC5E7F">
            <w:r w:rsidRPr="00B36881">
              <w:t>Other adjustments for differences between Effective Interest Rates and actual interest receivable</w:t>
            </w:r>
          </w:p>
        </w:tc>
        <w:tc>
          <w:tcPr>
            <w:tcW w:w="1596" w:type="dxa"/>
            <w:vAlign w:val="center"/>
          </w:tcPr>
          <w:p w:rsidR="00B36881" w:rsidRPr="00B36881" w:rsidRDefault="00B36881" w:rsidP="00481144">
            <w:pPr>
              <w:jc w:val="right"/>
            </w:pPr>
            <w:r w:rsidRPr="00B36881">
              <w:t>58,407</w:t>
            </w:r>
          </w:p>
        </w:tc>
        <w:tc>
          <w:tcPr>
            <w:tcW w:w="1337" w:type="dxa"/>
            <w:vAlign w:val="center"/>
          </w:tcPr>
          <w:p w:rsidR="00B36881" w:rsidRPr="00B36881" w:rsidRDefault="00B36881" w:rsidP="00481144">
            <w:pPr>
              <w:jc w:val="right"/>
            </w:pPr>
          </w:p>
        </w:tc>
      </w:tr>
      <w:tr w:rsidR="00B36881" w:rsidTr="00481144">
        <w:tc>
          <w:tcPr>
            <w:tcW w:w="1101" w:type="dxa"/>
          </w:tcPr>
          <w:p w:rsidR="00B36881" w:rsidRPr="00B36881" w:rsidRDefault="00B36881" w:rsidP="00481144">
            <w:pPr>
              <w:jc w:val="right"/>
            </w:pPr>
            <w:r w:rsidRPr="00B36881">
              <w:t>(5,391)</w:t>
            </w:r>
          </w:p>
        </w:tc>
        <w:tc>
          <w:tcPr>
            <w:tcW w:w="1417" w:type="dxa"/>
          </w:tcPr>
          <w:p w:rsidR="00B36881" w:rsidRPr="00B36881" w:rsidRDefault="00B36881" w:rsidP="00481144">
            <w:pPr>
              <w:jc w:val="right"/>
            </w:pPr>
          </w:p>
        </w:tc>
        <w:tc>
          <w:tcPr>
            <w:tcW w:w="3791" w:type="dxa"/>
            <w:shd w:val="clear" w:color="auto" w:fill="auto"/>
          </w:tcPr>
          <w:p w:rsidR="00B36881" w:rsidRPr="00B36881" w:rsidRDefault="00B36881" w:rsidP="00CC5E7F">
            <w:r w:rsidRPr="00B36881">
              <w:t>Opening Debtor</w:t>
            </w:r>
          </w:p>
        </w:tc>
        <w:tc>
          <w:tcPr>
            <w:tcW w:w="1596" w:type="dxa"/>
            <w:vAlign w:val="center"/>
          </w:tcPr>
          <w:p w:rsidR="00B36881" w:rsidRPr="00B36881" w:rsidRDefault="00B36881" w:rsidP="00481144">
            <w:pPr>
              <w:jc w:val="right"/>
            </w:pPr>
            <w:r w:rsidRPr="00B36881">
              <w:t>(3,734)</w:t>
            </w:r>
          </w:p>
        </w:tc>
        <w:tc>
          <w:tcPr>
            <w:tcW w:w="1337" w:type="dxa"/>
            <w:vAlign w:val="center"/>
          </w:tcPr>
          <w:p w:rsidR="00B36881" w:rsidRPr="00B36881" w:rsidRDefault="00B36881" w:rsidP="00481144">
            <w:pPr>
              <w:jc w:val="right"/>
            </w:pPr>
          </w:p>
        </w:tc>
      </w:tr>
      <w:tr w:rsidR="00B36881" w:rsidTr="00481144">
        <w:tc>
          <w:tcPr>
            <w:tcW w:w="1101" w:type="dxa"/>
          </w:tcPr>
          <w:p w:rsidR="00B36881" w:rsidRPr="00B36881" w:rsidRDefault="00B36881" w:rsidP="00481144">
            <w:pPr>
              <w:jc w:val="right"/>
            </w:pPr>
            <w:r w:rsidRPr="00B36881">
              <w:t>3,398</w:t>
            </w:r>
          </w:p>
        </w:tc>
        <w:tc>
          <w:tcPr>
            <w:tcW w:w="1417" w:type="dxa"/>
          </w:tcPr>
          <w:p w:rsidR="00B36881" w:rsidRPr="00B36881" w:rsidRDefault="00B36881" w:rsidP="00481144">
            <w:pPr>
              <w:jc w:val="right"/>
            </w:pPr>
          </w:p>
        </w:tc>
        <w:tc>
          <w:tcPr>
            <w:tcW w:w="3791" w:type="dxa"/>
            <w:shd w:val="clear" w:color="auto" w:fill="auto"/>
          </w:tcPr>
          <w:p w:rsidR="00B36881" w:rsidRPr="00B36881" w:rsidRDefault="00B36881" w:rsidP="00CC5E7F">
            <w:r w:rsidRPr="00B36881">
              <w:t>Closing Debtor</w:t>
            </w:r>
          </w:p>
        </w:tc>
        <w:tc>
          <w:tcPr>
            <w:tcW w:w="1596" w:type="dxa"/>
            <w:vAlign w:val="center"/>
          </w:tcPr>
          <w:p w:rsidR="00B36881" w:rsidRPr="00B36881" w:rsidRDefault="00B36881" w:rsidP="00481144">
            <w:pPr>
              <w:jc w:val="right"/>
            </w:pPr>
            <w:r w:rsidRPr="00B36881">
              <w:t>3,750</w:t>
            </w:r>
          </w:p>
        </w:tc>
        <w:tc>
          <w:tcPr>
            <w:tcW w:w="1337" w:type="dxa"/>
            <w:vAlign w:val="center"/>
          </w:tcPr>
          <w:p w:rsidR="00B36881" w:rsidRPr="00B36881" w:rsidRDefault="00B36881" w:rsidP="00481144">
            <w:pPr>
              <w:jc w:val="right"/>
            </w:pPr>
          </w:p>
        </w:tc>
      </w:tr>
      <w:tr w:rsidR="00B36881" w:rsidTr="00481144">
        <w:tc>
          <w:tcPr>
            <w:tcW w:w="1101" w:type="dxa"/>
          </w:tcPr>
          <w:p w:rsidR="00B36881" w:rsidRPr="00B36881" w:rsidRDefault="00B36881" w:rsidP="00481144">
            <w:pPr>
              <w:jc w:val="right"/>
            </w:pPr>
          </w:p>
        </w:tc>
        <w:tc>
          <w:tcPr>
            <w:tcW w:w="1417" w:type="dxa"/>
          </w:tcPr>
          <w:p w:rsidR="00B36881" w:rsidRPr="00B36881" w:rsidRDefault="00B36881" w:rsidP="00481144">
            <w:pPr>
              <w:jc w:val="right"/>
              <w:rPr>
                <w:b/>
              </w:rPr>
            </w:pPr>
            <w:r w:rsidRPr="00B36881">
              <w:rPr>
                <w:b/>
              </w:rPr>
              <w:t>(18,218)</w:t>
            </w:r>
          </w:p>
        </w:tc>
        <w:tc>
          <w:tcPr>
            <w:tcW w:w="3791" w:type="dxa"/>
            <w:shd w:val="clear" w:color="auto" w:fill="auto"/>
          </w:tcPr>
          <w:p w:rsidR="00B36881" w:rsidRPr="00B36881" w:rsidRDefault="00B36881" w:rsidP="00CC5E7F">
            <w:pPr>
              <w:rPr>
                <w:b/>
              </w:rPr>
            </w:pPr>
            <w:r w:rsidRPr="00B36881">
              <w:rPr>
                <w:b/>
              </w:rPr>
              <w:t>Interest Received</w:t>
            </w:r>
          </w:p>
        </w:tc>
        <w:tc>
          <w:tcPr>
            <w:tcW w:w="1596" w:type="dxa"/>
            <w:vAlign w:val="center"/>
          </w:tcPr>
          <w:p w:rsidR="00B36881" w:rsidRPr="00B36881" w:rsidRDefault="00B36881" w:rsidP="00481144">
            <w:pPr>
              <w:jc w:val="right"/>
            </w:pPr>
          </w:p>
        </w:tc>
        <w:tc>
          <w:tcPr>
            <w:tcW w:w="1337" w:type="dxa"/>
            <w:vAlign w:val="center"/>
          </w:tcPr>
          <w:p w:rsidR="00B36881" w:rsidRPr="00B36881" w:rsidRDefault="00B36881" w:rsidP="00481144">
            <w:pPr>
              <w:jc w:val="right"/>
              <w:rPr>
                <w:b/>
              </w:rPr>
            </w:pPr>
            <w:r w:rsidRPr="00B36881">
              <w:rPr>
                <w:b/>
              </w:rPr>
              <w:t>10,964</w:t>
            </w:r>
          </w:p>
        </w:tc>
      </w:tr>
      <w:tr w:rsidR="00B36881" w:rsidTr="00481144">
        <w:tc>
          <w:tcPr>
            <w:tcW w:w="1101" w:type="dxa"/>
          </w:tcPr>
          <w:p w:rsidR="00B36881" w:rsidRDefault="00B36881" w:rsidP="00481144">
            <w:pPr>
              <w:jc w:val="right"/>
            </w:pPr>
          </w:p>
        </w:tc>
        <w:tc>
          <w:tcPr>
            <w:tcW w:w="1417" w:type="dxa"/>
          </w:tcPr>
          <w:p w:rsidR="00B36881" w:rsidRDefault="00B36881" w:rsidP="00481144">
            <w:pPr>
              <w:jc w:val="right"/>
            </w:pPr>
          </w:p>
        </w:tc>
        <w:tc>
          <w:tcPr>
            <w:tcW w:w="3791" w:type="dxa"/>
            <w:shd w:val="clear" w:color="auto" w:fill="auto"/>
          </w:tcPr>
          <w:p w:rsidR="00B36881" w:rsidRPr="0084083F" w:rsidRDefault="00B36881" w:rsidP="00CC5E7F"/>
        </w:tc>
        <w:tc>
          <w:tcPr>
            <w:tcW w:w="1596" w:type="dxa"/>
            <w:vAlign w:val="center"/>
          </w:tcPr>
          <w:p w:rsidR="00B36881" w:rsidRDefault="00B36881" w:rsidP="00481144">
            <w:pPr>
              <w:jc w:val="right"/>
            </w:pPr>
          </w:p>
        </w:tc>
        <w:tc>
          <w:tcPr>
            <w:tcW w:w="1337" w:type="dxa"/>
            <w:vAlign w:val="center"/>
          </w:tcPr>
          <w:p w:rsidR="00B36881" w:rsidRDefault="00B36881" w:rsidP="00481144">
            <w:pPr>
              <w:jc w:val="right"/>
            </w:pPr>
          </w:p>
        </w:tc>
      </w:tr>
      <w:tr w:rsidR="00B36881" w:rsidTr="00481144">
        <w:tc>
          <w:tcPr>
            <w:tcW w:w="1101" w:type="dxa"/>
          </w:tcPr>
          <w:p w:rsidR="00B36881" w:rsidRDefault="00B36881" w:rsidP="00481144">
            <w:pPr>
              <w:jc w:val="right"/>
            </w:pPr>
            <w:r>
              <w:t>33,359</w:t>
            </w:r>
          </w:p>
        </w:tc>
        <w:tc>
          <w:tcPr>
            <w:tcW w:w="1417" w:type="dxa"/>
          </w:tcPr>
          <w:p w:rsidR="00B36881" w:rsidRDefault="00B36881" w:rsidP="00481144">
            <w:pPr>
              <w:jc w:val="right"/>
            </w:pPr>
          </w:p>
        </w:tc>
        <w:tc>
          <w:tcPr>
            <w:tcW w:w="3791" w:type="dxa"/>
            <w:shd w:val="clear" w:color="auto" w:fill="auto"/>
          </w:tcPr>
          <w:p w:rsidR="00B36881" w:rsidRPr="0084083F" w:rsidRDefault="00B36881" w:rsidP="00CC5E7F">
            <w:r w:rsidRPr="0084083F">
              <w:t>Interest charge for year</w:t>
            </w:r>
          </w:p>
        </w:tc>
        <w:tc>
          <w:tcPr>
            <w:tcW w:w="1596" w:type="dxa"/>
            <w:vAlign w:val="center"/>
          </w:tcPr>
          <w:p w:rsidR="00B36881" w:rsidRDefault="00B36881" w:rsidP="00481144">
            <w:pPr>
              <w:jc w:val="right"/>
            </w:pPr>
            <w:r>
              <w:t>72,510</w:t>
            </w:r>
          </w:p>
        </w:tc>
        <w:tc>
          <w:tcPr>
            <w:tcW w:w="1337" w:type="dxa"/>
            <w:vAlign w:val="center"/>
          </w:tcPr>
          <w:p w:rsidR="00B36881" w:rsidRDefault="00B36881" w:rsidP="00481144">
            <w:pPr>
              <w:jc w:val="right"/>
            </w:pPr>
          </w:p>
        </w:tc>
      </w:tr>
      <w:tr w:rsidR="00B36881" w:rsidTr="00481144">
        <w:tc>
          <w:tcPr>
            <w:tcW w:w="1101" w:type="dxa"/>
          </w:tcPr>
          <w:p w:rsidR="00B36881" w:rsidRDefault="00B36881" w:rsidP="00481144">
            <w:pPr>
              <w:jc w:val="right"/>
            </w:pPr>
          </w:p>
        </w:tc>
        <w:tc>
          <w:tcPr>
            <w:tcW w:w="1417" w:type="dxa"/>
          </w:tcPr>
          <w:p w:rsidR="00B36881" w:rsidRDefault="00B36881" w:rsidP="00481144">
            <w:pPr>
              <w:jc w:val="right"/>
            </w:pPr>
          </w:p>
        </w:tc>
        <w:tc>
          <w:tcPr>
            <w:tcW w:w="3791" w:type="dxa"/>
            <w:shd w:val="clear" w:color="auto" w:fill="auto"/>
          </w:tcPr>
          <w:p w:rsidR="00B36881" w:rsidRPr="0084083F" w:rsidRDefault="00B36881" w:rsidP="00CC5E7F">
            <w:r>
              <w:t>Adjustments for differences between Effective Interest Rates and actual Interest payable</w:t>
            </w:r>
          </w:p>
        </w:tc>
        <w:tc>
          <w:tcPr>
            <w:tcW w:w="1596" w:type="dxa"/>
            <w:vAlign w:val="center"/>
          </w:tcPr>
          <w:p w:rsidR="00B36881" w:rsidRDefault="00B36881" w:rsidP="00481144">
            <w:pPr>
              <w:jc w:val="right"/>
            </w:pPr>
            <w:r>
              <w:t>(2,353)</w:t>
            </w:r>
          </w:p>
        </w:tc>
        <w:tc>
          <w:tcPr>
            <w:tcW w:w="1337" w:type="dxa"/>
            <w:vAlign w:val="center"/>
          </w:tcPr>
          <w:p w:rsidR="00B36881" w:rsidRDefault="00B36881" w:rsidP="00481144">
            <w:pPr>
              <w:jc w:val="right"/>
            </w:pPr>
          </w:p>
        </w:tc>
      </w:tr>
      <w:tr w:rsidR="00B36881" w:rsidTr="00481144">
        <w:tc>
          <w:tcPr>
            <w:tcW w:w="1101" w:type="dxa"/>
          </w:tcPr>
          <w:p w:rsidR="00B36881" w:rsidRDefault="00B36881" w:rsidP="00481144">
            <w:pPr>
              <w:jc w:val="right"/>
            </w:pPr>
            <w:r>
              <w:t>426</w:t>
            </w:r>
          </w:p>
        </w:tc>
        <w:tc>
          <w:tcPr>
            <w:tcW w:w="1417" w:type="dxa"/>
          </w:tcPr>
          <w:p w:rsidR="00B36881" w:rsidRDefault="00B36881" w:rsidP="00481144">
            <w:pPr>
              <w:jc w:val="right"/>
            </w:pPr>
          </w:p>
        </w:tc>
        <w:tc>
          <w:tcPr>
            <w:tcW w:w="3791" w:type="dxa"/>
            <w:shd w:val="clear" w:color="auto" w:fill="auto"/>
          </w:tcPr>
          <w:p w:rsidR="00B36881" w:rsidRPr="0084083F" w:rsidRDefault="00B36881" w:rsidP="00CC5E7F">
            <w:r w:rsidRPr="0084083F">
              <w:t>Adjustment for impairment losses on Long &amp; Short Term Investments charged to Interest Payable</w:t>
            </w:r>
          </w:p>
        </w:tc>
        <w:tc>
          <w:tcPr>
            <w:tcW w:w="1596" w:type="dxa"/>
            <w:vAlign w:val="center"/>
          </w:tcPr>
          <w:p w:rsidR="00B36881" w:rsidRDefault="00B36881" w:rsidP="00481144">
            <w:pPr>
              <w:jc w:val="right"/>
            </w:pPr>
            <w:r>
              <w:t>62</w:t>
            </w:r>
          </w:p>
        </w:tc>
        <w:tc>
          <w:tcPr>
            <w:tcW w:w="1337" w:type="dxa"/>
            <w:vAlign w:val="center"/>
          </w:tcPr>
          <w:p w:rsidR="00B36881" w:rsidRDefault="00B36881" w:rsidP="00481144">
            <w:pPr>
              <w:jc w:val="right"/>
            </w:pPr>
          </w:p>
        </w:tc>
      </w:tr>
      <w:tr w:rsidR="00B36881" w:rsidTr="00481144">
        <w:tc>
          <w:tcPr>
            <w:tcW w:w="1101" w:type="dxa"/>
          </w:tcPr>
          <w:p w:rsidR="00B36881" w:rsidRDefault="00B36881" w:rsidP="00481144">
            <w:pPr>
              <w:jc w:val="right"/>
            </w:pPr>
            <w:r>
              <w:t>6,710</w:t>
            </w:r>
          </w:p>
        </w:tc>
        <w:tc>
          <w:tcPr>
            <w:tcW w:w="1417" w:type="dxa"/>
          </w:tcPr>
          <w:p w:rsidR="00B36881" w:rsidRDefault="00B36881" w:rsidP="00481144">
            <w:pPr>
              <w:jc w:val="right"/>
            </w:pPr>
          </w:p>
        </w:tc>
        <w:tc>
          <w:tcPr>
            <w:tcW w:w="3791" w:type="dxa"/>
            <w:shd w:val="clear" w:color="auto" w:fill="auto"/>
          </w:tcPr>
          <w:p w:rsidR="00B36881" w:rsidRPr="0084083F" w:rsidRDefault="00B36881" w:rsidP="00CC5E7F">
            <w:r w:rsidRPr="0084083F">
              <w:t>Opening Creditor</w:t>
            </w:r>
          </w:p>
        </w:tc>
        <w:tc>
          <w:tcPr>
            <w:tcW w:w="1596" w:type="dxa"/>
            <w:vAlign w:val="center"/>
          </w:tcPr>
          <w:p w:rsidR="00B36881" w:rsidRDefault="00B36881" w:rsidP="00481144">
            <w:pPr>
              <w:jc w:val="right"/>
            </w:pPr>
            <w:r>
              <w:t>2,991</w:t>
            </w:r>
          </w:p>
        </w:tc>
        <w:tc>
          <w:tcPr>
            <w:tcW w:w="1337" w:type="dxa"/>
            <w:vAlign w:val="center"/>
          </w:tcPr>
          <w:p w:rsidR="00B36881" w:rsidRDefault="00B36881" w:rsidP="00481144">
            <w:pPr>
              <w:jc w:val="right"/>
            </w:pPr>
          </w:p>
        </w:tc>
      </w:tr>
      <w:tr w:rsidR="00B36881" w:rsidTr="00481144">
        <w:tc>
          <w:tcPr>
            <w:tcW w:w="1101" w:type="dxa"/>
          </w:tcPr>
          <w:p w:rsidR="00B36881" w:rsidRDefault="00B36881" w:rsidP="00481144">
            <w:pPr>
              <w:jc w:val="right"/>
            </w:pPr>
            <w:r>
              <w:t>(3,097)</w:t>
            </w:r>
          </w:p>
        </w:tc>
        <w:tc>
          <w:tcPr>
            <w:tcW w:w="1417" w:type="dxa"/>
          </w:tcPr>
          <w:p w:rsidR="00B36881" w:rsidRDefault="00B36881" w:rsidP="00481144">
            <w:pPr>
              <w:jc w:val="right"/>
            </w:pPr>
          </w:p>
        </w:tc>
        <w:tc>
          <w:tcPr>
            <w:tcW w:w="3791" w:type="dxa"/>
            <w:shd w:val="clear" w:color="auto" w:fill="auto"/>
          </w:tcPr>
          <w:p w:rsidR="00B36881" w:rsidRPr="0084083F" w:rsidRDefault="00B36881" w:rsidP="00CC5E7F">
            <w:r w:rsidRPr="0084083F">
              <w:t>Closing Creditor</w:t>
            </w:r>
          </w:p>
        </w:tc>
        <w:tc>
          <w:tcPr>
            <w:tcW w:w="1596" w:type="dxa"/>
            <w:vAlign w:val="center"/>
          </w:tcPr>
          <w:p w:rsidR="00B36881" w:rsidRDefault="00B36881" w:rsidP="00481144">
            <w:pPr>
              <w:jc w:val="right"/>
            </w:pPr>
            <w:r>
              <w:t>(3,312)</w:t>
            </w:r>
          </w:p>
        </w:tc>
        <w:tc>
          <w:tcPr>
            <w:tcW w:w="1337" w:type="dxa"/>
            <w:vAlign w:val="center"/>
          </w:tcPr>
          <w:p w:rsidR="00B36881" w:rsidRDefault="00B36881" w:rsidP="00481144">
            <w:pPr>
              <w:jc w:val="right"/>
            </w:pPr>
          </w:p>
        </w:tc>
      </w:tr>
      <w:tr w:rsidR="00B36881" w:rsidTr="00481144">
        <w:tc>
          <w:tcPr>
            <w:tcW w:w="1101" w:type="dxa"/>
          </w:tcPr>
          <w:p w:rsidR="00B36881" w:rsidRDefault="00B36881" w:rsidP="00481144">
            <w:pPr>
              <w:jc w:val="right"/>
            </w:pPr>
          </w:p>
        </w:tc>
        <w:tc>
          <w:tcPr>
            <w:tcW w:w="1417" w:type="dxa"/>
          </w:tcPr>
          <w:p w:rsidR="00B36881" w:rsidRPr="0084083F" w:rsidRDefault="00B36881" w:rsidP="00481144">
            <w:pPr>
              <w:jc w:val="right"/>
              <w:rPr>
                <w:b/>
              </w:rPr>
            </w:pPr>
            <w:r w:rsidRPr="0084083F">
              <w:rPr>
                <w:b/>
              </w:rPr>
              <w:t>37</w:t>
            </w:r>
            <w:r>
              <w:rPr>
                <w:b/>
              </w:rPr>
              <w:t>,</w:t>
            </w:r>
            <w:r w:rsidRPr="0084083F">
              <w:rPr>
                <w:b/>
              </w:rPr>
              <w:t>398</w:t>
            </w:r>
          </w:p>
        </w:tc>
        <w:tc>
          <w:tcPr>
            <w:tcW w:w="3791" w:type="dxa"/>
            <w:shd w:val="clear" w:color="auto" w:fill="auto"/>
          </w:tcPr>
          <w:p w:rsidR="00B36881" w:rsidRPr="0084083F" w:rsidRDefault="00B36881" w:rsidP="00CC5E7F">
            <w:pPr>
              <w:rPr>
                <w:b/>
              </w:rPr>
            </w:pPr>
            <w:r w:rsidRPr="0084083F">
              <w:rPr>
                <w:b/>
              </w:rPr>
              <w:t>Interest Paid</w:t>
            </w:r>
          </w:p>
        </w:tc>
        <w:tc>
          <w:tcPr>
            <w:tcW w:w="1596" w:type="dxa"/>
            <w:vAlign w:val="center"/>
          </w:tcPr>
          <w:p w:rsidR="00B36881" w:rsidRDefault="00B36881" w:rsidP="00481144">
            <w:pPr>
              <w:jc w:val="right"/>
            </w:pPr>
          </w:p>
        </w:tc>
        <w:tc>
          <w:tcPr>
            <w:tcW w:w="1337" w:type="dxa"/>
            <w:vAlign w:val="center"/>
          </w:tcPr>
          <w:p w:rsidR="00B36881" w:rsidRPr="0084083F" w:rsidRDefault="00B36881" w:rsidP="00481144">
            <w:pPr>
              <w:jc w:val="right"/>
              <w:rPr>
                <w:b/>
              </w:rPr>
            </w:pPr>
            <w:r w:rsidRPr="0084083F">
              <w:rPr>
                <w:b/>
              </w:rPr>
              <w:t>69</w:t>
            </w:r>
            <w:r>
              <w:rPr>
                <w:b/>
              </w:rPr>
              <w:t>,</w:t>
            </w:r>
            <w:r w:rsidRPr="0084083F">
              <w:rPr>
                <w:b/>
              </w:rPr>
              <w:t>89</w:t>
            </w:r>
            <w:r>
              <w:rPr>
                <w:b/>
              </w:rPr>
              <w:t>8</w:t>
            </w:r>
          </w:p>
        </w:tc>
      </w:tr>
    </w:tbl>
    <w:p w:rsidR="00892C2C" w:rsidRPr="00286C0E" w:rsidRDefault="00892C2C" w:rsidP="00F076D1">
      <w:pPr>
        <w:rPr>
          <w:b/>
          <w:highlight w:val="yellow"/>
        </w:rPr>
      </w:pPr>
    </w:p>
    <w:p w:rsidR="00805408" w:rsidRPr="00286C0E" w:rsidRDefault="00805408" w:rsidP="00F076D1">
      <w:pPr>
        <w:rPr>
          <w:b/>
          <w:highlight w:val="yellow"/>
        </w:rPr>
      </w:pPr>
    </w:p>
    <w:p w:rsidR="00805408" w:rsidRPr="00286C0E" w:rsidRDefault="00805408" w:rsidP="00F076D1">
      <w:pPr>
        <w:rPr>
          <w:b/>
          <w:highlight w:val="yellow"/>
        </w:rPr>
      </w:pPr>
    </w:p>
    <w:p w:rsidR="00892C2C" w:rsidRPr="00947EE3" w:rsidRDefault="00892C2C" w:rsidP="00BD07E4">
      <w:pPr>
        <w:numPr>
          <w:ilvl w:val="0"/>
          <w:numId w:val="21"/>
        </w:numPr>
        <w:rPr>
          <w:b/>
        </w:rPr>
      </w:pPr>
      <w:r w:rsidRPr="00947EE3">
        <w:rPr>
          <w:b/>
        </w:rPr>
        <w:t>Cash Flows from Investing Activities</w:t>
      </w:r>
    </w:p>
    <w:p w:rsidR="00892C2C" w:rsidRDefault="00892C2C" w:rsidP="00F076D1">
      <w:pPr>
        <w:rPr>
          <w:b/>
          <w:highlight w:val="yellow"/>
        </w:rPr>
      </w:pPr>
    </w:p>
    <w:p w:rsidR="00947EE3" w:rsidRDefault="00947EE3" w:rsidP="00F076D1">
      <w:pPr>
        <w:rPr>
          <w:b/>
          <w:highlight w:val="yellow"/>
        </w:rPr>
      </w:pPr>
    </w:p>
    <w:tbl>
      <w:tblPr>
        <w:tblStyle w:val="TableGrid"/>
        <w:tblW w:w="0" w:type="auto"/>
        <w:tblLook w:val="04A0"/>
      </w:tblPr>
      <w:tblGrid>
        <w:gridCol w:w="1244"/>
        <w:gridCol w:w="1244"/>
        <w:gridCol w:w="4214"/>
        <w:gridCol w:w="1373"/>
        <w:gridCol w:w="1284"/>
      </w:tblGrid>
      <w:tr w:rsidR="00B36881" w:rsidTr="00CC5E7F">
        <w:tc>
          <w:tcPr>
            <w:tcW w:w="2488" w:type="dxa"/>
            <w:gridSpan w:val="2"/>
          </w:tcPr>
          <w:p w:rsidR="00B36881" w:rsidRPr="00F765E0" w:rsidRDefault="00B36881" w:rsidP="00CC5E7F">
            <w:pPr>
              <w:jc w:val="center"/>
              <w:rPr>
                <w:b/>
              </w:rPr>
            </w:pPr>
            <w:r w:rsidRPr="00F765E0">
              <w:rPr>
                <w:b/>
              </w:rPr>
              <w:t>2010/11</w:t>
            </w:r>
          </w:p>
        </w:tc>
        <w:tc>
          <w:tcPr>
            <w:tcW w:w="4214" w:type="dxa"/>
          </w:tcPr>
          <w:p w:rsidR="00B36881" w:rsidRDefault="00B36881" w:rsidP="00CC5E7F">
            <w:pPr>
              <w:jc w:val="center"/>
            </w:pPr>
          </w:p>
        </w:tc>
        <w:tc>
          <w:tcPr>
            <w:tcW w:w="2540" w:type="dxa"/>
            <w:gridSpan w:val="2"/>
          </w:tcPr>
          <w:p w:rsidR="00B36881" w:rsidRDefault="00B36881" w:rsidP="00CC5E7F">
            <w:pPr>
              <w:jc w:val="center"/>
              <w:rPr>
                <w:b/>
              </w:rPr>
            </w:pPr>
            <w:r w:rsidRPr="00F765E0">
              <w:rPr>
                <w:b/>
              </w:rPr>
              <w:t>2011/12</w:t>
            </w:r>
          </w:p>
        </w:tc>
      </w:tr>
      <w:tr w:rsidR="00B36881" w:rsidRPr="00F765E0" w:rsidTr="00CC5E7F">
        <w:tc>
          <w:tcPr>
            <w:tcW w:w="1244" w:type="dxa"/>
          </w:tcPr>
          <w:p w:rsidR="00B36881" w:rsidRPr="00F765E0" w:rsidRDefault="00B36881" w:rsidP="00CC5E7F">
            <w:pPr>
              <w:jc w:val="center"/>
              <w:rPr>
                <w:b/>
              </w:rPr>
            </w:pPr>
            <w:r w:rsidRPr="00F765E0">
              <w:rPr>
                <w:b/>
              </w:rPr>
              <w:t>£000</w:t>
            </w:r>
          </w:p>
        </w:tc>
        <w:tc>
          <w:tcPr>
            <w:tcW w:w="1244" w:type="dxa"/>
          </w:tcPr>
          <w:p w:rsidR="00B36881" w:rsidRPr="00C064CB" w:rsidRDefault="00B36881" w:rsidP="00CC5E7F">
            <w:pPr>
              <w:jc w:val="center"/>
            </w:pPr>
            <w:r w:rsidRPr="00F765E0">
              <w:rPr>
                <w:b/>
              </w:rPr>
              <w:t>£000</w:t>
            </w:r>
          </w:p>
        </w:tc>
        <w:tc>
          <w:tcPr>
            <w:tcW w:w="4214" w:type="dxa"/>
          </w:tcPr>
          <w:p w:rsidR="00B36881" w:rsidRPr="00F765E0" w:rsidRDefault="00B36881" w:rsidP="00CC5E7F">
            <w:pPr>
              <w:jc w:val="center"/>
              <w:rPr>
                <w:b/>
              </w:rPr>
            </w:pPr>
          </w:p>
        </w:tc>
        <w:tc>
          <w:tcPr>
            <w:tcW w:w="1373" w:type="dxa"/>
          </w:tcPr>
          <w:p w:rsidR="00B36881" w:rsidRPr="00F765E0" w:rsidRDefault="00B36881" w:rsidP="00CC5E7F">
            <w:pPr>
              <w:jc w:val="center"/>
              <w:rPr>
                <w:b/>
              </w:rPr>
            </w:pPr>
            <w:r w:rsidRPr="00F765E0">
              <w:rPr>
                <w:b/>
              </w:rPr>
              <w:t>£000</w:t>
            </w:r>
          </w:p>
        </w:tc>
        <w:tc>
          <w:tcPr>
            <w:tcW w:w="1167" w:type="dxa"/>
          </w:tcPr>
          <w:p w:rsidR="00B36881" w:rsidRPr="00F765E0" w:rsidRDefault="00B36881" w:rsidP="00CC5E7F">
            <w:pPr>
              <w:jc w:val="center"/>
              <w:rPr>
                <w:b/>
              </w:rPr>
            </w:pPr>
            <w:r w:rsidRPr="00F765E0">
              <w:rPr>
                <w:b/>
              </w:rPr>
              <w:t>£000</w:t>
            </w:r>
          </w:p>
        </w:tc>
      </w:tr>
      <w:tr w:rsidR="00B36881" w:rsidTr="007F230E">
        <w:tc>
          <w:tcPr>
            <w:tcW w:w="1244" w:type="dxa"/>
            <w:vAlign w:val="center"/>
          </w:tcPr>
          <w:p w:rsidR="00B36881" w:rsidRPr="0084083F" w:rsidRDefault="00B36881" w:rsidP="007F230E">
            <w:pPr>
              <w:jc w:val="right"/>
            </w:pPr>
            <w:r w:rsidRPr="0084083F">
              <w:t>240,429</w:t>
            </w:r>
          </w:p>
        </w:tc>
        <w:tc>
          <w:tcPr>
            <w:tcW w:w="1244" w:type="dxa"/>
            <w:vAlign w:val="center"/>
          </w:tcPr>
          <w:p w:rsidR="00B36881" w:rsidRPr="0084083F" w:rsidRDefault="00B36881" w:rsidP="007F230E">
            <w:pPr>
              <w:jc w:val="right"/>
              <w:rPr>
                <w:b/>
              </w:rPr>
            </w:pPr>
          </w:p>
        </w:tc>
        <w:tc>
          <w:tcPr>
            <w:tcW w:w="4214" w:type="dxa"/>
          </w:tcPr>
          <w:p w:rsidR="00B36881" w:rsidRPr="0084083F" w:rsidRDefault="00B36881" w:rsidP="00CC5E7F">
            <w:r w:rsidRPr="0084083F">
              <w:t>Property, Plant and Equipment Purchased</w:t>
            </w:r>
          </w:p>
        </w:tc>
        <w:tc>
          <w:tcPr>
            <w:tcW w:w="1373" w:type="dxa"/>
            <w:vAlign w:val="center"/>
          </w:tcPr>
          <w:p w:rsidR="00B36881" w:rsidRPr="0084083F" w:rsidRDefault="00B36881" w:rsidP="007F230E">
            <w:pPr>
              <w:jc w:val="right"/>
            </w:pPr>
            <w:r w:rsidRPr="0084083F">
              <w:t>390</w:t>
            </w:r>
            <w:r>
              <w:t>,</w:t>
            </w:r>
            <w:r w:rsidRPr="0084083F">
              <w:t>688</w:t>
            </w:r>
          </w:p>
        </w:tc>
        <w:tc>
          <w:tcPr>
            <w:tcW w:w="1167" w:type="dxa"/>
            <w:vAlign w:val="center"/>
          </w:tcPr>
          <w:p w:rsidR="00B36881" w:rsidRDefault="00B36881" w:rsidP="007F230E">
            <w:pPr>
              <w:jc w:val="right"/>
              <w:rPr>
                <w:b/>
              </w:rPr>
            </w:pPr>
          </w:p>
        </w:tc>
      </w:tr>
      <w:tr w:rsidR="00B36881" w:rsidTr="007F230E">
        <w:tc>
          <w:tcPr>
            <w:tcW w:w="1244" w:type="dxa"/>
            <w:vAlign w:val="center"/>
          </w:tcPr>
          <w:p w:rsidR="00B36881" w:rsidRPr="0084083F" w:rsidRDefault="00B36881" w:rsidP="007F230E">
            <w:pPr>
              <w:jc w:val="right"/>
            </w:pPr>
            <w:r w:rsidRPr="0084083F">
              <w:t>7,635</w:t>
            </w:r>
          </w:p>
        </w:tc>
        <w:tc>
          <w:tcPr>
            <w:tcW w:w="1244" w:type="dxa"/>
            <w:vAlign w:val="center"/>
          </w:tcPr>
          <w:p w:rsidR="00B36881" w:rsidRPr="0084083F" w:rsidRDefault="00B36881" w:rsidP="007F230E">
            <w:pPr>
              <w:jc w:val="right"/>
              <w:rPr>
                <w:b/>
              </w:rPr>
            </w:pPr>
          </w:p>
        </w:tc>
        <w:tc>
          <w:tcPr>
            <w:tcW w:w="4214" w:type="dxa"/>
          </w:tcPr>
          <w:p w:rsidR="00B36881" w:rsidRPr="0084083F" w:rsidRDefault="00B36881" w:rsidP="00CC5E7F">
            <w:r w:rsidRPr="0084083F">
              <w:t>Purchase of Investment Properties</w:t>
            </w:r>
          </w:p>
        </w:tc>
        <w:tc>
          <w:tcPr>
            <w:tcW w:w="1373" w:type="dxa"/>
            <w:vAlign w:val="center"/>
          </w:tcPr>
          <w:p w:rsidR="00B36881" w:rsidRDefault="007F230E" w:rsidP="007F230E">
            <w:pPr>
              <w:jc w:val="right"/>
              <w:rPr>
                <w:b/>
              </w:rPr>
            </w:pPr>
            <w:r>
              <w:rPr>
                <w:b/>
              </w:rPr>
              <w:t>-</w:t>
            </w:r>
          </w:p>
        </w:tc>
        <w:tc>
          <w:tcPr>
            <w:tcW w:w="1167" w:type="dxa"/>
            <w:vAlign w:val="center"/>
          </w:tcPr>
          <w:p w:rsidR="00B36881" w:rsidRDefault="00B36881" w:rsidP="007F230E">
            <w:pPr>
              <w:jc w:val="right"/>
              <w:rPr>
                <w:b/>
              </w:rPr>
            </w:pPr>
          </w:p>
        </w:tc>
      </w:tr>
      <w:tr w:rsidR="00B36881" w:rsidTr="007F230E">
        <w:tc>
          <w:tcPr>
            <w:tcW w:w="1244" w:type="dxa"/>
            <w:vAlign w:val="center"/>
          </w:tcPr>
          <w:p w:rsidR="00B36881" w:rsidRPr="0084083F" w:rsidRDefault="00B36881" w:rsidP="007F230E">
            <w:pPr>
              <w:jc w:val="right"/>
            </w:pPr>
            <w:r w:rsidRPr="0084083F">
              <w:t>(84,623)</w:t>
            </w:r>
          </w:p>
        </w:tc>
        <w:tc>
          <w:tcPr>
            <w:tcW w:w="1244" w:type="dxa"/>
            <w:vAlign w:val="center"/>
          </w:tcPr>
          <w:p w:rsidR="00B36881" w:rsidRPr="0084083F" w:rsidRDefault="00B36881" w:rsidP="007F230E">
            <w:pPr>
              <w:jc w:val="right"/>
              <w:rPr>
                <w:b/>
              </w:rPr>
            </w:pPr>
          </w:p>
        </w:tc>
        <w:tc>
          <w:tcPr>
            <w:tcW w:w="4214" w:type="dxa"/>
          </w:tcPr>
          <w:p w:rsidR="00B36881" w:rsidRPr="0084083F" w:rsidRDefault="00B36881" w:rsidP="00CC5E7F">
            <w:r w:rsidRPr="0084083F">
              <w:t>Add back new Finance Leases (non cash flow item)</w:t>
            </w:r>
          </w:p>
        </w:tc>
        <w:tc>
          <w:tcPr>
            <w:tcW w:w="1373" w:type="dxa"/>
            <w:vAlign w:val="center"/>
          </w:tcPr>
          <w:p w:rsidR="00B36881" w:rsidRDefault="007F230E" w:rsidP="007F230E">
            <w:pPr>
              <w:jc w:val="right"/>
              <w:rPr>
                <w:b/>
              </w:rPr>
            </w:pPr>
            <w:r>
              <w:rPr>
                <w:b/>
              </w:rPr>
              <w:t>-</w:t>
            </w:r>
          </w:p>
        </w:tc>
        <w:tc>
          <w:tcPr>
            <w:tcW w:w="1167" w:type="dxa"/>
            <w:vAlign w:val="center"/>
          </w:tcPr>
          <w:p w:rsidR="00B36881" w:rsidRDefault="00B36881" w:rsidP="007F230E">
            <w:pPr>
              <w:jc w:val="right"/>
              <w:rPr>
                <w:b/>
              </w:rPr>
            </w:pPr>
          </w:p>
        </w:tc>
      </w:tr>
      <w:tr w:rsidR="00B36881" w:rsidTr="007F230E">
        <w:tc>
          <w:tcPr>
            <w:tcW w:w="1244" w:type="dxa"/>
            <w:vAlign w:val="center"/>
          </w:tcPr>
          <w:p w:rsidR="00B36881" w:rsidRPr="0084083F" w:rsidRDefault="007F230E" w:rsidP="007F230E">
            <w:pPr>
              <w:jc w:val="right"/>
            </w:pPr>
            <w:r>
              <w:t>-</w:t>
            </w:r>
          </w:p>
        </w:tc>
        <w:tc>
          <w:tcPr>
            <w:tcW w:w="1244" w:type="dxa"/>
            <w:vAlign w:val="center"/>
          </w:tcPr>
          <w:p w:rsidR="00B36881" w:rsidRPr="0084083F" w:rsidRDefault="00B36881" w:rsidP="007F230E">
            <w:pPr>
              <w:jc w:val="right"/>
              <w:rPr>
                <w:b/>
              </w:rPr>
            </w:pPr>
          </w:p>
        </w:tc>
        <w:tc>
          <w:tcPr>
            <w:tcW w:w="4214" w:type="dxa"/>
          </w:tcPr>
          <w:p w:rsidR="00B36881" w:rsidRPr="0084083F" w:rsidRDefault="00B36881" w:rsidP="00CC5E7F">
            <w:r>
              <w:t>Add back PFI assets (non cash flow item)</w:t>
            </w:r>
          </w:p>
        </w:tc>
        <w:tc>
          <w:tcPr>
            <w:tcW w:w="1373" w:type="dxa"/>
            <w:vAlign w:val="center"/>
          </w:tcPr>
          <w:p w:rsidR="00B36881" w:rsidRPr="006473C7" w:rsidRDefault="00B36881" w:rsidP="007F230E">
            <w:pPr>
              <w:jc w:val="right"/>
            </w:pPr>
            <w:r>
              <w:t>(245,333)</w:t>
            </w:r>
          </w:p>
        </w:tc>
        <w:tc>
          <w:tcPr>
            <w:tcW w:w="1167" w:type="dxa"/>
            <w:vAlign w:val="center"/>
          </w:tcPr>
          <w:p w:rsidR="00B36881" w:rsidRDefault="00B36881" w:rsidP="007F230E">
            <w:pPr>
              <w:jc w:val="right"/>
              <w:rPr>
                <w:b/>
              </w:rPr>
            </w:pPr>
          </w:p>
        </w:tc>
      </w:tr>
      <w:tr w:rsidR="00B36881" w:rsidTr="007F230E">
        <w:tc>
          <w:tcPr>
            <w:tcW w:w="1244" w:type="dxa"/>
            <w:vAlign w:val="center"/>
          </w:tcPr>
          <w:p w:rsidR="00B36881" w:rsidRPr="0084083F" w:rsidRDefault="00B36881" w:rsidP="007F230E">
            <w:pPr>
              <w:jc w:val="right"/>
            </w:pPr>
            <w:r w:rsidRPr="0084083F">
              <w:t>(3,177)</w:t>
            </w:r>
          </w:p>
        </w:tc>
        <w:tc>
          <w:tcPr>
            <w:tcW w:w="1244" w:type="dxa"/>
            <w:vAlign w:val="center"/>
          </w:tcPr>
          <w:p w:rsidR="00B36881" w:rsidRPr="0084083F" w:rsidRDefault="00B36881" w:rsidP="007F230E">
            <w:pPr>
              <w:jc w:val="right"/>
              <w:rPr>
                <w:b/>
              </w:rPr>
            </w:pPr>
          </w:p>
        </w:tc>
        <w:tc>
          <w:tcPr>
            <w:tcW w:w="4214" w:type="dxa"/>
          </w:tcPr>
          <w:p w:rsidR="00B36881" w:rsidRPr="0084083F" w:rsidRDefault="00B36881" w:rsidP="00CC5E7F">
            <w:r w:rsidRPr="0084083F">
              <w:t>Movement on capital creditors</w:t>
            </w:r>
          </w:p>
        </w:tc>
        <w:tc>
          <w:tcPr>
            <w:tcW w:w="1373" w:type="dxa"/>
            <w:vAlign w:val="center"/>
          </w:tcPr>
          <w:p w:rsidR="00B36881" w:rsidRPr="006473C7" w:rsidRDefault="00B36881" w:rsidP="007F230E">
            <w:pPr>
              <w:jc w:val="right"/>
            </w:pPr>
            <w:r w:rsidRPr="006473C7">
              <w:t>1,478</w:t>
            </w:r>
          </w:p>
        </w:tc>
        <w:tc>
          <w:tcPr>
            <w:tcW w:w="1167" w:type="dxa"/>
            <w:vAlign w:val="center"/>
          </w:tcPr>
          <w:p w:rsidR="00B36881" w:rsidRDefault="00B36881" w:rsidP="007F230E">
            <w:pPr>
              <w:jc w:val="right"/>
              <w:rPr>
                <w:b/>
              </w:rPr>
            </w:pPr>
          </w:p>
        </w:tc>
      </w:tr>
      <w:tr w:rsidR="00B36881" w:rsidTr="007F230E">
        <w:tc>
          <w:tcPr>
            <w:tcW w:w="1244" w:type="dxa"/>
            <w:vAlign w:val="center"/>
          </w:tcPr>
          <w:p w:rsidR="00B36881" w:rsidRPr="0084083F" w:rsidRDefault="00B36881" w:rsidP="007F230E">
            <w:pPr>
              <w:jc w:val="right"/>
              <w:rPr>
                <w:b/>
              </w:rPr>
            </w:pPr>
          </w:p>
        </w:tc>
        <w:tc>
          <w:tcPr>
            <w:tcW w:w="1244" w:type="dxa"/>
            <w:vAlign w:val="center"/>
          </w:tcPr>
          <w:p w:rsidR="00B36881" w:rsidRPr="0084083F" w:rsidRDefault="00B36881" w:rsidP="007F230E">
            <w:pPr>
              <w:jc w:val="right"/>
              <w:rPr>
                <w:b/>
              </w:rPr>
            </w:pPr>
            <w:r w:rsidRPr="0084083F">
              <w:rPr>
                <w:b/>
              </w:rPr>
              <w:t>160,264</w:t>
            </w:r>
          </w:p>
        </w:tc>
        <w:tc>
          <w:tcPr>
            <w:tcW w:w="4214" w:type="dxa"/>
          </w:tcPr>
          <w:p w:rsidR="00B36881" w:rsidRPr="008947C5" w:rsidRDefault="00B36881" w:rsidP="00CC5E7F">
            <w:pPr>
              <w:rPr>
                <w:b/>
              </w:rPr>
            </w:pPr>
            <w:r w:rsidRPr="008947C5">
              <w:rPr>
                <w:b/>
              </w:rPr>
              <w:t>Purchase of Property, Plant and Equipment, investment property and intangible assets</w:t>
            </w:r>
          </w:p>
        </w:tc>
        <w:tc>
          <w:tcPr>
            <w:tcW w:w="1373" w:type="dxa"/>
            <w:vAlign w:val="center"/>
          </w:tcPr>
          <w:p w:rsidR="00B36881" w:rsidRDefault="00B36881" w:rsidP="007F230E">
            <w:pPr>
              <w:jc w:val="right"/>
              <w:rPr>
                <w:b/>
              </w:rPr>
            </w:pPr>
          </w:p>
        </w:tc>
        <w:tc>
          <w:tcPr>
            <w:tcW w:w="1167" w:type="dxa"/>
            <w:vAlign w:val="center"/>
          </w:tcPr>
          <w:p w:rsidR="00B36881" w:rsidRDefault="00B36881" w:rsidP="007F230E">
            <w:pPr>
              <w:jc w:val="right"/>
              <w:rPr>
                <w:b/>
              </w:rPr>
            </w:pPr>
            <w:r>
              <w:rPr>
                <w:b/>
              </w:rPr>
              <w:t>146,833</w:t>
            </w:r>
          </w:p>
        </w:tc>
      </w:tr>
      <w:tr w:rsidR="00B36881" w:rsidTr="007F230E">
        <w:tc>
          <w:tcPr>
            <w:tcW w:w="1244" w:type="dxa"/>
            <w:vAlign w:val="center"/>
          </w:tcPr>
          <w:p w:rsidR="00B36881" w:rsidRPr="0084083F" w:rsidRDefault="00B36881" w:rsidP="007F230E">
            <w:pPr>
              <w:jc w:val="right"/>
            </w:pPr>
            <w:r w:rsidRPr="0084083F">
              <w:t>484,279</w:t>
            </w:r>
          </w:p>
        </w:tc>
        <w:tc>
          <w:tcPr>
            <w:tcW w:w="1244" w:type="dxa"/>
            <w:vAlign w:val="center"/>
          </w:tcPr>
          <w:p w:rsidR="00B36881" w:rsidRPr="0084083F" w:rsidRDefault="00B36881" w:rsidP="007F230E">
            <w:pPr>
              <w:jc w:val="right"/>
              <w:rPr>
                <w:b/>
              </w:rPr>
            </w:pPr>
          </w:p>
        </w:tc>
        <w:tc>
          <w:tcPr>
            <w:tcW w:w="4214" w:type="dxa"/>
          </w:tcPr>
          <w:p w:rsidR="00B36881" w:rsidRPr="0084083F" w:rsidRDefault="00B36881" w:rsidP="00CC5E7F">
            <w:r w:rsidRPr="0084083F">
              <w:t>Purchase of short term investments</w:t>
            </w:r>
          </w:p>
        </w:tc>
        <w:tc>
          <w:tcPr>
            <w:tcW w:w="1373" w:type="dxa"/>
            <w:vAlign w:val="center"/>
          </w:tcPr>
          <w:p w:rsidR="00B36881" w:rsidRPr="00A6235D" w:rsidRDefault="00B36881" w:rsidP="007F230E">
            <w:pPr>
              <w:jc w:val="right"/>
            </w:pPr>
            <w:r w:rsidRPr="00A6235D">
              <w:t>2</w:t>
            </w:r>
            <w:r>
              <w:t>,</w:t>
            </w:r>
            <w:r w:rsidRPr="00A6235D">
              <w:t>705</w:t>
            </w:r>
            <w:r>
              <w:t>,</w:t>
            </w:r>
            <w:r w:rsidRPr="00A6235D">
              <w:t>404</w:t>
            </w:r>
          </w:p>
        </w:tc>
        <w:tc>
          <w:tcPr>
            <w:tcW w:w="1167" w:type="dxa"/>
            <w:vAlign w:val="center"/>
          </w:tcPr>
          <w:p w:rsidR="00B36881" w:rsidRDefault="00B36881" w:rsidP="007F230E">
            <w:pPr>
              <w:jc w:val="right"/>
              <w:rPr>
                <w:b/>
              </w:rPr>
            </w:pPr>
          </w:p>
        </w:tc>
      </w:tr>
      <w:tr w:rsidR="00B36881" w:rsidTr="007F230E">
        <w:tc>
          <w:tcPr>
            <w:tcW w:w="1244" w:type="dxa"/>
            <w:vAlign w:val="center"/>
          </w:tcPr>
          <w:p w:rsidR="00B36881" w:rsidRPr="0084083F" w:rsidRDefault="00B36881" w:rsidP="007F230E">
            <w:pPr>
              <w:jc w:val="right"/>
            </w:pPr>
            <w:r w:rsidRPr="0084083F">
              <w:t>226,830</w:t>
            </w:r>
          </w:p>
        </w:tc>
        <w:tc>
          <w:tcPr>
            <w:tcW w:w="1244" w:type="dxa"/>
            <w:vAlign w:val="center"/>
          </w:tcPr>
          <w:p w:rsidR="00B36881" w:rsidRPr="0084083F" w:rsidRDefault="00B36881" w:rsidP="007F230E">
            <w:pPr>
              <w:jc w:val="right"/>
              <w:rPr>
                <w:b/>
              </w:rPr>
            </w:pPr>
          </w:p>
        </w:tc>
        <w:tc>
          <w:tcPr>
            <w:tcW w:w="4214" w:type="dxa"/>
          </w:tcPr>
          <w:p w:rsidR="00B36881" w:rsidRPr="0084083F" w:rsidRDefault="00B36881" w:rsidP="00CC5E7F">
            <w:r w:rsidRPr="0084083F">
              <w:t>Purchase of long term investments</w:t>
            </w:r>
          </w:p>
        </w:tc>
        <w:tc>
          <w:tcPr>
            <w:tcW w:w="1373" w:type="dxa"/>
            <w:vAlign w:val="center"/>
          </w:tcPr>
          <w:p w:rsidR="00B36881" w:rsidRPr="00A6235D" w:rsidRDefault="00B36881" w:rsidP="007F230E">
            <w:pPr>
              <w:jc w:val="right"/>
            </w:pPr>
            <w:r w:rsidRPr="00A6235D">
              <w:t>42</w:t>
            </w:r>
            <w:r>
              <w:t>,</w:t>
            </w:r>
            <w:r w:rsidRPr="00A6235D">
              <w:t>596</w:t>
            </w:r>
          </w:p>
        </w:tc>
        <w:tc>
          <w:tcPr>
            <w:tcW w:w="1167" w:type="dxa"/>
            <w:vAlign w:val="center"/>
          </w:tcPr>
          <w:p w:rsidR="00B36881" w:rsidRDefault="00B36881" w:rsidP="007F230E">
            <w:pPr>
              <w:jc w:val="right"/>
              <w:rPr>
                <w:b/>
              </w:rPr>
            </w:pPr>
          </w:p>
        </w:tc>
      </w:tr>
      <w:tr w:rsidR="00B36881" w:rsidRPr="00A6235D" w:rsidTr="007F230E">
        <w:tc>
          <w:tcPr>
            <w:tcW w:w="1244" w:type="dxa"/>
            <w:vAlign w:val="center"/>
          </w:tcPr>
          <w:p w:rsidR="00B36881" w:rsidRPr="0084083F" w:rsidRDefault="00B36881" w:rsidP="007F230E">
            <w:pPr>
              <w:jc w:val="right"/>
              <w:rPr>
                <w:b/>
              </w:rPr>
            </w:pPr>
          </w:p>
        </w:tc>
        <w:tc>
          <w:tcPr>
            <w:tcW w:w="1244" w:type="dxa"/>
            <w:vAlign w:val="center"/>
          </w:tcPr>
          <w:p w:rsidR="00B36881" w:rsidRPr="0084083F" w:rsidRDefault="00B36881" w:rsidP="007F230E">
            <w:pPr>
              <w:jc w:val="right"/>
              <w:rPr>
                <w:b/>
              </w:rPr>
            </w:pPr>
            <w:r w:rsidRPr="0084083F">
              <w:rPr>
                <w:b/>
              </w:rPr>
              <w:t>711,109</w:t>
            </w:r>
          </w:p>
        </w:tc>
        <w:tc>
          <w:tcPr>
            <w:tcW w:w="4214" w:type="dxa"/>
          </w:tcPr>
          <w:p w:rsidR="00B36881" w:rsidRPr="006473C7" w:rsidRDefault="00B36881" w:rsidP="00CC5E7F">
            <w:r w:rsidRPr="006473C7">
              <w:t>Purchase of short and long term investments</w:t>
            </w:r>
          </w:p>
        </w:tc>
        <w:tc>
          <w:tcPr>
            <w:tcW w:w="1373" w:type="dxa"/>
            <w:vAlign w:val="center"/>
          </w:tcPr>
          <w:p w:rsidR="00B36881" w:rsidRDefault="00B36881" w:rsidP="007F230E">
            <w:pPr>
              <w:jc w:val="right"/>
              <w:rPr>
                <w:b/>
              </w:rPr>
            </w:pPr>
          </w:p>
        </w:tc>
        <w:tc>
          <w:tcPr>
            <w:tcW w:w="1167" w:type="dxa"/>
            <w:vAlign w:val="center"/>
          </w:tcPr>
          <w:p w:rsidR="00B36881" w:rsidRPr="00A6235D" w:rsidRDefault="00B36881" w:rsidP="007F230E">
            <w:pPr>
              <w:jc w:val="right"/>
              <w:rPr>
                <w:b/>
              </w:rPr>
            </w:pPr>
            <w:r w:rsidRPr="00A6235D">
              <w:rPr>
                <w:b/>
              </w:rPr>
              <w:t>2,748,000</w:t>
            </w:r>
          </w:p>
        </w:tc>
      </w:tr>
      <w:tr w:rsidR="00B36881" w:rsidTr="007F230E">
        <w:tc>
          <w:tcPr>
            <w:tcW w:w="1244" w:type="dxa"/>
            <w:vAlign w:val="center"/>
          </w:tcPr>
          <w:p w:rsidR="00B36881" w:rsidRPr="0084083F" w:rsidRDefault="00B36881" w:rsidP="007F230E">
            <w:pPr>
              <w:jc w:val="right"/>
              <w:rPr>
                <w:b/>
              </w:rPr>
            </w:pPr>
          </w:p>
        </w:tc>
        <w:tc>
          <w:tcPr>
            <w:tcW w:w="1244" w:type="dxa"/>
            <w:vAlign w:val="center"/>
          </w:tcPr>
          <w:p w:rsidR="00B36881" w:rsidRPr="0084083F" w:rsidRDefault="00B36881" w:rsidP="007F230E">
            <w:pPr>
              <w:jc w:val="right"/>
              <w:rPr>
                <w:b/>
              </w:rPr>
            </w:pPr>
          </w:p>
        </w:tc>
        <w:tc>
          <w:tcPr>
            <w:tcW w:w="4214" w:type="dxa"/>
          </w:tcPr>
          <w:p w:rsidR="00B36881" w:rsidRPr="0084083F" w:rsidRDefault="00B36881" w:rsidP="00CC5E7F">
            <w:pPr>
              <w:rPr>
                <w:b/>
              </w:rPr>
            </w:pPr>
          </w:p>
        </w:tc>
        <w:tc>
          <w:tcPr>
            <w:tcW w:w="1373" w:type="dxa"/>
            <w:vAlign w:val="center"/>
          </w:tcPr>
          <w:p w:rsidR="00B36881" w:rsidRDefault="00B36881" w:rsidP="007F230E">
            <w:pPr>
              <w:jc w:val="right"/>
              <w:rPr>
                <w:b/>
              </w:rPr>
            </w:pPr>
          </w:p>
        </w:tc>
        <w:tc>
          <w:tcPr>
            <w:tcW w:w="1167" w:type="dxa"/>
            <w:vAlign w:val="center"/>
          </w:tcPr>
          <w:p w:rsidR="00B36881" w:rsidRDefault="00B36881" w:rsidP="007F230E">
            <w:pPr>
              <w:jc w:val="right"/>
              <w:rPr>
                <w:b/>
              </w:rPr>
            </w:pPr>
          </w:p>
        </w:tc>
      </w:tr>
      <w:tr w:rsidR="00B36881" w:rsidTr="007F230E">
        <w:tc>
          <w:tcPr>
            <w:tcW w:w="1244" w:type="dxa"/>
            <w:vAlign w:val="center"/>
          </w:tcPr>
          <w:p w:rsidR="00B36881" w:rsidRPr="0084083F" w:rsidRDefault="00B36881" w:rsidP="007F230E">
            <w:pPr>
              <w:jc w:val="right"/>
              <w:rPr>
                <w:b/>
              </w:rPr>
            </w:pPr>
          </w:p>
        </w:tc>
        <w:tc>
          <w:tcPr>
            <w:tcW w:w="1244" w:type="dxa"/>
            <w:vAlign w:val="center"/>
          </w:tcPr>
          <w:p w:rsidR="00B36881" w:rsidRPr="0084083F" w:rsidRDefault="00B36881" w:rsidP="007F230E">
            <w:pPr>
              <w:jc w:val="right"/>
              <w:rPr>
                <w:b/>
              </w:rPr>
            </w:pPr>
            <w:r w:rsidRPr="0084083F">
              <w:rPr>
                <w:b/>
              </w:rPr>
              <w:t>(5,672)</w:t>
            </w:r>
          </w:p>
        </w:tc>
        <w:tc>
          <w:tcPr>
            <w:tcW w:w="4214" w:type="dxa"/>
          </w:tcPr>
          <w:p w:rsidR="00B36881" w:rsidRPr="006473C7" w:rsidRDefault="00B36881" w:rsidP="00CC5E7F">
            <w:r w:rsidRPr="006473C7">
              <w:t>Proceeds from the sale of property plant and equipment, investment property and intangible assets</w:t>
            </w:r>
          </w:p>
        </w:tc>
        <w:tc>
          <w:tcPr>
            <w:tcW w:w="1373" w:type="dxa"/>
            <w:vAlign w:val="center"/>
          </w:tcPr>
          <w:p w:rsidR="00B36881" w:rsidRDefault="00B36881" w:rsidP="007F230E">
            <w:pPr>
              <w:jc w:val="right"/>
              <w:rPr>
                <w:b/>
              </w:rPr>
            </w:pPr>
          </w:p>
        </w:tc>
        <w:tc>
          <w:tcPr>
            <w:tcW w:w="1167" w:type="dxa"/>
            <w:vAlign w:val="center"/>
          </w:tcPr>
          <w:p w:rsidR="00B36881" w:rsidRDefault="00B36881" w:rsidP="007F230E">
            <w:pPr>
              <w:jc w:val="right"/>
              <w:rPr>
                <w:b/>
              </w:rPr>
            </w:pPr>
            <w:r>
              <w:rPr>
                <w:b/>
              </w:rPr>
              <w:t>(883)</w:t>
            </w:r>
          </w:p>
        </w:tc>
      </w:tr>
      <w:tr w:rsidR="00B36881" w:rsidTr="00CC5E7F">
        <w:tc>
          <w:tcPr>
            <w:tcW w:w="1244" w:type="dxa"/>
          </w:tcPr>
          <w:p w:rsidR="00B36881" w:rsidRPr="0084083F" w:rsidRDefault="00B36881" w:rsidP="00CC5E7F">
            <w:pPr>
              <w:rPr>
                <w:b/>
              </w:rPr>
            </w:pPr>
            <w:r w:rsidRPr="0084083F">
              <w:t>(471,912)</w:t>
            </w:r>
          </w:p>
        </w:tc>
        <w:tc>
          <w:tcPr>
            <w:tcW w:w="1244" w:type="dxa"/>
          </w:tcPr>
          <w:p w:rsidR="00B36881" w:rsidRPr="0084083F" w:rsidRDefault="00B36881" w:rsidP="00CC5E7F">
            <w:pPr>
              <w:rPr>
                <w:b/>
              </w:rPr>
            </w:pPr>
          </w:p>
        </w:tc>
        <w:tc>
          <w:tcPr>
            <w:tcW w:w="4214" w:type="dxa"/>
          </w:tcPr>
          <w:p w:rsidR="00B36881" w:rsidRPr="0084083F" w:rsidRDefault="00B36881" w:rsidP="00CC5E7F">
            <w:r w:rsidRPr="0084083F">
              <w:t>Proceeds from short term investments</w:t>
            </w:r>
          </w:p>
        </w:tc>
        <w:tc>
          <w:tcPr>
            <w:tcW w:w="1373" w:type="dxa"/>
          </w:tcPr>
          <w:p w:rsidR="00B36881" w:rsidRDefault="00B36881" w:rsidP="00CC5E7F">
            <w:pPr>
              <w:rPr>
                <w:b/>
              </w:rPr>
            </w:pPr>
          </w:p>
        </w:tc>
        <w:tc>
          <w:tcPr>
            <w:tcW w:w="1167" w:type="dxa"/>
          </w:tcPr>
          <w:p w:rsidR="00B36881" w:rsidRDefault="00B36881" w:rsidP="00CC5E7F">
            <w:pPr>
              <w:rPr>
                <w:b/>
              </w:rPr>
            </w:pPr>
          </w:p>
        </w:tc>
      </w:tr>
      <w:tr w:rsidR="00B36881" w:rsidTr="00CC5E7F">
        <w:tc>
          <w:tcPr>
            <w:tcW w:w="1244" w:type="dxa"/>
          </w:tcPr>
          <w:p w:rsidR="00B36881" w:rsidRPr="0084083F" w:rsidRDefault="00B36881" w:rsidP="00CC5E7F">
            <w:pPr>
              <w:rPr>
                <w:b/>
              </w:rPr>
            </w:pPr>
          </w:p>
        </w:tc>
        <w:tc>
          <w:tcPr>
            <w:tcW w:w="1244" w:type="dxa"/>
          </w:tcPr>
          <w:p w:rsidR="00B36881" w:rsidRPr="0084083F" w:rsidRDefault="00B36881" w:rsidP="00CC5E7F">
            <w:pPr>
              <w:rPr>
                <w:b/>
              </w:rPr>
            </w:pPr>
            <w:r w:rsidRPr="0084083F">
              <w:rPr>
                <w:b/>
              </w:rPr>
              <w:t>(471,912)</w:t>
            </w:r>
          </w:p>
        </w:tc>
        <w:tc>
          <w:tcPr>
            <w:tcW w:w="4214" w:type="dxa"/>
          </w:tcPr>
          <w:p w:rsidR="00B36881" w:rsidRPr="006473C7" w:rsidRDefault="00B36881" w:rsidP="00CC5E7F">
            <w:r w:rsidRPr="006473C7">
              <w:t>Proceeds from short-term and long-term investments</w:t>
            </w:r>
          </w:p>
        </w:tc>
        <w:tc>
          <w:tcPr>
            <w:tcW w:w="1373" w:type="dxa"/>
          </w:tcPr>
          <w:p w:rsidR="00B36881" w:rsidRDefault="00B36881" w:rsidP="00CC5E7F">
            <w:pPr>
              <w:rPr>
                <w:b/>
              </w:rPr>
            </w:pPr>
          </w:p>
        </w:tc>
        <w:tc>
          <w:tcPr>
            <w:tcW w:w="1167" w:type="dxa"/>
          </w:tcPr>
          <w:p w:rsidR="00B36881" w:rsidRDefault="00B36881" w:rsidP="00CC5E7F">
            <w:pPr>
              <w:rPr>
                <w:b/>
              </w:rPr>
            </w:pPr>
          </w:p>
        </w:tc>
      </w:tr>
      <w:tr w:rsidR="00B36881" w:rsidTr="00CC5E7F">
        <w:tc>
          <w:tcPr>
            <w:tcW w:w="1244" w:type="dxa"/>
          </w:tcPr>
          <w:p w:rsidR="00B36881" w:rsidRPr="0084083F" w:rsidRDefault="00B36881" w:rsidP="00CC5E7F">
            <w:pPr>
              <w:rPr>
                <w:b/>
              </w:rPr>
            </w:pPr>
          </w:p>
        </w:tc>
        <w:tc>
          <w:tcPr>
            <w:tcW w:w="1244" w:type="dxa"/>
          </w:tcPr>
          <w:p w:rsidR="00B36881" w:rsidRPr="0084083F" w:rsidRDefault="00B36881" w:rsidP="00CC5E7F">
            <w:pPr>
              <w:rPr>
                <w:b/>
              </w:rPr>
            </w:pPr>
          </w:p>
        </w:tc>
        <w:tc>
          <w:tcPr>
            <w:tcW w:w="4214" w:type="dxa"/>
          </w:tcPr>
          <w:p w:rsidR="00B36881" w:rsidRPr="0084083F" w:rsidRDefault="00B36881" w:rsidP="00CC5E7F"/>
        </w:tc>
        <w:tc>
          <w:tcPr>
            <w:tcW w:w="1373" w:type="dxa"/>
          </w:tcPr>
          <w:p w:rsidR="00B36881" w:rsidRDefault="00B36881" w:rsidP="00CC5E7F">
            <w:pPr>
              <w:rPr>
                <w:b/>
              </w:rPr>
            </w:pPr>
          </w:p>
        </w:tc>
        <w:tc>
          <w:tcPr>
            <w:tcW w:w="1167" w:type="dxa"/>
          </w:tcPr>
          <w:p w:rsidR="00B36881" w:rsidRDefault="00B36881" w:rsidP="00CC5E7F">
            <w:pPr>
              <w:rPr>
                <w:b/>
              </w:rPr>
            </w:pPr>
          </w:p>
        </w:tc>
      </w:tr>
      <w:tr w:rsidR="00B36881" w:rsidTr="00CC5E7F">
        <w:tc>
          <w:tcPr>
            <w:tcW w:w="1244" w:type="dxa"/>
          </w:tcPr>
          <w:p w:rsidR="00B36881" w:rsidRPr="0084083F" w:rsidRDefault="00B36881" w:rsidP="00CC5E7F">
            <w:pPr>
              <w:jc w:val="right"/>
            </w:pPr>
            <w:r w:rsidRPr="0084083F">
              <w:t>(10,558)</w:t>
            </w:r>
          </w:p>
        </w:tc>
        <w:tc>
          <w:tcPr>
            <w:tcW w:w="1244" w:type="dxa"/>
          </w:tcPr>
          <w:p w:rsidR="00B36881" w:rsidRPr="0084083F" w:rsidRDefault="00B36881" w:rsidP="00CC5E7F">
            <w:pPr>
              <w:rPr>
                <w:b/>
              </w:rPr>
            </w:pPr>
          </w:p>
        </w:tc>
        <w:tc>
          <w:tcPr>
            <w:tcW w:w="4214" w:type="dxa"/>
          </w:tcPr>
          <w:p w:rsidR="00B36881" w:rsidRPr="0084083F" w:rsidRDefault="00B36881" w:rsidP="00CC5E7F">
            <w:r w:rsidRPr="0084083F">
              <w:t>Other capital cash receipts</w:t>
            </w:r>
          </w:p>
        </w:tc>
        <w:tc>
          <w:tcPr>
            <w:tcW w:w="1373" w:type="dxa"/>
          </w:tcPr>
          <w:p w:rsidR="00B36881" w:rsidRPr="00A6235D" w:rsidRDefault="00B36881" w:rsidP="00CC5E7F">
            <w:pPr>
              <w:jc w:val="center"/>
            </w:pPr>
            <w:r w:rsidRPr="00A6235D">
              <w:t>(2</w:t>
            </w:r>
            <w:r>
              <w:t>,</w:t>
            </w:r>
            <w:r w:rsidRPr="00A6235D">
              <w:t>681)</w:t>
            </w:r>
          </w:p>
        </w:tc>
        <w:tc>
          <w:tcPr>
            <w:tcW w:w="1167" w:type="dxa"/>
          </w:tcPr>
          <w:p w:rsidR="00B36881" w:rsidRDefault="00B36881" w:rsidP="00CC5E7F">
            <w:pPr>
              <w:rPr>
                <w:b/>
              </w:rPr>
            </w:pPr>
          </w:p>
        </w:tc>
      </w:tr>
      <w:tr w:rsidR="00B36881" w:rsidTr="00CC5E7F">
        <w:tc>
          <w:tcPr>
            <w:tcW w:w="1244" w:type="dxa"/>
          </w:tcPr>
          <w:p w:rsidR="00B36881" w:rsidRPr="0084083F" w:rsidRDefault="00B36881" w:rsidP="00CC5E7F">
            <w:pPr>
              <w:jc w:val="right"/>
            </w:pPr>
            <w:r w:rsidRPr="0084083F">
              <w:t>(92,202)</w:t>
            </w:r>
          </w:p>
        </w:tc>
        <w:tc>
          <w:tcPr>
            <w:tcW w:w="1244" w:type="dxa"/>
          </w:tcPr>
          <w:p w:rsidR="00B36881" w:rsidRPr="0084083F" w:rsidRDefault="00B36881" w:rsidP="00CC5E7F">
            <w:pPr>
              <w:rPr>
                <w:b/>
              </w:rPr>
            </w:pPr>
          </w:p>
        </w:tc>
        <w:tc>
          <w:tcPr>
            <w:tcW w:w="4214" w:type="dxa"/>
          </w:tcPr>
          <w:p w:rsidR="00B36881" w:rsidRPr="0084083F" w:rsidRDefault="00B36881" w:rsidP="00CC5E7F">
            <w:r w:rsidRPr="0084083F">
              <w:t>Capital Grants Received</w:t>
            </w:r>
          </w:p>
        </w:tc>
        <w:tc>
          <w:tcPr>
            <w:tcW w:w="1373" w:type="dxa"/>
          </w:tcPr>
          <w:p w:rsidR="00B36881" w:rsidRPr="00A6235D" w:rsidRDefault="00B36881" w:rsidP="00CC5E7F">
            <w:r w:rsidRPr="00A6235D">
              <w:t>(130</w:t>
            </w:r>
            <w:r>
              <w:t>,</w:t>
            </w:r>
            <w:r w:rsidRPr="00A6235D">
              <w:t>147)</w:t>
            </w:r>
          </w:p>
        </w:tc>
        <w:tc>
          <w:tcPr>
            <w:tcW w:w="1167" w:type="dxa"/>
          </w:tcPr>
          <w:p w:rsidR="00B36881" w:rsidRDefault="00B36881" w:rsidP="00CC5E7F">
            <w:pPr>
              <w:rPr>
                <w:b/>
              </w:rPr>
            </w:pPr>
          </w:p>
        </w:tc>
      </w:tr>
      <w:tr w:rsidR="00B36881" w:rsidTr="00CC5E7F">
        <w:tc>
          <w:tcPr>
            <w:tcW w:w="1244" w:type="dxa"/>
          </w:tcPr>
          <w:p w:rsidR="00B36881" w:rsidRPr="0084083F" w:rsidRDefault="00B36881" w:rsidP="00CC5E7F">
            <w:pPr>
              <w:rPr>
                <w:b/>
              </w:rPr>
            </w:pPr>
          </w:p>
        </w:tc>
        <w:tc>
          <w:tcPr>
            <w:tcW w:w="1244" w:type="dxa"/>
          </w:tcPr>
          <w:p w:rsidR="00B36881" w:rsidRPr="0084083F" w:rsidRDefault="00B36881" w:rsidP="00CC5E7F">
            <w:pPr>
              <w:jc w:val="right"/>
              <w:rPr>
                <w:b/>
              </w:rPr>
            </w:pPr>
            <w:r w:rsidRPr="0084083F">
              <w:rPr>
                <w:b/>
              </w:rPr>
              <w:t>(102,760)</w:t>
            </w:r>
          </w:p>
        </w:tc>
        <w:tc>
          <w:tcPr>
            <w:tcW w:w="4214" w:type="dxa"/>
          </w:tcPr>
          <w:p w:rsidR="00B36881" w:rsidRPr="006473C7" w:rsidRDefault="00B36881" w:rsidP="00CC5E7F">
            <w:r w:rsidRPr="006473C7">
              <w:t>Other Receipts from Investing Activities</w:t>
            </w:r>
          </w:p>
        </w:tc>
        <w:tc>
          <w:tcPr>
            <w:tcW w:w="1373" w:type="dxa"/>
          </w:tcPr>
          <w:p w:rsidR="00B36881" w:rsidRDefault="00B36881" w:rsidP="00CC5E7F">
            <w:pPr>
              <w:rPr>
                <w:b/>
              </w:rPr>
            </w:pPr>
          </w:p>
        </w:tc>
        <w:tc>
          <w:tcPr>
            <w:tcW w:w="1167" w:type="dxa"/>
          </w:tcPr>
          <w:p w:rsidR="00B36881" w:rsidRDefault="00B36881" w:rsidP="00CC5E7F">
            <w:pPr>
              <w:rPr>
                <w:b/>
              </w:rPr>
            </w:pPr>
            <w:r>
              <w:rPr>
                <w:b/>
              </w:rPr>
              <w:t>(132,828)</w:t>
            </w:r>
          </w:p>
        </w:tc>
      </w:tr>
      <w:tr w:rsidR="00B36881" w:rsidTr="00CC5E7F">
        <w:tc>
          <w:tcPr>
            <w:tcW w:w="1244" w:type="dxa"/>
          </w:tcPr>
          <w:p w:rsidR="00B36881" w:rsidRPr="0084083F" w:rsidRDefault="00B36881" w:rsidP="00CC5E7F">
            <w:pPr>
              <w:rPr>
                <w:b/>
              </w:rPr>
            </w:pPr>
          </w:p>
        </w:tc>
        <w:tc>
          <w:tcPr>
            <w:tcW w:w="1244" w:type="dxa"/>
          </w:tcPr>
          <w:p w:rsidR="00B36881" w:rsidRPr="0084083F" w:rsidRDefault="00B36881" w:rsidP="00CC5E7F">
            <w:pPr>
              <w:rPr>
                <w:b/>
              </w:rPr>
            </w:pPr>
          </w:p>
        </w:tc>
        <w:tc>
          <w:tcPr>
            <w:tcW w:w="4214" w:type="dxa"/>
          </w:tcPr>
          <w:p w:rsidR="00B36881" w:rsidRPr="00286C0E" w:rsidRDefault="00B36881" w:rsidP="00CC5E7F">
            <w:pPr>
              <w:rPr>
                <w:highlight w:val="yellow"/>
              </w:rPr>
            </w:pPr>
          </w:p>
        </w:tc>
        <w:tc>
          <w:tcPr>
            <w:tcW w:w="1373" w:type="dxa"/>
          </w:tcPr>
          <w:p w:rsidR="00B36881" w:rsidRDefault="00B36881" w:rsidP="00CC5E7F">
            <w:pPr>
              <w:rPr>
                <w:b/>
              </w:rPr>
            </w:pPr>
          </w:p>
        </w:tc>
        <w:tc>
          <w:tcPr>
            <w:tcW w:w="1167" w:type="dxa"/>
          </w:tcPr>
          <w:p w:rsidR="00B36881" w:rsidRDefault="00B36881" w:rsidP="00CC5E7F">
            <w:pPr>
              <w:rPr>
                <w:b/>
              </w:rPr>
            </w:pPr>
          </w:p>
        </w:tc>
      </w:tr>
      <w:tr w:rsidR="00B36881" w:rsidTr="00CC5E7F">
        <w:tc>
          <w:tcPr>
            <w:tcW w:w="1244" w:type="dxa"/>
          </w:tcPr>
          <w:p w:rsidR="00B36881" w:rsidRPr="0084083F" w:rsidRDefault="00B36881" w:rsidP="00CC5E7F">
            <w:pPr>
              <w:rPr>
                <w:b/>
              </w:rPr>
            </w:pPr>
          </w:p>
        </w:tc>
        <w:tc>
          <w:tcPr>
            <w:tcW w:w="1244" w:type="dxa"/>
          </w:tcPr>
          <w:p w:rsidR="00B36881" w:rsidRPr="0084083F" w:rsidRDefault="00B36881" w:rsidP="00CC5E7F">
            <w:pPr>
              <w:rPr>
                <w:b/>
              </w:rPr>
            </w:pPr>
            <w:r w:rsidRPr="0084083F">
              <w:rPr>
                <w:b/>
              </w:rPr>
              <w:t>291,029</w:t>
            </w:r>
          </w:p>
        </w:tc>
        <w:tc>
          <w:tcPr>
            <w:tcW w:w="4214" w:type="dxa"/>
          </w:tcPr>
          <w:p w:rsidR="00B36881" w:rsidRPr="00286C0E" w:rsidRDefault="00B36881" w:rsidP="00CC5E7F">
            <w:pPr>
              <w:rPr>
                <w:b/>
                <w:highlight w:val="yellow"/>
              </w:rPr>
            </w:pPr>
            <w:r w:rsidRPr="00F17F90">
              <w:rPr>
                <w:b/>
              </w:rPr>
              <w:t>Total Cash Flows from Investing Activities</w:t>
            </w:r>
          </w:p>
        </w:tc>
        <w:tc>
          <w:tcPr>
            <w:tcW w:w="1373" w:type="dxa"/>
          </w:tcPr>
          <w:p w:rsidR="00B36881" w:rsidRDefault="00B36881" w:rsidP="00CC5E7F">
            <w:pPr>
              <w:rPr>
                <w:b/>
              </w:rPr>
            </w:pPr>
          </w:p>
        </w:tc>
        <w:tc>
          <w:tcPr>
            <w:tcW w:w="1167" w:type="dxa"/>
          </w:tcPr>
          <w:p w:rsidR="00B36881" w:rsidRDefault="00B36881" w:rsidP="00CC5E7F">
            <w:pPr>
              <w:rPr>
                <w:b/>
              </w:rPr>
            </w:pPr>
            <w:r>
              <w:rPr>
                <w:b/>
              </w:rPr>
              <w:t>2,761,122</w:t>
            </w:r>
          </w:p>
        </w:tc>
      </w:tr>
    </w:tbl>
    <w:p w:rsidR="00947EE3" w:rsidRPr="00286C0E" w:rsidRDefault="00947EE3" w:rsidP="00F076D1">
      <w:pPr>
        <w:rPr>
          <w:b/>
          <w:highlight w:val="yellow"/>
        </w:rPr>
      </w:pPr>
    </w:p>
    <w:p w:rsidR="00947EE3" w:rsidRDefault="00947EE3" w:rsidP="00947EE3">
      <w:pPr>
        <w:ind w:left="1004"/>
        <w:rPr>
          <w:b/>
          <w:highlight w:val="yellow"/>
        </w:rPr>
      </w:pPr>
    </w:p>
    <w:p w:rsidR="00892C2C" w:rsidRPr="00A778C4" w:rsidRDefault="00892C2C" w:rsidP="00BD07E4">
      <w:pPr>
        <w:numPr>
          <w:ilvl w:val="0"/>
          <w:numId w:val="21"/>
        </w:numPr>
        <w:rPr>
          <w:b/>
        </w:rPr>
      </w:pPr>
      <w:r w:rsidRPr="00A778C4">
        <w:rPr>
          <w:b/>
        </w:rPr>
        <w:t>Cash Flows from Financing Activities</w:t>
      </w:r>
    </w:p>
    <w:p w:rsidR="00892C2C" w:rsidRPr="00A778C4" w:rsidRDefault="00892C2C" w:rsidP="00F076D1">
      <w:pPr>
        <w:rPr>
          <w:b/>
        </w:rPr>
      </w:pPr>
    </w:p>
    <w:p w:rsidR="00A778C4" w:rsidRDefault="00A778C4" w:rsidP="00F076D1">
      <w:pPr>
        <w:rPr>
          <w:b/>
        </w:rPr>
      </w:pPr>
    </w:p>
    <w:tbl>
      <w:tblPr>
        <w:tblStyle w:val="TableGrid"/>
        <w:tblW w:w="0" w:type="auto"/>
        <w:tblLook w:val="04A0"/>
      </w:tblPr>
      <w:tblGrid>
        <w:gridCol w:w="1444"/>
        <w:gridCol w:w="1276"/>
        <w:gridCol w:w="4111"/>
        <w:gridCol w:w="1444"/>
        <w:gridCol w:w="1196"/>
      </w:tblGrid>
      <w:tr w:rsidR="00B36881" w:rsidTr="00CC5E7F">
        <w:tc>
          <w:tcPr>
            <w:tcW w:w="2518" w:type="dxa"/>
            <w:gridSpan w:val="2"/>
          </w:tcPr>
          <w:p w:rsidR="00B36881" w:rsidRDefault="00B36881" w:rsidP="00CC5E7F">
            <w:pPr>
              <w:jc w:val="center"/>
            </w:pPr>
            <w:r w:rsidRPr="00F765E0">
              <w:rPr>
                <w:b/>
              </w:rPr>
              <w:t>2010/11</w:t>
            </w:r>
          </w:p>
        </w:tc>
        <w:tc>
          <w:tcPr>
            <w:tcW w:w="4111" w:type="dxa"/>
          </w:tcPr>
          <w:p w:rsidR="00B36881" w:rsidRDefault="00B36881" w:rsidP="00CC5E7F">
            <w:pPr>
              <w:jc w:val="center"/>
              <w:rPr>
                <w:b/>
              </w:rPr>
            </w:pPr>
          </w:p>
        </w:tc>
        <w:tc>
          <w:tcPr>
            <w:tcW w:w="2613" w:type="dxa"/>
            <w:gridSpan w:val="2"/>
          </w:tcPr>
          <w:p w:rsidR="00B36881" w:rsidRDefault="00B36881" w:rsidP="00CC5E7F">
            <w:pPr>
              <w:jc w:val="center"/>
              <w:rPr>
                <w:b/>
              </w:rPr>
            </w:pPr>
            <w:r w:rsidRPr="00F765E0">
              <w:rPr>
                <w:b/>
              </w:rPr>
              <w:t>2011/12</w:t>
            </w:r>
          </w:p>
        </w:tc>
      </w:tr>
      <w:tr w:rsidR="00B36881" w:rsidRPr="00F765E0" w:rsidTr="00CC5E7F">
        <w:tc>
          <w:tcPr>
            <w:tcW w:w="1242" w:type="dxa"/>
          </w:tcPr>
          <w:p w:rsidR="00B36881" w:rsidRPr="00F765E0" w:rsidRDefault="00B36881" w:rsidP="00CC5E7F">
            <w:pPr>
              <w:jc w:val="center"/>
              <w:rPr>
                <w:b/>
              </w:rPr>
            </w:pPr>
            <w:r w:rsidRPr="00F765E0">
              <w:rPr>
                <w:b/>
              </w:rPr>
              <w:t>£000</w:t>
            </w:r>
          </w:p>
        </w:tc>
        <w:tc>
          <w:tcPr>
            <w:tcW w:w="1276" w:type="dxa"/>
          </w:tcPr>
          <w:p w:rsidR="00B36881" w:rsidRPr="00C064CB" w:rsidRDefault="00B36881" w:rsidP="00CC5E7F">
            <w:pPr>
              <w:jc w:val="center"/>
            </w:pPr>
            <w:r w:rsidRPr="00F765E0">
              <w:rPr>
                <w:b/>
              </w:rPr>
              <w:t>£000</w:t>
            </w:r>
          </w:p>
        </w:tc>
        <w:tc>
          <w:tcPr>
            <w:tcW w:w="4111" w:type="dxa"/>
          </w:tcPr>
          <w:p w:rsidR="00B36881" w:rsidRPr="00F765E0" w:rsidRDefault="00B36881" w:rsidP="00CC5E7F">
            <w:pPr>
              <w:jc w:val="center"/>
              <w:rPr>
                <w:b/>
              </w:rPr>
            </w:pPr>
          </w:p>
        </w:tc>
        <w:tc>
          <w:tcPr>
            <w:tcW w:w="1417" w:type="dxa"/>
          </w:tcPr>
          <w:p w:rsidR="00B36881" w:rsidRPr="00F765E0" w:rsidRDefault="00B36881" w:rsidP="00CC5E7F">
            <w:pPr>
              <w:jc w:val="center"/>
              <w:rPr>
                <w:b/>
              </w:rPr>
            </w:pPr>
            <w:r w:rsidRPr="00F765E0">
              <w:rPr>
                <w:b/>
              </w:rPr>
              <w:t>£000</w:t>
            </w:r>
          </w:p>
        </w:tc>
        <w:tc>
          <w:tcPr>
            <w:tcW w:w="1196" w:type="dxa"/>
          </w:tcPr>
          <w:p w:rsidR="00B36881" w:rsidRPr="00F765E0" w:rsidRDefault="00B36881" w:rsidP="00CC5E7F">
            <w:pPr>
              <w:jc w:val="center"/>
              <w:rPr>
                <w:b/>
              </w:rPr>
            </w:pPr>
            <w:r w:rsidRPr="00F765E0">
              <w:rPr>
                <w:b/>
              </w:rPr>
              <w:t>£000</w:t>
            </w:r>
          </w:p>
        </w:tc>
      </w:tr>
      <w:tr w:rsidR="00B36881" w:rsidRPr="00316EB1" w:rsidTr="007F230E">
        <w:tc>
          <w:tcPr>
            <w:tcW w:w="1242" w:type="dxa"/>
            <w:vAlign w:val="center"/>
          </w:tcPr>
          <w:p w:rsidR="00B36881" w:rsidRPr="00316EB1" w:rsidRDefault="00B36881" w:rsidP="007F230E">
            <w:pPr>
              <w:jc w:val="right"/>
            </w:pPr>
            <w:r w:rsidRPr="00316EB1">
              <w:t>(1,728,011)</w:t>
            </w:r>
          </w:p>
        </w:tc>
        <w:tc>
          <w:tcPr>
            <w:tcW w:w="1276" w:type="dxa"/>
            <w:vAlign w:val="center"/>
          </w:tcPr>
          <w:p w:rsidR="00B36881" w:rsidRPr="004E4460" w:rsidRDefault="00B36881" w:rsidP="007F230E">
            <w:pPr>
              <w:jc w:val="right"/>
              <w:rPr>
                <w:b/>
              </w:rPr>
            </w:pPr>
          </w:p>
        </w:tc>
        <w:tc>
          <w:tcPr>
            <w:tcW w:w="4111" w:type="dxa"/>
          </w:tcPr>
          <w:p w:rsidR="00B36881" w:rsidRPr="004E4460" w:rsidRDefault="00B36881" w:rsidP="00CC5E7F">
            <w:r w:rsidRPr="004E4460">
              <w:t>Cash receipts of short and long term borrowing</w:t>
            </w:r>
          </w:p>
        </w:tc>
        <w:tc>
          <w:tcPr>
            <w:tcW w:w="1417" w:type="dxa"/>
            <w:vAlign w:val="center"/>
          </w:tcPr>
          <w:p w:rsidR="00B36881" w:rsidRPr="00316EB1" w:rsidRDefault="00B36881" w:rsidP="007F230E">
            <w:pPr>
              <w:jc w:val="right"/>
            </w:pPr>
            <w:r w:rsidRPr="00316EB1">
              <w:t>(1,574,053)</w:t>
            </w:r>
          </w:p>
        </w:tc>
        <w:tc>
          <w:tcPr>
            <w:tcW w:w="1196" w:type="dxa"/>
            <w:vAlign w:val="center"/>
          </w:tcPr>
          <w:p w:rsidR="00B36881" w:rsidRPr="00316EB1" w:rsidRDefault="00B36881" w:rsidP="007F230E">
            <w:pPr>
              <w:jc w:val="right"/>
            </w:pPr>
          </w:p>
        </w:tc>
      </w:tr>
      <w:tr w:rsidR="00B36881" w:rsidRPr="00316EB1" w:rsidTr="007F230E">
        <w:tc>
          <w:tcPr>
            <w:tcW w:w="1242" w:type="dxa"/>
            <w:vAlign w:val="center"/>
          </w:tcPr>
          <w:p w:rsidR="00B36881" w:rsidRPr="00316EB1" w:rsidRDefault="00B36881" w:rsidP="007F230E">
            <w:pPr>
              <w:jc w:val="right"/>
            </w:pPr>
            <w:r w:rsidRPr="00316EB1">
              <w:t>2,425</w:t>
            </w:r>
          </w:p>
        </w:tc>
        <w:tc>
          <w:tcPr>
            <w:tcW w:w="1276" w:type="dxa"/>
            <w:vAlign w:val="center"/>
          </w:tcPr>
          <w:p w:rsidR="00B36881" w:rsidRPr="004E4460" w:rsidRDefault="00B36881" w:rsidP="007F230E">
            <w:pPr>
              <w:jc w:val="right"/>
              <w:rPr>
                <w:b/>
              </w:rPr>
            </w:pPr>
          </w:p>
        </w:tc>
        <w:tc>
          <w:tcPr>
            <w:tcW w:w="4111" w:type="dxa"/>
          </w:tcPr>
          <w:p w:rsidR="00B36881" w:rsidRPr="004E4460" w:rsidRDefault="00B36881" w:rsidP="00CC5E7F">
            <w:r w:rsidRPr="004E4460">
              <w:t>Precepting Authorities Only - Appropriation to/from Collection Fund Adjustment Account</w:t>
            </w:r>
          </w:p>
        </w:tc>
        <w:tc>
          <w:tcPr>
            <w:tcW w:w="1417" w:type="dxa"/>
            <w:vAlign w:val="center"/>
          </w:tcPr>
          <w:p w:rsidR="00B36881" w:rsidRPr="00316EB1" w:rsidRDefault="00B36881" w:rsidP="007F230E">
            <w:pPr>
              <w:jc w:val="right"/>
            </w:pPr>
            <w:r w:rsidRPr="00316EB1">
              <w:t>351</w:t>
            </w:r>
          </w:p>
        </w:tc>
        <w:tc>
          <w:tcPr>
            <w:tcW w:w="1196" w:type="dxa"/>
            <w:vAlign w:val="center"/>
          </w:tcPr>
          <w:p w:rsidR="00B36881" w:rsidRPr="00316EB1" w:rsidRDefault="00B36881" w:rsidP="007F230E">
            <w:pPr>
              <w:jc w:val="right"/>
            </w:pPr>
          </w:p>
        </w:tc>
      </w:tr>
      <w:tr w:rsidR="00B36881" w:rsidRPr="00316EB1" w:rsidTr="007F230E">
        <w:tc>
          <w:tcPr>
            <w:tcW w:w="1242" w:type="dxa"/>
            <w:vAlign w:val="center"/>
          </w:tcPr>
          <w:p w:rsidR="00B36881" w:rsidRPr="00316EB1" w:rsidRDefault="00B36881" w:rsidP="007F230E">
            <w:pPr>
              <w:jc w:val="right"/>
            </w:pPr>
            <w:r w:rsidRPr="00316EB1">
              <w:t>1,577,539</w:t>
            </w:r>
          </w:p>
        </w:tc>
        <w:tc>
          <w:tcPr>
            <w:tcW w:w="1276" w:type="dxa"/>
            <w:vAlign w:val="center"/>
          </w:tcPr>
          <w:p w:rsidR="00B36881" w:rsidRPr="004E4460" w:rsidRDefault="00B36881" w:rsidP="007F230E">
            <w:pPr>
              <w:jc w:val="right"/>
              <w:rPr>
                <w:b/>
              </w:rPr>
            </w:pPr>
          </w:p>
        </w:tc>
        <w:tc>
          <w:tcPr>
            <w:tcW w:w="4111" w:type="dxa"/>
          </w:tcPr>
          <w:p w:rsidR="00B36881" w:rsidRPr="004E4460" w:rsidRDefault="00B36881" w:rsidP="00CC5E7F">
            <w:r w:rsidRPr="004E4460">
              <w:t>Repayment of Short-Term and Long-Term Borrowing</w:t>
            </w:r>
          </w:p>
        </w:tc>
        <w:tc>
          <w:tcPr>
            <w:tcW w:w="1417" w:type="dxa"/>
            <w:vAlign w:val="center"/>
          </w:tcPr>
          <w:p w:rsidR="00B36881" w:rsidRPr="00316EB1" w:rsidRDefault="00B36881" w:rsidP="007F230E">
            <w:pPr>
              <w:jc w:val="right"/>
            </w:pPr>
            <w:r w:rsidRPr="00316EB1">
              <w:t>1,554,980</w:t>
            </w:r>
          </w:p>
        </w:tc>
        <w:tc>
          <w:tcPr>
            <w:tcW w:w="1196" w:type="dxa"/>
            <w:vAlign w:val="center"/>
          </w:tcPr>
          <w:p w:rsidR="00B36881" w:rsidRPr="00316EB1" w:rsidRDefault="00B36881" w:rsidP="007F230E">
            <w:pPr>
              <w:jc w:val="right"/>
            </w:pPr>
          </w:p>
        </w:tc>
      </w:tr>
      <w:tr w:rsidR="00B36881" w:rsidRPr="00316EB1" w:rsidTr="007F230E">
        <w:tc>
          <w:tcPr>
            <w:tcW w:w="1242" w:type="dxa"/>
            <w:vAlign w:val="center"/>
          </w:tcPr>
          <w:p w:rsidR="00B36881" w:rsidRPr="004E4460" w:rsidRDefault="00B36881" w:rsidP="007F230E">
            <w:pPr>
              <w:jc w:val="right"/>
              <w:rPr>
                <w:b/>
              </w:rPr>
            </w:pPr>
          </w:p>
        </w:tc>
        <w:tc>
          <w:tcPr>
            <w:tcW w:w="1276" w:type="dxa"/>
            <w:vAlign w:val="center"/>
          </w:tcPr>
          <w:p w:rsidR="00B36881" w:rsidRPr="004E4460" w:rsidRDefault="00B36881" w:rsidP="007F230E">
            <w:pPr>
              <w:jc w:val="right"/>
              <w:rPr>
                <w:b/>
              </w:rPr>
            </w:pPr>
          </w:p>
        </w:tc>
        <w:tc>
          <w:tcPr>
            <w:tcW w:w="4111" w:type="dxa"/>
          </w:tcPr>
          <w:p w:rsidR="00B36881" w:rsidRPr="004E4460" w:rsidRDefault="00B36881" w:rsidP="00CC5E7F">
            <w:pPr>
              <w:rPr>
                <w:b/>
              </w:rPr>
            </w:pPr>
          </w:p>
        </w:tc>
        <w:tc>
          <w:tcPr>
            <w:tcW w:w="1417" w:type="dxa"/>
            <w:vAlign w:val="center"/>
          </w:tcPr>
          <w:p w:rsidR="00B36881" w:rsidRPr="00316EB1" w:rsidRDefault="00B36881" w:rsidP="007F230E">
            <w:pPr>
              <w:jc w:val="right"/>
            </w:pPr>
          </w:p>
        </w:tc>
        <w:tc>
          <w:tcPr>
            <w:tcW w:w="1196" w:type="dxa"/>
            <w:vAlign w:val="center"/>
          </w:tcPr>
          <w:p w:rsidR="00B36881" w:rsidRPr="00316EB1" w:rsidRDefault="00B36881" w:rsidP="007F230E">
            <w:pPr>
              <w:jc w:val="right"/>
            </w:pPr>
          </w:p>
        </w:tc>
      </w:tr>
      <w:tr w:rsidR="00B36881" w:rsidRPr="00316EB1" w:rsidTr="007F230E">
        <w:tc>
          <w:tcPr>
            <w:tcW w:w="1242" w:type="dxa"/>
            <w:vAlign w:val="center"/>
          </w:tcPr>
          <w:p w:rsidR="00B36881" w:rsidRPr="004E4460" w:rsidRDefault="00B36881" w:rsidP="007F230E">
            <w:pPr>
              <w:jc w:val="right"/>
              <w:rPr>
                <w:b/>
              </w:rPr>
            </w:pPr>
          </w:p>
        </w:tc>
        <w:tc>
          <w:tcPr>
            <w:tcW w:w="1276" w:type="dxa"/>
            <w:vAlign w:val="center"/>
          </w:tcPr>
          <w:p w:rsidR="00B36881" w:rsidRPr="004E4460" w:rsidRDefault="00B36881" w:rsidP="007F230E">
            <w:pPr>
              <w:jc w:val="right"/>
              <w:rPr>
                <w:b/>
              </w:rPr>
            </w:pPr>
            <w:r w:rsidRPr="004E4460">
              <w:t>4,329</w:t>
            </w:r>
          </w:p>
        </w:tc>
        <w:tc>
          <w:tcPr>
            <w:tcW w:w="4111" w:type="dxa"/>
          </w:tcPr>
          <w:p w:rsidR="00B36881" w:rsidRPr="004E4460" w:rsidRDefault="00B36881" w:rsidP="00CC5E7F">
            <w:r w:rsidRPr="004E4460">
              <w:t>Payments for the reduction of a finance lease liability</w:t>
            </w:r>
          </w:p>
        </w:tc>
        <w:tc>
          <w:tcPr>
            <w:tcW w:w="1417" w:type="dxa"/>
            <w:vAlign w:val="center"/>
          </w:tcPr>
          <w:p w:rsidR="00B36881" w:rsidRPr="00316EB1" w:rsidRDefault="00B36881" w:rsidP="007F230E">
            <w:pPr>
              <w:jc w:val="right"/>
            </w:pPr>
          </w:p>
        </w:tc>
        <w:tc>
          <w:tcPr>
            <w:tcW w:w="1196" w:type="dxa"/>
            <w:vAlign w:val="center"/>
          </w:tcPr>
          <w:p w:rsidR="00B36881" w:rsidRPr="00316EB1" w:rsidRDefault="00B36881" w:rsidP="007F230E">
            <w:pPr>
              <w:jc w:val="right"/>
            </w:pPr>
          </w:p>
        </w:tc>
      </w:tr>
      <w:tr w:rsidR="00B36881" w:rsidRPr="00316EB1" w:rsidTr="007F230E">
        <w:tc>
          <w:tcPr>
            <w:tcW w:w="1242" w:type="dxa"/>
            <w:vAlign w:val="center"/>
          </w:tcPr>
          <w:p w:rsidR="00B36881" w:rsidRPr="004E4460" w:rsidRDefault="00B36881" w:rsidP="007F230E">
            <w:pPr>
              <w:jc w:val="right"/>
              <w:rPr>
                <w:b/>
              </w:rPr>
            </w:pPr>
          </w:p>
        </w:tc>
        <w:tc>
          <w:tcPr>
            <w:tcW w:w="1276" w:type="dxa"/>
            <w:vAlign w:val="center"/>
          </w:tcPr>
          <w:p w:rsidR="00B36881" w:rsidRPr="004E4460" w:rsidRDefault="00B36881" w:rsidP="007F230E">
            <w:pPr>
              <w:jc w:val="right"/>
              <w:rPr>
                <w:b/>
              </w:rPr>
            </w:pPr>
            <w:r w:rsidRPr="004E4460">
              <w:t>10</w:t>
            </w:r>
          </w:p>
        </w:tc>
        <w:tc>
          <w:tcPr>
            <w:tcW w:w="4111" w:type="dxa"/>
          </w:tcPr>
          <w:p w:rsidR="00B36881" w:rsidRPr="004E4460" w:rsidRDefault="00B36881" w:rsidP="00CC5E7F">
            <w:r w:rsidRPr="004E4460">
              <w:t>Payments for the reduction of a PFI liability</w:t>
            </w:r>
          </w:p>
        </w:tc>
        <w:tc>
          <w:tcPr>
            <w:tcW w:w="1417" w:type="dxa"/>
            <w:vAlign w:val="center"/>
          </w:tcPr>
          <w:p w:rsidR="00B36881" w:rsidRPr="00316EB1" w:rsidRDefault="00B36881" w:rsidP="007F230E">
            <w:pPr>
              <w:jc w:val="right"/>
            </w:pPr>
          </w:p>
        </w:tc>
        <w:tc>
          <w:tcPr>
            <w:tcW w:w="1196" w:type="dxa"/>
            <w:vAlign w:val="center"/>
          </w:tcPr>
          <w:p w:rsidR="00B36881" w:rsidRPr="00316EB1" w:rsidRDefault="008947C5" w:rsidP="007F230E">
            <w:pPr>
              <w:jc w:val="right"/>
            </w:pPr>
            <w:r>
              <w:t>17,956</w:t>
            </w:r>
          </w:p>
        </w:tc>
      </w:tr>
      <w:tr w:rsidR="00B36881" w:rsidTr="007F230E">
        <w:tc>
          <w:tcPr>
            <w:tcW w:w="1242" w:type="dxa"/>
            <w:vAlign w:val="center"/>
          </w:tcPr>
          <w:p w:rsidR="00B36881" w:rsidRPr="00316EB1" w:rsidRDefault="00B36881" w:rsidP="007F230E">
            <w:pPr>
              <w:jc w:val="right"/>
            </w:pPr>
            <w:r w:rsidRPr="00316EB1">
              <w:t>4,339</w:t>
            </w:r>
          </w:p>
        </w:tc>
        <w:tc>
          <w:tcPr>
            <w:tcW w:w="1276" w:type="dxa"/>
            <w:vAlign w:val="center"/>
          </w:tcPr>
          <w:p w:rsidR="00B36881" w:rsidRPr="004E4460" w:rsidRDefault="00B36881" w:rsidP="007F230E">
            <w:pPr>
              <w:jc w:val="right"/>
              <w:rPr>
                <w:b/>
              </w:rPr>
            </w:pPr>
          </w:p>
        </w:tc>
        <w:tc>
          <w:tcPr>
            <w:tcW w:w="4111" w:type="dxa"/>
          </w:tcPr>
          <w:p w:rsidR="00B36881" w:rsidRPr="004E4460" w:rsidRDefault="00B36881" w:rsidP="00CC5E7F">
            <w:r w:rsidRPr="004E4460">
              <w:t>Cash payments for the reduction of the outstanding liabilities relating to finance leases and on-balance sheet PFI contracts</w:t>
            </w:r>
          </w:p>
        </w:tc>
        <w:tc>
          <w:tcPr>
            <w:tcW w:w="1417" w:type="dxa"/>
            <w:vAlign w:val="center"/>
          </w:tcPr>
          <w:p w:rsidR="00B36881" w:rsidRPr="00316EB1" w:rsidRDefault="00B36881" w:rsidP="007F230E">
            <w:pPr>
              <w:jc w:val="right"/>
            </w:pPr>
            <w:r>
              <w:t>17,956</w:t>
            </w:r>
          </w:p>
        </w:tc>
        <w:tc>
          <w:tcPr>
            <w:tcW w:w="1196" w:type="dxa"/>
            <w:vAlign w:val="center"/>
          </w:tcPr>
          <w:p w:rsidR="00B36881" w:rsidRDefault="00B36881" w:rsidP="007F230E">
            <w:pPr>
              <w:jc w:val="right"/>
              <w:rPr>
                <w:b/>
              </w:rPr>
            </w:pPr>
          </w:p>
        </w:tc>
      </w:tr>
      <w:tr w:rsidR="00B36881" w:rsidTr="007F230E">
        <w:tc>
          <w:tcPr>
            <w:tcW w:w="1242" w:type="dxa"/>
            <w:vAlign w:val="center"/>
          </w:tcPr>
          <w:p w:rsidR="00B36881" w:rsidRPr="004E4460" w:rsidRDefault="00B36881" w:rsidP="007F230E">
            <w:pPr>
              <w:jc w:val="right"/>
              <w:rPr>
                <w:b/>
              </w:rPr>
            </w:pPr>
            <w:r w:rsidRPr="004E4460">
              <w:rPr>
                <w:b/>
              </w:rPr>
              <w:t>(143,708)</w:t>
            </w:r>
          </w:p>
        </w:tc>
        <w:tc>
          <w:tcPr>
            <w:tcW w:w="1276" w:type="dxa"/>
            <w:vAlign w:val="center"/>
          </w:tcPr>
          <w:p w:rsidR="00B36881" w:rsidRPr="004E4460" w:rsidRDefault="00B36881" w:rsidP="007F230E">
            <w:pPr>
              <w:jc w:val="right"/>
              <w:rPr>
                <w:b/>
              </w:rPr>
            </w:pPr>
          </w:p>
        </w:tc>
        <w:tc>
          <w:tcPr>
            <w:tcW w:w="4111" w:type="dxa"/>
          </w:tcPr>
          <w:p w:rsidR="00B36881" w:rsidRPr="004E4460" w:rsidRDefault="00B36881" w:rsidP="00CC5E7F">
            <w:r w:rsidRPr="004E4460">
              <w:rPr>
                <w:b/>
              </w:rPr>
              <w:t>Total Cash Flows from Financing Activities</w:t>
            </w:r>
          </w:p>
        </w:tc>
        <w:tc>
          <w:tcPr>
            <w:tcW w:w="1417" w:type="dxa"/>
            <w:vAlign w:val="center"/>
          </w:tcPr>
          <w:p w:rsidR="00B36881" w:rsidRDefault="00B36881" w:rsidP="007F230E">
            <w:pPr>
              <w:jc w:val="right"/>
              <w:rPr>
                <w:b/>
              </w:rPr>
            </w:pPr>
            <w:r>
              <w:rPr>
                <w:b/>
              </w:rPr>
              <w:t>(766)</w:t>
            </w:r>
          </w:p>
        </w:tc>
        <w:tc>
          <w:tcPr>
            <w:tcW w:w="1196" w:type="dxa"/>
            <w:vAlign w:val="center"/>
          </w:tcPr>
          <w:p w:rsidR="00B36881" w:rsidRDefault="00B36881" w:rsidP="007F230E">
            <w:pPr>
              <w:jc w:val="right"/>
              <w:rPr>
                <w:b/>
              </w:rPr>
            </w:pPr>
          </w:p>
        </w:tc>
      </w:tr>
    </w:tbl>
    <w:p w:rsidR="008A08A9" w:rsidRDefault="008A08A9" w:rsidP="00F076D1">
      <w:pPr>
        <w:rPr>
          <w:b/>
        </w:rPr>
      </w:pPr>
    </w:p>
    <w:p w:rsidR="00A778C4" w:rsidRDefault="00A778C4" w:rsidP="00F076D1">
      <w:pPr>
        <w:rPr>
          <w:b/>
        </w:rPr>
      </w:pPr>
    </w:p>
    <w:p w:rsidR="00A778C4" w:rsidRPr="00A778C4" w:rsidRDefault="00A778C4" w:rsidP="00F076D1">
      <w:pPr>
        <w:rPr>
          <w:b/>
        </w:rPr>
      </w:pPr>
    </w:p>
    <w:p w:rsidR="00F84EDD" w:rsidRDefault="00F84EDD">
      <w:pPr>
        <w:rPr>
          <w:b/>
        </w:rPr>
      </w:pPr>
      <w:r>
        <w:rPr>
          <w:b/>
        </w:rPr>
        <w:br w:type="page"/>
      </w:r>
    </w:p>
    <w:p w:rsidR="00892C2C" w:rsidRPr="00A778C4" w:rsidRDefault="00892C2C" w:rsidP="00F076D1">
      <w:pPr>
        <w:rPr>
          <w:b/>
        </w:rPr>
      </w:pPr>
    </w:p>
    <w:p w:rsidR="005264A8" w:rsidRPr="00A778C4" w:rsidRDefault="00892C2C" w:rsidP="00BD07E4">
      <w:pPr>
        <w:numPr>
          <w:ilvl w:val="0"/>
          <w:numId w:val="21"/>
        </w:numPr>
        <w:rPr>
          <w:b/>
        </w:rPr>
      </w:pPr>
      <w:r w:rsidRPr="00A778C4">
        <w:rPr>
          <w:b/>
        </w:rPr>
        <w:t>Makeup of Cash and Cash Equivalents</w:t>
      </w:r>
    </w:p>
    <w:p w:rsidR="005264A8" w:rsidRPr="00286C0E" w:rsidRDefault="005264A8" w:rsidP="00F076D1">
      <w:pPr>
        <w:rPr>
          <w:b/>
          <w:highlight w:val="yellow"/>
        </w:rPr>
      </w:pPr>
    </w:p>
    <w:p w:rsidR="00763941" w:rsidRDefault="00763941" w:rsidP="00D335FF">
      <w:pPr>
        <w:rPr>
          <w:b/>
          <w:i/>
          <w:highlight w:val="yellow"/>
        </w:rPr>
      </w:pPr>
    </w:p>
    <w:tbl>
      <w:tblPr>
        <w:tblStyle w:val="TableGrid"/>
        <w:tblW w:w="0" w:type="auto"/>
        <w:tblLook w:val="04A0"/>
      </w:tblPr>
      <w:tblGrid>
        <w:gridCol w:w="1242"/>
        <w:gridCol w:w="1134"/>
        <w:gridCol w:w="3933"/>
        <w:gridCol w:w="1454"/>
        <w:gridCol w:w="1479"/>
      </w:tblGrid>
      <w:tr w:rsidR="00B36881" w:rsidTr="00CC5E7F">
        <w:tc>
          <w:tcPr>
            <w:tcW w:w="2376" w:type="dxa"/>
            <w:gridSpan w:val="2"/>
          </w:tcPr>
          <w:p w:rsidR="00B36881" w:rsidRDefault="00B36881" w:rsidP="00CC5E7F">
            <w:pPr>
              <w:jc w:val="center"/>
              <w:rPr>
                <w:b/>
              </w:rPr>
            </w:pPr>
            <w:r w:rsidRPr="00F765E0">
              <w:rPr>
                <w:b/>
              </w:rPr>
              <w:t>2010/11</w:t>
            </w:r>
          </w:p>
        </w:tc>
        <w:tc>
          <w:tcPr>
            <w:tcW w:w="3933" w:type="dxa"/>
          </w:tcPr>
          <w:p w:rsidR="00B36881" w:rsidRDefault="00B36881" w:rsidP="00CC5E7F">
            <w:pPr>
              <w:jc w:val="center"/>
              <w:rPr>
                <w:b/>
              </w:rPr>
            </w:pPr>
          </w:p>
        </w:tc>
        <w:tc>
          <w:tcPr>
            <w:tcW w:w="2933" w:type="dxa"/>
            <w:gridSpan w:val="2"/>
          </w:tcPr>
          <w:p w:rsidR="00B36881" w:rsidRDefault="00B36881" w:rsidP="00CC5E7F">
            <w:pPr>
              <w:jc w:val="center"/>
            </w:pPr>
            <w:r w:rsidRPr="00F765E0">
              <w:rPr>
                <w:b/>
              </w:rPr>
              <w:t>2011/12</w:t>
            </w:r>
          </w:p>
        </w:tc>
      </w:tr>
      <w:tr w:rsidR="00B36881" w:rsidTr="00CC5E7F">
        <w:tc>
          <w:tcPr>
            <w:tcW w:w="1242" w:type="dxa"/>
          </w:tcPr>
          <w:p w:rsidR="00B36881" w:rsidRPr="00F765E0" w:rsidRDefault="00B36881" w:rsidP="00CC5E7F">
            <w:pPr>
              <w:jc w:val="center"/>
              <w:rPr>
                <w:b/>
              </w:rPr>
            </w:pPr>
            <w:r w:rsidRPr="00F765E0">
              <w:rPr>
                <w:b/>
              </w:rPr>
              <w:t>£000</w:t>
            </w:r>
          </w:p>
        </w:tc>
        <w:tc>
          <w:tcPr>
            <w:tcW w:w="1134" w:type="dxa"/>
          </w:tcPr>
          <w:p w:rsidR="00B36881" w:rsidRPr="00C064CB" w:rsidRDefault="00B36881" w:rsidP="00CC5E7F">
            <w:pPr>
              <w:jc w:val="center"/>
            </w:pPr>
            <w:r w:rsidRPr="00F765E0">
              <w:rPr>
                <w:b/>
              </w:rPr>
              <w:t>£000</w:t>
            </w:r>
          </w:p>
        </w:tc>
        <w:tc>
          <w:tcPr>
            <w:tcW w:w="3933" w:type="dxa"/>
          </w:tcPr>
          <w:p w:rsidR="00B36881" w:rsidRPr="00F765E0" w:rsidRDefault="00B36881" w:rsidP="00CC5E7F">
            <w:pPr>
              <w:jc w:val="center"/>
              <w:rPr>
                <w:b/>
              </w:rPr>
            </w:pPr>
          </w:p>
        </w:tc>
        <w:tc>
          <w:tcPr>
            <w:tcW w:w="1454" w:type="dxa"/>
          </w:tcPr>
          <w:p w:rsidR="00B36881" w:rsidRPr="00F765E0" w:rsidRDefault="00B36881" w:rsidP="00CC5E7F">
            <w:pPr>
              <w:jc w:val="center"/>
              <w:rPr>
                <w:b/>
              </w:rPr>
            </w:pPr>
            <w:r w:rsidRPr="00F765E0">
              <w:rPr>
                <w:b/>
              </w:rPr>
              <w:t>£000</w:t>
            </w:r>
          </w:p>
        </w:tc>
        <w:tc>
          <w:tcPr>
            <w:tcW w:w="1479" w:type="dxa"/>
          </w:tcPr>
          <w:p w:rsidR="00B36881" w:rsidRPr="00F765E0" w:rsidRDefault="00B36881" w:rsidP="00CC5E7F">
            <w:pPr>
              <w:jc w:val="center"/>
              <w:rPr>
                <w:b/>
              </w:rPr>
            </w:pPr>
            <w:r w:rsidRPr="00F765E0">
              <w:rPr>
                <w:b/>
              </w:rPr>
              <w:t>£000</w:t>
            </w:r>
          </w:p>
        </w:tc>
      </w:tr>
      <w:tr w:rsidR="00B36881" w:rsidTr="007F230E">
        <w:tc>
          <w:tcPr>
            <w:tcW w:w="1242" w:type="dxa"/>
            <w:vAlign w:val="center"/>
          </w:tcPr>
          <w:p w:rsidR="00B36881" w:rsidRPr="00316EB1" w:rsidRDefault="00B36881" w:rsidP="007F230E">
            <w:pPr>
              <w:jc w:val="right"/>
            </w:pPr>
            <w:r w:rsidRPr="00316EB1">
              <w:t>(34,453)</w:t>
            </w:r>
          </w:p>
        </w:tc>
        <w:tc>
          <w:tcPr>
            <w:tcW w:w="1134" w:type="dxa"/>
            <w:vAlign w:val="center"/>
          </w:tcPr>
          <w:p w:rsidR="00B36881" w:rsidRDefault="00B36881" w:rsidP="007F230E">
            <w:pPr>
              <w:jc w:val="right"/>
            </w:pPr>
          </w:p>
        </w:tc>
        <w:tc>
          <w:tcPr>
            <w:tcW w:w="3933" w:type="dxa"/>
          </w:tcPr>
          <w:p w:rsidR="00B36881" w:rsidRPr="00316EB1" w:rsidRDefault="00B36881" w:rsidP="00CC5E7F">
            <w:r w:rsidRPr="00316EB1">
              <w:t>Cash and Bank Balances</w:t>
            </w:r>
          </w:p>
        </w:tc>
        <w:tc>
          <w:tcPr>
            <w:tcW w:w="1454" w:type="dxa"/>
            <w:vAlign w:val="center"/>
          </w:tcPr>
          <w:p w:rsidR="00B36881" w:rsidRDefault="00B36881" w:rsidP="007F230E">
            <w:pPr>
              <w:jc w:val="right"/>
            </w:pPr>
            <w:r>
              <w:t>(27,772)</w:t>
            </w:r>
          </w:p>
        </w:tc>
        <w:tc>
          <w:tcPr>
            <w:tcW w:w="1479" w:type="dxa"/>
            <w:vAlign w:val="center"/>
          </w:tcPr>
          <w:p w:rsidR="00B36881" w:rsidRDefault="00B36881" w:rsidP="007F230E">
            <w:pPr>
              <w:jc w:val="right"/>
            </w:pPr>
          </w:p>
        </w:tc>
      </w:tr>
      <w:tr w:rsidR="00B36881" w:rsidTr="007F230E">
        <w:tc>
          <w:tcPr>
            <w:tcW w:w="1242" w:type="dxa"/>
            <w:vAlign w:val="center"/>
          </w:tcPr>
          <w:p w:rsidR="00B36881" w:rsidRPr="00316EB1" w:rsidRDefault="00B36881" w:rsidP="007F230E">
            <w:pPr>
              <w:jc w:val="right"/>
            </w:pPr>
            <w:r w:rsidRPr="00316EB1">
              <w:t>(36,903)</w:t>
            </w:r>
          </w:p>
        </w:tc>
        <w:tc>
          <w:tcPr>
            <w:tcW w:w="1134" w:type="dxa"/>
            <w:vAlign w:val="center"/>
          </w:tcPr>
          <w:p w:rsidR="00B36881" w:rsidRDefault="00B36881" w:rsidP="007F230E">
            <w:pPr>
              <w:jc w:val="right"/>
            </w:pPr>
          </w:p>
        </w:tc>
        <w:tc>
          <w:tcPr>
            <w:tcW w:w="3933" w:type="dxa"/>
          </w:tcPr>
          <w:p w:rsidR="00B36881" w:rsidRPr="00316EB1" w:rsidRDefault="00B36881" w:rsidP="00CC5E7F">
            <w:r w:rsidRPr="00316EB1">
              <w:t>Cash Investments - regarded as cash equivalents</w:t>
            </w:r>
          </w:p>
        </w:tc>
        <w:tc>
          <w:tcPr>
            <w:tcW w:w="1454" w:type="dxa"/>
            <w:vAlign w:val="center"/>
          </w:tcPr>
          <w:p w:rsidR="00B36881" w:rsidRDefault="00B36881" w:rsidP="007F230E">
            <w:pPr>
              <w:jc w:val="right"/>
            </w:pPr>
            <w:r>
              <w:t>(20,124)</w:t>
            </w:r>
          </w:p>
        </w:tc>
        <w:tc>
          <w:tcPr>
            <w:tcW w:w="1479" w:type="dxa"/>
            <w:vAlign w:val="center"/>
          </w:tcPr>
          <w:p w:rsidR="00B36881" w:rsidRDefault="00B36881" w:rsidP="007F230E">
            <w:pPr>
              <w:jc w:val="right"/>
            </w:pPr>
          </w:p>
        </w:tc>
      </w:tr>
      <w:tr w:rsidR="00B36881" w:rsidTr="007F230E">
        <w:tc>
          <w:tcPr>
            <w:tcW w:w="1242" w:type="dxa"/>
            <w:vAlign w:val="center"/>
          </w:tcPr>
          <w:p w:rsidR="00B36881" w:rsidRPr="00316EB1" w:rsidRDefault="00B36881" w:rsidP="007F230E">
            <w:pPr>
              <w:jc w:val="right"/>
            </w:pPr>
          </w:p>
        </w:tc>
        <w:tc>
          <w:tcPr>
            <w:tcW w:w="1134" w:type="dxa"/>
            <w:vAlign w:val="center"/>
          </w:tcPr>
          <w:p w:rsidR="00B36881" w:rsidRDefault="00B36881" w:rsidP="007F230E">
            <w:pPr>
              <w:jc w:val="right"/>
            </w:pPr>
          </w:p>
        </w:tc>
        <w:tc>
          <w:tcPr>
            <w:tcW w:w="3933" w:type="dxa"/>
          </w:tcPr>
          <w:p w:rsidR="00B36881" w:rsidRPr="00316EB1" w:rsidRDefault="00B36881" w:rsidP="00CC5E7F"/>
        </w:tc>
        <w:tc>
          <w:tcPr>
            <w:tcW w:w="1454" w:type="dxa"/>
            <w:vAlign w:val="center"/>
          </w:tcPr>
          <w:p w:rsidR="00B36881" w:rsidRDefault="00B36881" w:rsidP="007F230E">
            <w:pPr>
              <w:jc w:val="right"/>
            </w:pPr>
          </w:p>
        </w:tc>
        <w:tc>
          <w:tcPr>
            <w:tcW w:w="1479" w:type="dxa"/>
            <w:vAlign w:val="center"/>
          </w:tcPr>
          <w:p w:rsidR="00B36881" w:rsidRDefault="00B36881" w:rsidP="007F230E">
            <w:pPr>
              <w:jc w:val="right"/>
            </w:pPr>
          </w:p>
        </w:tc>
      </w:tr>
      <w:tr w:rsidR="00B36881" w:rsidTr="007F230E">
        <w:tc>
          <w:tcPr>
            <w:tcW w:w="1242" w:type="dxa"/>
            <w:vAlign w:val="center"/>
          </w:tcPr>
          <w:p w:rsidR="00B36881" w:rsidRPr="00316EB1" w:rsidRDefault="00B36881" w:rsidP="007F230E">
            <w:pPr>
              <w:jc w:val="right"/>
              <w:rPr>
                <w:b/>
              </w:rPr>
            </w:pPr>
          </w:p>
        </w:tc>
        <w:tc>
          <w:tcPr>
            <w:tcW w:w="1134" w:type="dxa"/>
            <w:vAlign w:val="center"/>
          </w:tcPr>
          <w:p w:rsidR="00B36881" w:rsidRPr="00316EB1" w:rsidRDefault="00B36881" w:rsidP="007F230E">
            <w:pPr>
              <w:jc w:val="right"/>
              <w:rPr>
                <w:b/>
              </w:rPr>
            </w:pPr>
            <w:r w:rsidRPr="00316EB1">
              <w:rPr>
                <w:b/>
              </w:rPr>
              <w:t>(71,356)</w:t>
            </w:r>
          </w:p>
        </w:tc>
        <w:tc>
          <w:tcPr>
            <w:tcW w:w="3933" w:type="dxa"/>
          </w:tcPr>
          <w:p w:rsidR="00B36881" w:rsidRDefault="00B36881" w:rsidP="00CC5E7F"/>
        </w:tc>
        <w:tc>
          <w:tcPr>
            <w:tcW w:w="1454" w:type="dxa"/>
            <w:vAlign w:val="center"/>
          </w:tcPr>
          <w:p w:rsidR="00B36881" w:rsidRDefault="00B36881" w:rsidP="007F230E">
            <w:pPr>
              <w:jc w:val="right"/>
            </w:pPr>
          </w:p>
        </w:tc>
        <w:tc>
          <w:tcPr>
            <w:tcW w:w="1479" w:type="dxa"/>
            <w:vAlign w:val="center"/>
          </w:tcPr>
          <w:p w:rsidR="00B36881" w:rsidRPr="00316EB1" w:rsidRDefault="00B36881" w:rsidP="007F230E">
            <w:pPr>
              <w:jc w:val="right"/>
              <w:rPr>
                <w:b/>
              </w:rPr>
            </w:pPr>
            <w:r w:rsidRPr="00316EB1">
              <w:rPr>
                <w:b/>
              </w:rPr>
              <w:t>(47</w:t>
            </w:r>
            <w:r>
              <w:rPr>
                <w:b/>
              </w:rPr>
              <w:t>,</w:t>
            </w:r>
            <w:r w:rsidRPr="00316EB1">
              <w:rPr>
                <w:b/>
              </w:rPr>
              <w:t>896)</w:t>
            </w:r>
          </w:p>
        </w:tc>
      </w:tr>
    </w:tbl>
    <w:p w:rsidR="00A778C4" w:rsidRDefault="00A778C4" w:rsidP="00D335FF">
      <w:pPr>
        <w:rPr>
          <w:b/>
          <w:i/>
          <w:highlight w:val="yellow"/>
        </w:rPr>
      </w:pPr>
    </w:p>
    <w:p w:rsidR="00A778C4" w:rsidRPr="00286C0E" w:rsidRDefault="00A778C4" w:rsidP="00D335FF">
      <w:pPr>
        <w:rPr>
          <w:b/>
          <w:i/>
          <w:highlight w:val="yellow"/>
        </w:rPr>
      </w:pPr>
    </w:p>
    <w:p w:rsidR="004A3EC7" w:rsidRPr="00286C0E" w:rsidRDefault="004A3EC7" w:rsidP="00763941">
      <w:pPr>
        <w:rPr>
          <w:b/>
          <w:sz w:val="28"/>
          <w:szCs w:val="28"/>
          <w:highlight w:val="yellow"/>
          <w:u w:val="single"/>
        </w:rPr>
      </w:pPr>
    </w:p>
    <w:p w:rsidR="00763941" w:rsidRPr="00A778C4" w:rsidRDefault="00763941" w:rsidP="00763941">
      <w:pPr>
        <w:rPr>
          <w:b/>
          <w:sz w:val="28"/>
          <w:szCs w:val="28"/>
          <w:u w:val="single"/>
        </w:rPr>
      </w:pPr>
      <w:r w:rsidRPr="00A778C4">
        <w:rPr>
          <w:b/>
          <w:sz w:val="28"/>
          <w:szCs w:val="28"/>
          <w:u w:val="single"/>
        </w:rPr>
        <w:t>Other Notes</w:t>
      </w:r>
    </w:p>
    <w:p w:rsidR="00763941" w:rsidRPr="00286C0E" w:rsidRDefault="00763941" w:rsidP="00763941">
      <w:pPr>
        <w:rPr>
          <w:b/>
          <w:highlight w:val="yellow"/>
        </w:rPr>
      </w:pPr>
    </w:p>
    <w:p w:rsidR="00D921CA" w:rsidRPr="00286C0E" w:rsidRDefault="00D921CA" w:rsidP="00763941">
      <w:pPr>
        <w:rPr>
          <w:b/>
          <w:highlight w:val="yellow"/>
        </w:rPr>
      </w:pPr>
    </w:p>
    <w:p w:rsidR="00C2376C" w:rsidRPr="001962F4" w:rsidRDefault="00C2376C" w:rsidP="00BD07E4">
      <w:pPr>
        <w:numPr>
          <w:ilvl w:val="0"/>
          <w:numId w:val="21"/>
        </w:numPr>
        <w:spacing w:after="240"/>
        <w:jc w:val="both"/>
        <w:rPr>
          <w:b/>
        </w:rPr>
      </w:pPr>
      <w:r w:rsidRPr="001962F4">
        <w:rPr>
          <w:b/>
        </w:rPr>
        <w:t>Related parties</w:t>
      </w:r>
    </w:p>
    <w:p w:rsidR="006771A9" w:rsidRPr="006771A9" w:rsidRDefault="006771A9" w:rsidP="006771A9">
      <w:pPr>
        <w:spacing w:after="240"/>
        <w:ind w:left="357"/>
        <w:jc w:val="both"/>
      </w:pPr>
      <w:r w:rsidRPr="006771A9">
        <w:rPr>
          <w:color w:val="000000"/>
        </w:rPr>
        <w:t xml:space="preserve">In accordance with International Accounting Standard (IAS) 24 </w:t>
      </w:r>
      <w:r w:rsidRPr="006771A9">
        <w:rPr>
          <w:i/>
          <w:iCs/>
          <w:color w:val="000000"/>
        </w:rPr>
        <w:t>Related Party Disclosures</w:t>
      </w:r>
      <w:r w:rsidRPr="006771A9">
        <w:t>, our financial statements must draw attention to the possibility that our financial position may have been affected by related parties and by financial transactions with them.</w:t>
      </w:r>
    </w:p>
    <w:p w:rsidR="006771A9" w:rsidRPr="006771A9" w:rsidRDefault="006771A9" w:rsidP="006771A9">
      <w:pPr>
        <w:ind w:left="357"/>
        <w:jc w:val="both"/>
      </w:pPr>
      <w:r w:rsidRPr="006771A9">
        <w:t xml:space="preserve">Having identified all organisations with which councillors and members of the Council's senior management team (or a member of their family) have a significant control an examination has been conducted into any transactions that have occurred between them and Lancashire </w:t>
      </w:r>
      <w:r w:rsidR="001F1A1A">
        <w:t>County Council</w:t>
      </w:r>
      <w:r w:rsidRPr="006771A9">
        <w:t>.</w:t>
      </w:r>
    </w:p>
    <w:p w:rsidR="006771A9" w:rsidRPr="006771A9" w:rsidRDefault="006771A9" w:rsidP="006771A9">
      <w:pPr>
        <w:ind w:left="357"/>
        <w:jc w:val="both"/>
      </w:pPr>
    </w:p>
    <w:p w:rsidR="006771A9" w:rsidRDefault="006771A9" w:rsidP="006771A9">
      <w:pPr>
        <w:ind w:left="357"/>
        <w:jc w:val="both"/>
      </w:pPr>
      <w:r w:rsidRPr="006771A9">
        <w:t xml:space="preserve">The conclusion of the examination is that none of the transactions can be classed as significant to Lancashire </w:t>
      </w:r>
      <w:r w:rsidR="001F1A1A">
        <w:t>County Council</w:t>
      </w:r>
      <w:r w:rsidRPr="006771A9">
        <w:t>.</w:t>
      </w:r>
    </w:p>
    <w:p w:rsidR="006771A9" w:rsidRDefault="006771A9" w:rsidP="006771A9">
      <w:pPr>
        <w:ind w:left="357"/>
        <w:jc w:val="both"/>
      </w:pPr>
    </w:p>
    <w:p w:rsidR="00311AA7" w:rsidRPr="00764C64" w:rsidRDefault="00311AA7" w:rsidP="00311AA7">
      <w:pPr>
        <w:spacing w:after="240"/>
        <w:ind w:left="357"/>
        <w:jc w:val="both"/>
        <w:rPr>
          <w:b/>
        </w:rPr>
      </w:pPr>
      <w:r w:rsidRPr="00764C64">
        <w:rPr>
          <w:b/>
        </w:rPr>
        <w:t>The government</w:t>
      </w:r>
    </w:p>
    <w:p w:rsidR="00311AA7" w:rsidRPr="00764C64" w:rsidRDefault="00311AA7" w:rsidP="00311AA7">
      <w:pPr>
        <w:spacing w:after="240"/>
        <w:ind w:left="357"/>
        <w:jc w:val="both"/>
      </w:pPr>
      <w:r w:rsidRPr="00764C64">
        <w:t xml:space="preserve">Central government controls our general activities. It is responsible for providing the legal framework we operate in. </w:t>
      </w:r>
    </w:p>
    <w:p w:rsidR="00311AA7" w:rsidRPr="00764C64" w:rsidRDefault="00311AA7" w:rsidP="00311AA7">
      <w:pPr>
        <w:spacing w:after="240"/>
        <w:ind w:left="357"/>
        <w:jc w:val="both"/>
      </w:pPr>
      <w:r w:rsidRPr="00764C64">
        <w:t xml:space="preserve">It provides </w:t>
      </w:r>
      <w:r w:rsidR="00786D40">
        <w:t>a significant proportion</w:t>
      </w:r>
      <w:r w:rsidRPr="00764C64">
        <w:t xml:space="preserve"> of our funding through grants and sets out the terms for our major dealings with other organisations (for example, Council Tax precepts on district councils). Grants from the government are included in our accounts and in the notes to this statement of accounts.</w:t>
      </w:r>
    </w:p>
    <w:p w:rsidR="00311AA7" w:rsidRPr="00764C64" w:rsidRDefault="001F1A1A" w:rsidP="00311AA7">
      <w:pPr>
        <w:ind w:left="357"/>
        <w:jc w:val="both"/>
        <w:rPr>
          <w:b/>
        </w:rPr>
      </w:pPr>
      <w:r>
        <w:rPr>
          <w:b/>
        </w:rPr>
        <w:t>County Council</w:t>
      </w:r>
      <w:r w:rsidR="00311AA7" w:rsidRPr="00E209F9">
        <w:rPr>
          <w:b/>
        </w:rPr>
        <w:t xml:space="preserve">lors </w:t>
      </w:r>
    </w:p>
    <w:p w:rsidR="00311AA7" w:rsidRDefault="001F1A1A" w:rsidP="00311AA7">
      <w:pPr>
        <w:ind w:left="357"/>
        <w:jc w:val="both"/>
      </w:pPr>
      <w:r>
        <w:t>County Council</w:t>
      </w:r>
      <w:r w:rsidR="00311AA7">
        <w:t xml:space="preserve">lors have direct control over our financial and operating policies. Under section 81 the Local Government act 2000, their outside interests are recorded in a formal register, The Register of Interest, which is available for inspection at the office of the Chief Executive, County Hall, Preston. The details of how to view the register can also be found on the council's website at: </w:t>
      </w:r>
    </w:p>
    <w:p w:rsidR="00311AA7" w:rsidRDefault="00F1142D" w:rsidP="00311AA7">
      <w:pPr>
        <w:ind w:left="357"/>
        <w:jc w:val="both"/>
        <w:rPr>
          <w:u w:val="single"/>
        </w:rPr>
      </w:pPr>
      <w:hyperlink r:id="rId21" w:history="1">
        <w:r w:rsidR="00311AA7" w:rsidRPr="00125ADA">
          <w:rPr>
            <w:rStyle w:val="Hyperlink"/>
          </w:rPr>
          <w:t>http://www3.lancashire.gov.uk/corporate/atoz/a_to_z/service.asp?u_id=969&amp;tab=1</w:t>
        </w:r>
      </w:hyperlink>
    </w:p>
    <w:p w:rsidR="00311AA7" w:rsidRDefault="00311AA7" w:rsidP="00311AA7">
      <w:pPr>
        <w:ind w:left="357"/>
        <w:jc w:val="both"/>
      </w:pPr>
    </w:p>
    <w:p w:rsidR="00311AA7" w:rsidRDefault="00311AA7" w:rsidP="00311AA7">
      <w:pPr>
        <w:ind w:left="357"/>
        <w:jc w:val="both"/>
      </w:pPr>
      <w:r>
        <w:t xml:space="preserve">Our code of conduct requires </w:t>
      </w:r>
      <w:r w:rsidR="001F1A1A">
        <w:t>County Council</w:t>
      </w:r>
      <w:r>
        <w:t xml:space="preserve">lors to declare any related interests they have and to take no part in meetings or decisions on issues involving those interests. </w:t>
      </w:r>
    </w:p>
    <w:p w:rsidR="00311AA7" w:rsidRDefault="00311AA7" w:rsidP="00311AA7">
      <w:pPr>
        <w:ind w:left="357"/>
        <w:jc w:val="both"/>
      </w:pPr>
    </w:p>
    <w:p w:rsidR="00311AA7" w:rsidRDefault="00311AA7" w:rsidP="00311AA7">
      <w:pPr>
        <w:ind w:left="357"/>
        <w:jc w:val="both"/>
      </w:pPr>
      <w:r>
        <w:t xml:space="preserve">In preparing this statement of accounts we have asked all councillors to fill in a declaration about any interests which they or their family may have in organisations that we deal with. These interests include: </w:t>
      </w:r>
    </w:p>
    <w:p w:rsidR="00311AA7" w:rsidRDefault="00311AA7" w:rsidP="00311AA7">
      <w:pPr>
        <w:ind w:left="357"/>
        <w:jc w:val="both"/>
      </w:pPr>
    </w:p>
    <w:p w:rsidR="00311AA7" w:rsidRDefault="00311AA7" w:rsidP="00BD07E4">
      <w:pPr>
        <w:pStyle w:val="ListParagraph"/>
        <w:numPr>
          <w:ilvl w:val="0"/>
          <w:numId w:val="55"/>
        </w:numPr>
        <w:ind w:left="357"/>
        <w:contextualSpacing/>
        <w:jc w:val="both"/>
      </w:pPr>
      <w:r>
        <w:t xml:space="preserve">Roles with voluntary organisation and charities which may receive grants from the council. </w:t>
      </w:r>
    </w:p>
    <w:p w:rsidR="00311AA7" w:rsidRDefault="00311AA7" w:rsidP="00311AA7">
      <w:pPr>
        <w:ind w:left="357"/>
        <w:jc w:val="both"/>
      </w:pPr>
    </w:p>
    <w:p w:rsidR="00311AA7" w:rsidRDefault="00311AA7" w:rsidP="00BD07E4">
      <w:pPr>
        <w:pStyle w:val="ListParagraph"/>
        <w:numPr>
          <w:ilvl w:val="0"/>
          <w:numId w:val="55"/>
        </w:numPr>
        <w:ind w:left="357"/>
        <w:contextualSpacing/>
        <w:jc w:val="both"/>
      </w:pPr>
      <w:r>
        <w:t xml:space="preserve">Roles where they have significant influence/control within Limited Companies that has a contract with the Council. </w:t>
      </w:r>
    </w:p>
    <w:p w:rsidR="00311AA7" w:rsidRDefault="00311AA7" w:rsidP="00311AA7">
      <w:pPr>
        <w:ind w:left="357"/>
        <w:jc w:val="both"/>
      </w:pPr>
    </w:p>
    <w:p w:rsidR="00311AA7" w:rsidRDefault="00311AA7" w:rsidP="00BD07E4">
      <w:pPr>
        <w:pStyle w:val="ListParagraph"/>
        <w:numPr>
          <w:ilvl w:val="0"/>
          <w:numId w:val="55"/>
        </w:numPr>
        <w:ind w:left="357"/>
        <w:contextualSpacing/>
        <w:jc w:val="both"/>
      </w:pPr>
      <w:r>
        <w:t xml:space="preserve">Family members that have significant influence/control within any organisation that has dealings with the Council. </w:t>
      </w:r>
    </w:p>
    <w:p w:rsidR="00311AA7" w:rsidRDefault="00311AA7" w:rsidP="00311AA7">
      <w:pPr>
        <w:ind w:left="357"/>
        <w:jc w:val="both"/>
      </w:pPr>
    </w:p>
    <w:p w:rsidR="006771A9" w:rsidRDefault="006771A9" w:rsidP="006771A9">
      <w:pPr>
        <w:ind w:left="357"/>
        <w:jc w:val="both"/>
      </w:pPr>
      <w:r w:rsidRPr="006771A9">
        <w:t>Having identified any organisations with which councillors (or a member of their family) have a significant control any transactions with the organisations have been identified and are declared below.</w:t>
      </w:r>
    </w:p>
    <w:p w:rsidR="006771A9" w:rsidRPr="006771A9" w:rsidRDefault="006771A9" w:rsidP="006771A9">
      <w:pPr>
        <w:ind w:left="357"/>
        <w:jc w:val="both"/>
      </w:pPr>
    </w:p>
    <w:p w:rsidR="006771A9" w:rsidRPr="006771A9" w:rsidRDefault="006771A9" w:rsidP="006771A9">
      <w:pPr>
        <w:ind w:left="357"/>
        <w:jc w:val="both"/>
      </w:pPr>
      <w:r w:rsidRPr="006771A9">
        <w:rPr>
          <w:u w:val="single"/>
        </w:rPr>
        <w:t>None</w:t>
      </w:r>
      <w:r w:rsidRPr="006771A9">
        <w:t xml:space="preserve"> of the transactions can be classed as significant to Lancashire </w:t>
      </w:r>
      <w:r w:rsidR="001F1A1A">
        <w:t>County Council</w:t>
      </w:r>
      <w:r w:rsidRPr="006771A9">
        <w:t>.</w:t>
      </w:r>
    </w:p>
    <w:p w:rsidR="00311AA7" w:rsidRDefault="00311AA7" w:rsidP="006771A9">
      <w:pPr>
        <w:jc w:val="both"/>
      </w:pPr>
    </w:p>
    <w:p w:rsidR="00311AA7" w:rsidRDefault="00311AA7" w:rsidP="00311AA7">
      <w:pPr>
        <w:ind w:left="357"/>
        <w:jc w:val="both"/>
      </w:pPr>
      <w:r>
        <w:t xml:space="preserve">CC Mike France Managing Director of AMJ Ltd, the company received £280 from the supply of stationery and promotional goods. </w:t>
      </w:r>
    </w:p>
    <w:p w:rsidR="00311AA7" w:rsidRDefault="00311AA7" w:rsidP="00311AA7">
      <w:pPr>
        <w:ind w:left="357"/>
        <w:jc w:val="both"/>
      </w:pPr>
    </w:p>
    <w:p w:rsidR="00311AA7" w:rsidRDefault="00311AA7" w:rsidP="00311AA7">
      <w:pPr>
        <w:ind w:left="357"/>
        <w:jc w:val="both"/>
      </w:pPr>
      <w:r>
        <w:t xml:space="preserve">CC Paul Hayhurst, chairman of Elswick Parish Council, the parish received a one off grant of £15,000. </w:t>
      </w:r>
    </w:p>
    <w:p w:rsidR="00311AA7" w:rsidRDefault="00311AA7" w:rsidP="00311AA7">
      <w:pPr>
        <w:ind w:left="357"/>
        <w:jc w:val="both"/>
      </w:pPr>
    </w:p>
    <w:p w:rsidR="00311AA7" w:rsidRDefault="00311AA7" w:rsidP="00311AA7">
      <w:pPr>
        <w:ind w:left="357"/>
        <w:jc w:val="both"/>
      </w:pPr>
      <w:r>
        <w:t xml:space="preserve">CC Andrea Kay, the Chair of Wyre Skate Night, the youth division received a 2 year funding grant, £3,050 pa. </w:t>
      </w:r>
    </w:p>
    <w:p w:rsidR="00311AA7" w:rsidRDefault="00311AA7" w:rsidP="00311AA7">
      <w:pPr>
        <w:ind w:left="357"/>
        <w:jc w:val="both"/>
      </w:pPr>
    </w:p>
    <w:p w:rsidR="00311AA7" w:rsidRPr="0082032F" w:rsidRDefault="00311AA7" w:rsidP="00311AA7">
      <w:pPr>
        <w:ind w:left="357"/>
        <w:jc w:val="both"/>
      </w:pPr>
      <w:r>
        <w:t>CC Mark Perks, has declared the following: a c</w:t>
      </w:r>
      <w:r w:rsidRPr="0082032F">
        <w:t>hild Welfare Officer for Astley and Buckshaw Juniors FC</w:t>
      </w:r>
      <w:r>
        <w:t>, the club</w:t>
      </w:r>
      <w:r w:rsidRPr="0082032F">
        <w:t xml:space="preserve"> received 2 grants of totalling £4,000</w:t>
      </w:r>
      <w:r>
        <w:t>;  t</w:t>
      </w:r>
      <w:r w:rsidRPr="0082032F">
        <w:t xml:space="preserve">rustee and </w:t>
      </w:r>
      <w:r>
        <w:t>c</w:t>
      </w:r>
      <w:r w:rsidRPr="0082032F">
        <w:t>hairman for Buckshaw Youth Association</w:t>
      </w:r>
      <w:r>
        <w:t>, the association</w:t>
      </w:r>
      <w:r w:rsidRPr="0082032F">
        <w:t xml:space="preserve"> rece</w:t>
      </w:r>
      <w:r>
        <w:t>ived 3 grants totalling £1,700; c</w:t>
      </w:r>
      <w:r w:rsidRPr="0082032F">
        <w:t>hairman of New Era Trust</w:t>
      </w:r>
      <w:r>
        <w:t>, the trust</w:t>
      </w:r>
      <w:r w:rsidRPr="0082032F">
        <w:t xml:space="preserve"> received a one off grant for £15,000</w:t>
      </w:r>
    </w:p>
    <w:p w:rsidR="00311AA7" w:rsidRDefault="00311AA7" w:rsidP="00311AA7">
      <w:pPr>
        <w:ind w:left="357"/>
        <w:jc w:val="both"/>
      </w:pPr>
    </w:p>
    <w:p w:rsidR="00311AA7" w:rsidRDefault="00786D40" w:rsidP="00311AA7">
      <w:pPr>
        <w:ind w:left="357"/>
        <w:jc w:val="both"/>
      </w:pPr>
      <w:r>
        <w:t xml:space="preserve">CC Niki Penney, is a </w:t>
      </w:r>
      <w:r w:rsidR="001F1A1A">
        <w:t>County Council</w:t>
      </w:r>
      <w:r w:rsidR="00311AA7">
        <w:t xml:space="preserve"> representative at Dukes Playhouse, Dukes Playhouse did receive a grant. </w:t>
      </w:r>
    </w:p>
    <w:p w:rsidR="00311AA7" w:rsidRDefault="00311AA7" w:rsidP="00311AA7">
      <w:pPr>
        <w:ind w:left="357"/>
        <w:jc w:val="both"/>
      </w:pPr>
    </w:p>
    <w:p w:rsidR="00311AA7" w:rsidRDefault="00311AA7" w:rsidP="00311AA7">
      <w:pPr>
        <w:ind w:left="357"/>
        <w:jc w:val="both"/>
      </w:pPr>
      <w:r>
        <w:t>CC John Shedwick, an honorary member of Thornton Cleveleys operati</w:t>
      </w:r>
      <w:r w:rsidR="00786D40">
        <w:t>c</w:t>
      </w:r>
      <w:r>
        <w:t xml:space="preserve"> society, the society received a grant for £300. </w:t>
      </w:r>
    </w:p>
    <w:p w:rsidR="00311AA7" w:rsidRDefault="00311AA7" w:rsidP="00311AA7">
      <w:pPr>
        <w:ind w:left="357"/>
        <w:jc w:val="both"/>
      </w:pPr>
    </w:p>
    <w:p w:rsidR="00311AA7" w:rsidRDefault="00311AA7" w:rsidP="00311AA7">
      <w:pPr>
        <w:ind w:left="357"/>
        <w:jc w:val="both"/>
      </w:pPr>
      <w:r>
        <w:t>CC Sam Riches, acting Co-chairperson for Lancaster and District Women's aid (LDWA) up to the end March 2012 and the organisation received a total of £92,156 during the year.</w:t>
      </w:r>
    </w:p>
    <w:p w:rsidR="00311AA7" w:rsidRDefault="00311AA7" w:rsidP="00311AA7">
      <w:pPr>
        <w:ind w:left="357"/>
        <w:jc w:val="both"/>
      </w:pPr>
    </w:p>
    <w:p w:rsidR="00311AA7" w:rsidRDefault="00311AA7" w:rsidP="00311AA7">
      <w:pPr>
        <w:ind w:left="357"/>
        <w:jc w:val="both"/>
      </w:pPr>
      <w:r>
        <w:t>CC Michael Green,</w:t>
      </w:r>
      <w:r w:rsidR="00EA3A60">
        <w:t xml:space="preserve"> is the Vice chairman for Moss Side C</w:t>
      </w:r>
      <w:r>
        <w:t xml:space="preserve">ommunity Forum and his mother is a member of the executive. The organisation received 2 grants, £1,400 from Lancashire </w:t>
      </w:r>
      <w:r w:rsidR="001F1A1A">
        <w:t>County Council</w:t>
      </w:r>
      <w:r>
        <w:t xml:space="preserve"> and £3,900 from Strategic Partnership for South Ribble. </w:t>
      </w:r>
    </w:p>
    <w:p w:rsidR="00311AA7" w:rsidRDefault="00311AA7" w:rsidP="00EA3A60">
      <w:pPr>
        <w:jc w:val="both"/>
      </w:pPr>
    </w:p>
    <w:p w:rsidR="006771A9" w:rsidRPr="006771A9" w:rsidRDefault="006771A9" w:rsidP="006771A9">
      <w:pPr>
        <w:ind w:left="357"/>
        <w:jc w:val="both"/>
      </w:pPr>
      <w:r w:rsidRPr="006771A9">
        <w:t xml:space="preserve">CC David Westley, is also a councillor and cabinet member at West Lancashire Borough Council and that council has entered into a contract with Lancashire </w:t>
      </w:r>
      <w:r w:rsidR="001F1A1A">
        <w:t>County Council</w:t>
      </w:r>
      <w:r w:rsidRPr="006771A9">
        <w:t xml:space="preserve"> to provide services with the contract amount being £90,000. OneConnect Ltd is also providing services as part of a 10 year agreement to West Lancashire Borough Council with an approximate cost of </w:t>
      </w:r>
      <w:r w:rsidRPr="006771A9">
        <w:lastRenderedPageBreak/>
        <w:t>£1.1 million. The councillor is also a member of Halsall Parish Council and the parish did receive a grant during the year amounting to £6,000.</w:t>
      </w:r>
    </w:p>
    <w:p w:rsidR="00311AA7" w:rsidRDefault="00311AA7" w:rsidP="00311AA7">
      <w:pPr>
        <w:ind w:left="357"/>
        <w:jc w:val="both"/>
      </w:pPr>
    </w:p>
    <w:p w:rsidR="00311AA7" w:rsidRDefault="00311AA7" w:rsidP="00311AA7">
      <w:pPr>
        <w:ind w:left="357"/>
        <w:jc w:val="both"/>
      </w:pPr>
    </w:p>
    <w:p w:rsidR="00311AA7" w:rsidRDefault="00311AA7" w:rsidP="00311AA7">
      <w:pPr>
        <w:ind w:left="357"/>
        <w:jc w:val="both"/>
        <w:rPr>
          <w:b/>
        </w:rPr>
      </w:pPr>
      <w:r w:rsidRPr="00C8230E">
        <w:rPr>
          <w:b/>
        </w:rPr>
        <w:t xml:space="preserve">OneConnect Ltd </w:t>
      </w:r>
    </w:p>
    <w:p w:rsidR="00311AA7" w:rsidRPr="00C8230E" w:rsidRDefault="00311AA7" w:rsidP="00311AA7">
      <w:pPr>
        <w:ind w:left="357"/>
        <w:jc w:val="both"/>
        <w:rPr>
          <w:b/>
        </w:rPr>
      </w:pPr>
    </w:p>
    <w:p w:rsidR="00311AA7" w:rsidRDefault="00311AA7" w:rsidP="00311AA7">
      <w:pPr>
        <w:ind w:left="357"/>
        <w:jc w:val="both"/>
      </w:pPr>
      <w:r>
        <w:t xml:space="preserve">There are 2 councillors who are on the board </w:t>
      </w:r>
      <w:r w:rsidR="00EA3A60">
        <w:t xml:space="preserve">of directors of OneConnect Ltd, a joint venture between Lancashire </w:t>
      </w:r>
      <w:r w:rsidR="001F1A1A">
        <w:t>County Council</w:t>
      </w:r>
      <w:r w:rsidR="00EA3A60">
        <w:t xml:space="preserve"> and </w:t>
      </w:r>
      <w:r w:rsidR="00C9445F">
        <w:t xml:space="preserve">BT </w:t>
      </w:r>
      <w:r w:rsidR="00EA3A60">
        <w:t xml:space="preserve">that has a contractual relationship with the </w:t>
      </w:r>
      <w:r w:rsidR="001F1A1A">
        <w:t>County Council</w:t>
      </w:r>
      <w:r w:rsidR="00EA3A60">
        <w:t>.</w:t>
      </w:r>
    </w:p>
    <w:p w:rsidR="00311AA7" w:rsidRDefault="00311AA7" w:rsidP="00311AA7">
      <w:pPr>
        <w:ind w:left="357"/>
        <w:jc w:val="both"/>
      </w:pPr>
    </w:p>
    <w:p w:rsidR="00311AA7" w:rsidRDefault="001F1A1A" w:rsidP="00311AA7">
      <w:pPr>
        <w:ind w:left="357"/>
        <w:jc w:val="both"/>
      </w:pPr>
      <w:r>
        <w:t>County Council</w:t>
      </w:r>
      <w:r w:rsidR="00311AA7">
        <w:t>lor Geoff  Driver</w:t>
      </w:r>
    </w:p>
    <w:p w:rsidR="00311AA7" w:rsidRDefault="001F1A1A" w:rsidP="00311AA7">
      <w:pPr>
        <w:ind w:left="357"/>
        <w:jc w:val="both"/>
      </w:pPr>
      <w:r>
        <w:t>County Council</w:t>
      </w:r>
      <w:r w:rsidR="00311AA7">
        <w:t>lor Albert Atkinson</w:t>
      </w:r>
    </w:p>
    <w:p w:rsidR="00311AA7" w:rsidRDefault="00311AA7" w:rsidP="00311AA7">
      <w:pPr>
        <w:ind w:left="357"/>
        <w:jc w:val="both"/>
      </w:pPr>
    </w:p>
    <w:p w:rsidR="00311AA7" w:rsidRDefault="00311AA7" w:rsidP="00311AA7">
      <w:pPr>
        <w:ind w:left="357"/>
        <w:jc w:val="both"/>
        <w:rPr>
          <w:b/>
        </w:rPr>
      </w:pPr>
      <w:r w:rsidRPr="00E209F9">
        <w:rPr>
          <w:b/>
        </w:rPr>
        <w:t xml:space="preserve">Officers </w:t>
      </w:r>
    </w:p>
    <w:p w:rsidR="0003543C" w:rsidRPr="00764C64" w:rsidRDefault="0003543C" w:rsidP="00311AA7">
      <w:pPr>
        <w:ind w:left="357"/>
        <w:jc w:val="both"/>
        <w:rPr>
          <w:b/>
        </w:rPr>
      </w:pPr>
    </w:p>
    <w:p w:rsidR="00311AA7" w:rsidRDefault="00311AA7" w:rsidP="00311AA7">
      <w:pPr>
        <w:ind w:left="357"/>
        <w:jc w:val="both"/>
      </w:pPr>
      <w:r>
        <w:t xml:space="preserve">Our senior officers may influence our financial and </w:t>
      </w:r>
      <w:r w:rsidR="00EA3A60">
        <w:t>operating policies. The members</w:t>
      </w:r>
      <w:r>
        <w:t xml:space="preserve"> of the Management Team have filled in a declaration about their related interest and those of their family. Management Team officers had roles in the following organisations during 2011/12. </w:t>
      </w:r>
    </w:p>
    <w:p w:rsidR="0003543C" w:rsidRDefault="0003543C" w:rsidP="00311AA7">
      <w:pPr>
        <w:ind w:left="357"/>
        <w:jc w:val="both"/>
      </w:pPr>
    </w:p>
    <w:p w:rsidR="00311AA7" w:rsidRDefault="00311AA7" w:rsidP="00311AA7">
      <w:pPr>
        <w:ind w:left="357"/>
        <w:jc w:val="both"/>
        <w:rPr>
          <w:rFonts w:eastAsia="Calibri" w:cs="Times New Roman"/>
        </w:rPr>
      </w:pPr>
      <w:r w:rsidRPr="00991EAC">
        <w:rPr>
          <w:rFonts w:eastAsia="Calibri" w:cs="Times New Roman"/>
        </w:rPr>
        <w:t xml:space="preserve">Phil Halsall, </w:t>
      </w:r>
      <w:r>
        <w:rPr>
          <w:rFonts w:eastAsia="Calibri" w:cs="Times New Roman"/>
        </w:rPr>
        <w:t>C</w:t>
      </w:r>
      <w:r w:rsidRPr="00991EAC">
        <w:rPr>
          <w:rFonts w:eastAsia="Calibri" w:cs="Times New Roman"/>
        </w:rPr>
        <w:t xml:space="preserve">hief </w:t>
      </w:r>
      <w:r>
        <w:rPr>
          <w:rFonts w:eastAsia="Calibri" w:cs="Times New Roman"/>
        </w:rPr>
        <w:t>E</w:t>
      </w:r>
      <w:r w:rsidRPr="00991EAC">
        <w:rPr>
          <w:rFonts w:eastAsia="Calibri" w:cs="Times New Roman"/>
        </w:rPr>
        <w:t xml:space="preserve">xecutive of Lancashire </w:t>
      </w:r>
      <w:r w:rsidR="001F1A1A">
        <w:rPr>
          <w:rFonts w:eastAsia="Calibri" w:cs="Times New Roman"/>
        </w:rPr>
        <w:t>County Council</w:t>
      </w:r>
      <w:r w:rsidRPr="00991EAC">
        <w:rPr>
          <w:rFonts w:eastAsia="Calibri" w:cs="Times New Roman"/>
        </w:rPr>
        <w:t xml:space="preserve">, </w:t>
      </w:r>
      <w:r w:rsidRPr="00991EAC">
        <w:rPr>
          <w:rFonts w:eastAsia="Calibri" w:cs="SUDADR+Helvetica-Light"/>
        </w:rPr>
        <w:t>Lancashire County Developments (Investments) Ltd, Lancashire County Developments (Property) Ltd, Lancashire County Enterprises (Leasing) Ltd,</w:t>
      </w:r>
      <w:r w:rsidRPr="00991EAC">
        <w:rPr>
          <w:rFonts w:eastAsia="Calibri" w:cs="Times New Roman"/>
        </w:rPr>
        <w:t xml:space="preserve"> Lancashire Enterprises (Investments) Ltd, Lancashire Business and Innovation Centre Ltd, The Lancashire Rosebud (Small Firms) Fund Company Ltd,</w:t>
      </w:r>
      <w:r w:rsidRPr="00991EAC">
        <w:rPr>
          <w:rFonts w:eastAsia="Calibri" w:cs="SUDADR+Helvetica-Light"/>
        </w:rPr>
        <w:t xml:space="preserve"> Preston Technology Management Centre Ltd, </w:t>
      </w:r>
      <w:r w:rsidRPr="00991EAC">
        <w:rPr>
          <w:rFonts w:eastAsia="Calibri" w:cs="Times New Roman"/>
        </w:rPr>
        <w:t>Preston Vision Ltd, Regenerate Pennine Lancashire Ltd, Blackpool Fylde and Wyre Economic Partnership Limited.</w:t>
      </w:r>
      <w:r>
        <w:rPr>
          <w:rFonts w:eastAsia="Calibri" w:cs="Times New Roman"/>
        </w:rPr>
        <w:t xml:space="preserve"> </w:t>
      </w:r>
    </w:p>
    <w:p w:rsidR="0003543C" w:rsidRDefault="0003543C" w:rsidP="00311AA7">
      <w:pPr>
        <w:ind w:left="357"/>
        <w:jc w:val="both"/>
      </w:pPr>
    </w:p>
    <w:p w:rsidR="00311AA7" w:rsidRDefault="00311AA7" w:rsidP="00311AA7">
      <w:pPr>
        <w:ind w:left="357"/>
        <w:jc w:val="both"/>
      </w:pPr>
      <w:r>
        <w:t xml:space="preserve">Ian Fisher BA (Hons), the county secretary and solicitor is also secretary to: </w:t>
      </w:r>
    </w:p>
    <w:p w:rsidR="00311AA7" w:rsidRDefault="00311AA7" w:rsidP="00311AA7">
      <w:pPr>
        <w:ind w:left="357"/>
        <w:jc w:val="both"/>
      </w:pPr>
      <w:r>
        <w:t>Blackpool Bay Area Company Ltd, CX Limited, Blackpool Fylde and Wyre Economic Development Company Limited, LANPAC Limited, LCC Building Schools for the Future Limited, LWS Lancashire Environmental Fund Limited, Lancashire Business and Innovation Centre Limited, Lancashire County Developments (Investments) Limited, Lancashire County Developments (Property) Limited, Lancashire County Developments Limited, Lancashire County Enterprises (Leasing) Limited, Lancashire Education Business Partnership Limited, Lancashire Enterprise Partnership Limited, Lancashire Enterprises (Investments) Limited, Lancashire Sport Partnership Limited, Lancashire Technology Centre Limited, Lancashire Workforce Development Partnership Limited, Lancashire and Blackpool Tourist Board Limited, Marketing Lancashire Limited, Motor Industry Local Authority Network, New Era Trust, Palatine Developments Limited, Pennine Lancashire Enterprise Partnership Limited, Pennine Lancashire Enterprise Partnership Limited, Preston Technology Management Centre Limited, Preston Vision Limited, Public Transport Information Limited, Regenerate Pennine Lancashire Limited, The Clayton Park Conference Centre Limited, The Lancashire Partnership Against Crime Limited, The Lancashire Rosebud (Small Firms) Fund Company Limited and  The Via Partnership Limited,</w:t>
      </w:r>
    </w:p>
    <w:p w:rsidR="0003543C" w:rsidRDefault="0003543C" w:rsidP="00311AA7">
      <w:pPr>
        <w:ind w:left="357"/>
        <w:jc w:val="both"/>
      </w:pPr>
    </w:p>
    <w:p w:rsidR="00311AA7" w:rsidRDefault="00311AA7" w:rsidP="00311AA7">
      <w:pPr>
        <w:ind w:left="357"/>
        <w:jc w:val="both"/>
      </w:pPr>
      <w:r>
        <w:t>Gill Kilpatrick, the County Treasurer is treasurer to</w:t>
      </w:r>
      <w:r w:rsidR="00EA3A60">
        <w:t xml:space="preserve"> the Lancashire County Pension F</w:t>
      </w:r>
      <w:r>
        <w:t xml:space="preserve">und. </w:t>
      </w:r>
    </w:p>
    <w:p w:rsidR="00EA3A60" w:rsidRDefault="00EA3A60" w:rsidP="00311AA7">
      <w:pPr>
        <w:ind w:left="357"/>
        <w:jc w:val="both"/>
      </w:pPr>
    </w:p>
    <w:p w:rsidR="00311AA7" w:rsidRDefault="00311AA7" w:rsidP="00311AA7">
      <w:pPr>
        <w:ind w:left="357"/>
        <w:jc w:val="both"/>
      </w:pPr>
      <w:r w:rsidRPr="00584CEF">
        <w:t>Helen Denton, Executive Director for</w:t>
      </w:r>
      <w:r>
        <w:t xml:space="preserve"> Children and Young People</w:t>
      </w:r>
      <w:r w:rsidR="00EA3A60">
        <w:t>,</w:t>
      </w:r>
      <w:r>
        <w:t xml:space="preserve"> also</w:t>
      </w:r>
      <w:r w:rsidR="00EA3A60">
        <w:t xml:space="preserve"> chairs the National School of S</w:t>
      </w:r>
      <w:r>
        <w:t xml:space="preserve">ailing. </w:t>
      </w:r>
    </w:p>
    <w:p w:rsidR="00311AA7" w:rsidRDefault="00311AA7" w:rsidP="00311AA7">
      <w:pPr>
        <w:ind w:left="357"/>
        <w:jc w:val="both"/>
      </w:pPr>
    </w:p>
    <w:p w:rsidR="00311AA7" w:rsidRDefault="00311AA7" w:rsidP="00311AA7">
      <w:pPr>
        <w:spacing w:after="240"/>
        <w:ind w:left="357"/>
        <w:jc w:val="both"/>
      </w:pPr>
      <w:r>
        <w:rPr>
          <w:rFonts w:eastAsia="Calibri" w:cs="Times New Roman"/>
        </w:rPr>
        <w:t xml:space="preserve">Richard Jones, Executive Director for Adult and Community Services is the chairman for </w:t>
      </w:r>
      <w:r w:rsidRPr="0034532A">
        <w:rPr>
          <w:rFonts w:eastAsia="Calibri" w:cs="Times New Roman"/>
        </w:rPr>
        <w:t>Lanc</w:t>
      </w:r>
      <w:r>
        <w:rPr>
          <w:rFonts w:eastAsia="Calibri" w:cs="Times New Roman"/>
        </w:rPr>
        <w:t>a</w:t>
      </w:r>
      <w:r w:rsidRPr="0034532A">
        <w:rPr>
          <w:rFonts w:eastAsia="Calibri" w:cs="Times New Roman"/>
        </w:rPr>
        <w:t>s</w:t>
      </w:r>
      <w:r>
        <w:rPr>
          <w:rFonts w:eastAsia="Calibri" w:cs="Times New Roman"/>
        </w:rPr>
        <w:t>hire</w:t>
      </w:r>
      <w:r w:rsidRPr="0034532A">
        <w:rPr>
          <w:rFonts w:eastAsia="Calibri" w:cs="Times New Roman"/>
        </w:rPr>
        <w:t xml:space="preserve"> Sport Partnership L</w:t>
      </w:r>
      <w:r>
        <w:rPr>
          <w:rFonts w:eastAsia="Calibri" w:cs="Times New Roman"/>
        </w:rPr>
        <w:t>imited.</w:t>
      </w:r>
      <w:r>
        <w:t xml:space="preserve"> </w:t>
      </w:r>
    </w:p>
    <w:p w:rsidR="00CF0907" w:rsidRPr="0043696D" w:rsidRDefault="00311AA7" w:rsidP="0043696D">
      <w:pPr>
        <w:spacing w:after="240"/>
        <w:ind w:left="357"/>
        <w:jc w:val="both"/>
        <w:rPr>
          <w:rFonts w:eastAsia="Calibri" w:cs="Times New Roman"/>
        </w:rPr>
      </w:pPr>
      <w:r w:rsidRPr="00442EEE">
        <w:rPr>
          <w:rFonts w:eastAsia="Calibri" w:cs="Times New Roman"/>
        </w:rPr>
        <w:lastRenderedPageBreak/>
        <w:t xml:space="preserve">Martin Kelly, Director of Economic Development acts as alternative to the Chief Executive for </w:t>
      </w:r>
      <w:r w:rsidRPr="00442EEE">
        <w:rPr>
          <w:rFonts w:eastAsia="Calibri" w:cs="SUDADR+Helvetica-Light"/>
        </w:rPr>
        <w:t>Lancashire County Developments (Investments) Ltd, Lancashire County Developments (Property) Ltd, Lancashire County Enterprises (Leasing) Ltd,</w:t>
      </w:r>
      <w:r w:rsidRPr="00442EEE">
        <w:rPr>
          <w:rFonts w:eastAsia="Calibri" w:cs="Times New Roman"/>
        </w:rPr>
        <w:t xml:space="preserve"> Lancashire Enterprises (Investments) Ltd, Lancashire Business and Innovation Centre Ltd, The Lancashire Rosebud (Small Firms) Fund Company Ltd,</w:t>
      </w:r>
      <w:r w:rsidRPr="00442EEE">
        <w:rPr>
          <w:rFonts w:eastAsia="Calibri" w:cs="SUDADR+Helvetica-Light"/>
        </w:rPr>
        <w:t xml:space="preserve"> Preston Technology Management Centre Ltd, </w:t>
      </w:r>
      <w:r w:rsidRPr="00442EEE">
        <w:rPr>
          <w:rFonts w:eastAsia="Calibri" w:cs="Times New Roman"/>
        </w:rPr>
        <w:t xml:space="preserve">Preston Vision Ltd, Regenerate Pennine Lancashire Ltd, Blackpool Fylde and Wyre Economic Partnership Limited, also as director in </w:t>
      </w:r>
      <w:r w:rsidRPr="00442EEE">
        <w:rPr>
          <w:rFonts w:eastAsia="Calibri" w:cs="SUDADR+Helvetica-Light"/>
        </w:rPr>
        <w:t>Lancashire and Blackpool Tourist Board Ltd</w:t>
      </w:r>
      <w:r>
        <w:rPr>
          <w:rFonts w:eastAsia="Calibri" w:cs="SUDADR+Helvetica-Light"/>
        </w:rPr>
        <w:t>, Lancashire Education Business Partnership Limited, Lancashire Technology Centre Limited, The Clayton Park Conference Centre Limited</w:t>
      </w:r>
      <w:r w:rsidRPr="00442EEE">
        <w:rPr>
          <w:rFonts w:eastAsia="Calibri" w:cs="Times New Roman"/>
        </w:rPr>
        <w:t xml:space="preserve"> and CX</w:t>
      </w:r>
      <w:r>
        <w:rPr>
          <w:rFonts w:eastAsia="Calibri" w:cs="Times New Roman"/>
        </w:rPr>
        <w:t xml:space="preserve"> </w:t>
      </w:r>
      <w:r w:rsidRPr="00442EEE">
        <w:rPr>
          <w:rFonts w:eastAsia="Calibri" w:cs="Times New Roman"/>
        </w:rPr>
        <w:t>L</w:t>
      </w:r>
      <w:r>
        <w:rPr>
          <w:rFonts w:eastAsia="Calibri" w:cs="Times New Roman"/>
        </w:rPr>
        <w:t>td</w:t>
      </w:r>
      <w:r w:rsidRPr="00442EEE">
        <w:rPr>
          <w:rFonts w:eastAsia="Calibri" w:cs="Times New Roman"/>
        </w:rPr>
        <w:t>.</w:t>
      </w:r>
    </w:p>
    <w:p w:rsidR="00AD3999" w:rsidRDefault="00AD3999" w:rsidP="00AD3999">
      <w:pPr>
        <w:ind w:left="357"/>
        <w:rPr>
          <w:b/>
        </w:rPr>
      </w:pPr>
      <w:r>
        <w:rPr>
          <w:b/>
        </w:rPr>
        <w:t xml:space="preserve">Lancashire </w:t>
      </w:r>
      <w:r w:rsidR="001F1A1A">
        <w:rPr>
          <w:b/>
        </w:rPr>
        <w:t>County Council</w:t>
      </w:r>
      <w:r>
        <w:rPr>
          <w:b/>
        </w:rPr>
        <w:t>s Interest in Other Organisations</w:t>
      </w:r>
    </w:p>
    <w:p w:rsidR="00AD3999" w:rsidRDefault="00AD3999" w:rsidP="00AD3999">
      <w:pPr>
        <w:ind w:left="357"/>
        <w:rPr>
          <w:b/>
        </w:rPr>
      </w:pPr>
    </w:p>
    <w:p w:rsidR="00AD3999" w:rsidRPr="004B62E0" w:rsidRDefault="00AD3999" w:rsidP="00AD3999">
      <w:pPr>
        <w:ind w:left="357"/>
      </w:pPr>
      <w:r>
        <w:t>As for</w:t>
      </w:r>
      <w:r w:rsidR="00EA3A60">
        <w:t xml:space="preserve"> each year since</w:t>
      </w:r>
      <w:r>
        <w:t xml:space="preserve"> 2007/08, this year's statement of accounts does not include a set of group accounts. This note includes details of Lancashire </w:t>
      </w:r>
      <w:r w:rsidR="001F1A1A">
        <w:t>County Council</w:t>
      </w:r>
      <w:r>
        <w:t xml:space="preserve">s interest in other organisations. </w:t>
      </w:r>
    </w:p>
    <w:p w:rsidR="00AD3999" w:rsidRDefault="00AD3999" w:rsidP="00AD3999">
      <w:pPr>
        <w:ind w:left="357"/>
        <w:rPr>
          <w:b/>
        </w:rPr>
      </w:pPr>
    </w:p>
    <w:p w:rsidR="00AD3999" w:rsidRPr="0089069F" w:rsidRDefault="00AD3999" w:rsidP="00AD3999">
      <w:pPr>
        <w:ind w:left="357"/>
        <w:rPr>
          <w:b/>
        </w:rPr>
      </w:pPr>
      <w:r w:rsidRPr="0089069F">
        <w:rPr>
          <w:b/>
        </w:rPr>
        <w:t>Lancashire County Developments Ltd</w:t>
      </w:r>
    </w:p>
    <w:p w:rsidR="00AD3999" w:rsidRPr="0089069F" w:rsidRDefault="00AD3999" w:rsidP="00AD3999">
      <w:pPr>
        <w:ind w:left="357"/>
      </w:pPr>
    </w:p>
    <w:p w:rsidR="00AD3999" w:rsidRPr="0089069F" w:rsidRDefault="00AD3999" w:rsidP="00AD3999">
      <w:pPr>
        <w:ind w:left="357"/>
      </w:pPr>
      <w:r w:rsidRPr="0089069F">
        <w:t>Lancashire County Developments Ltd (LCDL) acts as an economic and job creation agency for the county. It is a company limited by guarantee and has no issued share capital. The liability of</w:t>
      </w:r>
      <w:r>
        <w:t xml:space="preserve"> members is limited to £1. The C</w:t>
      </w:r>
      <w:r w:rsidRPr="0089069F">
        <w:t xml:space="preserve">ouncil controls 80% of the members’ voting rights and it is </w:t>
      </w:r>
      <w:r>
        <w:t xml:space="preserve">classed as a subsidiary of the </w:t>
      </w:r>
      <w:r w:rsidR="001F1A1A">
        <w:t>County Council</w:t>
      </w:r>
      <w:r w:rsidRPr="0089069F">
        <w:t>.</w:t>
      </w:r>
    </w:p>
    <w:p w:rsidR="00AD3999" w:rsidRPr="0089069F" w:rsidRDefault="00AD3999" w:rsidP="00AD3999">
      <w:pPr>
        <w:ind w:left="1077"/>
      </w:pPr>
    </w:p>
    <w:p w:rsidR="00AD3999" w:rsidRPr="003347D2" w:rsidRDefault="00AD3999" w:rsidP="00AD3999">
      <w:pPr>
        <w:spacing w:after="240"/>
        <w:ind w:left="357"/>
      </w:pPr>
      <w:r>
        <w:t xml:space="preserve">The </w:t>
      </w:r>
      <w:r w:rsidR="001F1A1A">
        <w:t>County Council</w:t>
      </w:r>
      <w:r w:rsidRPr="0089069F">
        <w:t xml:space="preserve">’s interest in LCDL is based on its contributions to the company’s capital funding reserve, loans to the company and rights to appoint members of the company. As a limited company, LCDL must use its profits and income to further its </w:t>
      </w:r>
      <w:r w:rsidRPr="003347D2">
        <w:t>business objectives. It is not allowed to distribute profits as dividends.</w:t>
      </w:r>
    </w:p>
    <w:p w:rsidR="00AD3999" w:rsidRDefault="00AD3999" w:rsidP="00AD3999">
      <w:pPr>
        <w:ind w:left="357"/>
        <w:jc w:val="both"/>
      </w:pPr>
      <w:r w:rsidRPr="003347D2">
        <w:t>In 201</w:t>
      </w:r>
      <w:r>
        <w:t>1/12 the company made a net profit</w:t>
      </w:r>
      <w:r w:rsidRPr="003347D2">
        <w:t xml:space="preserve"> before taxation and exceptional items of </w:t>
      </w:r>
      <w:r w:rsidRPr="007F0D9A">
        <w:t>£4.351million (net loss before taxation of £1.775million in 2010/11). At 31 March 2012 it had net assets of £36.940million (£46.</w:t>
      </w:r>
      <w:r w:rsidRPr="003347D2">
        <w:t xml:space="preserve">699million at 31 March 2011). </w:t>
      </w:r>
    </w:p>
    <w:p w:rsidR="00AD3999" w:rsidRDefault="00AD3999" w:rsidP="00AD3999">
      <w:pPr>
        <w:ind w:left="357"/>
        <w:jc w:val="both"/>
      </w:pPr>
    </w:p>
    <w:tbl>
      <w:tblPr>
        <w:tblW w:w="8488" w:type="dxa"/>
        <w:tblInd w:w="1095" w:type="dxa"/>
        <w:tblLayout w:type="fixed"/>
        <w:tblLook w:val="0000"/>
      </w:tblPr>
      <w:tblGrid>
        <w:gridCol w:w="5490"/>
        <w:gridCol w:w="1499"/>
        <w:gridCol w:w="1499"/>
      </w:tblGrid>
      <w:tr w:rsidR="00AD3999" w:rsidRPr="0089069F" w:rsidTr="00AD3999">
        <w:trPr>
          <w:cantSplit/>
        </w:trPr>
        <w:tc>
          <w:tcPr>
            <w:tcW w:w="5490" w:type="dxa"/>
          </w:tcPr>
          <w:p w:rsidR="00AD3999" w:rsidRPr="0089069F" w:rsidRDefault="00AD3999" w:rsidP="00AD3999">
            <w:pPr>
              <w:rPr>
                <w:b/>
              </w:rPr>
            </w:pPr>
            <w:r w:rsidRPr="0089069F">
              <w:rPr>
                <w:b/>
                <w:sz w:val="22"/>
              </w:rPr>
              <w:t>31 March</w:t>
            </w:r>
          </w:p>
        </w:tc>
        <w:tc>
          <w:tcPr>
            <w:tcW w:w="1499" w:type="dxa"/>
          </w:tcPr>
          <w:p w:rsidR="00AD3999" w:rsidRPr="0089069F" w:rsidRDefault="00AD3999" w:rsidP="00AD3999">
            <w:pPr>
              <w:jc w:val="center"/>
              <w:rPr>
                <w:b/>
              </w:rPr>
            </w:pPr>
            <w:r w:rsidRPr="0089069F">
              <w:rPr>
                <w:b/>
                <w:sz w:val="22"/>
              </w:rPr>
              <w:t>201</w:t>
            </w:r>
            <w:r>
              <w:rPr>
                <w:b/>
                <w:sz w:val="22"/>
              </w:rPr>
              <w:t>2</w:t>
            </w:r>
          </w:p>
        </w:tc>
        <w:tc>
          <w:tcPr>
            <w:tcW w:w="1499" w:type="dxa"/>
            <w:shd w:val="clear" w:color="00FFFF" w:fill="auto"/>
          </w:tcPr>
          <w:p w:rsidR="00AD3999" w:rsidRPr="0089069F" w:rsidRDefault="00AD3999" w:rsidP="00AD3999">
            <w:pPr>
              <w:jc w:val="center"/>
              <w:rPr>
                <w:b/>
              </w:rPr>
            </w:pPr>
            <w:r w:rsidRPr="0089069F">
              <w:rPr>
                <w:b/>
                <w:sz w:val="22"/>
              </w:rPr>
              <w:t>2011</w:t>
            </w:r>
          </w:p>
        </w:tc>
      </w:tr>
      <w:tr w:rsidR="00AD3999" w:rsidRPr="0089069F" w:rsidTr="00AD3999">
        <w:trPr>
          <w:cantSplit/>
        </w:trPr>
        <w:tc>
          <w:tcPr>
            <w:tcW w:w="5490" w:type="dxa"/>
          </w:tcPr>
          <w:p w:rsidR="00AD3999" w:rsidRPr="0089069F" w:rsidRDefault="00AD3999" w:rsidP="00AD3999"/>
        </w:tc>
        <w:tc>
          <w:tcPr>
            <w:tcW w:w="1499" w:type="dxa"/>
            <w:tcBorders>
              <w:bottom w:val="single" w:sz="4" w:space="0" w:color="auto"/>
            </w:tcBorders>
          </w:tcPr>
          <w:p w:rsidR="00AD3999" w:rsidRPr="0089069F" w:rsidRDefault="00AD3999" w:rsidP="00AD3999">
            <w:pPr>
              <w:jc w:val="center"/>
              <w:rPr>
                <w:b/>
              </w:rPr>
            </w:pPr>
            <w:r w:rsidRPr="0089069F">
              <w:rPr>
                <w:b/>
                <w:sz w:val="22"/>
              </w:rPr>
              <w:t>£000</w:t>
            </w:r>
          </w:p>
        </w:tc>
        <w:tc>
          <w:tcPr>
            <w:tcW w:w="1499" w:type="dxa"/>
            <w:tcBorders>
              <w:bottom w:val="single" w:sz="4" w:space="0" w:color="auto"/>
            </w:tcBorders>
            <w:shd w:val="clear" w:color="00FFFF" w:fill="auto"/>
          </w:tcPr>
          <w:p w:rsidR="00AD3999" w:rsidRPr="0089069F" w:rsidRDefault="00AD3999" w:rsidP="00AD3999">
            <w:pPr>
              <w:jc w:val="center"/>
              <w:rPr>
                <w:b/>
              </w:rPr>
            </w:pPr>
            <w:r w:rsidRPr="0089069F">
              <w:rPr>
                <w:b/>
                <w:sz w:val="22"/>
              </w:rPr>
              <w:t>£000</w:t>
            </w:r>
          </w:p>
        </w:tc>
      </w:tr>
      <w:tr w:rsidR="00AD3999" w:rsidRPr="0089069F" w:rsidTr="00AD3999">
        <w:trPr>
          <w:cantSplit/>
        </w:trPr>
        <w:tc>
          <w:tcPr>
            <w:tcW w:w="5490" w:type="dxa"/>
            <w:vAlign w:val="bottom"/>
          </w:tcPr>
          <w:p w:rsidR="00AD3999" w:rsidRPr="0089069F" w:rsidRDefault="00AD3999" w:rsidP="00AD3999">
            <w:pPr>
              <w:spacing w:after="120"/>
            </w:pPr>
            <w:r w:rsidRPr="0089069F">
              <w:rPr>
                <w:sz w:val="22"/>
              </w:rPr>
              <w:t>Total income</w:t>
            </w:r>
          </w:p>
        </w:tc>
        <w:tc>
          <w:tcPr>
            <w:tcW w:w="1499" w:type="dxa"/>
            <w:vAlign w:val="center"/>
          </w:tcPr>
          <w:p w:rsidR="00AD3999" w:rsidRPr="00B8483E" w:rsidRDefault="00AD3999" w:rsidP="00AD3999">
            <w:pPr>
              <w:pStyle w:val="Footer"/>
              <w:tabs>
                <w:tab w:val="clear" w:pos="4153"/>
                <w:tab w:val="clear" w:pos="8306"/>
                <w:tab w:val="decimal" w:pos="972"/>
              </w:tabs>
              <w:spacing w:after="120"/>
            </w:pPr>
            <w:r w:rsidRPr="00B8483E">
              <w:rPr>
                <w:sz w:val="22"/>
              </w:rPr>
              <w:t>12,145</w:t>
            </w:r>
          </w:p>
        </w:tc>
        <w:tc>
          <w:tcPr>
            <w:tcW w:w="1499" w:type="dxa"/>
            <w:shd w:val="clear" w:color="00FFFF" w:fill="auto"/>
            <w:vAlign w:val="center"/>
          </w:tcPr>
          <w:p w:rsidR="00AD3999" w:rsidRPr="0089069F" w:rsidRDefault="00AD3999" w:rsidP="00AD3999">
            <w:pPr>
              <w:pStyle w:val="Footer"/>
              <w:tabs>
                <w:tab w:val="clear" w:pos="4153"/>
                <w:tab w:val="clear" w:pos="8306"/>
                <w:tab w:val="decimal" w:pos="972"/>
              </w:tabs>
              <w:spacing w:after="120"/>
            </w:pPr>
            <w:r>
              <w:rPr>
                <w:sz w:val="22"/>
              </w:rPr>
              <w:t>8,509</w:t>
            </w:r>
          </w:p>
        </w:tc>
      </w:tr>
      <w:tr w:rsidR="00AD3999" w:rsidRPr="0089069F" w:rsidTr="00AD3999">
        <w:trPr>
          <w:cantSplit/>
        </w:trPr>
        <w:tc>
          <w:tcPr>
            <w:tcW w:w="5490" w:type="dxa"/>
            <w:vAlign w:val="bottom"/>
          </w:tcPr>
          <w:p w:rsidR="00AD3999" w:rsidRPr="0089069F" w:rsidRDefault="00AD3999" w:rsidP="00AD3999">
            <w:pPr>
              <w:spacing w:after="120"/>
            </w:pPr>
            <w:r w:rsidRPr="0089069F">
              <w:rPr>
                <w:sz w:val="22"/>
              </w:rPr>
              <w:t>Total expenditure</w:t>
            </w:r>
          </w:p>
        </w:tc>
        <w:tc>
          <w:tcPr>
            <w:tcW w:w="1499" w:type="dxa"/>
            <w:tcBorders>
              <w:bottom w:val="single" w:sz="4" w:space="0" w:color="auto"/>
            </w:tcBorders>
            <w:vAlign w:val="center"/>
          </w:tcPr>
          <w:p w:rsidR="00AD3999" w:rsidRPr="00B8483E" w:rsidRDefault="00AD3999" w:rsidP="00AD3999">
            <w:pPr>
              <w:pStyle w:val="Footer"/>
              <w:tabs>
                <w:tab w:val="clear" w:pos="4153"/>
                <w:tab w:val="clear" w:pos="8306"/>
                <w:tab w:val="decimal" w:pos="972"/>
              </w:tabs>
              <w:spacing w:after="120"/>
            </w:pPr>
            <w:r w:rsidRPr="00B8483E">
              <w:t>7,794</w:t>
            </w:r>
          </w:p>
        </w:tc>
        <w:tc>
          <w:tcPr>
            <w:tcW w:w="1499" w:type="dxa"/>
            <w:tcBorders>
              <w:bottom w:val="single" w:sz="4" w:space="0" w:color="auto"/>
            </w:tcBorders>
            <w:shd w:val="clear" w:color="00FFFF" w:fill="auto"/>
            <w:vAlign w:val="center"/>
          </w:tcPr>
          <w:p w:rsidR="00AD3999" w:rsidRPr="0089069F" w:rsidRDefault="00AD3999" w:rsidP="00AD3999">
            <w:pPr>
              <w:pStyle w:val="Footer"/>
              <w:tabs>
                <w:tab w:val="clear" w:pos="4153"/>
                <w:tab w:val="clear" w:pos="8306"/>
                <w:tab w:val="decimal" w:pos="972"/>
              </w:tabs>
              <w:spacing w:after="120"/>
            </w:pPr>
            <w:r>
              <w:rPr>
                <w:sz w:val="22"/>
              </w:rPr>
              <w:t>10,310</w:t>
            </w:r>
          </w:p>
        </w:tc>
      </w:tr>
      <w:tr w:rsidR="00AD3999" w:rsidRPr="0089069F" w:rsidTr="00AD3999">
        <w:trPr>
          <w:cantSplit/>
        </w:trPr>
        <w:tc>
          <w:tcPr>
            <w:tcW w:w="5490" w:type="dxa"/>
            <w:vAlign w:val="bottom"/>
          </w:tcPr>
          <w:p w:rsidR="00AD3999" w:rsidRPr="0089069F" w:rsidRDefault="00AD3999" w:rsidP="00AD3999">
            <w:pPr>
              <w:tabs>
                <w:tab w:val="left" w:pos="0"/>
              </w:tabs>
            </w:pPr>
            <w:r w:rsidRPr="0089069F">
              <w:rPr>
                <w:sz w:val="22"/>
              </w:rPr>
              <w:t>Profit (or loss) after tax</w:t>
            </w:r>
          </w:p>
        </w:tc>
        <w:tc>
          <w:tcPr>
            <w:tcW w:w="1499" w:type="dxa"/>
            <w:tcBorders>
              <w:top w:val="single" w:sz="4" w:space="0" w:color="auto"/>
              <w:bottom w:val="single" w:sz="4" w:space="0" w:color="auto"/>
            </w:tcBorders>
            <w:vAlign w:val="center"/>
          </w:tcPr>
          <w:p w:rsidR="00AD3999" w:rsidRPr="00C16B41" w:rsidRDefault="00AD3999" w:rsidP="00AD3999">
            <w:pPr>
              <w:pStyle w:val="Footer"/>
              <w:tabs>
                <w:tab w:val="clear" w:pos="4153"/>
                <w:tab w:val="clear" w:pos="8306"/>
                <w:tab w:val="decimal" w:pos="972"/>
              </w:tabs>
              <w:rPr>
                <w:highlight w:val="yellow"/>
              </w:rPr>
            </w:pPr>
            <w:r w:rsidRPr="00B8483E">
              <w:t>4,351</w:t>
            </w:r>
          </w:p>
        </w:tc>
        <w:tc>
          <w:tcPr>
            <w:tcW w:w="1499" w:type="dxa"/>
            <w:tcBorders>
              <w:top w:val="single" w:sz="4" w:space="0" w:color="auto"/>
              <w:bottom w:val="single" w:sz="4" w:space="0" w:color="auto"/>
            </w:tcBorders>
            <w:shd w:val="clear" w:color="00FFFF" w:fill="auto"/>
            <w:vAlign w:val="center"/>
          </w:tcPr>
          <w:p w:rsidR="00AD3999" w:rsidRPr="0089069F" w:rsidRDefault="00AD3999" w:rsidP="00AD3999">
            <w:pPr>
              <w:pStyle w:val="Footer"/>
              <w:tabs>
                <w:tab w:val="clear" w:pos="4153"/>
                <w:tab w:val="clear" w:pos="8306"/>
                <w:tab w:val="decimal" w:pos="972"/>
              </w:tabs>
            </w:pPr>
            <w:r>
              <w:rPr>
                <w:sz w:val="22"/>
              </w:rPr>
              <w:t>(1,801)</w:t>
            </w:r>
          </w:p>
        </w:tc>
      </w:tr>
    </w:tbl>
    <w:p w:rsidR="00AD3999" w:rsidRPr="0089069F" w:rsidRDefault="00AD3999" w:rsidP="00AD3999">
      <w:pPr>
        <w:ind w:left="1077"/>
      </w:pPr>
    </w:p>
    <w:p w:rsidR="00AD3999" w:rsidRPr="0089069F" w:rsidRDefault="00AD3999" w:rsidP="00AD3999">
      <w:pPr>
        <w:spacing w:after="240"/>
        <w:ind w:left="1077"/>
      </w:pPr>
      <w:r w:rsidRPr="0089069F">
        <w:t>The group's financial position can be summarised as follows.</w:t>
      </w:r>
    </w:p>
    <w:tbl>
      <w:tblPr>
        <w:tblW w:w="8488" w:type="dxa"/>
        <w:tblInd w:w="1095" w:type="dxa"/>
        <w:tblLayout w:type="fixed"/>
        <w:tblLook w:val="0000"/>
      </w:tblPr>
      <w:tblGrid>
        <w:gridCol w:w="5490"/>
        <w:gridCol w:w="1499"/>
        <w:gridCol w:w="1499"/>
      </w:tblGrid>
      <w:tr w:rsidR="00AD3999" w:rsidRPr="0089069F" w:rsidTr="00AD3999">
        <w:trPr>
          <w:cantSplit/>
        </w:trPr>
        <w:tc>
          <w:tcPr>
            <w:tcW w:w="5490" w:type="dxa"/>
            <w:vAlign w:val="bottom"/>
          </w:tcPr>
          <w:p w:rsidR="00AD3999" w:rsidRPr="0089069F" w:rsidRDefault="00AD3999" w:rsidP="00AD3999">
            <w:pPr>
              <w:spacing w:after="120"/>
            </w:pPr>
            <w:r w:rsidRPr="0089069F">
              <w:rPr>
                <w:sz w:val="22"/>
              </w:rPr>
              <w:t>Fixed assets</w:t>
            </w:r>
          </w:p>
        </w:tc>
        <w:tc>
          <w:tcPr>
            <w:tcW w:w="1499" w:type="dxa"/>
            <w:vAlign w:val="center"/>
          </w:tcPr>
          <w:p w:rsidR="00AD3999" w:rsidRPr="00B8483E" w:rsidRDefault="00AD3999" w:rsidP="00AD3999">
            <w:pPr>
              <w:pStyle w:val="Footer"/>
              <w:tabs>
                <w:tab w:val="clear" w:pos="4153"/>
                <w:tab w:val="clear" w:pos="8306"/>
                <w:tab w:val="decimal" w:pos="972"/>
              </w:tabs>
              <w:spacing w:after="120"/>
            </w:pPr>
            <w:r>
              <w:t>26,989</w:t>
            </w:r>
          </w:p>
        </w:tc>
        <w:tc>
          <w:tcPr>
            <w:tcW w:w="1499" w:type="dxa"/>
            <w:shd w:val="clear" w:color="00FFFF" w:fill="auto"/>
            <w:vAlign w:val="center"/>
          </w:tcPr>
          <w:p w:rsidR="00AD3999" w:rsidRPr="0089069F" w:rsidRDefault="00AD3999" w:rsidP="00AD3999">
            <w:pPr>
              <w:pStyle w:val="Footer"/>
              <w:tabs>
                <w:tab w:val="clear" w:pos="4153"/>
                <w:tab w:val="clear" w:pos="8306"/>
                <w:tab w:val="decimal" w:pos="972"/>
              </w:tabs>
              <w:spacing w:after="120"/>
            </w:pPr>
            <w:r>
              <w:rPr>
                <w:sz w:val="22"/>
              </w:rPr>
              <w:t>43,187</w:t>
            </w:r>
          </w:p>
        </w:tc>
      </w:tr>
      <w:tr w:rsidR="00AD3999" w:rsidRPr="0089069F" w:rsidTr="00AD3999">
        <w:trPr>
          <w:cantSplit/>
        </w:trPr>
        <w:tc>
          <w:tcPr>
            <w:tcW w:w="5490" w:type="dxa"/>
            <w:vAlign w:val="bottom"/>
          </w:tcPr>
          <w:p w:rsidR="00AD3999" w:rsidRPr="0089069F" w:rsidRDefault="00AD3999" w:rsidP="00AD3999">
            <w:pPr>
              <w:spacing w:after="120"/>
            </w:pPr>
            <w:r w:rsidRPr="0089069F">
              <w:rPr>
                <w:sz w:val="22"/>
              </w:rPr>
              <w:t>Net current assets (or liabilities)</w:t>
            </w:r>
          </w:p>
        </w:tc>
        <w:tc>
          <w:tcPr>
            <w:tcW w:w="1499" w:type="dxa"/>
            <w:tcBorders>
              <w:bottom w:val="single" w:sz="4" w:space="0" w:color="auto"/>
            </w:tcBorders>
            <w:vAlign w:val="center"/>
          </w:tcPr>
          <w:p w:rsidR="00AD3999" w:rsidRPr="00B8483E" w:rsidRDefault="00AD3999" w:rsidP="00AD3999">
            <w:pPr>
              <w:pStyle w:val="Footer"/>
              <w:tabs>
                <w:tab w:val="clear" w:pos="4153"/>
                <w:tab w:val="clear" w:pos="8306"/>
                <w:tab w:val="decimal" w:pos="972"/>
              </w:tabs>
              <w:spacing w:after="120"/>
            </w:pPr>
            <w:r>
              <w:t>9,951</w:t>
            </w:r>
          </w:p>
        </w:tc>
        <w:tc>
          <w:tcPr>
            <w:tcW w:w="1499" w:type="dxa"/>
            <w:tcBorders>
              <w:bottom w:val="single" w:sz="4" w:space="0" w:color="auto"/>
            </w:tcBorders>
            <w:shd w:val="clear" w:color="00FFFF" w:fill="auto"/>
            <w:vAlign w:val="center"/>
          </w:tcPr>
          <w:p w:rsidR="00AD3999" w:rsidRPr="0089069F" w:rsidRDefault="00AD3999" w:rsidP="00AD3999">
            <w:pPr>
              <w:pStyle w:val="Footer"/>
              <w:tabs>
                <w:tab w:val="clear" w:pos="4153"/>
                <w:tab w:val="clear" w:pos="8306"/>
                <w:tab w:val="decimal" w:pos="972"/>
              </w:tabs>
              <w:spacing w:after="120"/>
            </w:pPr>
            <w:r>
              <w:rPr>
                <w:sz w:val="22"/>
              </w:rPr>
              <w:t>3,512</w:t>
            </w:r>
          </w:p>
        </w:tc>
      </w:tr>
      <w:tr w:rsidR="00AD3999" w:rsidRPr="0089069F" w:rsidTr="00AD3999">
        <w:trPr>
          <w:cantSplit/>
        </w:trPr>
        <w:tc>
          <w:tcPr>
            <w:tcW w:w="5490" w:type="dxa"/>
            <w:vAlign w:val="bottom"/>
          </w:tcPr>
          <w:p w:rsidR="00AD3999" w:rsidRPr="0089069F" w:rsidRDefault="00AD3999" w:rsidP="00AD3999">
            <w:pPr>
              <w:tabs>
                <w:tab w:val="left" w:pos="0"/>
              </w:tabs>
            </w:pPr>
            <w:r w:rsidRPr="0089069F">
              <w:rPr>
                <w:sz w:val="22"/>
              </w:rPr>
              <w:t>Total</w:t>
            </w:r>
          </w:p>
        </w:tc>
        <w:tc>
          <w:tcPr>
            <w:tcW w:w="1499" w:type="dxa"/>
            <w:tcBorders>
              <w:top w:val="single" w:sz="4" w:space="0" w:color="auto"/>
              <w:bottom w:val="single" w:sz="4" w:space="0" w:color="auto"/>
            </w:tcBorders>
            <w:vAlign w:val="center"/>
          </w:tcPr>
          <w:p w:rsidR="00AD3999" w:rsidRPr="00B8483E" w:rsidRDefault="00AD3999" w:rsidP="00AD3999">
            <w:pPr>
              <w:pStyle w:val="Footer"/>
              <w:tabs>
                <w:tab w:val="clear" w:pos="4153"/>
                <w:tab w:val="clear" w:pos="8306"/>
                <w:tab w:val="decimal" w:pos="972"/>
              </w:tabs>
            </w:pPr>
            <w:r>
              <w:t>36,940</w:t>
            </w:r>
          </w:p>
        </w:tc>
        <w:tc>
          <w:tcPr>
            <w:tcW w:w="1499" w:type="dxa"/>
            <w:tcBorders>
              <w:top w:val="single" w:sz="4" w:space="0" w:color="auto"/>
              <w:bottom w:val="single" w:sz="4" w:space="0" w:color="auto"/>
            </w:tcBorders>
            <w:shd w:val="clear" w:color="00FFFF" w:fill="auto"/>
            <w:vAlign w:val="center"/>
          </w:tcPr>
          <w:p w:rsidR="00AD3999" w:rsidRPr="0089069F" w:rsidRDefault="00AD3999" w:rsidP="00AD3999">
            <w:pPr>
              <w:pStyle w:val="Footer"/>
              <w:tabs>
                <w:tab w:val="clear" w:pos="4153"/>
                <w:tab w:val="clear" w:pos="8306"/>
                <w:tab w:val="decimal" w:pos="972"/>
              </w:tabs>
            </w:pPr>
            <w:r>
              <w:rPr>
                <w:sz w:val="22"/>
              </w:rPr>
              <w:t>46,699</w:t>
            </w:r>
          </w:p>
        </w:tc>
      </w:tr>
      <w:tr w:rsidR="00AD3999" w:rsidRPr="0089069F" w:rsidTr="00AD3999">
        <w:trPr>
          <w:cantSplit/>
        </w:trPr>
        <w:tc>
          <w:tcPr>
            <w:tcW w:w="5490" w:type="dxa"/>
            <w:vAlign w:val="bottom"/>
          </w:tcPr>
          <w:p w:rsidR="00AD3999" w:rsidRPr="0089069F" w:rsidRDefault="00AD3999" w:rsidP="00AD3999">
            <w:pPr>
              <w:spacing w:before="120" w:after="120"/>
            </w:pPr>
            <w:r w:rsidRPr="0089069F">
              <w:rPr>
                <w:sz w:val="22"/>
              </w:rPr>
              <w:t>Represented by:</w:t>
            </w:r>
          </w:p>
        </w:tc>
        <w:tc>
          <w:tcPr>
            <w:tcW w:w="1499" w:type="dxa"/>
            <w:tcBorders>
              <w:top w:val="single" w:sz="4" w:space="0" w:color="auto"/>
            </w:tcBorders>
            <w:vAlign w:val="center"/>
          </w:tcPr>
          <w:p w:rsidR="00AD3999" w:rsidRPr="00B8483E" w:rsidRDefault="00AD3999" w:rsidP="00AD3999">
            <w:pPr>
              <w:pStyle w:val="Footer"/>
              <w:tabs>
                <w:tab w:val="clear" w:pos="4153"/>
                <w:tab w:val="clear" w:pos="8306"/>
                <w:tab w:val="decimal" w:pos="972"/>
              </w:tabs>
              <w:spacing w:before="120" w:after="120"/>
            </w:pPr>
          </w:p>
        </w:tc>
        <w:tc>
          <w:tcPr>
            <w:tcW w:w="1499" w:type="dxa"/>
            <w:tcBorders>
              <w:top w:val="single" w:sz="4" w:space="0" w:color="auto"/>
            </w:tcBorders>
            <w:shd w:val="clear" w:color="00FFFF" w:fill="auto"/>
            <w:vAlign w:val="center"/>
          </w:tcPr>
          <w:p w:rsidR="00AD3999" w:rsidRPr="0089069F" w:rsidRDefault="00AD3999" w:rsidP="00AD3999">
            <w:pPr>
              <w:pStyle w:val="Footer"/>
              <w:tabs>
                <w:tab w:val="clear" w:pos="4153"/>
                <w:tab w:val="clear" w:pos="8306"/>
                <w:tab w:val="decimal" w:pos="972"/>
              </w:tabs>
              <w:spacing w:before="120" w:after="120"/>
            </w:pPr>
          </w:p>
        </w:tc>
      </w:tr>
      <w:tr w:rsidR="00AD3999" w:rsidRPr="0089069F" w:rsidTr="00AD3999">
        <w:trPr>
          <w:cantSplit/>
        </w:trPr>
        <w:tc>
          <w:tcPr>
            <w:tcW w:w="5490" w:type="dxa"/>
            <w:vAlign w:val="bottom"/>
          </w:tcPr>
          <w:p w:rsidR="00AD3999" w:rsidRPr="0089069F" w:rsidRDefault="00AD3999" w:rsidP="00AD3999">
            <w:pPr>
              <w:spacing w:after="120"/>
            </w:pPr>
            <w:r w:rsidRPr="0089069F">
              <w:rPr>
                <w:sz w:val="22"/>
              </w:rPr>
              <w:t>Capital reserves</w:t>
            </w:r>
          </w:p>
        </w:tc>
        <w:tc>
          <w:tcPr>
            <w:tcW w:w="1499" w:type="dxa"/>
            <w:vAlign w:val="center"/>
          </w:tcPr>
          <w:p w:rsidR="00AD3999" w:rsidRPr="00B8483E" w:rsidRDefault="00AD3999" w:rsidP="00AD3999">
            <w:pPr>
              <w:pStyle w:val="Footer"/>
              <w:tabs>
                <w:tab w:val="clear" w:pos="4153"/>
                <w:tab w:val="clear" w:pos="8306"/>
                <w:tab w:val="decimal" w:pos="972"/>
              </w:tabs>
              <w:spacing w:after="120"/>
            </w:pPr>
            <w:r>
              <w:t>13,996</w:t>
            </w:r>
          </w:p>
        </w:tc>
        <w:tc>
          <w:tcPr>
            <w:tcW w:w="1499" w:type="dxa"/>
            <w:shd w:val="clear" w:color="00FFFF" w:fill="auto"/>
            <w:vAlign w:val="center"/>
          </w:tcPr>
          <w:p w:rsidR="00AD3999" w:rsidRPr="0089069F" w:rsidRDefault="00AD3999" w:rsidP="00AD3999">
            <w:pPr>
              <w:pStyle w:val="Footer"/>
              <w:tabs>
                <w:tab w:val="clear" w:pos="4153"/>
                <w:tab w:val="clear" w:pos="8306"/>
                <w:tab w:val="decimal" w:pos="972"/>
              </w:tabs>
              <w:spacing w:after="120"/>
            </w:pPr>
            <w:r>
              <w:rPr>
                <w:sz w:val="22"/>
              </w:rPr>
              <w:t>28,062</w:t>
            </w:r>
          </w:p>
        </w:tc>
      </w:tr>
      <w:tr w:rsidR="00AD3999" w:rsidRPr="0089069F" w:rsidTr="00AD3999">
        <w:trPr>
          <w:cantSplit/>
        </w:trPr>
        <w:tc>
          <w:tcPr>
            <w:tcW w:w="5490" w:type="dxa"/>
            <w:vAlign w:val="bottom"/>
          </w:tcPr>
          <w:p w:rsidR="00AD3999" w:rsidRPr="0089069F" w:rsidRDefault="00AD3999" w:rsidP="00AD3999">
            <w:pPr>
              <w:spacing w:after="120"/>
            </w:pPr>
            <w:r w:rsidRPr="0089069F">
              <w:rPr>
                <w:sz w:val="22"/>
              </w:rPr>
              <w:t>Investment revaluation reserves</w:t>
            </w:r>
          </w:p>
        </w:tc>
        <w:tc>
          <w:tcPr>
            <w:tcW w:w="1499" w:type="dxa"/>
            <w:vAlign w:val="center"/>
          </w:tcPr>
          <w:p w:rsidR="00AD3999" w:rsidRPr="00B8483E" w:rsidRDefault="00940BCE" w:rsidP="00AD3999">
            <w:pPr>
              <w:pStyle w:val="Footer"/>
              <w:tabs>
                <w:tab w:val="clear" w:pos="4153"/>
                <w:tab w:val="clear" w:pos="8306"/>
                <w:tab w:val="decimal" w:pos="972"/>
              </w:tabs>
              <w:spacing w:after="120"/>
            </w:pPr>
            <w:r>
              <w:rPr>
                <w:sz w:val="22"/>
              </w:rPr>
              <w:t>-</w:t>
            </w:r>
          </w:p>
        </w:tc>
        <w:tc>
          <w:tcPr>
            <w:tcW w:w="1499" w:type="dxa"/>
            <w:shd w:val="clear" w:color="00FFFF" w:fill="auto"/>
            <w:vAlign w:val="center"/>
          </w:tcPr>
          <w:p w:rsidR="00AD3999" w:rsidRPr="0089069F" w:rsidRDefault="00940BCE" w:rsidP="00AD3999">
            <w:pPr>
              <w:pStyle w:val="Footer"/>
              <w:tabs>
                <w:tab w:val="clear" w:pos="4153"/>
                <w:tab w:val="clear" w:pos="8306"/>
                <w:tab w:val="decimal" w:pos="972"/>
              </w:tabs>
              <w:spacing w:after="120"/>
            </w:pPr>
            <w:r>
              <w:rPr>
                <w:sz w:val="22"/>
              </w:rPr>
              <w:t>-</w:t>
            </w:r>
          </w:p>
        </w:tc>
      </w:tr>
      <w:tr w:rsidR="00AD3999" w:rsidRPr="0089069F" w:rsidTr="00AD3999">
        <w:trPr>
          <w:cantSplit/>
        </w:trPr>
        <w:tc>
          <w:tcPr>
            <w:tcW w:w="5490" w:type="dxa"/>
            <w:vAlign w:val="bottom"/>
          </w:tcPr>
          <w:p w:rsidR="00AD3999" w:rsidRPr="0089069F" w:rsidRDefault="00AD3999" w:rsidP="00AD3999">
            <w:pPr>
              <w:spacing w:after="120"/>
            </w:pPr>
            <w:r w:rsidRPr="0089069F">
              <w:rPr>
                <w:sz w:val="22"/>
              </w:rPr>
              <w:t>Retained profits</w:t>
            </w:r>
          </w:p>
        </w:tc>
        <w:tc>
          <w:tcPr>
            <w:tcW w:w="1499" w:type="dxa"/>
            <w:vAlign w:val="center"/>
          </w:tcPr>
          <w:p w:rsidR="00AD3999" w:rsidRPr="00B8483E" w:rsidRDefault="00AD3999" w:rsidP="00AD3999">
            <w:pPr>
              <w:pStyle w:val="Footer"/>
              <w:tabs>
                <w:tab w:val="clear" w:pos="4153"/>
                <w:tab w:val="clear" w:pos="8306"/>
                <w:tab w:val="decimal" w:pos="972"/>
              </w:tabs>
              <w:spacing w:after="120"/>
            </w:pPr>
            <w:r>
              <w:t>15,582</w:t>
            </w:r>
          </w:p>
        </w:tc>
        <w:tc>
          <w:tcPr>
            <w:tcW w:w="1499" w:type="dxa"/>
            <w:shd w:val="clear" w:color="00FFFF" w:fill="auto"/>
            <w:vAlign w:val="center"/>
          </w:tcPr>
          <w:p w:rsidR="00AD3999" w:rsidRPr="0089069F" w:rsidRDefault="00AD3999" w:rsidP="00AD3999">
            <w:pPr>
              <w:pStyle w:val="Footer"/>
              <w:tabs>
                <w:tab w:val="clear" w:pos="4153"/>
                <w:tab w:val="clear" w:pos="8306"/>
                <w:tab w:val="decimal" w:pos="972"/>
              </w:tabs>
              <w:spacing w:after="120"/>
            </w:pPr>
            <w:r>
              <w:rPr>
                <w:sz w:val="22"/>
              </w:rPr>
              <w:t>11,231</w:t>
            </w:r>
          </w:p>
        </w:tc>
      </w:tr>
      <w:tr w:rsidR="00AD3999" w:rsidRPr="0089069F" w:rsidTr="00AD3999">
        <w:trPr>
          <w:cantSplit/>
        </w:trPr>
        <w:tc>
          <w:tcPr>
            <w:tcW w:w="5490" w:type="dxa"/>
            <w:vAlign w:val="bottom"/>
          </w:tcPr>
          <w:p w:rsidR="00AD3999" w:rsidRPr="0089069F" w:rsidRDefault="00AD3999" w:rsidP="00AD3999">
            <w:pPr>
              <w:spacing w:after="120"/>
            </w:pPr>
            <w:r w:rsidRPr="0089069F">
              <w:rPr>
                <w:sz w:val="22"/>
              </w:rPr>
              <w:lastRenderedPageBreak/>
              <w:t>Long-term loans</w:t>
            </w:r>
          </w:p>
        </w:tc>
        <w:tc>
          <w:tcPr>
            <w:tcW w:w="1499" w:type="dxa"/>
            <w:vAlign w:val="center"/>
          </w:tcPr>
          <w:p w:rsidR="00AD3999" w:rsidRPr="00B8483E" w:rsidRDefault="00AD3999" w:rsidP="00AD3999">
            <w:pPr>
              <w:pStyle w:val="Footer"/>
              <w:tabs>
                <w:tab w:val="clear" w:pos="4153"/>
                <w:tab w:val="clear" w:pos="8306"/>
                <w:tab w:val="decimal" w:pos="972"/>
              </w:tabs>
              <w:spacing w:after="120"/>
            </w:pPr>
            <w:r>
              <w:t>7,230</w:t>
            </w:r>
          </w:p>
        </w:tc>
        <w:tc>
          <w:tcPr>
            <w:tcW w:w="1499" w:type="dxa"/>
            <w:shd w:val="clear" w:color="00FFFF" w:fill="auto"/>
            <w:vAlign w:val="center"/>
          </w:tcPr>
          <w:p w:rsidR="00AD3999" w:rsidRPr="0089069F" w:rsidRDefault="00AD3999" w:rsidP="00AD3999">
            <w:pPr>
              <w:pStyle w:val="Footer"/>
              <w:tabs>
                <w:tab w:val="clear" w:pos="4153"/>
                <w:tab w:val="clear" w:pos="8306"/>
                <w:tab w:val="decimal" w:pos="972"/>
              </w:tabs>
              <w:spacing w:after="120"/>
            </w:pPr>
            <w:r>
              <w:rPr>
                <w:sz w:val="22"/>
              </w:rPr>
              <w:t>7,274</w:t>
            </w:r>
          </w:p>
        </w:tc>
      </w:tr>
      <w:tr w:rsidR="00AD3999" w:rsidRPr="0089069F" w:rsidTr="00AD3999">
        <w:trPr>
          <w:cantSplit/>
        </w:trPr>
        <w:tc>
          <w:tcPr>
            <w:tcW w:w="5490" w:type="dxa"/>
            <w:vAlign w:val="bottom"/>
          </w:tcPr>
          <w:p w:rsidR="00AD3999" w:rsidRPr="0089069F" w:rsidRDefault="00AD3999" w:rsidP="00AD3999">
            <w:pPr>
              <w:spacing w:after="120"/>
            </w:pPr>
            <w:r w:rsidRPr="0089069F">
              <w:rPr>
                <w:sz w:val="22"/>
              </w:rPr>
              <w:t>Provisions for liabilities and charges</w:t>
            </w:r>
          </w:p>
        </w:tc>
        <w:tc>
          <w:tcPr>
            <w:tcW w:w="1499" w:type="dxa"/>
            <w:tcBorders>
              <w:bottom w:val="single" w:sz="4" w:space="0" w:color="auto"/>
            </w:tcBorders>
            <w:vAlign w:val="center"/>
          </w:tcPr>
          <w:p w:rsidR="00AD3999" w:rsidRPr="00B8483E" w:rsidRDefault="00AD3999" w:rsidP="00AD3999">
            <w:pPr>
              <w:pStyle w:val="Footer"/>
              <w:tabs>
                <w:tab w:val="clear" w:pos="4153"/>
                <w:tab w:val="clear" w:pos="8306"/>
                <w:tab w:val="decimal" w:pos="972"/>
              </w:tabs>
              <w:spacing w:after="120"/>
            </w:pPr>
            <w:r>
              <w:t>132</w:t>
            </w:r>
          </w:p>
        </w:tc>
        <w:tc>
          <w:tcPr>
            <w:tcW w:w="1499" w:type="dxa"/>
            <w:tcBorders>
              <w:bottom w:val="single" w:sz="4" w:space="0" w:color="auto"/>
            </w:tcBorders>
            <w:shd w:val="clear" w:color="00FFFF" w:fill="auto"/>
            <w:vAlign w:val="center"/>
          </w:tcPr>
          <w:p w:rsidR="00AD3999" w:rsidRPr="0089069F" w:rsidRDefault="00AD3999" w:rsidP="00AD3999">
            <w:pPr>
              <w:pStyle w:val="Footer"/>
              <w:tabs>
                <w:tab w:val="clear" w:pos="4153"/>
                <w:tab w:val="clear" w:pos="8306"/>
                <w:tab w:val="decimal" w:pos="972"/>
              </w:tabs>
              <w:spacing w:after="120"/>
            </w:pPr>
            <w:r>
              <w:rPr>
                <w:sz w:val="22"/>
              </w:rPr>
              <w:t>132</w:t>
            </w:r>
          </w:p>
        </w:tc>
      </w:tr>
      <w:tr w:rsidR="00AD3999" w:rsidRPr="0089069F" w:rsidTr="00AD3999">
        <w:trPr>
          <w:cantSplit/>
        </w:trPr>
        <w:tc>
          <w:tcPr>
            <w:tcW w:w="5490" w:type="dxa"/>
            <w:vAlign w:val="bottom"/>
          </w:tcPr>
          <w:p w:rsidR="00AD3999" w:rsidRPr="0089069F" w:rsidRDefault="00AD3999" w:rsidP="00AD3999">
            <w:pPr>
              <w:tabs>
                <w:tab w:val="left" w:pos="0"/>
              </w:tabs>
            </w:pPr>
            <w:r w:rsidRPr="0089069F">
              <w:rPr>
                <w:sz w:val="22"/>
              </w:rPr>
              <w:t>Total</w:t>
            </w:r>
          </w:p>
        </w:tc>
        <w:tc>
          <w:tcPr>
            <w:tcW w:w="1499" w:type="dxa"/>
            <w:tcBorders>
              <w:top w:val="single" w:sz="4" w:space="0" w:color="auto"/>
              <w:bottom w:val="single" w:sz="4" w:space="0" w:color="auto"/>
            </w:tcBorders>
            <w:vAlign w:val="center"/>
          </w:tcPr>
          <w:p w:rsidR="00AD3999" w:rsidRPr="00B8483E" w:rsidRDefault="00AD3999" w:rsidP="00AD3999">
            <w:pPr>
              <w:pStyle w:val="Footer"/>
              <w:tabs>
                <w:tab w:val="clear" w:pos="4153"/>
                <w:tab w:val="clear" w:pos="8306"/>
                <w:tab w:val="decimal" w:pos="972"/>
              </w:tabs>
            </w:pPr>
            <w:r>
              <w:t>36,940</w:t>
            </w:r>
          </w:p>
        </w:tc>
        <w:tc>
          <w:tcPr>
            <w:tcW w:w="1499" w:type="dxa"/>
            <w:tcBorders>
              <w:top w:val="single" w:sz="4" w:space="0" w:color="auto"/>
              <w:bottom w:val="single" w:sz="4" w:space="0" w:color="auto"/>
            </w:tcBorders>
            <w:shd w:val="clear" w:color="00FFFF" w:fill="auto"/>
            <w:vAlign w:val="center"/>
          </w:tcPr>
          <w:p w:rsidR="00AD3999" w:rsidRPr="0089069F" w:rsidRDefault="00AD3999" w:rsidP="00AD3999">
            <w:pPr>
              <w:pStyle w:val="Footer"/>
              <w:tabs>
                <w:tab w:val="clear" w:pos="4153"/>
                <w:tab w:val="clear" w:pos="8306"/>
                <w:tab w:val="decimal" w:pos="972"/>
              </w:tabs>
            </w:pPr>
            <w:r>
              <w:rPr>
                <w:sz w:val="22"/>
              </w:rPr>
              <w:t>46,699</w:t>
            </w:r>
          </w:p>
        </w:tc>
      </w:tr>
    </w:tbl>
    <w:p w:rsidR="00AD3999" w:rsidRPr="003347D2" w:rsidRDefault="00AD3999" w:rsidP="00AD3999">
      <w:pPr>
        <w:ind w:left="357"/>
        <w:jc w:val="both"/>
      </w:pPr>
    </w:p>
    <w:p w:rsidR="00AD3999" w:rsidRPr="003347D2" w:rsidRDefault="00AD3999" w:rsidP="00AD3999">
      <w:pPr>
        <w:ind w:left="357"/>
        <w:jc w:val="both"/>
      </w:pPr>
    </w:p>
    <w:p w:rsidR="00AD3999" w:rsidRDefault="00AD3999" w:rsidP="00AD3999">
      <w:pPr>
        <w:ind w:left="357"/>
        <w:jc w:val="both"/>
      </w:pPr>
      <w:r w:rsidRPr="003347D2">
        <w:t>There is more information about LCDL in its annual report and statement of accounts. Copies of these are available from the LCDL registered office: PO Box 78, County Hall, Preston, Lancashire PR1 8XJ.</w:t>
      </w:r>
      <w:r w:rsidRPr="0089069F">
        <w:t xml:space="preserve"> </w:t>
      </w:r>
      <w:r w:rsidRPr="003347D2">
        <w:t>Due to timing this information is based on unaudited accounts, however there have been no audit qualifications to LCDL’s accounts in the past.</w:t>
      </w:r>
    </w:p>
    <w:p w:rsidR="00AD3999" w:rsidRDefault="00AD3999" w:rsidP="00AD3999">
      <w:pPr>
        <w:ind w:left="357"/>
        <w:jc w:val="both"/>
      </w:pPr>
    </w:p>
    <w:p w:rsidR="00AD3999" w:rsidRDefault="00AD3999" w:rsidP="00AD3999">
      <w:pPr>
        <w:ind w:left="357"/>
        <w:rPr>
          <w:b/>
        </w:rPr>
      </w:pPr>
      <w:r>
        <w:rPr>
          <w:b/>
        </w:rPr>
        <w:t xml:space="preserve">One Connect Limited </w:t>
      </w:r>
    </w:p>
    <w:p w:rsidR="00AD3999" w:rsidRDefault="00AD3999" w:rsidP="00AD3999">
      <w:pPr>
        <w:pStyle w:val="NormalWeb"/>
        <w:ind w:left="357"/>
      </w:pPr>
      <w:r w:rsidRPr="00741447">
        <w:rPr>
          <w:rFonts w:ascii="Arial" w:hAnsi="Arial" w:cs="Arial"/>
        </w:rPr>
        <w:t xml:space="preserve">One Connect Ltd (OCL) is a </w:t>
      </w:r>
      <w:r w:rsidR="0043696D">
        <w:rPr>
          <w:rFonts w:ascii="Arial" w:hAnsi="Arial" w:cs="Arial"/>
        </w:rPr>
        <w:t>joint venture</w:t>
      </w:r>
      <w:r w:rsidRPr="00741447">
        <w:rPr>
          <w:rFonts w:ascii="Arial" w:hAnsi="Arial" w:cs="Arial"/>
        </w:rPr>
        <w:t xml:space="preserve"> between Lancashire </w:t>
      </w:r>
      <w:r w:rsidR="001F1A1A">
        <w:rPr>
          <w:rFonts w:ascii="Arial" w:hAnsi="Arial" w:cs="Arial"/>
        </w:rPr>
        <w:t>County Council</w:t>
      </w:r>
      <w:r w:rsidRPr="00741447">
        <w:rPr>
          <w:rFonts w:ascii="Arial" w:hAnsi="Arial" w:cs="Arial"/>
        </w:rPr>
        <w:t xml:space="preserve"> and BT, set up in</w:t>
      </w:r>
      <w:r>
        <w:rPr>
          <w:rFonts w:ascii="Arial" w:hAnsi="Arial" w:cs="Arial"/>
        </w:rPr>
        <w:t xml:space="preserve"> May 2011. The partnership </w:t>
      </w:r>
      <w:r w:rsidRPr="00741447">
        <w:rPr>
          <w:rFonts w:ascii="Arial" w:hAnsi="Arial" w:cs="Arial"/>
        </w:rPr>
        <w:t>deliver</w:t>
      </w:r>
      <w:r>
        <w:rPr>
          <w:rFonts w:ascii="Arial" w:hAnsi="Arial" w:cs="Arial"/>
        </w:rPr>
        <w:t>s</w:t>
      </w:r>
      <w:r w:rsidRPr="00741447">
        <w:rPr>
          <w:rFonts w:ascii="Arial" w:hAnsi="Arial" w:cs="Arial"/>
        </w:rPr>
        <w:t xml:space="preserve"> a range of services for the </w:t>
      </w:r>
      <w:r w:rsidR="001F1A1A">
        <w:rPr>
          <w:rFonts w:ascii="Arial" w:hAnsi="Arial" w:cs="Arial"/>
        </w:rPr>
        <w:t>County Council</w:t>
      </w:r>
      <w:r w:rsidRPr="00741447">
        <w:rPr>
          <w:rFonts w:ascii="Arial" w:hAnsi="Arial" w:cs="Arial"/>
        </w:rPr>
        <w:t xml:space="preserve">, </w:t>
      </w:r>
      <w:r w:rsidR="0043696D">
        <w:rPr>
          <w:rFonts w:ascii="Arial" w:hAnsi="Arial" w:cs="Arial"/>
        </w:rPr>
        <w:t xml:space="preserve">including ICT services, customer access and procurement, </w:t>
      </w:r>
      <w:r w:rsidRPr="00741447">
        <w:rPr>
          <w:rFonts w:ascii="Arial" w:hAnsi="Arial" w:cs="Arial"/>
        </w:rPr>
        <w:t>giving us the best value for money</w:t>
      </w:r>
      <w:r>
        <w:rPr>
          <w:rFonts w:ascii="Arial" w:hAnsi="Arial" w:cs="Arial"/>
        </w:rPr>
        <w:t xml:space="preserve"> while improving the services the Council </w:t>
      </w:r>
      <w:r w:rsidRPr="00741447">
        <w:rPr>
          <w:rFonts w:ascii="Arial" w:hAnsi="Arial" w:cs="Arial"/>
        </w:rPr>
        <w:t>provides to the people, schools,</w:t>
      </w:r>
      <w:r w:rsidR="0043696D">
        <w:rPr>
          <w:rFonts w:ascii="Arial" w:hAnsi="Arial" w:cs="Arial"/>
        </w:rPr>
        <w:t xml:space="preserve"> businesses and organisations in</w:t>
      </w:r>
      <w:r w:rsidRPr="00741447">
        <w:rPr>
          <w:rFonts w:ascii="Arial" w:hAnsi="Arial" w:cs="Arial"/>
        </w:rPr>
        <w:t xml:space="preserve"> Lancashire.</w:t>
      </w:r>
    </w:p>
    <w:p w:rsidR="00687D2A" w:rsidRDefault="00AD3999" w:rsidP="00687D2A">
      <w:pPr>
        <w:ind w:left="357"/>
        <w:jc w:val="both"/>
      </w:pPr>
      <w:r>
        <w:t xml:space="preserve">Lancashire </w:t>
      </w:r>
      <w:r w:rsidR="001F1A1A">
        <w:t>County Council</w:t>
      </w:r>
      <w:r>
        <w:t xml:space="preserve"> has 40% shareholding and 40% representation on the board of directors. It is classed as an associate of the </w:t>
      </w:r>
      <w:r w:rsidR="001F1A1A">
        <w:t>County Council</w:t>
      </w:r>
      <w:r>
        <w:t xml:space="preserve">. </w:t>
      </w:r>
    </w:p>
    <w:p w:rsidR="00AD3999" w:rsidRDefault="00AD3999" w:rsidP="00AD3999">
      <w:pPr>
        <w:ind w:left="357"/>
        <w:rPr>
          <w:b/>
        </w:rPr>
      </w:pPr>
    </w:p>
    <w:p w:rsidR="00AD3999" w:rsidRDefault="00AD3999" w:rsidP="00AD3999">
      <w:pPr>
        <w:ind w:left="357"/>
        <w:jc w:val="both"/>
      </w:pPr>
      <w:r w:rsidRPr="00EA4205">
        <w:t xml:space="preserve">In 2011/12 the company </w:t>
      </w:r>
      <w:r w:rsidRPr="000E154C">
        <w:t>profit before taxation</w:t>
      </w:r>
      <w:r w:rsidRPr="00EA4205">
        <w:t xml:space="preserve"> was £nil. At 31 March 2012 it had net assets </w:t>
      </w:r>
      <w:r w:rsidRPr="000E154C">
        <w:t>of £0 million</w:t>
      </w:r>
      <w:r w:rsidRPr="00EA4205">
        <w:t xml:space="preserve">. </w:t>
      </w:r>
      <w:r w:rsidRPr="000E154C">
        <w:t>For 2011/12 the turnover was £50.897 million, with operating costs of £50.897 million, total current assets were £12.906 million with total liabilities of £12.906 million.</w:t>
      </w:r>
    </w:p>
    <w:p w:rsidR="00ED3047" w:rsidRPr="00ED3047" w:rsidRDefault="00ED3047" w:rsidP="00ED3047">
      <w:pPr>
        <w:ind w:left="357"/>
        <w:jc w:val="both"/>
      </w:pPr>
    </w:p>
    <w:p w:rsidR="00687D2A" w:rsidRPr="00687D2A" w:rsidRDefault="00687D2A" w:rsidP="00687D2A">
      <w:pPr>
        <w:ind w:left="357"/>
        <w:jc w:val="both"/>
        <w:rPr>
          <w:iCs/>
        </w:rPr>
      </w:pPr>
      <w:r w:rsidRPr="00687D2A">
        <w:rPr>
          <w:iCs/>
        </w:rPr>
        <w:t>Lancashire County Council recognised revenue of £41.511m from One Connect Limited in respect of contract payments and re-imbursement for payment of seconded staff. The Authority incurred expenditure of £54.112m to One Connect Limited in payment for services provided by the strategic partnership.</w:t>
      </w:r>
    </w:p>
    <w:p w:rsidR="00687D2A" w:rsidRDefault="00687D2A" w:rsidP="00687D2A">
      <w:pPr>
        <w:jc w:val="both"/>
      </w:pPr>
    </w:p>
    <w:p w:rsidR="00AD3999" w:rsidRDefault="00AD3999" w:rsidP="00AD3999">
      <w:pPr>
        <w:ind w:left="357"/>
        <w:jc w:val="both"/>
      </w:pPr>
      <w:r w:rsidRPr="00EA4205">
        <w:t xml:space="preserve">There is more information about OCL in its annual report and statement of accounts. Copies of these are available from </w:t>
      </w:r>
      <w:r w:rsidR="0043696D">
        <w:t>Companies' H</w:t>
      </w:r>
      <w:r w:rsidRPr="0089069F">
        <w:t xml:space="preserve">ouse at the cost of £1.00, at the following website </w:t>
      </w:r>
      <w:hyperlink r:id="rId22" w:history="1">
        <w:r w:rsidRPr="0089069F">
          <w:rPr>
            <w:rStyle w:val="Hyperlink"/>
          </w:rPr>
          <w:t>www.companieshouse.gov.uk</w:t>
        </w:r>
      </w:hyperlink>
      <w:r w:rsidRPr="0089069F">
        <w:t xml:space="preserve">. </w:t>
      </w:r>
      <w:r w:rsidRPr="00EA4205">
        <w:t>Due to timing this information is based on unaudited accounts</w:t>
      </w:r>
      <w:r>
        <w:t>.</w:t>
      </w:r>
    </w:p>
    <w:p w:rsidR="00AD3999" w:rsidRDefault="00AD3999" w:rsidP="00AD3999">
      <w:pPr>
        <w:ind w:left="357"/>
        <w:jc w:val="both"/>
        <w:rPr>
          <w:b/>
        </w:rPr>
      </w:pPr>
    </w:p>
    <w:p w:rsidR="00AD3999" w:rsidRDefault="00AD3999" w:rsidP="00AD3999">
      <w:pPr>
        <w:ind w:left="357"/>
        <w:rPr>
          <w:b/>
        </w:rPr>
      </w:pPr>
    </w:p>
    <w:p w:rsidR="00AD3999" w:rsidRPr="00E83D17" w:rsidRDefault="00AD3999" w:rsidP="00AD3999">
      <w:pPr>
        <w:ind w:left="357"/>
        <w:jc w:val="both"/>
        <w:rPr>
          <w:b/>
        </w:rPr>
      </w:pPr>
      <w:r w:rsidRPr="00E83D17">
        <w:rPr>
          <w:b/>
        </w:rPr>
        <w:t>CX Ltd (CXL)</w:t>
      </w:r>
    </w:p>
    <w:p w:rsidR="00AD3999" w:rsidRPr="00E83D17" w:rsidRDefault="00AD3999" w:rsidP="00AD3999">
      <w:pPr>
        <w:ind w:left="1077"/>
        <w:rPr>
          <w:b/>
        </w:rPr>
      </w:pPr>
    </w:p>
    <w:p w:rsidR="00AD3999" w:rsidRPr="00E83D17" w:rsidRDefault="00AD3999" w:rsidP="00AD3999">
      <w:pPr>
        <w:ind w:left="357"/>
        <w:jc w:val="both"/>
      </w:pPr>
      <w:r w:rsidRPr="00E83D17">
        <w:t>CXL was incorporated on 11 January 2007 and began trading on 1 April 2007.</w:t>
      </w:r>
    </w:p>
    <w:p w:rsidR="00AD3999" w:rsidRPr="00E83D17" w:rsidRDefault="00AD3999" w:rsidP="00AD3999">
      <w:pPr>
        <w:ind w:left="357" w:firstLine="720"/>
        <w:jc w:val="both"/>
      </w:pPr>
    </w:p>
    <w:p w:rsidR="00AD3999" w:rsidRPr="00E83D17" w:rsidRDefault="00AD3999" w:rsidP="0036027B">
      <w:pPr>
        <w:ind w:left="357"/>
        <w:jc w:val="both"/>
      </w:pPr>
      <w:r w:rsidRPr="00E83D17">
        <w:t xml:space="preserve">CXL is owned by Lancashire </w:t>
      </w:r>
      <w:r w:rsidR="001F1A1A">
        <w:t>County Council</w:t>
      </w:r>
      <w:r w:rsidRPr="00E83D17">
        <w:t xml:space="preserve">, Blackburn with Darwen Borough Council and Blackpool Council, with the authorities owning shares in the Company in the following proportions: Lancashire </w:t>
      </w:r>
      <w:r w:rsidR="001F1A1A">
        <w:t>County Council</w:t>
      </w:r>
      <w:r w:rsidRPr="00E83D17">
        <w:t xml:space="preserve"> 40%; Blackburn with Darwen Borough Council 30%; and Blackpool Borough Council 30%. The voting rights of each authority in general meetings of the company directly reflect their shareholdings. The Cabinet member for Schools and the Executive Director for Children and Young People (or her nominee(s)) sit on the board of CXL, and the County Secretary and Solicitor is the Company Secretary. </w:t>
      </w:r>
    </w:p>
    <w:p w:rsidR="00AD3999" w:rsidRPr="00E83D17" w:rsidRDefault="00AD3999" w:rsidP="00AD3999">
      <w:pPr>
        <w:ind w:left="1077"/>
        <w:jc w:val="both"/>
      </w:pPr>
    </w:p>
    <w:p w:rsidR="00AD3999" w:rsidRPr="00E83D17" w:rsidRDefault="00AD3999" w:rsidP="00AD3999">
      <w:pPr>
        <w:ind w:left="357"/>
        <w:jc w:val="both"/>
      </w:pPr>
      <w:r w:rsidRPr="00F60800">
        <w:t xml:space="preserve">In 2011/12 the company made an operational loss before taxation of £0.74 million (a loss before taxation of £0.870 million in 2010/11). At 31 March 2012 it had net liabilities of £0.470million (net liabilities of £0.886million at 31 March 2011). Due to timing this information is based on unaudited accounts, and before any final audit technical adjustments following the </w:t>
      </w:r>
      <w:r w:rsidRPr="00F60800">
        <w:lastRenderedPageBreak/>
        <w:t>final audit closure meeting, however there have been no audit qualifications to CX Ltd accounts in the past.</w:t>
      </w:r>
    </w:p>
    <w:p w:rsidR="00AD3999" w:rsidRPr="00E83D17" w:rsidRDefault="00AD3999" w:rsidP="00AD3999">
      <w:pPr>
        <w:ind w:left="1077"/>
        <w:jc w:val="both"/>
      </w:pPr>
    </w:p>
    <w:p w:rsidR="00AD3999" w:rsidRPr="00E83D17" w:rsidRDefault="00AD3999" w:rsidP="00AD3999">
      <w:pPr>
        <w:ind w:left="357"/>
        <w:jc w:val="both"/>
      </w:pPr>
      <w:r>
        <w:t>A</w:t>
      </w:r>
      <w:r w:rsidRPr="00E83D17">
        <w:t xml:space="preserve"> copy of the accounts for CX Ltd can be obtained from the CXL registered office: County Hall, Preston, Lancashire PR1 8XJ. </w:t>
      </w:r>
    </w:p>
    <w:p w:rsidR="00AD3999" w:rsidRDefault="00AD3999" w:rsidP="00AD3999">
      <w:pPr>
        <w:ind w:left="357"/>
        <w:jc w:val="both"/>
      </w:pPr>
    </w:p>
    <w:p w:rsidR="0043696D" w:rsidRPr="0089069F" w:rsidRDefault="0043696D" w:rsidP="0043696D">
      <w:pPr>
        <w:ind w:left="357"/>
        <w:jc w:val="both"/>
        <w:rPr>
          <w:b/>
        </w:rPr>
      </w:pPr>
      <w:r w:rsidRPr="0089069F">
        <w:rPr>
          <w:b/>
        </w:rPr>
        <w:t xml:space="preserve">Lancashire Education Business Partnership Limited </w:t>
      </w:r>
    </w:p>
    <w:p w:rsidR="0043696D" w:rsidRPr="0089069F" w:rsidRDefault="0043696D" w:rsidP="0043696D">
      <w:pPr>
        <w:ind w:left="1077"/>
        <w:rPr>
          <w:b/>
        </w:rPr>
      </w:pPr>
    </w:p>
    <w:p w:rsidR="0043696D" w:rsidRPr="00F60800" w:rsidRDefault="0043696D" w:rsidP="0043696D">
      <w:pPr>
        <w:ind w:left="357"/>
        <w:jc w:val="both"/>
      </w:pPr>
      <w:r w:rsidRPr="00F60800">
        <w:t xml:space="preserve">This company was incorporated to support, advance and promote the education and training of children, young people and adults in </w:t>
      </w:r>
      <w:r>
        <w:t xml:space="preserve">the </w:t>
      </w:r>
      <w:r w:rsidRPr="00F60800">
        <w:t>Lancashire, Blackpool an</w:t>
      </w:r>
      <w:r>
        <w:t>d Blackburn with Darwen areas</w:t>
      </w:r>
      <w:r w:rsidRPr="00F60800">
        <w:t xml:space="preserve"> in order to equip them for further education, employment and training. Lancashire </w:t>
      </w:r>
      <w:r w:rsidR="001F1A1A">
        <w:t>County Council</w:t>
      </w:r>
      <w:r w:rsidRPr="00F60800">
        <w:t xml:space="preserve"> is one of three members of the company and controls 33% of the voting rights. The company is limited by guarantee and the liability of members is limited to £1. </w:t>
      </w:r>
    </w:p>
    <w:p w:rsidR="0043696D" w:rsidRPr="00F60800" w:rsidRDefault="0043696D" w:rsidP="0043696D">
      <w:pPr>
        <w:ind w:left="357"/>
        <w:jc w:val="both"/>
      </w:pPr>
    </w:p>
    <w:p w:rsidR="0043696D" w:rsidRPr="00F60800" w:rsidRDefault="0043696D" w:rsidP="0043696D">
      <w:pPr>
        <w:ind w:left="357"/>
        <w:jc w:val="both"/>
      </w:pPr>
      <w:r w:rsidRPr="00F60800">
        <w:t xml:space="preserve">In 2010 the Board approved a three year restructuring plan reducing operational costs to secure a foundation for profit and growth in 2012/13.  </w:t>
      </w:r>
    </w:p>
    <w:p w:rsidR="0043696D" w:rsidRPr="00F60800" w:rsidRDefault="0043696D" w:rsidP="0043696D">
      <w:pPr>
        <w:ind w:left="1077"/>
        <w:jc w:val="both"/>
      </w:pPr>
    </w:p>
    <w:p w:rsidR="0043696D" w:rsidRPr="00F60800" w:rsidRDefault="0043696D" w:rsidP="0043696D">
      <w:pPr>
        <w:ind w:left="357"/>
        <w:jc w:val="both"/>
      </w:pPr>
      <w:r w:rsidRPr="00F60800">
        <w:t xml:space="preserve">In 2011/12 the company </w:t>
      </w:r>
      <w:r w:rsidR="000E5732">
        <w:t>h</w:t>
      </w:r>
      <w:r w:rsidRPr="00F60800">
        <w:t>ad net outgoing resources before transfers of £0.537 million (net incoming resources before transfers of £0.05 million in 2010/11) and had net asset of £0.665 million (£1.201 million in 2010/11). Due to timing this information is based on unaudited accounts, however there have been no audit qualifications to CX Ltd accounts in the past.</w:t>
      </w:r>
    </w:p>
    <w:p w:rsidR="0043696D" w:rsidRPr="00F60800" w:rsidRDefault="0043696D" w:rsidP="0043696D">
      <w:pPr>
        <w:ind w:left="1077"/>
        <w:jc w:val="both"/>
      </w:pPr>
    </w:p>
    <w:p w:rsidR="0043696D" w:rsidRPr="00E83D17" w:rsidRDefault="0043696D" w:rsidP="0043696D">
      <w:pPr>
        <w:ind w:left="357"/>
        <w:jc w:val="both"/>
      </w:pPr>
      <w:r w:rsidRPr="00F60800">
        <w:t xml:space="preserve">A copy of the accounts can be obtained from Lancashire </w:t>
      </w:r>
      <w:r w:rsidR="001F1A1A">
        <w:t>County Council</w:t>
      </w:r>
      <w:r w:rsidRPr="00F60800">
        <w:t>, PO Box 78, County Hall, Preston, Lancashire, PR1 8XJ.</w:t>
      </w:r>
      <w:r w:rsidRPr="00E83D17">
        <w:t xml:space="preserve"> </w:t>
      </w:r>
    </w:p>
    <w:p w:rsidR="00AD3999" w:rsidRDefault="00AD3999" w:rsidP="00AD3999">
      <w:pPr>
        <w:ind w:left="357"/>
        <w:jc w:val="both"/>
      </w:pPr>
    </w:p>
    <w:p w:rsidR="00AD3999" w:rsidRPr="0089069F" w:rsidRDefault="00AD3999" w:rsidP="00AD3999">
      <w:pPr>
        <w:ind w:left="357"/>
        <w:rPr>
          <w:b/>
        </w:rPr>
      </w:pPr>
      <w:r w:rsidRPr="0089069F">
        <w:rPr>
          <w:b/>
        </w:rPr>
        <w:t>Lancashire and Blackpool Tourist Board Ltd</w:t>
      </w:r>
    </w:p>
    <w:p w:rsidR="00AD3999" w:rsidRDefault="00AD3999" w:rsidP="00AD3999">
      <w:pPr>
        <w:ind w:left="357"/>
        <w:jc w:val="both"/>
      </w:pPr>
    </w:p>
    <w:p w:rsidR="00AD3999" w:rsidRPr="0089069F" w:rsidRDefault="00AD3999" w:rsidP="00AD3999">
      <w:pPr>
        <w:ind w:left="357"/>
        <w:jc w:val="both"/>
      </w:pPr>
      <w:r w:rsidRPr="0089069F">
        <w:t xml:space="preserve">Lancashire and Blackpool Tourist Board Ltd was created in 2004. It is one of four boards that succeeded the North West Tourist Board. It is a company limited by guarantee and has no issued share capital. The liability of members is limited to £1. </w:t>
      </w:r>
    </w:p>
    <w:p w:rsidR="00AD3999" w:rsidRPr="0089069F" w:rsidRDefault="00AD3999" w:rsidP="00AD3999">
      <w:pPr>
        <w:ind w:left="1077"/>
        <w:jc w:val="both"/>
      </w:pPr>
    </w:p>
    <w:p w:rsidR="00AD3999" w:rsidRPr="00543AA1" w:rsidRDefault="00AD3999" w:rsidP="00AD3999">
      <w:pPr>
        <w:ind w:left="357"/>
        <w:jc w:val="both"/>
        <w:rPr>
          <w:color w:val="FF0000"/>
        </w:rPr>
      </w:pPr>
      <w:r>
        <w:t xml:space="preserve">The </w:t>
      </w:r>
      <w:r w:rsidR="001F1A1A">
        <w:t>County Council</w:t>
      </w:r>
      <w:r w:rsidRPr="0089069F">
        <w:t xml:space="preserve"> controls </w:t>
      </w:r>
      <w:r w:rsidRPr="001A3CC8">
        <w:t>43%</w:t>
      </w:r>
      <w:r w:rsidRPr="0089069F">
        <w:t xml:space="preserve"> of the voting rights, so the organisation is classed as </w:t>
      </w:r>
      <w:r w:rsidRPr="000836EB">
        <w:t>a joint venture</w:t>
      </w:r>
      <w:r>
        <w:t xml:space="preserve"> </w:t>
      </w:r>
      <w:r w:rsidRPr="0089069F">
        <w:t xml:space="preserve">of the </w:t>
      </w:r>
      <w:r w:rsidR="001F1A1A">
        <w:t>County Council</w:t>
      </w:r>
      <w:r w:rsidRPr="0089069F">
        <w:t xml:space="preserve">. </w:t>
      </w:r>
    </w:p>
    <w:p w:rsidR="00AD3999" w:rsidRPr="0089069F" w:rsidRDefault="00AD3999" w:rsidP="00AD3999">
      <w:pPr>
        <w:ind w:left="1077"/>
        <w:jc w:val="both"/>
      </w:pPr>
    </w:p>
    <w:p w:rsidR="00AD3999" w:rsidRPr="003347D2" w:rsidRDefault="00AD3999" w:rsidP="00AD3999">
      <w:pPr>
        <w:ind w:left="357"/>
        <w:jc w:val="both"/>
      </w:pPr>
      <w:r w:rsidRPr="003347D2">
        <w:t>In 2011/12 Lancashire and Blackpool Tourist Board Ltd made a loss</w:t>
      </w:r>
      <w:r w:rsidRPr="003347D2">
        <w:rPr>
          <w:color w:val="0000FF"/>
        </w:rPr>
        <w:t xml:space="preserve"> </w:t>
      </w:r>
      <w:r w:rsidRPr="003347D2">
        <w:t xml:space="preserve">on operating activities before taxation of </w:t>
      </w:r>
      <w:r w:rsidRPr="006A5745">
        <w:t>£0.031 million (loss of £0.056 million in 2010/11). At 31 March 2012 it had net assets of £0.269 million (£</w:t>
      </w:r>
      <w:r w:rsidRPr="003347D2">
        <w:t xml:space="preserve">0.029 million at 31 March 2011). Due to timing this information is based on unaudited accounts, however there have been no audit qualifications to the accounts of </w:t>
      </w:r>
      <w:smartTag w:uri="urn:schemas-microsoft-com:office:smarttags" w:element="place">
        <w:r w:rsidRPr="003347D2">
          <w:t>Lancashire</w:t>
        </w:r>
      </w:smartTag>
      <w:r w:rsidRPr="003347D2">
        <w:t xml:space="preserve"> and Blackpool Tourist Board Ltd in the past.</w:t>
      </w:r>
    </w:p>
    <w:p w:rsidR="00AD3999" w:rsidRPr="003347D2" w:rsidRDefault="00AD3999" w:rsidP="00AD3999">
      <w:pPr>
        <w:ind w:left="357"/>
        <w:jc w:val="both"/>
      </w:pPr>
    </w:p>
    <w:p w:rsidR="00AD3999" w:rsidRPr="0089069F" w:rsidRDefault="00AD3999" w:rsidP="00AD3999">
      <w:pPr>
        <w:ind w:left="357"/>
        <w:jc w:val="both"/>
      </w:pPr>
      <w:r w:rsidRPr="003347D2">
        <w:t>A copy of the accounts can be obtained from PO Box 78, County Hall, Preston, Lancashire, PR1 8XJ.</w:t>
      </w:r>
      <w:r w:rsidRPr="0089069F">
        <w:t xml:space="preserve"> </w:t>
      </w:r>
    </w:p>
    <w:p w:rsidR="00AD3999" w:rsidRPr="0089069F" w:rsidRDefault="00AD3999" w:rsidP="00AD3999">
      <w:pPr>
        <w:ind w:left="1077"/>
      </w:pPr>
    </w:p>
    <w:p w:rsidR="00AD3999" w:rsidRPr="0089069F" w:rsidRDefault="00AD3999" w:rsidP="00AD3999">
      <w:pPr>
        <w:ind w:left="357"/>
        <w:rPr>
          <w:b/>
        </w:rPr>
      </w:pPr>
      <w:r w:rsidRPr="0089069F">
        <w:rPr>
          <w:b/>
        </w:rPr>
        <w:t>LWS Lancashire Environmental Fund Ltd</w:t>
      </w:r>
    </w:p>
    <w:p w:rsidR="00AD3999" w:rsidRPr="0089069F" w:rsidRDefault="00AD3999" w:rsidP="00AD3999">
      <w:pPr>
        <w:ind w:left="357"/>
      </w:pPr>
    </w:p>
    <w:p w:rsidR="00AD3999" w:rsidRPr="0089069F" w:rsidRDefault="00AD3999" w:rsidP="00AD3999">
      <w:pPr>
        <w:ind w:left="357"/>
        <w:jc w:val="both"/>
      </w:pPr>
      <w:r w:rsidRPr="0089069F">
        <w:t xml:space="preserve">LWS Lancashire Environmental Fund Ltd receives landfill tax credits and awards grants to environmental projects which meet the criteria specified by the Landfill Tax Regulations 1996 (as amended). It is a charitable company limited by guarantee and therefore has no share capital. The liability of members is limited to £1. </w:t>
      </w:r>
    </w:p>
    <w:p w:rsidR="00AD3999" w:rsidRPr="0089069F" w:rsidRDefault="00AD3999" w:rsidP="00AD3999">
      <w:pPr>
        <w:ind w:left="1077"/>
        <w:jc w:val="both"/>
      </w:pPr>
    </w:p>
    <w:p w:rsidR="00AD3999" w:rsidRPr="0089069F" w:rsidRDefault="00AD3999" w:rsidP="00AD3999">
      <w:pPr>
        <w:ind w:left="357"/>
        <w:jc w:val="both"/>
      </w:pPr>
      <w:r w:rsidRPr="0089069F">
        <w:lastRenderedPageBreak/>
        <w:t xml:space="preserve">The </w:t>
      </w:r>
      <w:r w:rsidR="001F1A1A">
        <w:t>County Council</w:t>
      </w:r>
      <w:r w:rsidRPr="0089069F">
        <w:t xml:space="preserve"> controls 25% of the voting rights, so the organisation is classed</w:t>
      </w:r>
      <w:r>
        <w:t xml:space="preserve"> as an associate of the </w:t>
      </w:r>
      <w:r w:rsidR="001F1A1A">
        <w:t>County Council</w:t>
      </w:r>
      <w:r w:rsidRPr="0089069F">
        <w:t>.</w:t>
      </w:r>
    </w:p>
    <w:p w:rsidR="00AD3999" w:rsidRPr="0089069F" w:rsidRDefault="00AD3999" w:rsidP="00AD3999">
      <w:pPr>
        <w:ind w:left="1077"/>
        <w:jc w:val="both"/>
      </w:pPr>
    </w:p>
    <w:p w:rsidR="00AD3999" w:rsidRDefault="00AD3999" w:rsidP="00AD3999">
      <w:pPr>
        <w:ind w:left="357"/>
        <w:jc w:val="both"/>
      </w:pPr>
      <w:r w:rsidRPr="00C77B28">
        <w:t>The company’s accounti</w:t>
      </w:r>
      <w:r>
        <w:t>ng year ends on 31 December. In year ending 31 December 2011</w:t>
      </w:r>
      <w:r w:rsidRPr="00C77B28">
        <w:t xml:space="preserve"> LWS Lancashire Environmental Fund Ltd made a </w:t>
      </w:r>
      <w:r>
        <w:t>surplus</w:t>
      </w:r>
      <w:r w:rsidRPr="00C77B28">
        <w:t xml:space="preserve"> </w:t>
      </w:r>
      <w:r w:rsidRPr="00E8716C">
        <w:t>of £0.106 million</w:t>
      </w:r>
      <w:r w:rsidRPr="00C77B28">
        <w:t xml:space="preserve"> (</w:t>
      </w:r>
      <w:r>
        <w:t xml:space="preserve">in year ending 31 December 2010 a deficit of </w:t>
      </w:r>
      <w:r w:rsidRPr="00C77B28">
        <w:t>£0.</w:t>
      </w:r>
      <w:r>
        <w:t>009</w:t>
      </w:r>
      <w:r w:rsidRPr="00C77B28">
        <w:t xml:space="preserve">). At 31 December 2011 net assets </w:t>
      </w:r>
      <w:r w:rsidRPr="00E8716C">
        <w:t>were £2.682 million (£2.576</w:t>
      </w:r>
      <w:r>
        <w:t xml:space="preserve"> million at 31 December 20</w:t>
      </w:r>
      <w:r w:rsidRPr="00C77B28">
        <w:t>10). This information is based on the audited accounts of LWS Lancashire Environmental Fund Ltd. There have been no audit qualifications to the accounts.</w:t>
      </w:r>
    </w:p>
    <w:p w:rsidR="00AD3999" w:rsidRDefault="00AD3999" w:rsidP="00AD3999">
      <w:pPr>
        <w:ind w:left="357"/>
        <w:jc w:val="both"/>
      </w:pPr>
    </w:p>
    <w:p w:rsidR="00AD3999" w:rsidRPr="0089069F" w:rsidRDefault="00AD3999" w:rsidP="00AD3999">
      <w:pPr>
        <w:ind w:left="357"/>
        <w:jc w:val="both"/>
      </w:pPr>
      <w:r w:rsidRPr="0089069F">
        <w:t>A copy of</w:t>
      </w:r>
      <w:r>
        <w:t xml:space="preserve"> the accounts can be obtained from</w:t>
      </w:r>
      <w:r w:rsidRPr="0089069F">
        <w:t xml:space="preserve"> PO Box 78, County Hall, Preston, PR1 8XJ. </w:t>
      </w:r>
    </w:p>
    <w:p w:rsidR="00D6238B" w:rsidRDefault="00D6238B" w:rsidP="00AD3999">
      <w:pPr>
        <w:ind w:left="357"/>
        <w:rPr>
          <w:b/>
        </w:rPr>
      </w:pPr>
    </w:p>
    <w:p w:rsidR="00AD3999" w:rsidRPr="0089069F" w:rsidRDefault="00AD3999" w:rsidP="00AD3999">
      <w:pPr>
        <w:ind w:left="357"/>
        <w:rPr>
          <w:b/>
        </w:rPr>
      </w:pPr>
      <w:r w:rsidRPr="0089069F">
        <w:rPr>
          <w:b/>
        </w:rPr>
        <w:t>Public Transport Information Ltd</w:t>
      </w:r>
    </w:p>
    <w:p w:rsidR="00AD3999" w:rsidRPr="0089069F" w:rsidRDefault="00AD3999" w:rsidP="00AD3999">
      <w:pPr>
        <w:ind w:left="357"/>
      </w:pPr>
    </w:p>
    <w:p w:rsidR="00AD3999" w:rsidRPr="0089069F" w:rsidRDefault="00AD3999" w:rsidP="00AD3999">
      <w:pPr>
        <w:ind w:left="357"/>
        <w:jc w:val="both"/>
      </w:pPr>
      <w:r w:rsidRPr="0089069F">
        <w:t xml:space="preserve">Public Transport Information (PTI) Ltd provides a public transport information service. It is part of the National Traveline network. PTI Ltd is a company limited by guarantee and has no issued share capital. The liability of a member is limited to £1. </w:t>
      </w:r>
    </w:p>
    <w:p w:rsidR="00AD3999" w:rsidRPr="0089069F" w:rsidRDefault="00AD3999" w:rsidP="00AD3999">
      <w:pPr>
        <w:ind w:left="1077"/>
        <w:jc w:val="both"/>
      </w:pPr>
    </w:p>
    <w:p w:rsidR="00AD3999" w:rsidRPr="0089069F" w:rsidRDefault="00AD3999" w:rsidP="00AD3999">
      <w:pPr>
        <w:ind w:left="357"/>
        <w:jc w:val="both"/>
      </w:pPr>
      <w:r>
        <w:t xml:space="preserve">The </w:t>
      </w:r>
      <w:r w:rsidR="001F1A1A">
        <w:t>County Council</w:t>
      </w:r>
      <w:r w:rsidRPr="0089069F">
        <w:t xml:space="preserve"> controls 40% of the voting rights, so the organisation is </w:t>
      </w:r>
      <w:r>
        <w:t xml:space="preserve">classed as an associate of the </w:t>
      </w:r>
      <w:r w:rsidR="001F1A1A">
        <w:t>County Council</w:t>
      </w:r>
      <w:r w:rsidRPr="0089069F">
        <w:t>.</w:t>
      </w:r>
    </w:p>
    <w:p w:rsidR="00AD3999" w:rsidRPr="0089069F" w:rsidRDefault="00AD3999" w:rsidP="00AD3999">
      <w:pPr>
        <w:ind w:left="1077"/>
        <w:jc w:val="both"/>
      </w:pPr>
    </w:p>
    <w:p w:rsidR="00AD3999" w:rsidRPr="0089069F" w:rsidRDefault="00AD3999" w:rsidP="00AD3999">
      <w:pPr>
        <w:ind w:left="357"/>
        <w:jc w:val="both"/>
      </w:pPr>
      <w:r w:rsidRPr="00543AA1">
        <w:t xml:space="preserve">The company’s accounting year </w:t>
      </w:r>
      <w:r w:rsidRPr="00F125CF">
        <w:t>ends on 31 July. For the year ended 31 July 2011, PTI Ltd made a loss before taxation of £0.004million (loss before taxation of £0.004 million in 2009/10) and net assets of £0.074 million (£0.079 million in 2009/10). This information is based on the audited accounts of Public Transport Information Ltd. There have been no audit qualifications in the accounts</w:t>
      </w:r>
      <w:r w:rsidRPr="0089069F">
        <w:t>.</w:t>
      </w:r>
    </w:p>
    <w:p w:rsidR="00AD3999" w:rsidRDefault="00AD3999" w:rsidP="00AD3999">
      <w:pPr>
        <w:ind w:left="357"/>
        <w:jc w:val="both"/>
      </w:pPr>
    </w:p>
    <w:p w:rsidR="00AD3999" w:rsidRPr="0089069F" w:rsidRDefault="00AD3999" w:rsidP="00AD3999">
      <w:pPr>
        <w:ind w:left="357"/>
        <w:jc w:val="both"/>
      </w:pPr>
      <w:r w:rsidRPr="0089069F">
        <w:t xml:space="preserve"> A copy of the accounts can be obtained from companies' house at the cost of £1.00, at the following website </w:t>
      </w:r>
      <w:hyperlink r:id="rId23" w:history="1">
        <w:r w:rsidRPr="0089069F">
          <w:rPr>
            <w:rStyle w:val="Hyperlink"/>
          </w:rPr>
          <w:t>www.companieshouse.gov.uk</w:t>
        </w:r>
      </w:hyperlink>
      <w:r w:rsidRPr="0089069F">
        <w:t xml:space="preserve">. </w:t>
      </w:r>
    </w:p>
    <w:p w:rsidR="00AD3999" w:rsidRPr="0089069F" w:rsidRDefault="00AD3999" w:rsidP="00AD3999">
      <w:pPr>
        <w:ind w:left="1077"/>
      </w:pPr>
    </w:p>
    <w:p w:rsidR="00AD3999" w:rsidRPr="0089069F" w:rsidRDefault="00AD3999" w:rsidP="00AD3999">
      <w:pPr>
        <w:ind w:left="357"/>
        <w:rPr>
          <w:b/>
        </w:rPr>
      </w:pPr>
      <w:r w:rsidRPr="0089069F">
        <w:rPr>
          <w:b/>
        </w:rPr>
        <w:t>New Era Trust Ltd</w:t>
      </w:r>
    </w:p>
    <w:p w:rsidR="00AD3999" w:rsidRPr="0089069F" w:rsidRDefault="00AD3999" w:rsidP="00AD3999">
      <w:pPr>
        <w:ind w:left="357"/>
      </w:pPr>
    </w:p>
    <w:p w:rsidR="00AD3999" w:rsidRPr="0089069F" w:rsidRDefault="00AD3999" w:rsidP="00AD3999">
      <w:pPr>
        <w:ind w:left="357"/>
        <w:jc w:val="both"/>
      </w:pPr>
      <w:r w:rsidRPr="0089069F">
        <w:t xml:space="preserve">New Era Trust Ltd provides community services to the residents of Hyndburn. It is a company limited by guarantee and the liability of members is limited to £1. </w:t>
      </w:r>
    </w:p>
    <w:p w:rsidR="00AD3999" w:rsidRPr="0089069F" w:rsidRDefault="00AD3999" w:rsidP="00AD3999">
      <w:pPr>
        <w:ind w:left="1077"/>
        <w:jc w:val="both"/>
      </w:pPr>
    </w:p>
    <w:p w:rsidR="00AD3999" w:rsidRPr="0089069F" w:rsidRDefault="00AD3999" w:rsidP="00AD3999">
      <w:pPr>
        <w:ind w:left="357"/>
        <w:jc w:val="both"/>
      </w:pPr>
      <w:r>
        <w:t xml:space="preserve">The </w:t>
      </w:r>
      <w:r w:rsidR="001F1A1A">
        <w:t>County Council</w:t>
      </w:r>
      <w:r w:rsidRPr="0089069F">
        <w:t xml:space="preserve"> controls 50% of the voting rights</w:t>
      </w:r>
      <w:r>
        <w:t xml:space="preserve"> and financial and operating decisions require unanimous consent of parties</w:t>
      </w:r>
      <w:r w:rsidRPr="0089069F">
        <w:t>, so the organisation is class</w:t>
      </w:r>
      <w:r>
        <w:t xml:space="preserve">ed as a joint venture with the </w:t>
      </w:r>
      <w:r w:rsidR="001F1A1A">
        <w:t>County Council</w:t>
      </w:r>
      <w:r w:rsidRPr="0089069F">
        <w:t>.</w:t>
      </w:r>
    </w:p>
    <w:p w:rsidR="00AD3999" w:rsidRPr="0089069F" w:rsidRDefault="00AD3999" w:rsidP="00AD3999">
      <w:pPr>
        <w:ind w:left="1077"/>
        <w:jc w:val="both"/>
      </w:pPr>
    </w:p>
    <w:p w:rsidR="00AD3999" w:rsidRPr="0089069F" w:rsidRDefault="00AD3999" w:rsidP="00AD3999">
      <w:pPr>
        <w:ind w:left="357"/>
        <w:jc w:val="both"/>
      </w:pPr>
      <w:r w:rsidRPr="00F162C4">
        <w:t xml:space="preserve">In </w:t>
      </w:r>
      <w:r>
        <w:t>2011/12</w:t>
      </w:r>
      <w:r w:rsidRPr="00F162C4">
        <w:t xml:space="preserve"> New </w:t>
      </w:r>
      <w:r>
        <w:t>Era Trust Ltd had net incoming resources before transfers</w:t>
      </w:r>
      <w:r w:rsidRPr="00F162C4">
        <w:t xml:space="preserve"> </w:t>
      </w:r>
      <w:r w:rsidRPr="00BF6358">
        <w:t>of £</w:t>
      </w:r>
      <w:r w:rsidRPr="00B4340B">
        <w:t>0.001 million (net outgoing resources before transfers of £0.017 million in 2010/11) and on 31 March 2012 it had net assets of £0.077 million (£0.077 million in 2010/11). Due to timing this information is based on unaudited accounts, however there have be</w:t>
      </w:r>
      <w:r w:rsidRPr="0089069F">
        <w:t>en no audit qualifications to the accounts in the past.</w:t>
      </w:r>
    </w:p>
    <w:p w:rsidR="00AD3999" w:rsidRDefault="00AD3999" w:rsidP="00AD3999">
      <w:pPr>
        <w:ind w:left="357"/>
        <w:jc w:val="both"/>
      </w:pPr>
    </w:p>
    <w:p w:rsidR="00AD3999" w:rsidRPr="0089069F" w:rsidRDefault="00AD3999" w:rsidP="00AD3999">
      <w:pPr>
        <w:ind w:left="357"/>
        <w:jc w:val="both"/>
      </w:pPr>
      <w:r w:rsidRPr="0089069F">
        <w:t xml:space="preserve">A copy of the accounts can be obtained from </w:t>
      </w:r>
      <w:r>
        <w:t xml:space="preserve">Jill Tulasiewicz </w:t>
      </w:r>
      <w:r w:rsidRPr="0089069F">
        <w:t>at the following email address</w:t>
      </w:r>
      <w:r>
        <w:t xml:space="preserve"> </w:t>
      </w:r>
      <w:hyperlink r:id="rId24" w:history="1">
        <w:r w:rsidRPr="00C72A86">
          <w:rPr>
            <w:rStyle w:val="Hyperlink"/>
          </w:rPr>
          <w:t>Jill.Tulasiewicz@neweratrust.com</w:t>
        </w:r>
      </w:hyperlink>
      <w:r w:rsidRPr="0089069F">
        <w:t xml:space="preserve">. </w:t>
      </w:r>
    </w:p>
    <w:p w:rsidR="00AD3999" w:rsidRPr="0089069F" w:rsidRDefault="00AD3999" w:rsidP="00AD3999">
      <w:pPr>
        <w:ind w:left="357"/>
        <w:jc w:val="both"/>
      </w:pPr>
    </w:p>
    <w:p w:rsidR="00AD3999" w:rsidRDefault="00AD3999" w:rsidP="00AD3999">
      <w:pPr>
        <w:ind w:left="1077"/>
      </w:pPr>
    </w:p>
    <w:p w:rsidR="00F84EDD" w:rsidRDefault="00F84EDD" w:rsidP="00AD3999">
      <w:pPr>
        <w:ind w:left="1077"/>
      </w:pPr>
    </w:p>
    <w:p w:rsidR="00F84EDD" w:rsidRPr="0089069F" w:rsidRDefault="00F84EDD" w:rsidP="00AD3999">
      <w:pPr>
        <w:ind w:left="1077"/>
      </w:pPr>
    </w:p>
    <w:p w:rsidR="00AD3999" w:rsidRPr="003347D2" w:rsidRDefault="00AD3999" w:rsidP="00AD3999">
      <w:pPr>
        <w:ind w:left="357"/>
        <w:rPr>
          <w:b/>
        </w:rPr>
      </w:pPr>
      <w:r w:rsidRPr="003347D2">
        <w:rPr>
          <w:b/>
        </w:rPr>
        <w:lastRenderedPageBreak/>
        <w:t xml:space="preserve">Building Schools for the Future Limited </w:t>
      </w:r>
    </w:p>
    <w:p w:rsidR="00AD3999" w:rsidRPr="003347D2" w:rsidRDefault="00AD3999" w:rsidP="00AD3999">
      <w:pPr>
        <w:ind w:left="1077"/>
      </w:pPr>
    </w:p>
    <w:p w:rsidR="00AD3999" w:rsidRPr="003347D2" w:rsidRDefault="00AD3999" w:rsidP="00AD3999">
      <w:pPr>
        <w:ind w:left="357"/>
        <w:jc w:val="both"/>
      </w:pPr>
      <w:r w:rsidRPr="003347D2">
        <w:t xml:space="preserve">LCC Building Schools for the Future (BSF) Limited is fully owned by the </w:t>
      </w:r>
      <w:r w:rsidR="001F1A1A">
        <w:t>County Council</w:t>
      </w:r>
      <w:r>
        <w:t xml:space="preserve"> and it is classed as a subsidiary of the </w:t>
      </w:r>
      <w:r w:rsidR="001F1A1A">
        <w:t>County Council</w:t>
      </w:r>
      <w:r w:rsidRPr="003347D2">
        <w:t>. It manages the council’s investment through the Local Education Partnership into companies set up to run BSF Private Finance Initiative projects.  The liability of a member is limited to £1.</w:t>
      </w:r>
    </w:p>
    <w:p w:rsidR="00AD3999" w:rsidRPr="003347D2" w:rsidRDefault="00AD3999" w:rsidP="00AD3999">
      <w:pPr>
        <w:ind w:left="1077"/>
        <w:jc w:val="both"/>
      </w:pPr>
    </w:p>
    <w:p w:rsidR="00AD3999" w:rsidRPr="003347D2" w:rsidRDefault="00AD3999" w:rsidP="00AD3999">
      <w:pPr>
        <w:ind w:left="357"/>
        <w:jc w:val="both"/>
      </w:pPr>
      <w:r w:rsidRPr="003347D2">
        <w:t xml:space="preserve">In 2011/12 Building Schools for the Future Limited had a profit before taxation of </w:t>
      </w:r>
      <w:r w:rsidRPr="0021660C">
        <w:t xml:space="preserve">£0.024 million (profit before taxation of £0.018 million in 2010/11). On 31 March 2012 it had net assets of £0.046 million </w:t>
      </w:r>
      <w:r w:rsidRPr="003347D2">
        <w:t>(net assets of £0.023 million in 2010/11).  Due to timing this information is based on unaudited accounts, however there have been no audit qualifications to the accounts in the past.</w:t>
      </w:r>
    </w:p>
    <w:p w:rsidR="00AD3999" w:rsidRPr="003347D2" w:rsidRDefault="00AD3999" w:rsidP="00AD3999">
      <w:pPr>
        <w:ind w:left="1077"/>
        <w:jc w:val="both"/>
      </w:pPr>
    </w:p>
    <w:p w:rsidR="00AD3999" w:rsidRPr="0089069F" w:rsidRDefault="00AD3999" w:rsidP="00AD3999">
      <w:pPr>
        <w:ind w:left="357"/>
        <w:jc w:val="both"/>
      </w:pPr>
      <w:r w:rsidRPr="003347D2">
        <w:t xml:space="preserve">A copy of the accounts can be obtained from Lancashire </w:t>
      </w:r>
      <w:r w:rsidR="001F1A1A">
        <w:t>County Council</w:t>
      </w:r>
      <w:r w:rsidRPr="003347D2">
        <w:t>, PO Box</w:t>
      </w:r>
      <w:r w:rsidR="00DB5096">
        <w:t xml:space="preserve"> 78, County Hall, Preston, Lancashire</w:t>
      </w:r>
      <w:r w:rsidRPr="003347D2">
        <w:t>, PR1 8XJ.</w:t>
      </w:r>
      <w:r w:rsidRPr="0089069F">
        <w:t xml:space="preserve"> </w:t>
      </w:r>
    </w:p>
    <w:p w:rsidR="00AD3999" w:rsidRPr="0089069F" w:rsidRDefault="00AD3999" w:rsidP="00AD3999">
      <w:pPr>
        <w:ind w:left="1077"/>
      </w:pPr>
    </w:p>
    <w:p w:rsidR="00AD3999" w:rsidRPr="0089069F" w:rsidRDefault="00AD3999" w:rsidP="00AD3999">
      <w:pPr>
        <w:ind w:left="357"/>
        <w:rPr>
          <w:b/>
        </w:rPr>
      </w:pPr>
      <w:r w:rsidRPr="0089069F">
        <w:rPr>
          <w:b/>
        </w:rPr>
        <w:t xml:space="preserve">Preston Vision Limited </w:t>
      </w:r>
    </w:p>
    <w:p w:rsidR="00AD3999" w:rsidRPr="0089069F" w:rsidRDefault="00AD3999" w:rsidP="00AD3999">
      <w:pPr>
        <w:ind w:left="1077"/>
        <w:rPr>
          <w:b/>
        </w:rPr>
      </w:pPr>
    </w:p>
    <w:p w:rsidR="00AD3999" w:rsidRPr="00CB45B4" w:rsidRDefault="00AD3999" w:rsidP="00AD3999">
      <w:pPr>
        <w:ind w:left="357"/>
        <w:jc w:val="both"/>
      </w:pPr>
      <w:r w:rsidRPr="00CB45B4">
        <w:t>The company exists to assist, promote, encourage, develop and secure the social, physical, economic, environmental and educational related development of the Preston City centre area and its gateways. It is a company limited by guarantee and the liability of members is limited to £1.</w:t>
      </w:r>
    </w:p>
    <w:p w:rsidR="00AD3999" w:rsidRPr="00CB45B4" w:rsidRDefault="00AD3999" w:rsidP="00AD3999">
      <w:pPr>
        <w:ind w:left="1077"/>
        <w:jc w:val="both"/>
      </w:pPr>
    </w:p>
    <w:p w:rsidR="00AD3999" w:rsidRPr="00885AAA" w:rsidRDefault="00AD3999" w:rsidP="00AD3999">
      <w:pPr>
        <w:ind w:left="357"/>
        <w:jc w:val="both"/>
        <w:rPr>
          <w:color w:val="FF0000"/>
        </w:rPr>
      </w:pPr>
      <w:r>
        <w:t xml:space="preserve">The </w:t>
      </w:r>
      <w:r w:rsidR="001F1A1A">
        <w:t>County Council</w:t>
      </w:r>
      <w:r w:rsidRPr="00CB45B4">
        <w:t xml:space="preserve"> controls 33% of </w:t>
      </w:r>
      <w:r w:rsidRPr="00A44601">
        <w:t xml:space="preserve">the voting rights, so the organisation is classed as a joint venture with the </w:t>
      </w:r>
      <w:r w:rsidR="001F1A1A">
        <w:t>County Council</w:t>
      </w:r>
      <w:r w:rsidRPr="00A44601">
        <w:t>.</w:t>
      </w:r>
      <w:r>
        <w:t xml:space="preserve"> </w:t>
      </w:r>
      <w:r>
        <w:rPr>
          <w:color w:val="FF0000"/>
        </w:rPr>
        <w:t xml:space="preserve"> </w:t>
      </w:r>
    </w:p>
    <w:p w:rsidR="00AD3999" w:rsidRPr="00CB45B4" w:rsidRDefault="00AD3999" w:rsidP="00AD3999">
      <w:pPr>
        <w:ind w:left="1077"/>
        <w:jc w:val="both"/>
      </w:pPr>
    </w:p>
    <w:p w:rsidR="00AD3999" w:rsidRPr="0041483F" w:rsidRDefault="00AD3999" w:rsidP="00AD3999">
      <w:pPr>
        <w:ind w:left="357"/>
        <w:jc w:val="both"/>
      </w:pPr>
      <w:r w:rsidRPr="003D4876">
        <w:t xml:space="preserve">The company received total grant income totalling £0.6 million for the period up to </w:t>
      </w:r>
      <w:r w:rsidRPr="001F097C">
        <w:rPr>
          <w:color w:val="000000" w:themeColor="text1"/>
        </w:rPr>
        <w:t xml:space="preserve">31 March 2011. In 2011/12 the retained profit was nil and the net assets were also nil. </w:t>
      </w:r>
    </w:p>
    <w:p w:rsidR="00AD3999" w:rsidRDefault="00AD3999" w:rsidP="00AD3999">
      <w:pPr>
        <w:ind w:left="357"/>
        <w:jc w:val="both"/>
      </w:pPr>
    </w:p>
    <w:p w:rsidR="00AD3999" w:rsidRPr="0089069F" w:rsidRDefault="00AD3999" w:rsidP="00AD3999">
      <w:pPr>
        <w:ind w:left="357"/>
        <w:jc w:val="both"/>
      </w:pPr>
      <w:r w:rsidRPr="00CB45B4">
        <w:t xml:space="preserve">A copy of the accounts can be obtained from Lancashire </w:t>
      </w:r>
      <w:r w:rsidR="001F1A1A">
        <w:t>County Council</w:t>
      </w:r>
      <w:r w:rsidRPr="00CB45B4">
        <w:t xml:space="preserve">, PO Box 78, County Hall, Preston, </w:t>
      </w:r>
      <w:r w:rsidR="00DB5096">
        <w:t>Lancashire</w:t>
      </w:r>
      <w:r w:rsidRPr="00CB45B4">
        <w:t>, PR1 8XJ</w:t>
      </w:r>
    </w:p>
    <w:p w:rsidR="00AD3999" w:rsidRPr="0089069F" w:rsidRDefault="00AD3999" w:rsidP="00AD3999">
      <w:pPr>
        <w:ind w:left="357"/>
        <w:jc w:val="both"/>
      </w:pPr>
    </w:p>
    <w:p w:rsidR="00AD3999" w:rsidRPr="0089069F" w:rsidRDefault="00AD3999" w:rsidP="00AD3999">
      <w:pPr>
        <w:ind w:left="357"/>
        <w:rPr>
          <w:b/>
        </w:rPr>
      </w:pPr>
      <w:r w:rsidRPr="0089069F">
        <w:rPr>
          <w:b/>
        </w:rPr>
        <w:t>Lancashire Workforce Development</w:t>
      </w:r>
      <w:r>
        <w:rPr>
          <w:b/>
        </w:rPr>
        <w:t xml:space="preserve"> Partnership</w:t>
      </w:r>
      <w:r w:rsidRPr="0089069F">
        <w:rPr>
          <w:b/>
        </w:rPr>
        <w:t xml:space="preserve"> Limited </w:t>
      </w:r>
    </w:p>
    <w:p w:rsidR="00AD3999" w:rsidRPr="0089069F" w:rsidRDefault="00AD3999" w:rsidP="00AD3999">
      <w:pPr>
        <w:ind w:left="1077"/>
        <w:jc w:val="both"/>
        <w:rPr>
          <w:b/>
        </w:rPr>
      </w:pPr>
    </w:p>
    <w:p w:rsidR="00AD3999" w:rsidRPr="0089069F" w:rsidRDefault="00AD3999" w:rsidP="00AD3999">
      <w:pPr>
        <w:ind w:left="357"/>
        <w:jc w:val="both"/>
      </w:pPr>
      <w:r w:rsidRPr="0089069F">
        <w:t xml:space="preserve">This organisation is an employer led Partnership between the Independent Social Care employers in Lancashire and Lancashire </w:t>
      </w:r>
      <w:r w:rsidR="001F1A1A">
        <w:t>County Council</w:t>
      </w:r>
      <w:r w:rsidRPr="0089069F">
        <w:t xml:space="preserve">, established to improve social care delivery through workforce training and development.  Lancashire </w:t>
      </w:r>
      <w:r w:rsidR="001F1A1A">
        <w:t>County Council</w:t>
      </w:r>
      <w:r w:rsidRPr="0089069F">
        <w:t xml:space="preserve"> is the sole member of the company with 100% of the voting rights, so the company is </w:t>
      </w:r>
      <w:r>
        <w:t xml:space="preserve">classed as a subsidiary of the </w:t>
      </w:r>
      <w:r w:rsidR="001F1A1A">
        <w:t>County Council</w:t>
      </w:r>
      <w:r w:rsidRPr="0089069F">
        <w:t>. This is a company limited by guarantee and the liability of the council is limited to £1.</w:t>
      </w:r>
    </w:p>
    <w:p w:rsidR="00AD3999" w:rsidRPr="0089069F" w:rsidRDefault="00AD3999" w:rsidP="00AD3999">
      <w:pPr>
        <w:ind w:left="1077"/>
        <w:jc w:val="both"/>
      </w:pPr>
    </w:p>
    <w:p w:rsidR="00AD3999" w:rsidRPr="00326E9E" w:rsidRDefault="00AD3999" w:rsidP="00AD3999">
      <w:pPr>
        <w:ind w:left="357"/>
        <w:jc w:val="both"/>
      </w:pPr>
      <w:r w:rsidRPr="00686956">
        <w:t xml:space="preserve">In </w:t>
      </w:r>
      <w:r w:rsidRPr="00326E9E">
        <w:t xml:space="preserve">2011/12 the company made a net profit before taxation </w:t>
      </w:r>
      <w:r w:rsidRPr="00F31860">
        <w:t>of £0.5 million (a loss of £0.298 million in 2010/11) and had net assets of £1.6 million (1.054 million in 2010/11). Due to timing this information is based on unaudited accounts, however there have been no audit qualifications to the accounts in the past.</w:t>
      </w:r>
    </w:p>
    <w:p w:rsidR="00AD3999" w:rsidRPr="00326E9E" w:rsidRDefault="00AD3999" w:rsidP="00AD3999">
      <w:pPr>
        <w:ind w:left="1077"/>
        <w:jc w:val="both"/>
      </w:pPr>
    </w:p>
    <w:p w:rsidR="00AD3999" w:rsidRPr="0089069F" w:rsidRDefault="00AD3999" w:rsidP="00AD3999">
      <w:pPr>
        <w:ind w:left="357"/>
        <w:jc w:val="both"/>
      </w:pPr>
      <w:r w:rsidRPr="00326E9E">
        <w:t xml:space="preserve">A copy of the accounts can be obtained from Lancashire </w:t>
      </w:r>
      <w:r w:rsidR="001F1A1A">
        <w:t>County Council</w:t>
      </w:r>
      <w:r w:rsidRPr="00326E9E">
        <w:t xml:space="preserve">, PO Box 78, County Hall, Preston, </w:t>
      </w:r>
      <w:r w:rsidR="00DB5096" w:rsidRPr="00326E9E">
        <w:t>Lancashire</w:t>
      </w:r>
      <w:r w:rsidRPr="00326E9E">
        <w:t xml:space="preserve"> PR1 8XJ.</w:t>
      </w:r>
      <w:r w:rsidRPr="0089069F">
        <w:t xml:space="preserve"> </w:t>
      </w:r>
    </w:p>
    <w:p w:rsidR="00AD3999" w:rsidRDefault="00AD3999" w:rsidP="00AD3999">
      <w:pPr>
        <w:tabs>
          <w:tab w:val="right" w:pos="5760"/>
        </w:tabs>
        <w:ind w:left="357"/>
      </w:pPr>
    </w:p>
    <w:p w:rsidR="00F84EDD" w:rsidRPr="0089069F" w:rsidRDefault="00F84EDD" w:rsidP="00AD3999">
      <w:pPr>
        <w:tabs>
          <w:tab w:val="right" w:pos="5760"/>
        </w:tabs>
        <w:ind w:left="357"/>
      </w:pPr>
    </w:p>
    <w:p w:rsidR="00AD3999" w:rsidRPr="00720632" w:rsidRDefault="00AD3999" w:rsidP="00AD3999">
      <w:pPr>
        <w:tabs>
          <w:tab w:val="right" w:pos="5760"/>
        </w:tabs>
        <w:ind w:left="783"/>
        <w:rPr>
          <w:b/>
        </w:rPr>
      </w:pPr>
      <w:r w:rsidRPr="0089069F">
        <w:rPr>
          <w:b/>
        </w:rPr>
        <w:t xml:space="preserve">    </w:t>
      </w:r>
    </w:p>
    <w:p w:rsidR="00AD3999" w:rsidRPr="00720632" w:rsidRDefault="00AD3999" w:rsidP="00AD3999">
      <w:pPr>
        <w:spacing w:after="240"/>
        <w:ind w:left="357"/>
        <w:rPr>
          <w:b/>
        </w:rPr>
      </w:pPr>
      <w:r w:rsidRPr="00720632">
        <w:rPr>
          <w:b/>
        </w:rPr>
        <w:lastRenderedPageBreak/>
        <w:t>Lancashire Sports Partnership Ltd</w:t>
      </w:r>
    </w:p>
    <w:p w:rsidR="00AD3999" w:rsidRPr="003347D2" w:rsidRDefault="00AD3999" w:rsidP="00F84EDD">
      <w:pPr>
        <w:autoSpaceDE w:val="0"/>
        <w:autoSpaceDN w:val="0"/>
        <w:adjustRightInd w:val="0"/>
        <w:ind w:left="357"/>
        <w:jc w:val="both"/>
        <w:rPr>
          <w:rFonts w:eastAsiaTheme="minorHAnsi"/>
          <w:lang w:eastAsia="en-US"/>
        </w:rPr>
      </w:pPr>
      <w:r w:rsidRPr="003347D2">
        <w:t>Lancashire Sports Partnership Ltd</w:t>
      </w:r>
      <w:r w:rsidRPr="003347D2">
        <w:rPr>
          <w:b/>
        </w:rPr>
        <w:t xml:space="preserve"> </w:t>
      </w:r>
      <w:r w:rsidRPr="003347D2">
        <w:t xml:space="preserve">exists to </w:t>
      </w:r>
      <w:r w:rsidRPr="003347D2">
        <w:rPr>
          <w:rFonts w:eastAsiaTheme="minorHAnsi"/>
          <w:lang w:eastAsia="en-US"/>
        </w:rPr>
        <w:t xml:space="preserve">increase participation in sport and physical activity across the 15 Local Authorities of the sub region in Lancashire.  Since being established in 2000 the company has been hosted by Myerscough College.  In April 2010 the company became a separate legal entity from the college </w:t>
      </w:r>
      <w:r w:rsidR="000E5732">
        <w:rPr>
          <w:rFonts w:eastAsiaTheme="minorHAnsi"/>
          <w:lang w:eastAsia="en-US"/>
        </w:rPr>
        <w:t xml:space="preserve">as a </w:t>
      </w:r>
      <w:r w:rsidRPr="003347D2">
        <w:rPr>
          <w:rFonts w:eastAsiaTheme="minorHAnsi"/>
          <w:lang w:eastAsia="en-US"/>
        </w:rPr>
        <w:t>Company Limited by Guarantee with a Board of Trustees.</w:t>
      </w:r>
      <w:r>
        <w:rPr>
          <w:rFonts w:eastAsiaTheme="minorHAnsi"/>
          <w:lang w:eastAsia="en-US"/>
        </w:rPr>
        <w:t xml:space="preserve"> The </w:t>
      </w:r>
      <w:r w:rsidR="001F1A1A">
        <w:rPr>
          <w:rFonts w:eastAsiaTheme="minorHAnsi"/>
          <w:lang w:eastAsia="en-US"/>
        </w:rPr>
        <w:t>County Council</w:t>
      </w:r>
      <w:r>
        <w:rPr>
          <w:rFonts w:eastAsiaTheme="minorHAnsi"/>
          <w:lang w:eastAsia="en-US"/>
        </w:rPr>
        <w:t xml:space="preserve"> controls 100% of voting rights and </w:t>
      </w:r>
      <w:r w:rsidR="000E5732">
        <w:rPr>
          <w:rFonts w:eastAsiaTheme="minorHAnsi"/>
          <w:lang w:eastAsia="en-US"/>
        </w:rPr>
        <w:t xml:space="preserve">it is </w:t>
      </w:r>
      <w:r>
        <w:rPr>
          <w:rFonts w:eastAsiaTheme="minorHAnsi"/>
          <w:lang w:eastAsia="en-US"/>
        </w:rPr>
        <w:t xml:space="preserve">therefore  classed as a subsidiary. </w:t>
      </w:r>
    </w:p>
    <w:p w:rsidR="00AD3999" w:rsidRPr="003347D2" w:rsidRDefault="00AD3999" w:rsidP="00AD3999">
      <w:pPr>
        <w:autoSpaceDE w:val="0"/>
        <w:autoSpaceDN w:val="0"/>
        <w:adjustRightInd w:val="0"/>
        <w:ind w:left="357"/>
        <w:rPr>
          <w:b/>
          <w:u w:val="single"/>
        </w:rPr>
      </w:pPr>
    </w:p>
    <w:p w:rsidR="00AD3999" w:rsidRPr="003347D2" w:rsidRDefault="00AD3999" w:rsidP="00AD3999">
      <w:pPr>
        <w:ind w:left="357"/>
        <w:jc w:val="both"/>
        <w:rPr>
          <w:color w:val="FF0000"/>
        </w:rPr>
      </w:pPr>
      <w:r w:rsidRPr="003347D2">
        <w:t xml:space="preserve">In 2011/12 the company made a loss before taxation of £0.049 million (a profit before taxation of £0.348 million in 2010/11), and total net assets of £0.165 million (£0.189 million in 2010/11).  This £0.049 million loss includes a £0.028 million FRS17 valuation exceptional adjustment. Due to timing this information is based on unaudited accounts, however there have been no audit qualifications to the accounts in the past. </w:t>
      </w:r>
    </w:p>
    <w:p w:rsidR="00AD3999" w:rsidRDefault="00AD3999" w:rsidP="00AD3999">
      <w:pPr>
        <w:ind w:left="357"/>
        <w:jc w:val="both"/>
      </w:pPr>
    </w:p>
    <w:p w:rsidR="00AD3999" w:rsidRPr="00B8477A" w:rsidRDefault="00AD3999" w:rsidP="00AD3999">
      <w:pPr>
        <w:ind w:left="357"/>
        <w:jc w:val="both"/>
        <w:rPr>
          <w:color w:val="FF0000"/>
        </w:rPr>
      </w:pPr>
      <w:r w:rsidRPr="003347D2">
        <w:t xml:space="preserve">A copy of the accounts can be obtained from Lancashire </w:t>
      </w:r>
      <w:r w:rsidR="001F1A1A">
        <w:t>County Council</w:t>
      </w:r>
      <w:r w:rsidRPr="003347D2">
        <w:t xml:space="preserve">, PO Box 78, County Hall, Preston, </w:t>
      </w:r>
      <w:r w:rsidR="00DB5096" w:rsidRPr="003347D2">
        <w:t>Lancashire</w:t>
      </w:r>
      <w:r w:rsidRPr="003347D2">
        <w:t xml:space="preserve">, PR1 8XJ. </w:t>
      </w:r>
    </w:p>
    <w:p w:rsidR="00AD3999" w:rsidRDefault="00AD3999" w:rsidP="00AD3999">
      <w:pPr>
        <w:spacing w:after="240"/>
        <w:ind w:left="357"/>
        <w:rPr>
          <w:b/>
        </w:rPr>
      </w:pPr>
    </w:p>
    <w:p w:rsidR="00AD3999" w:rsidRPr="00D81CFB" w:rsidRDefault="00AD3999" w:rsidP="00AD3999">
      <w:pPr>
        <w:spacing w:after="240"/>
        <w:ind w:left="357"/>
        <w:rPr>
          <w:b/>
        </w:rPr>
      </w:pPr>
      <w:r w:rsidRPr="00D81CFB">
        <w:rPr>
          <w:b/>
        </w:rPr>
        <w:t>Blackpool Fylde and Wyre Economic Development Company Limited</w:t>
      </w:r>
    </w:p>
    <w:p w:rsidR="00AD3999" w:rsidRPr="00D81CFB" w:rsidRDefault="00AD3999" w:rsidP="00AD3999">
      <w:pPr>
        <w:ind w:left="357"/>
        <w:jc w:val="both"/>
        <w:rPr>
          <w:color w:val="FF0000"/>
        </w:rPr>
      </w:pPr>
      <w:r w:rsidRPr="00D81CFB">
        <w:t xml:space="preserve">Blackpool Fylde and Wyre Economic development company Ltd is a company limited by guarantee  and exists </w:t>
      </w:r>
      <w:r>
        <w:t>to promote economic development</w:t>
      </w:r>
      <w:r w:rsidRPr="00D81CFB">
        <w:t xml:space="preserve">, and to support inward investment and marketing activity within the Fylde coast area .It  also  operates under the name of Blackpool Bay Area company . The company members comprise Blackpool Council, Fylde Council, Wyre Council and Lancashire </w:t>
      </w:r>
      <w:r w:rsidR="001F1A1A">
        <w:t>County Council</w:t>
      </w:r>
      <w:r w:rsidRPr="00D81CFB">
        <w:t xml:space="preserve">   </w:t>
      </w:r>
    </w:p>
    <w:p w:rsidR="00AD3999" w:rsidRPr="00D81CFB" w:rsidRDefault="00AD3999" w:rsidP="00AD3999">
      <w:pPr>
        <w:ind w:left="1077"/>
        <w:jc w:val="both"/>
      </w:pPr>
    </w:p>
    <w:p w:rsidR="00AD3999" w:rsidRPr="00D81CFB" w:rsidRDefault="00AD3999" w:rsidP="00AD3999">
      <w:pPr>
        <w:ind w:left="357"/>
        <w:jc w:val="both"/>
      </w:pPr>
      <w:r w:rsidRPr="00D81CFB">
        <w:t xml:space="preserve">The </w:t>
      </w:r>
      <w:r w:rsidR="001F1A1A">
        <w:t>County Council</w:t>
      </w:r>
      <w:r w:rsidRPr="00D81CFB">
        <w:t xml:space="preserve"> controls 25% of the voting rights, so the organisation is classed as an associate of the </w:t>
      </w:r>
      <w:r w:rsidR="001F1A1A">
        <w:t>County Council</w:t>
      </w:r>
      <w:r w:rsidRPr="00D81CFB">
        <w:t xml:space="preserve">. </w:t>
      </w:r>
    </w:p>
    <w:p w:rsidR="00AD3999" w:rsidRPr="00D81CFB" w:rsidRDefault="00AD3999" w:rsidP="00AD3999">
      <w:pPr>
        <w:ind w:left="1077"/>
        <w:jc w:val="both"/>
      </w:pPr>
    </w:p>
    <w:p w:rsidR="00AD3999" w:rsidRPr="00D81CFB" w:rsidRDefault="00AD3999" w:rsidP="00AD3999">
      <w:pPr>
        <w:ind w:left="357"/>
        <w:jc w:val="both"/>
      </w:pPr>
      <w:r w:rsidRPr="00D81CFB">
        <w:t>In 2011/12 Blackpool Fylde and Wyre Economic Development Company Ltd made nil profit</w:t>
      </w:r>
      <w:r w:rsidRPr="00D81CFB">
        <w:rPr>
          <w:color w:val="0000FF"/>
        </w:rPr>
        <w:t xml:space="preserve"> </w:t>
      </w:r>
      <w:r w:rsidRPr="00D81CFB">
        <w:t>on operating activities before taxation (nil profit in 2010/11) and  nil net assets for 2011/12 and 2010/11. Due to timing this information is based on unaudited accounts, however there have been no audit qualifications to the accounts of Blackpool Fylde and Wyre Economic Development Company Ltd in the past.</w:t>
      </w:r>
    </w:p>
    <w:p w:rsidR="00AD3999" w:rsidRPr="00D81CFB" w:rsidRDefault="00AD3999" w:rsidP="00AD3999">
      <w:pPr>
        <w:ind w:left="357"/>
        <w:jc w:val="both"/>
      </w:pPr>
    </w:p>
    <w:p w:rsidR="00AD3999" w:rsidRPr="0089069F" w:rsidRDefault="00AD3999" w:rsidP="00AD3999">
      <w:pPr>
        <w:ind w:left="357"/>
        <w:jc w:val="both"/>
      </w:pPr>
      <w:r w:rsidRPr="00D81CFB">
        <w:t>A copy of the accounts can be obtained at PO Box 78, County Hall, Preston, Lancashire, PR1 8XJ.</w:t>
      </w:r>
      <w:r w:rsidRPr="00517708">
        <w:t xml:space="preserve"> </w:t>
      </w:r>
    </w:p>
    <w:p w:rsidR="00AD3999" w:rsidRDefault="00AD3999" w:rsidP="00AD3999">
      <w:pPr>
        <w:spacing w:after="240"/>
        <w:ind w:left="357"/>
        <w:rPr>
          <w:b/>
        </w:rPr>
      </w:pPr>
    </w:p>
    <w:p w:rsidR="00AD3999" w:rsidRDefault="00AD3999" w:rsidP="00AD3999">
      <w:pPr>
        <w:spacing w:after="240"/>
        <w:ind w:left="357"/>
        <w:rPr>
          <w:b/>
        </w:rPr>
      </w:pPr>
      <w:r>
        <w:rPr>
          <w:b/>
        </w:rPr>
        <w:t>Lancashire Partnership Against Crime Limited</w:t>
      </w:r>
    </w:p>
    <w:p w:rsidR="00AD3999" w:rsidRDefault="00AD3999" w:rsidP="00AD3999">
      <w:pPr>
        <w:ind w:left="357"/>
        <w:jc w:val="both"/>
      </w:pPr>
      <w:r>
        <w:t xml:space="preserve">The Lancashire Partnership Against Crime is a registered charity and company limited by guarantee and has been in existence for over 20 years. Working in partnership with hundreds of organisations, large and small, to secure funding for additional community safety and crime reduction measures countywide. In the last 5 years alone over £1 million has been allocated to hundreds of diverse projects including schemes aimed at protecting the vulnerable elderly, reducing incidents of burglary and vehicle crime in addition to engaging with young people to introduce them to positive leisure time activities and divert them away from crime and anti-social behaviour. </w:t>
      </w:r>
    </w:p>
    <w:p w:rsidR="00AD3999" w:rsidRDefault="00AD3999" w:rsidP="00AD3999">
      <w:pPr>
        <w:ind w:left="357"/>
        <w:jc w:val="both"/>
      </w:pPr>
    </w:p>
    <w:p w:rsidR="00AD3999" w:rsidRPr="0089069F" w:rsidRDefault="00AD3999" w:rsidP="00AD3999">
      <w:pPr>
        <w:ind w:left="357"/>
        <w:jc w:val="both"/>
      </w:pPr>
      <w:r>
        <w:lastRenderedPageBreak/>
        <w:t xml:space="preserve">The </w:t>
      </w:r>
      <w:r w:rsidR="001F1A1A">
        <w:t>County Council</w:t>
      </w:r>
      <w:r w:rsidRPr="0089069F">
        <w:t xml:space="preserve"> controls </w:t>
      </w:r>
      <w:r>
        <w:t>20</w:t>
      </w:r>
      <w:r w:rsidRPr="001A3CC8">
        <w:t>%</w:t>
      </w:r>
      <w:r w:rsidRPr="0089069F">
        <w:t xml:space="preserve"> of the voting rights, so the organisation is classed as an associate of the </w:t>
      </w:r>
      <w:r w:rsidR="001F1A1A">
        <w:t>County Council</w:t>
      </w:r>
      <w:r w:rsidRPr="0089069F">
        <w:t xml:space="preserve">. </w:t>
      </w:r>
    </w:p>
    <w:p w:rsidR="00AD3999" w:rsidRPr="0089069F" w:rsidRDefault="00AD3999" w:rsidP="00AD3999">
      <w:pPr>
        <w:ind w:left="1077"/>
        <w:jc w:val="both"/>
      </w:pPr>
    </w:p>
    <w:p w:rsidR="00AD3999" w:rsidRPr="0089069F" w:rsidRDefault="00AD3999" w:rsidP="00AD3999">
      <w:pPr>
        <w:ind w:left="357"/>
        <w:jc w:val="both"/>
      </w:pPr>
      <w:r w:rsidRPr="00517708">
        <w:t>In 2011/12 Lancashire Part</w:t>
      </w:r>
      <w:r>
        <w:t xml:space="preserve">nership Against Crime Ltd had net outgoing resources of </w:t>
      </w:r>
      <w:r w:rsidRPr="00517708">
        <w:t>£</w:t>
      </w:r>
      <w:r w:rsidRPr="00CE02B7">
        <w:t>0.005 million (net outgoing resource of £0.301 million in 2010/11) and net assets of £0.0</w:t>
      </w:r>
      <w:r>
        <w:t>27</w:t>
      </w:r>
      <w:r w:rsidRPr="00CE02B7">
        <w:t xml:space="preserve"> million </w:t>
      </w:r>
      <w:r w:rsidR="00851550">
        <w:t>(£0.032</w:t>
      </w:r>
      <w:r w:rsidRPr="00C6115B">
        <w:t xml:space="preserve"> million in 2010/11).</w:t>
      </w:r>
      <w:r>
        <w:t xml:space="preserve">  </w:t>
      </w:r>
      <w:r w:rsidRPr="00871D13">
        <w:t>Due to timing this information is based on unaudited accounts, however there have been no audit qualifications to the accounts of Lancashire Partnership Against Crime Ltd in the past.</w:t>
      </w:r>
    </w:p>
    <w:p w:rsidR="00AD3999" w:rsidRDefault="00AD3999" w:rsidP="00AD3999">
      <w:pPr>
        <w:ind w:left="357"/>
        <w:jc w:val="both"/>
      </w:pPr>
    </w:p>
    <w:p w:rsidR="00AD3999" w:rsidRPr="0089069F" w:rsidRDefault="00AD3999" w:rsidP="00AD3999">
      <w:pPr>
        <w:ind w:left="357"/>
        <w:jc w:val="both"/>
      </w:pPr>
      <w:r w:rsidRPr="00871D13">
        <w:t xml:space="preserve">A copy of the accounts can be obtained at PO Box 78, County Hall, Preston, Lancashire, PR1 8XJ. </w:t>
      </w:r>
    </w:p>
    <w:p w:rsidR="00AD3999" w:rsidRPr="00477489" w:rsidRDefault="00AD3999" w:rsidP="00AD3999">
      <w:pPr>
        <w:spacing w:after="240"/>
        <w:ind w:left="357"/>
      </w:pPr>
    </w:p>
    <w:p w:rsidR="00AD3999" w:rsidRDefault="00AD3999" w:rsidP="00AD3999">
      <w:pPr>
        <w:spacing w:after="240"/>
        <w:ind w:left="357"/>
        <w:rPr>
          <w:b/>
        </w:rPr>
      </w:pPr>
      <w:r>
        <w:rPr>
          <w:b/>
        </w:rPr>
        <w:t>Cumbria Lancashire Education Online Limited</w:t>
      </w:r>
    </w:p>
    <w:p w:rsidR="00AD3999" w:rsidRPr="00F7202F" w:rsidRDefault="00AD3999" w:rsidP="00AD3999">
      <w:pPr>
        <w:ind w:left="357"/>
        <w:jc w:val="both"/>
      </w:pPr>
      <w:r w:rsidRPr="00F7202F">
        <w:t xml:space="preserve">Communication provider for the purchase and supply of I.T. equipment for education. </w:t>
      </w:r>
      <w:r>
        <w:t xml:space="preserve">The </w:t>
      </w:r>
      <w:r w:rsidR="001F1A1A">
        <w:t>County Council</w:t>
      </w:r>
      <w:r>
        <w:t xml:space="preserve"> owns 100% of voting rights and therefore is classed as a subsidiary of the Council. </w:t>
      </w:r>
    </w:p>
    <w:p w:rsidR="00AD3999" w:rsidRDefault="00AD3999" w:rsidP="00AD3999">
      <w:pPr>
        <w:ind w:left="357"/>
        <w:jc w:val="both"/>
        <w:rPr>
          <w:highlight w:val="yellow"/>
        </w:rPr>
      </w:pPr>
    </w:p>
    <w:p w:rsidR="00AD3999" w:rsidRDefault="00AD3999" w:rsidP="00AD3999">
      <w:pPr>
        <w:ind w:left="357"/>
        <w:jc w:val="both"/>
      </w:pPr>
      <w:r w:rsidRPr="003347D2">
        <w:t>In 2011/12 CLEO Limited had profit (before taxation) of nil and nil net assets. Due to timing this information is based on unaudited accounts, this company is now to be wound up.</w:t>
      </w:r>
    </w:p>
    <w:p w:rsidR="002B4122" w:rsidRDefault="002B4122" w:rsidP="00AD3999">
      <w:pPr>
        <w:ind w:left="357"/>
        <w:jc w:val="both"/>
      </w:pPr>
    </w:p>
    <w:p w:rsidR="002B4122" w:rsidRDefault="002B4122" w:rsidP="00AD3999">
      <w:pPr>
        <w:ind w:left="357"/>
        <w:jc w:val="both"/>
        <w:rPr>
          <w:b/>
        </w:rPr>
      </w:pPr>
      <w:r>
        <w:rPr>
          <w:b/>
        </w:rPr>
        <w:t>Lancashire Enterprise Partnership Ltd</w:t>
      </w:r>
    </w:p>
    <w:p w:rsidR="002B4122" w:rsidRDefault="002B4122" w:rsidP="00AD3999">
      <w:pPr>
        <w:ind w:left="357"/>
        <w:jc w:val="both"/>
        <w:rPr>
          <w:b/>
        </w:rPr>
      </w:pPr>
    </w:p>
    <w:p w:rsidR="00687D2A" w:rsidRPr="00A9195D" w:rsidRDefault="00687D2A" w:rsidP="00687D2A">
      <w:pPr>
        <w:ind w:left="357"/>
        <w:jc w:val="both"/>
        <w:rPr>
          <w:bCs/>
        </w:rPr>
      </w:pPr>
      <w:r w:rsidRPr="00A9195D">
        <w:rPr>
          <w:bCs/>
        </w:rPr>
        <w:t>This company was incorporated in April 2011 to promote, oversee and facilitate the economic development, growth and regeneration of the administrative areas of Lancashire, Blackburn with Darwen and Blackpool. It is a Government-endorsed partnership between the private and public sectors with a board comprising representatives from some of Lancashire's biggest employers, chambers of commerce, local councils and academic institutions.</w:t>
      </w:r>
    </w:p>
    <w:p w:rsidR="00687D2A" w:rsidRPr="00A9195D" w:rsidRDefault="00687D2A" w:rsidP="00687D2A">
      <w:pPr>
        <w:ind w:left="357"/>
        <w:jc w:val="both"/>
        <w:rPr>
          <w:bCs/>
        </w:rPr>
      </w:pPr>
    </w:p>
    <w:p w:rsidR="00687D2A" w:rsidRPr="00A9195D" w:rsidRDefault="00687D2A" w:rsidP="00687D2A">
      <w:pPr>
        <w:ind w:left="357"/>
        <w:jc w:val="both"/>
        <w:rPr>
          <w:bCs/>
        </w:rPr>
      </w:pPr>
      <w:r w:rsidRPr="00A9195D">
        <w:rPr>
          <w:bCs/>
        </w:rPr>
        <w:t>Chaired by Edwin Booth, Chairman of E H Booth &amp; Co Ltd, and comprising 16 directors, the LEP</w:t>
      </w:r>
      <w:r w:rsidRPr="00A9195D">
        <w:rPr>
          <w:bCs/>
          <w:strike/>
        </w:rPr>
        <w:t xml:space="preserve"> </w:t>
      </w:r>
      <w:r w:rsidRPr="00A9195D">
        <w:rPr>
          <w:bCs/>
        </w:rPr>
        <w:t>serves as the focal point for directing economic development in the county and is hugely influential in the work of councils and other agencies responsible for stimulating economic growth.</w:t>
      </w:r>
    </w:p>
    <w:p w:rsidR="00687D2A" w:rsidRPr="00A9195D" w:rsidRDefault="00687D2A" w:rsidP="00687D2A">
      <w:pPr>
        <w:ind w:left="357"/>
        <w:jc w:val="both"/>
        <w:rPr>
          <w:bCs/>
        </w:rPr>
      </w:pPr>
    </w:p>
    <w:p w:rsidR="00687D2A" w:rsidRPr="00A9195D" w:rsidRDefault="00687D2A" w:rsidP="00687D2A">
      <w:pPr>
        <w:ind w:left="357"/>
        <w:jc w:val="both"/>
        <w:rPr>
          <w:bCs/>
        </w:rPr>
      </w:pPr>
      <w:r w:rsidRPr="00A9195D">
        <w:rPr>
          <w:bCs/>
        </w:rPr>
        <w:t xml:space="preserve">A wholly owned company of the County Council, the LEP is a private company limited by guarantee and has no share capital. It does not hold any assets, resources or contracts nor does it employ staff. </w:t>
      </w:r>
    </w:p>
    <w:p w:rsidR="00687D2A" w:rsidRPr="00A9195D" w:rsidRDefault="00687D2A" w:rsidP="00687D2A">
      <w:pPr>
        <w:ind w:left="357"/>
        <w:jc w:val="both"/>
        <w:rPr>
          <w:bCs/>
        </w:rPr>
      </w:pPr>
    </w:p>
    <w:p w:rsidR="00687D2A" w:rsidRPr="00A9195D" w:rsidRDefault="00687D2A" w:rsidP="00687D2A">
      <w:pPr>
        <w:ind w:left="357"/>
        <w:jc w:val="both"/>
        <w:rPr>
          <w:bCs/>
        </w:rPr>
      </w:pPr>
      <w:r w:rsidRPr="00A9195D">
        <w:rPr>
          <w:bCs/>
        </w:rPr>
        <w:t>The LEP has an important role in drawing investment into Lancashire through central government initiatives such as the Growing Places Fund, from which the LEP has been allocated £19,378,944. The County Council acts as the accountable body for the LEP for the Growing Places Fund, though the LEP approves investment for suitable schemes with the support of County Council officers.</w:t>
      </w:r>
    </w:p>
    <w:p w:rsidR="00687D2A" w:rsidRPr="00A9195D" w:rsidRDefault="00687D2A" w:rsidP="00687D2A">
      <w:pPr>
        <w:ind w:left="357"/>
        <w:jc w:val="both"/>
        <w:rPr>
          <w:bCs/>
        </w:rPr>
      </w:pPr>
    </w:p>
    <w:p w:rsidR="00687D2A" w:rsidRPr="00A9195D" w:rsidRDefault="00AF1729" w:rsidP="00687D2A">
      <w:pPr>
        <w:ind w:left="357"/>
        <w:jc w:val="both"/>
      </w:pPr>
      <w:r w:rsidRPr="00A9195D">
        <w:t xml:space="preserve">For further information, please contact the Company Secretary, Ian Fisher, at PO Box 78, County Hall, Preston, Lancashire, PR1 8XJ.  Information is also available from Companies House. </w:t>
      </w:r>
    </w:p>
    <w:p w:rsidR="00AD3999" w:rsidRDefault="00AD3999" w:rsidP="00E701CA">
      <w:pPr>
        <w:spacing w:after="240"/>
        <w:ind w:left="720"/>
        <w:jc w:val="both"/>
        <w:rPr>
          <w:b/>
        </w:rPr>
      </w:pPr>
    </w:p>
    <w:p w:rsidR="00811649" w:rsidRPr="00E90DF9" w:rsidRDefault="00811649" w:rsidP="00E701CA">
      <w:pPr>
        <w:spacing w:after="240"/>
        <w:ind w:left="720"/>
        <w:jc w:val="both"/>
        <w:rPr>
          <w:b/>
        </w:rPr>
      </w:pPr>
    </w:p>
    <w:p w:rsidR="003A14F7" w:rsidRPr="00E90DF9" w:rsidRDefault="003A14F7" w:rsidP="00BD07E4">
      <w:pPr>
        <w:numPr>
          <w:ilvl w:val="0"/>
          <w:numId w:val="21"/>
        </w:numPr>
        <w:jc w:val="both"/>
        <w:rPr>
          <w:b/>
        </w:rPr>
      </w:pPr>
      <w:r w:rsidRPr="00E90DF9">
        <w:rPr>
          <w:b/>
        </w:rPr>
        <w:lastRenderedPageBreak/>
        <w:t xml:space="preserve">Contingent liabilities </w:t>
      </w:r>
    </w:p>
    <w:p w:rsidR="003A14F7" w:rsidRPr="00E90DF9" w:rsidRDefault="003A14F7" w:rsidP="00E701CA">
      <w:pPr>
        <w:jc w:val="both"/>
        <w:rPr>
          <w:b/>
          <w:color w:val="FF00FF"/>
        </w:rPr>
      </w:pPr>
    </w:p>
    <w:p w:rsidR="00E90DF9" w:rsidRPr="00E90DF9" w:rsidRDefault="00E90DF9" w:rsidP="00E90DF9">
      <w:pPr>
        <w:ind w:left="720"/>
        <w:jc w:val="both"/>
      </w:pPr>
      <w:r w:rsidRPr="00E90DF9">
        <w:t xml:space="preserve">These are liabilities which relate to past events, the effects and costs of which remain uncertain. Because of this uncertainty, no entries have yet been made in the accounts. </w:t>
      </w:r>
    </w:p>
    <w:p w:rsidR="00E90DF9" w:rsidRPr="00E90DF9" w:rsidRDefault="00E90DF9" w:rsidP="00E90DF9">
      <w:pPr>
        <w:ind w:left="720"/>
        <w:jc w:val="both"/>
      </w:pPr>
    </w:p>
    <w:p w:rsidR="00E90DF9" w:rsidRPr="00E90DF9" w:rsidRDefault="00E90DF9" w:rsidP="00E90DF9">
      <w:pPr>
        <w:ind w:left="720"/>
        <w:jc w:val="both"/>
      </w:pPr>
      <w:r w:rsidRPr="00E90DF9">
        <w:t>Details of these liabilities are set out below:</w:t>
      </w:r>
    </w:p>
    <w:p w:rsidR="00E90DF9" w:rsidRPr="00E90DF9" w:rsidRDefault="00E90DF9" w:rsidP="00E90DF9">
      <w:pPr>
        <w:ind w:left="720"/>
        <w:jc w:val="both"/>
      </w:pPr>
    </w:p>
    <w:p w:rsidR="00E90DF9" w:rsidRPr="00E90DF9" w:rsidRDefault="00E90DF9" w:rsidP="00E90DF9">
      <w:pPr>
        <w:ind w:left="720"/>
        <w:jc w:val="both"/>
        <w:rPr>
          <w:b/>
          <w:bCs/>
        </w:rPr>
      </w:pPr>
      <w:r w:rsidRPr="00E90DF9">
        <w:rPr>
          <w:b/>
          <w:bCs/>
        </w:rPr>
        <w:t>Single regeneration budget grant</w:t>
      </w:r>
      <w:r w:rsidRPr="00E90DF9">
        <w:t xml:space="preserve"> - Some of this grant may have to be repaid. An amount of up to £489,000 is at risk, generally due to a shortage of information to support the claims. Continuing efforts are being made to locate additional information where appropriate and to reduce this liability.</w:t>
      </w:r>
    </w:p>
    <w:p w:rsidR="00E90DF9" w:rsidRPr="00E90DF9" w:rsidRDefault="00E90DF9" w:rsidP="00E701CA">
      <w:pPr>
        <w:ind w:left="720"/>
        <w:jc w:val="both"/>
      </w:pPr>
    </w:p>
    <w:p w:rsidR="00E90DF9" w:rsidRPr="00E90DF9" w:rsidRDefault="00E90DF9" w:rsidP="00E90DF9">
      <w:pPr>
        <w:ind w:left="720"/>
        <w:jc w:val="both"/>
      </w:pPr>
      <w:r w:rsidRPr="00E90DF9">
        <w:rPr>
          <w:b/>
          <w:bCs/>
        </w:rPr>
        <w:t>Waste disposal contractor</w:t>
      </w:r>
      <w:r w:rsidRPr="00E90DF9">
        <w:t xml:space="preserve"> – A waste disposal contractor threatened to bring a legal action against the Council. The claim relates to additional costs they consider they were entitled to under </w:t>
      </w:r>
      <w:r w:rsidR="00DB5096" w:rsidRPr="00E90DF9">
        <w:t>their contract</w:t>
      </w:r>
      <w:r w:rsidRPr="00E90DF9">
        <w:t xml:space="preserve"> with the Council.  The Council has refused to make any such payments and has for a number of years been awaiting the issue of court proceedings. If proceedings are issued we intend </w:t>
      </w:r>
      <w:r w:rsidR="00DB5096" w:rsidRPr="00E90DF9">
        <w:t>to vigorously</w:t>
      </w:r>
      <w:r w:rsidRPr="00E90DF9">
        <w:t xml:space="preserve"> defend them. At this stage it is not possible to provide an accurate estimate of any costs which may arise out of this claim.</w:t>
      </w:r>
    </w:p>
    <w:p w:rsidR="00E90DF9" w:rsidRPr="00E90DF9" w:rsidRDefault="00E90DF9" w:rsidP="00E701CA">
      <w:pPr>
        <w:ind w:left="720"/>
        <w:jc w:val="both"/>
      </w:pPr>
    </w:p>
    <w:p w:rsidR="003A14F7" w:rsidRPr="00E90DF9" w:rsidRDefault="003A14F7" w:rsidP="00BD07E4">
      <w:pPr>
        <w:numPr>
          <w:ilvl w:val="0"/>
          <w:numId w:val="21"/>
        </w:numPr>
        <w:jc w:val="both"/>
        <w:rPr>
          <w:b/>
        </w:rPr>
      </w:pPr>
      <w:r w:rsidRPr="00E90DF9">
        <w:rPr>
          <w:b/>
        </w:rPr>
        <w:t>Contingent Assets</w:t>
      </w:r>
    </w:p>
    <w:p w:rsidR="003A14F7" w:rsidRPr="00286C0E" w:rsidRDefault="003A14F7" w:rsidP="00E701CA">
      <w:pPr>
        <w:jc w:val="both"/>
        <w:rPr>
          <w:highlight w:val="yellow"/>
        </w:rPr>
      </w:pPr>
    </w:p>
    <w:p w:rsidR="00E90DF9" w:rsidRDefault="00E90DF9" w:rsidP="00E90DF9">
      <w:pPr>
        <w:ind w:left="720"/>
        <w:jc w:val="both"/>
      </w:pPr>
      <w:r w:rsidRPr="00E90DF9">
        <w:t xml:space="preserve">Lancashire </w:t>
      </w:r>
      <w:r w:rsidR="001F1A1A">
        <w:t>County Council</w:t>
      </w:r>
      <w:r w:rsidRPr="00E90DF9">
        <w:t xml:space="preserve"> does not have any Contingent assets in 2011/12</w:t>
      </w:r>
    </w:p>
    <w:p w:rsidR="00E90DF9" w:rsidRPr="00E90DF9" w:rsidRDefault="00E90DF9" w:rsidP="00E90DF9">
      <w:pPr>
        <w:jc w:val="both"/>
      </w:pPr>
    </w:p>
    <w:p w:rsidR="00A1169B" w:rsidRPr="00954848" w:rsidRDefault="00A71ACD" w:rsidP="00BD07E4">
      <w:pPr>
        <w:numPr>
          <w:ilvl w:val="0"/>
          <w:numId w:val="21"/>
        </w:numPr>
        <w:spacing w:after="240"/>
        <w:jc w:val="both"/>
        <w:rPr>
          <w:b/>
        </w:rPr>
      </w:pPr>
      <w:r w:rsidRPr="00954848">
        <w:rPr>
          <w:b/>
        </w:rPr>
        <w:t>Defined Benefit Pension Schemes</w:t>
      </w:r>
    </w:p>
    <w:p w:rsidR="00954848" w:rsidRPr="00442EEE" w:rsidRDefault="00954848" w:rsidP="00954848">
      <w:pPr>
        <w:spacing w:after="240"/>
        <w:ind w:left="720"/>
        <w:jc w:val="both"/>
      </w:pPr>
      <w:r w:rsidRPr="00442EEE">
        <w:t>As part of the terms and conditions of employment of its officers and other employees, the authority offers retirement benefits. Although these benefits will not actually be payable until employees retire, the authority has a commitment to make the payments that need to be disclosed at the time that employees earn their future entitlement.</w:t>
      </w:r>
    </w:p>
    <w:p w:rsidR="00954848" w:rsidRPr="00442EEE" w:rsidRDefault="00954848" w:rsidP="00954848">
      <w:pPr>
        <w:spacing w:after="240"/>
        <w:ind w:left="720"/>
        <w:jc w:val="both"/>
      </w:pPr>
      <w:r w:rsidRPr="00442EEE">
        <w:t>The authority participates in two pension schemes:</w:t>
      </w:r>
    </w:p>
    <w:p w:rsidR="00954848" w:rsidRPr="00442EEE" w:rsidRDefault="00954848" w:rsidP="00954848">
      <w:pPr>
        <w:spacing w:after="240"/>
        <w:ind w:left="720"/>
        <w:jc w:val="both"/>
      </w:pPr>
      <w:r w:rsidRPr="00442EEE">
        <w:rPr>
          <w:b/>
        </w:rPr>
        <w:t>Local Government Pension Scheme</w:t>
      </w:r>
      <w:r w:rsidRPr="00442EEE">
        <w:t xml:space="preserve"> – this is a funded defined benefit final salary scheme, meaning that the authority and employees pay contributions into a fund, calculated at a level intended to balance the pension's liabilities with investment assets.</w:t>
      </w:r>
    </w:p>
    <w:p w:rsidR="00954848" w:rsidRPr="00442EEE" w:rsidRDefault="00954848" w:rsidP="00954848">
      <w:pPr>
        <w:spacing w:after="240"/>
        <w:ind w:left="720"/>
        <w:jc w:val="both"/>
      </w:pPr>
      <w:r w:rsidRPr="00442EEE">
        <w:rPr>
          <w:b/>
        </w:rPr>
        <w:t xml:space="preserve">The Teachers' Pension Scheme </w:t>
      </w:r>
      <w:r w:rsidRPr="00442EEE">
        <w:t xml:space="preserve">– this is an unfunded defined benefit final salary scheme administered by Lancashire </w:t>
      </w:r>
      <w:r w:rsidR="001F1A1A">
        <w:t>County Council</w:t>
      </w:r>
      <w:r w:rsidRPr="00442EEE">
        <w:t xml:space="preserve"> , meaning that there are no investment assets built up to meet the pensions liabilities, and cash has to be generated to meet actual pensions payments as they eventually fall due.</w:t>
      </w:r>
    </w:p>
    <w:p w:rsidR="00954848" w:rsidRPr="00442EEE" w:rsidRDefault="00954848" w:rsidP="00954848">
      <w:pPr>
        <w:spacing w:after="240"/>
        <w:ind w:left="720"/>
        <w:jc w:val="both"/>
        <w:rPr>
          <w:b/>
        </w:rPr>
      </w:pPr>
      <w:r w:rsidRPr="00442EEE">
        <w:rPr>
          <w:b/>
        </w:rPr>
        <w:t>Transactions relating to retirement benefits</w:t>
      </w:r>
    </w:p>
    <w:p w:rsidR="00954848" w:rsidRPr="00442EEE" w:rsidRDefault="00954848" w:rsidP="00954848">
      <w:pPr>
        <w:spacing w:after="240"/>
        <w:ind w:left="720"/>
        <w:jc w:val="both"/>
      </w:pPr>
      <w:r w:rsidRPr="00442EEE">
        <w:t>We recognised the cost of retirement benefits in the surplus/deficit on continuing operations in the Comprehensive Income and Expenditure Statement, when they are earned by employees, rather than when the benefits are eventually paid as pensions.</w:t>
      </w:r>
    </w:p>
    <w:p w:rsidR="00954848" w:rsidRDefault="00954848" w:rsidP="00954848">
      <w:pPr>
        <w:spacing w:after="240"/>
        <w:ind w:left="720"/>
        <w:jc w:val="both"/>
      </w:pPr>
      <w:r w:rsidRPr="00442EEE">
        <w:t xml:space="preserve">However, the charge we are required to make against council tax is based on the cash payable in the year, so the International Accounting Standard 19 (IAS 19) cost of retirement benefits is reversed out in the Movement in Reserve Statement against the County Fund balance. </w:t>
      </w:r>
    </w:p>
    <w:p w:rsidR="00954848" w:rsidRDefault="00954848" w:rsidP="00954848">
      <w:pPr>
        <w:spacing w:after="240"/>
        <w:ind w:left="720"/>
        <w:jc w:val="both"/>
      </w:pPr>
      <w:r w:rsidRPr="00442EEE">
        <w:lastRenderedPageBreak/>
        <w:t xml:space="preserve">The following transactions have been made in the Comprehensive Income and Expenditure Statement and Movement in Reserves </w:t>
      </w:r>
      <w:r>
        <w:t>Statement during the year:</w:t>
      </w:r>
    </w:p>
    <w:p w:rsidR="00954848" w:rsidRDefault="00330C0F" w:rsidP="00954848">
      <w:pPr>
        <w:spacing w:after="240"/>
        <w:ind w:left="720"/>
        <w:jc w:val="both"/>
      </w:pPr>
      <w:r>
        <w:object w:dxaOrig="9329" w:dyaOrig="8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75pt;height:439.5pt" o:ole="">
            <v:imagedata r:id="rId25" o:title=""/>
          </v:shape>
          <o:OLEObject Type="Embed" ProgID="Excel.Sheet.12" ShapeID="_x0000_i1025" DrawAspect="Content" ObjectID="_1409470212" r:id="rId26"/>
        </w:object>
      </w:r>
    </w:p>
    <w:p w:rsidR="00954848" w:rsidRPr="00442EEE" w:rsidRDefault="00954848" w:rsidP="00954848">
      <w:pPr>
        <w:ind w:left="720"/>
        <w:rPr>
          <w:sz w:val="22"/>
        </w:rPr>
      </w:pPr>
    </w:p>
    <w:p w:rsidR="00954848" w:rsidRPr="00442EEE" w:rsidRDefault="0036027B" w:rsidP="00954848">
      <w:pPr>
        <w:spacing w:after="240"/>
        <w:ind w:left="720"/>
        <w:jc w:val="both"/>
      </w:pPr>
      <w:r>
        <w:t>In 2011/12 we paid £50.</w:t>
      </w:r>
      <w:r w:rsidR="00954848" w:rsidRPr="00924E8E">
        <w:t xml:space="preserve">213 million to the Department for Education for teachers' pension costs. This represents 15.4% of teachers' pensionable pay (£51.7 million and 14.8% in 2010/11). </w:t>
      </w:r>
    </w:p>
    <w:p w:rsidR="00954848" w:rsidRPr="00442EEE" w:rsidRDefault="00954848" w:rsidP="00954848">
      <w:pPr>
        <w:spacing w:after="240"/>
        <w:ind w:left="720"/>
        <w:jc w:val="both"/>
      </w:pPr>
      <w:r w:rsidRPr="001D73B8">
        <w:t>We are also responsible for all discretionary pension payments we have awarded to teachers, together with related increases. In 2011/12 these amounted to £8.5 million, representing 2.6% of pensionable pay (£8.4 million and 2.4% in 2010/11).</w:t>
      </w:r>
    </w:p>
    <w:p w:rsidR="00954848" w:rsidRDefault="00954848" w:rsidP="00954848">
      <w:pPr>
        <w:spacing w:after="240"/>
        <w:ind w:left="720"/>
        <w:jc w:val="both"/>
      </w:pPr>
      <w:r w:rsidRPr="00442EEE">
        <w:t>In addition to the recognised gains and losses included in the Comprehensive Income and Expend</w:t>
      </w:r>
      <w:r>
        <w:t xml:space="preserve">iture Statement, actuarial losses of £175.400 </w:t>
      </w:r>
      <w:r w:rsidRPr="00442EEE">
        <w:t>million (£</w:t>
      </w:r>
      <w:r w:rsidR="0036027B">
        <w:t>178.</w:t>
      </w:r>
      <w:r>
        <w:t>590</w:t>
      </w:r>
      <w:r w:rsidRPr="00442EEE">
        <w:t xml:space="preserve"> million </w:t>
      </w:r>
      <w:r>
        <w:t>gain in 2010/11</w:t>
      </w:r>
      <w:r w:rsidRPr="00442EEE">
        <w:t>) were included in the Statement of Other Comprehensive Income. The cumulative amount of actuarial gains and losses recognised in the Statement of Other Comprehensive Income is a loss of £</w:t>
      </w:r>
      <w:r>
        <w:t>276.871 million.</w:t>
      </w:r>
    </w:p>
    <w:p w:rsidR="00330C0F" w:rsidRPr="0078544E" w:rsidRDefault="00330C0F" w:rsidP="00954848">
      <w:pPr>
        <w:spacing w:after="240"/>
        <w:ind w:left="720"/>
        <w:jc w:val="both"/>
      </w:pPr>
    </w:p>
    <w:p w:rsidR="00954848" w:rsidRPr="00442EEE" w:rsidRDefault="00954848" w:rsidP="00954848">
      <w:pPr>
        <w:spacing w:after="240"/>
        <w:ind w:left="720"/>
        <w:rPr>
          <w:b/>
        </w:rPr>
      </w:pPr>
      <w:r w:rsidRPr="00442EEE">
        <w:rPr>
          <w:b/>
        </w:rPr>
        <w:lastRenderedPageBreak/>
        <w:t>Assets and liabilities in relation to retirement benefits</w:t>
      </w:r>
    </w:p>
    <w:p w:rsidR="00954848" w:rsidRDefault="00954848" w:rsidP="00954848">
      <w:pPr>
        <w:spacing w:after="240"/>
        <w:ind w:left="720"/>
        <w:rPr>
          <w:b/>
        </w:rPr>
      </w:pPr>
      <w:r w:rsidRPr="00346CC4">
        <w:rPr>
          <w:b/>
        </w:rPr>
        <w:t>Reconciliation of present value of the scheme liabilities:</w:t>
      </w:r>
    </w:p>
    <w:tbl>
      <w:tblPr>
        <w:tblW w:w="9060" w:type="dxa"/>
        <w:tblInd w:w="718" w:type="dxa"/>
        <w:tblLook w:val="04A0"/>
      </w:tblPr>
      <w:tblGrid>
        <w:gridCol w:w="3400"/>
        <w:gridCol w:w="1560"/>
        <w:gridCol w:w="1560"/>
        <w:gridCol w:w="1270"/>
        <w:gridCol w:w="1270"/>
      </w:tblGrid>
      <w:tr w:rsidR="00954848" w:rsidRPr="00C00E7B" w:rsidTr="00954848">
        <w:trPr>
          <w:trHeight w:val="825"/>
        </w:trPr>
        <w:tc>
          <w:tcPr>
            <w:tcW w:w="3400" w:type="dxa"/>
            <w:tcBorders>
              <w:top w:val="single" w:sz="4" w:space="0" w:color="auto"/>
              <w:left w:val="single" w:sz="4" w:space="0" w:color="auto"/>
              <w:bottom w:val="nil"/>
              <w:right w:val="single" w:sz="4" w:space="0" w:color="auto"/>
            </w:tcBorders>
            <w:shd w:val="clear" w:color="auto" w:fill="auto"/>
            <w:noWrap/>
            <w:vAlign w:val="bottom"/>
            <w:hideMark/>
          </w:tcPr>
          <w:p w:rsidR="00954848" w:rsidRPr="00C00E7B" w:rsidRDefault="00954848" w:rsidP="00954848">
            <w:pPr>
              <w:rPr>
                <w:sz w:val="20"/>
                <w:szCs w:val="20"/>
              </w:rPr>
            </w:pPr>
            <w:r w:rsidRPr="00C00E7B">
              <w:rPr>
                <w:sz w:val="20"/>
                <w:szCs w:val="20"/>
              </w:rPr>
              <w:t> </w:t>
            </w:r>
          </w:p>
        </w:tc>
        <w:tc>
          <w:tcPr>
            <w:tcW w:w="3120" w:type="dxa"/>
            <w:gridSpan w:val="2"/>
            <w:tcBorders>
              <w:top w:val="single" w:sz="4" w:space="0" w:color="auto"/>
              <w:left w:val="nil"/>
              <w:bottom w:val="nil"/>
              <w:right w:val="single" w:sz="4" w:space="0" w:color="000000"/>
            </w:tcBorders>
            <w:shd w:val="clear" w:color="auto" w:fill="auto"/>
            <w:vAlign w:val="bottom"/>
            <w:hideMark/>
          </w:tcPr>
          <w:p w:rsidR="00954848" w:rsidRPr="00C00E7B" w:rsidRDefault="00954848" w:rsidP="00954848">
            <w:pPr>
              <w:jc w:val="center"/>
              <w:rPr>
                <w:b/>
                <w:bCs/>
                <w:sz w:val="20"/>
                <w:szCs w:val="20"/>
              </w:rPr>
            </w:pPr>
            <w:r w:rsidRPr="00C00E7B">
              <w:rPr>
                <w:b/>
                <w:bCs/>
                <w:sz w:val="20"/>
                <w:szCs w:val="20"/>
              </w:rPr>
              <w:t xml:space="preserve">Funded liabilities: </w:t>
            </w:r>
            <w:r w:rsidRPr="00C00E7B">
              <w:rPr>
                <w:b/>
                <w:bCs/>
                <w:sz w:val="20"/>
                <w:szCs w:val="20"/>
              </w:rPr>
              <w:br/>
              <w:t>Local Government Pension Scheme</w:t>
            </w:r>
          </w:p>
        </w:tc>
        <w:tc>
          <w:tcPr>
            <w:tcW w:w="2540" w:type="dxa"/>
            <w:gridSpan w:val="2"/>
            <w:tcBorders>
              <w:top w:val="single" w:sz="4" w:space="0" w:color="auto"/>
              <w:left w:val="nil"/>
              <w:bottom w:val="nil"/>
              <w:right w:val="single" w:sz="4" w:space="0" w:color="000000"/>
            </w:tcBorders>
            <w:shd w:val="clear" w:color="auto" w:fill="auto"/>
            <w:vAlign w:val="bottom"/>
            <w:hideMark/>
          </w:tcPr>
          <w:p w:rsidR="00954848" w:rsidRPr="00C00E7B" w:rsidRDefault="00954848" w:rsidP="00954848">
            <w:pPr>
              <w:jc w:val="center"/>
              <w:rPr>
                <w:b/>
                <w:bCs/>
                <w:sz w:val="20"/>
                <w:szCs w:val="20"/>
              </w:rPr>
            </w:pPr>
            <w:r w:rsidRPr="00C00E7B">
              <w:rPr>
                <w:b/>
                <w:bCs/>
                <w:sz w:val="20"/>
                <w:szCs w:val="20"/>
              </w:rPr>
              <w:t xml:space="preserve">Unfunded liabilities: </w:t>
            </w:r>
            <w:r w:rsidRPr="00C00E7B">
              <w:rPr>
                <w:b/>
                <w:bCs/>
                <w:sz w:val="20"/>
                <w:szCs w:val="20"/>
              </w:rPr>
              <w:br/>
              <w:t>Teachers Pension Scheme</w:t>
            </w:r>
          </w:p>
        </w:tc>
      </w:tr>
      <w:tr w:rsidR="00954848" w:rsidRPr="00C00E7B" w:rsidTr="00954848">
        <w:trPr>
          <w:trHeight w:val="300"/>
        </w:trPr>
        <w:tc>
          <w:tcPr>
            <w:tcW w:w="3400" w:type="dxa"/>
            <w:tcBorders>
              <w:top w:val="nil"/>
              <w:left w:val="single" w:sz="4" w:space="0" w:color="auto"/>
              <w:bottom w:val="nil"/>
              <w:right w:val="single" w:sz="4" w:space="0" w:color="auto"/>
            </w:tcBorders>
            <w:shd w:val="clear" w:color="auto" w:fill="auto"/>
            <w:noWrap/>
            <w:vAlign w:val="bottom"/>
            <w:hideMark/>
          </w:tcPr>
          <w:p w:rsidR="00954848" w:rsidRPr="00C00E7B" w:rsidRDefault="00954848" w:rsidP="00954848">
            <w:pPr>
              <w:rPr>
                <w:sz w:val="20"/>
                <w:szCs w:val="20"/>
              </w:rPr>
            </w:pPr>
            <w:r w:rsidRPr="00C00E7B">
              <w:rPr>
                <w:sz w:val="20"/>
                <w:szCs w:val="20"/>
              </w:rPr>
              <w:t> </w:t>
            </w:r>
          </w:p>
        </w:tc>
        <w:tc>
          <w:tcPr>
            <w:tcW w:w="1560" w:type="dxa"/>
            <w:tcBorders>
              <w:top w:val="nil"/>
              <w:left w:val="nil"/>
              <w:bottom w:val="nil"/>
              <w:right w:val="nil"/>
            </w:tcBorders>
            <w:shd w:val="clear" w:color="auto" w:fill="auto"/>
            <w:noWrap/>
            <w:vAlign w:val="bottom"/>
            <w:hideMark/>
          </w:tcPr>
          <w:p w:rsidR="00954848" w:rsidRPr="00C00E7B" w:rsidRDefault="00954848" w:rsidP="00954848">
            <w:pPr>
              <w:jc w:val="right"/>
              <w:rPr>
                <w:b/>
                <w:bCs/>
                <w:sz w:val="20"/>
                <w:szCs w:val="20"/>
              </w:rPr>
            </w:pPr>
            <w:r w:rsidRPr="00C00E7B">
              <w:rPr>
                <w:b/>
                <w:bCs/>
                <w:sz w:val="20"/>
                <w:szCs w:val="20"/>
              </w:rPr>
              <w:t>2011/12</w:t>
            </w:r>
          </w:p>
        </w:tc>
        <w:tc>
          <w:tcPr>
            <w:tcW w:w="1560" w:type="dxa"/>
            <w:tcBorders>
              <w:top w:val="nil"/>
              <w:left w:val="nil"/>
              <w:bottom w:val="nil"/>
              <w:right w:val="single" w:sz="4" w:space="0" w:color="auto"/>
            </w:tcBorders>
            <w:shd w:val="clear" w:color="auto" w:fill="auto"/>
            <w:noWrap/>
            <w:vAlign w:val="bottom"/>
            <w:hideMark/>
          </w:tcPr>
          <w:p w:rsidR="00954848" w:rsidRPr="00C00E7B" w:rsidRDefault="00954848" w:rsidP="00954848">
            <w:pPr>
              <w:jc w:val="right"/>
              <w:rPr>
                <w:b/>
                <w:bCs/>
                <w:sz w:val="20"/>
                <w:szCs w:val="20"/>
              </w:rPr>
            </w:pPr>
            <w:r w:rsidRPr="00C00E7B">
              <w:rPr>
                <w:b/>
                <w:bCs/>
                <w:sz w:val="20"/>
                <w:szCs w:val="20"/>
              </w:rPr>
              <w:t>2010/11</w:t>
            </w:r>
          </w:p>
        </w:tc>
        <w:tc>
          <w:tcPr>
            <w:tcW w:w="1270" w:type="dxa"/>
            <w:tcBorders>
              <w:top w:val="nil"/>
              <w:left w:val="nil"/>
              <w:bottom w:val="nil"/>
              <w:right w:val="nil"/>
            </w:tcBorders>
            <w:shd w:val="clear" w:color="auto" w:fill="auto"/>
            <w:noWrap/>
            <w:vAlign w:val="bottom"/>
            <w:hideMark/>
          </w:tcPr>
          <w:p w:rsidR="00954848" w:rsidRPr="00C00E7B" w:rsidRDefault="00954848" w:rsidP="00954848">
            <w:pPr>
              <w:jc w:val="right"/>
              <w:rPr>
                <w:b/>
                <w:bCs/>
                <w:sz w:val="20"/>
                <w:szCs w:val="20"/>
              </w:rPr>
            </w:pPr>
            <w:r w:rsidRPr="00C00E7B">
              <w:rPr>
                <w:b/>
                <w:bCs/>
                <w:sz w:val="20"/>
                <w:szCs w:val="20"/>
              </w:rPr>
              <w:t>2011/12</w:t>
            </w:r>
          </w:p>
        </w:tc>
        <w:tc>
          <w:tcPr>
            <w:tcW w:w="1270" w:type="dxa"/>
            <w:tcBorders>
              <w:top w:val="nil"/>
              <w:left w:val="nil"/>
              <w:bottom w:val="nil"/>
              <w:right w:val="single" w:sz="4" w:space="0" w:color="auto"/>
            </w:tcBorders>
            <w:shd w:val="clear" w:color="auto" w:fill="auto"/>
            <w:noWrap/>
            <w:vAlign w:val="bottom"/>
            <w:hideMark/>
          </w:tcPr>
          <w:p w:rsidR="00954848" w:rsidRPr="00C00E7B" w:rsidRDefault="00954848" w:rsidP="00954848">
            <w:pPr>
              <w:jc w:val="right"/>
              <w:rPr>
                <w:b/>
                <w:bCs/>
                <w:sz w:val="20"/>
                <w:szCs w:val="20"/>
              </w:rPr>
            </w:pPr>
            <w:r w:rsidRPr="00C00E7B">
              <w:rPr>
                <w:b/>
                <w:bCs/>
                <w:sz w:val="20"/>
                <w:szCs w:val="20"/>
              </w:rPr>
              <w:t>2010/11</w:t>
            </w:r>
          </w:p>
        </w:tc>
      </w:tr>
      <w:tr w:rsidR="00954848" w:rsidRPr="00C00E7B" w:rsidTr="00954848">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954848" w:rsidRPr="00C00E7B" w:rsidRDefault="00954848" w:rsidP="00954848">
            <w:pPr>
              <w:rPr>
                <w:sz w:val="20"/>
                <w:szCs w:val="20"/>
              </w:rPr>
            </w:pPr>
            <w:r w:rsidRPr="00C00E7B">
              <w:rPr>
                <w:sz w:val="20"/>
                <w:szCs w:val="20"/>
              </w:rPr>
              <w:t> </w:t>
            </w:r>
          </w:p>
        </w:tc>
        <w:tc>
          <w:tcPr>
            <w:tcW w:w="1560" w:type="dxa"/>
            <w:tcBorders>
              <w:top w:val="nil"/>
              <w:left w:val="nil"/>
              <w:bottom w:val="single" w:sz="4" w:space="0" w:color="auto"/>
              <w:right w:val="nil"/>
            </w:tcBorders>
            <w:shd w:val="clear" w:color="auto" w:fill="auto"/>
            <w:noWrap/>
            <w:vAlign w:val="bottom"/>
            <w:hideMark/>
          </w:tcPr>
          <w:p w:rsidR="00954848" w:rsidRPr="00C00E7B" w:rsidRDefault="00954848" w:rsidP="00954848">
            <w:pPr>
              <w:jc w:val="right"/>
              <w:rPr>
                <w:b/>
                <w:bCs/>
                <w:sz w:val="20"/>
                <w:szCs w:val="20"/>
              </w:rPr>
            </w:pPr>
            <w:r w:rsidRPr="00C00E7B">
              <w:rPr>
                <w:b/>
                <w:bCs/>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954848" w:rsidRPr="00C00E7B" w:rsidRDefault="00954848" w:rsidP="00954848">
            <w:pPr>
              <w:jc w:val="right"/>
              <w:rPr>
                <w:b/>
                <w:bCs/>
                <w:sz w:val="20"/>
                <w:szCs w:val="20"/>
              </w:rPr>
            </w:pPr>
            <w:r w:rsidRPr="00C00E7B">
              <w:rPr>
                <w:b/>
                <w:bCs/>
                <w:sz w:val="20"/>
                <w:szCs w:val="20"/>
              </w:rPr>
              <w:t>£000</w:t>
            </w:r>
          </w:p>
        </w:tc>
        <w:tc>
          <w:tcPr>
            <w:tcW w:w="1270" w:type="dxa"/>
            <w:tcBorders>
              <w:top w:val="nil"/>
              <w:left w:val="nil"/>
              <w:bottom w:val="single" w:sz="4" w:space="0" w:color="auto"/>
              <w:right w:val="nil"/>
            </w:tcBorders>
            <w:shd w:val="clear" w:color="auto" w:fill="auto"/>
            <w:noWrap/>
            <w:vAlign w:val="bottom"/>
            <w:hideMark/>
          </w:tcPr>
          <w:p w:rsidR="00954848" w:rsidRPr="00C00E7B" w:rsidRDefault="00954848" w:rsidP="00954848">
            <w:pPr>
              <w:jc w:val="right"/>
              <w:rPr>
                <w:b/>
                <w:bCs/>
                <w:sz w:val="20"/>
                <w:szCs w:val="20"/>
              </w:rPr>
            </w:pPr>
            <w:r w:rsidRPr="00C00E7B">
              <w:rPr>
                <w:b/>
                <w:bCs/>
                <w:sz w:val="20"/>
                <w:szCs w:val="20"/>
              </w:rPr>
              <w:t>£000</w:t>
            </w:r>
          </w:p>
        </w:tc>
        <w:tc>
          <w:tcPr>
            <w:tcW w:w="1270" w:type="dxa"/>
            <w:tcBorders>
              <w:top w:val="nil"/>
              <w:left w:val="nil"/>
              <w:bottom w:val="single" w:sz="4" w:space="0" w:color="auto"/>
              <w:right w:val="single" w:sz="4" w:space="0" w:color="auto"/>
            </w:tcBorders>
            <w:shd w:val="clear" w:color="auto" w:fill="auto"/>
            <w:noWrap/>
            <w:vAlign w:val="bottom"/>
            <w:hideMark/>
          </w:tcPr>
          <w:p w:rsidR="00954848" w:rsidRPr="00C00E7B" w:rsidRDefault="00954848" w:rsidP="00954848">
            <w:pPr>
              <w:jc w:val="right"/>
              <w:rPr>
                <w:b/>
                <w:bCs/>
                <w:sz w:val="20"/>
                <w:szCs w:val="20"/>
              </w:rPr>
            </w:pPr>
            <w:r w:rsidRPr="00C00E7B">
              <w:rPr>
                <w:b/>
                <w:bCs/>
                <w:sz w:val="20"/>
                <w:szCs w:val="20"/>
              </w:rPr>
              <w:t>£000</w:t>
            </w:r>
          </w:p>
        </w:tc>
      </w:tr>
      <w:tr w:rsidR="00954848" w:rsidRPr="00C00E7B" w:rsidTr="00954848">
        <w:trPr>
          <w:trHeight w:val="300"/>
        </w:trPr>
        <w:tc>
          <w:tcPr>
            <w:tcW w:w="3400" w:type="dxa"/>
            <w:tcBorders>
              <w:top w:val="nil"/>
              <w:left w:val="single" w:sz="4" w:space="0" w:color="auto"/>
              <w:bottom w:val="nil"/>
              <w:right w:val="single" w:sz="4" w:space="0" w:color="auto"/>
            </w:tcBorders>
            <w:shd w:val="clear" w:color="auto" w:fill="auto"/>
            <w:noWrap/>
            <w:vAlign w:val="bottom"/>
            <w:hideMark/>
          </w:tcPr>
          <w:p w:rsidR="00954848" w:rsidRPr="00C00E7B" w:rsidRDefault="00954848" w:rsidP="00954848">
            <w:pPr>
              <w:rPr>
                <w:b/>
                <w:bCs/>
                <w:sz w:val="20"/>
                <w:szCs w:val="20"/>
              </w:rPr>
            </w:pPr>
            <w:r w:rsidRPr="00C00E7B">
              <w:rPr>
                <w:b/>
                <w:bCs/>
                <w:sz w:val="20"/>
                <w:szCs w:val="20"/>
              </w:rPr>
              <w:t xml:space="preserve">1 April </w:t>
            </w:r>
          </w:p>
        </w:tc>
        <w:tc>
          <w:tcPr>
            <w:tcW w:w="1560" w:type="dxa"/>
            <w:tcBorders>
              <w:top w:val="nil"/>
              <w:left w:val="nil"/>
              <w:bottom w:val="nil"/>
              <w:right w:val="nil"/>
            </w:tcBorders>
            <w:shd w:val="clear" w:color="auto" w:fill="auto"/>
            <w:noWrap/>
            <w:vAlign w:val="bottom"/>
            <w:hideMark/>
          </w:tcPr>
          <w:p w:rsidR="00954848" w:rsidRPr="00C00E7B" w:rsidRDefault="00954848" w:rsidP="00954848">
            <w:pPr>
              <w:jc w:val="right"/>
              <w:rPr>
                <w:sz w:val="20"/>
                <w:szCs w:val="20"/>
              </w:rPr>
            </w:pPr>
            <w:r w:rsidRPr="00C00E7B">
              <w:rPr>
                <w:sz w:val="20"/>
                <w:szCs w:val="20"/>
              </w:rPr>
              <w:t>2,372,019</w:t>
            </w:r>
          </w:p>
        </w:tc>
        <w:tc>
          <w:tcPr>
            <w:tcW w:w="1560" w:type="dxa"/>
            <w:tcBorders>
              <w:top w:val="nil"/>
              <w:left w:val="nil"/>
              <w:bottom w:val="nil"/>
              <w:right w:val="single" w:sz="4" w:space="0" w:color="auto"/>
            </w:tcBorders>
            <w:shd w:val="clear" w:color="auto" w:fill="auto"/>
            <w:noWrap/>
            <w:vAlign w:val="bottom"/>
            <w:hideMark/>
          </w:tcPr>
          <w:p w:rsidR="00954848" w:rsidRPr="00C00E7B" w:rsidRDefault="00954848" w:rsidP="00954848">
            <w:pPr>
              <w:jc w:val="right"/>
              <w:rPr>
                <w:sz w:val="20"/>
                <w:szCs w:val="20"/>
              </w:rPr>
            </w:pPr>
            <w:r w:rsidRPr="00C00E7B">
              <w:rPr>
                <w:sz w:val="20"/>
                <w:szCs w:val="20"/>
              </w:rPr>
              <w:t>2,522,504</w:t>
            </w:r>
          </w:p>
        </w:tc>
        <w:tc>
          <w:tcPr>
            <w:tcW w:w="1270" w:type="dxa"/>
            <w:tcBorders>
              <w:top w:val="nil"/>
              <w:left w:val="nil"/>
              <w:bottom w:val="nil"/>
              <w:right w:val="nil"/>
            </w:tcBorders>
            <w:shd w:val="clear" w:color="auto" w:fill="auto"/>
            <w:noWrap/>
            <w:vAlign w:val="bottom"/>
            <w:hideMark/>
          </w:tcPr>
          <w:p w:rsidR="00954848" w:rsidRPr="00C00E7B" w:rsidRDefault="00954848" w:rsidP="00954848">
            <w:pPr>
              <w:jc w:val="right"/>
              <w:rPr>
                <w:sz w:val="20"/>
                <w:szCs w:val="20"/>
              </w:rPr>
            </w:pPr>
            <w:r w:rsidRPr="00C00E7B">
              <w:rPr>
                <w:sz w:val="20"/>
                <w:szCs w:val="20"/>
              </w:rPr>
              <w:t>136,200</w:t>
            </w:r>
          </w:p>
        </w:tc>
        <w:tc>
          <w:tcPr>
            <w:tcW w:w="1270" w:type="dxa"/>
            <w:tcBorders>
              <w:top w:val="nil"/>
              <w:left w:val="nil"/>
              <w:bottom w:val="nil"/>
              <w:right w:val="single" w:sz="4" w:space="0" w:color="auto"/>
            </w:tcBorders>
            <w:shd w:val="clear" w:color="auto" w:fill="auto"/>
            <w:noWrap/>
            <w:vAlign w:val="bottom"/>
            <w:hideMark/>
          </w:tcPr>
          <w:p w:rsidR="00954848" w:rsidRPr="00C00E7B" w:rsidRDefault="00954848" w:rsidP="00954848">
            <w:pPr>
              <w:jc w:val="right"/>
              <w:rPr>
                <w:sz w:val="20"/>
                <w:szCs w:val="20"/>
              </w:rPr>
            </w:pPr>
            <w:r w:rsidRPr="00C00E7B">
              <w:rPr>
                <w:sz w:val="20"/>
                <w:szCs w:val="20"/>
              </w:rPr>
              <w:t>143,878</w:t>
            </w:r>
          </w:p>
        </w:tc>
      </w:tr>
      <w:tr w:rsidR="00954848" w:rsidRPr="00C00E7B" w:rsidTr="00954848">
        <w:trPr>
          <w:trHeight w:val="300"/>
        </w:trPr>
        <w:tc>
          <w:tcPr>
            <w:tcW w:w="3400" w:type="dxa"/>
            <w:tcBorders>
              <w:top w:val="nil"/>
              <w:left w:val="single" w:sz="4" w:space="0" w:color="auto"/>
              <w:bottom w:val="nil"/>
              <w:right w:val="single" w:sz="4" w:space="0" w:color="auto"/>
            </w:tcBorders>
            <w:shd w:val="clear" w:color="auto" w:fill="auto"/>
            <w:noWrap/>
            <w:vAlign w:val="bottom"/>
            <w:hideMark/>
          </w:tcPr>
          <w:p w:rsidR="00954848" w:rsidRPr="00C00E7B" w:rsidRDefault="00954848" w:rsidP="00954848">
            <w:pPr>
              <w:rPr>
                <w:sz w:val="20"/>
                <w:szCs w:val="20"/>
              </w:rPr>
            </w:pPr>
            <w:r w:rsidRPr="00C00E7B">
              <w:rPr>
                <w:sz w:val="20"/>
                <w:szCs w:val="20"/>
              </w:rPr>
              <w:t>Current service cost</w:t>
            </w:r>
          </w:p>
        </w:tc>
        <w:tc>
          <w:tcPr>
            <w:tcW w:w="1560" w:type="dxa"/>
            <w:tcBorders>
              <w:top w:val="nil"/>
              <w:left w:val="nil"/>
              <w:bottom w:val="nil"/>
              <w:right w:val="nil"/>
            </w:tcBorders>
            <w:shd w:val="clear" w:color="auto" w:fill="auto"/>
            <w:noWrap/>
            <w:vAlign w:val="bottom"/>
            <w:hideMark/>
          </w:tcPr>
          <w:p w:rsidR="00954848" w:rsidRPr="00C00E7B" w:rsidRDefault="00954848" w:rsidP="00954848">
            <w:pPr>
              <w:jc w:val="right"/>
              <w:rPr>
                <w:sz w:val="20"/>
                <w:szCs w:val="20"/>
              </w:rPr>
            </w:pPr>
            <w:r w:rsidRPr="00C00E7B">
              <w:rPr>
                <w:sz w:val="20"/>
                <w:szCs w:val="20"/>
              </w:rPr>
              <w:t>58,406</w:t>
            </w:r>
          </w:p>
        </w:tc>
        <w:tc>
          <w:tcPr>
            <w:tcW w:w="1560" w:type="dxa"/>
            <w:tcBorders>
              <w:top w:val="nil"/>
              <w:left w:val="nil"/>
              <w:bottom w:val="nil"/>
              <w:right w:val="single" w:sz="4" w:space="0" w:color="auto"/>
            </w:tcBorders>
            <w:shd w:val="clear" w:color="auto" w:fill="auto"/>
            <w:noWrap/>
            <w:vAlign w:val="bottom"/>
            <w:hideMark/>
          </w:tcPr>
          <w:p w:rsidR="00954848" w:rsidRPr="00C00E7B" w:rsidRDefault="00954848" w:rsidP="00954848">
            <w:pPr>
              <w:jc w:val="right"/>
              <w:rPr>
                <w:sz w:val="20"/>
                <w:szCs w:val="20"/>
              </w:rPr>
            </w:pPr>
            <w:r w:rsidRPr="00C00E7B">
              <w:rPr>
                <w:sz w:val="20"/>
                <w:szCs w:val="20"/>
              </w:rPr>
              <w:t>67,372</w:t>
            </w:r>
          </w:p>
        </w:tc>
        <w:tc>
          <w:tcPr>
            <w:tcW w:w="1270" w:type="dxa"/>
            <w:tcBorders>
              <w:top w:val="nil"/>
              <w:left w:val="nil"/>
              <w:bottom w:val="nil"/>
              <w:right w:val="nil"/>
            </w:tcBorders>
            <w:shd w:val="clear" w:color="auto" w:fill="auto"/>
            <w:noWrap/>
            <w:vAlign w:val="bottom"/>
            <w:hideMark/>
          </w:tcPr>
          <w:p w:rsidR="00954848" w:rsidRPr="00C00E7B" w:rsidRDefault="00954848" w:rsidP="00954848">
            <w:pPr>
              <w:jc w:val="right"/>
              <w:rPr>
                <w:sz w:val="20"/>
                <w:szCs w:val="20"/>
              </w:rPr>
            </w:pPr>
            <w:r w:rsidRPr="00C00E7B">
              <w:rPr>
                <w:sz w:val="20"/>
                <w:szCs w:val="20"/>
              </w:rPr>
              <w:t>-</w:t>
            </w:r>
          </w:p>
        </w:tc>
        <w:tc>
          <w:tcPr>
            <w:tcW w:w="1270" w:type="dxa"/>
            <w:tcBorders>
              <w:top w:val="nil"/>
              <w:left w:val="nil"/>
              <w:bottom w:val="nil"/>
              <w:right w:val="single" w:sz="4" w:space="0" w:color="auto"/>
            </w:tcBorders>
            <w:shd w:val="clear" w:color="auto" w:fill="auto"/>
            <w:noWrap/>
            <w:vAlign w:val="bottom"/>
            <w:hideMark/>
          </w:tcPr>
          <w:p w:rsidR="00954848" w:rsidRPr="00C00E7B" w:rsidRDefault="00954848" w:rsidP="00954848">
            <w:pPr>
              <w:jc w:val="right"/>
              <w:rPr>
                <w:sz w:val="20"/>
                <w:szCs w:val="20"/>
              </w:rPr>
            </w:pPr>
            <w:r w:rsidRPr="00C00E7B">
              <w:rPr>
                <w:sz w:val="20"/>
                <w:szCs w:val="20"/>
              </w:rPr>
              <w:t>-</w:t>
            </w:r>
          </w:p>
        </w:tc>
      </w:tr>
      <w:tr w:rsidR="00954848" w:rsidRPr="00C00E7B" w:rsidTr="00954848">
        <w:trPr>
          <w:trHeight w:val="300"/>
        </w:trPr>
        <w:tc>
          <w:tcPr>
            <w:tcW w:w="3400" w:type="dxa"/>
            <w:tcBorders>
              <w:top w:val="nil"/>
              <w:left w:val="single" w:sz="4" w:space="0" w:color="auto"/>
              <w:bottom w:val="nil"/>
              <w:right w:val="single" w:sz="4" w:space="0" w:color="auto"/>
            </w:tcBorders>
            <w:shd w:val="clear" w:color="auto" w:fill="auto"/>
            <w:noWrap/>
            <w:vAlign w:val="bottom"/>
            <w:hideMark/>
          </w:tcPr>
          <w:p w:rsidR="00954848" w:rsidRPr="00C00E7B" w:rsidRDefault="00954848" w:rsidP="00954848">
            <w:pPr>
              <w:rPr>
                <w:sz w:val="20"/>
                <w:szCs w:val="20"/>
              </w:rPr>
            </w:pPr>
            <w:r w:rsidRPr="00C00E7B">
              <w:rPr>
                <w:sz w:val="20"/>
                <w:szCs w:val="20"/>
              </w:rPr>
              <w:t>Interest cost</w:t>
            </w:r>
          </w:p>
        </w:tc>
        <w:tc>
          <w:tcPr>
            <w:tcW w:w="1560" w:type="dxa"/>
            <w:tcBorders>
              <w:top w:val="nil"/>
              <w:left w:val="nil"/>
              <w:bottom w:val="nil"/>
              <w:right w:val="nil"/>
            </w:tcBorders>
            <w:shd w:val="clear" w:color="auto" w:fill="auto"/>
            <w:noWrap/>
            <w:vAlign w:val="bottom"/>
            <w:hideMark/>
          </w:tcPr>
          <w:p w:rsidR="00954848" w:rsidRPr="00C00E7B" w:rsidRDefault="00954848" w:rsidP="00954848">
            <w:pPr>
              <w:jc w:val="right"/>
              <w:rPr>
                <w:sz w:val="20"/>
                <w:szCs w:val="20"/>
              </w:rPr>
            </w:pPr>
            <w:r w:rsidRPr="00C00E7B">
              <w:rPr>
                <w:sz w:val="20"/>
                <w:szCs w:val="20"/>
              </w:rPr>
              <w:t>129,357</w:t>
            </w:r>
          </w:p>
        </w:tc>
        <w:tc>
          <w:tcPr>
            <w:tcW w:w="1560" w:type="dxa"/>
            <w:tcBorders>
              <w:top w:val="nil"/>
              <w:left w:val="nil"/>
              <w:bottom w:val="nil"/>
              <w:right w:val="single" w:sz="4" w:space="0" w:color="auto"/>
            </w:tcBorders>
            <w:shd w:val="clear" w:color="auto" w:fill="auto"/>
            <w:noWrap/>
            <w:vAlign w:val="bottom"/>
            <w:hideMark/>
          </w:tcPr>
          <w:p w:rsidR="00954848" w:rsidRPr="00C00E7B" w:rsidRDefault="00954848" w:rsidP="00954848">
            <w:pPr>
              <w:jc w:val="right"/>
              <w:rPr>
                <w:sz w:val="20"/>
                <w:szCs w:val="20"/>
              </w:rPr>
            </w:pPr>
            <w:r w:rsidRPr="00C00E7B">
              <w:rPr>
                <w:sz w:val="20"/>
                <w:szCs w:val="20"/>
              </w:rPr>
              <w:t>141,122</w:t>
            </w:r>
          </w:p>
        </w:tc>
        <w:tc>
          <w:tcPr>
            <w:tcW w:w="1270" w:type="dxa"/>
            <w:tcBorders>
              <w:top w:val="nil"/>
              <w:left w:val="nil"/>
              <w:bottom w:val="nil"/>
              <w:right w:val="nil"/>
            </w:tcBorders>
            <w:shd w:val="clear" w:color="auto" w:fill="auto"/>
            <w:noWrap/>
            <w:vAlign w:val="bottom"/>
            <w:hideMark/>
          </w:tcPr>
          <w:p w:rsidR="00954848" w:rsidRPr="00C00E7B" w:rsidRDefault="00954848" w:rsidP="00954848">
            <w:pPr>
              <w:jc w:val="right"/>
              <w:rPr>
                <w:sz w:val="20"/>
                <w:szCs w:val="20"/>
              </w:rPr>
            </w:pPr>
            <w:r w:rsidRPr="00C00E7B">
              <w:rPr>
                <w:sz w:val="20"/>
                <w:szCs w:val="20"/>
              </w:rPr>
              <w:t>7,064</w:t>
            </w:r>
          </w:p>
        </w:tc>
        <w:tc>
          <w:tcPr>
            <w:tcW w:w="1270" w:type="dxa"/>
            <w:tcBorders>
              <w:top w:val="nil"/>
              <w:left w:val="nil"/>
              <w:bottom w:val="nil"/>
              <w:right w:val="single" w:sz="4" w:space="0" w:color="auto"/>
            </w:tcBorders>
            <w:shd w:val="clear" w:color="auto" w:fill="auto"/>
            <w:noWrap/>
            <w:vAlign w:val="bottom"/>
            <w:hideMark/>
          </w:tcPr>
          <w:p w:rsidR="00954848" w:rsidRPr="00C00E7B" w:rsidRDefault="00954848" w:rsidP="00954848">
            <w:pPr>
              <w:jc w:val="right"/>
              <w:rPr>
                <w:sz w:val="20"/>
                <w:szCs w:val="20"/>
              </w:rPr>
            </w:pPr>
            <w:r w:rsidRPr="00C00E7B">
              <w:rPr>
                <w:sz w:val="20"/>
                <w:szCs w:val="20"/>
              </w:rPr>
              <w:t>7,622</w:t>
            </w:r>
          </w:p>
        </w:tc>
      </w:tr>
      <w:tr w:rsidR="00954848" w:rsidRPr="00C00E7B" w:rsidTr="00954848">
        <w:trPr>
          <w:trHeight w:val="300"/>
        </w:trPr>
        <w:tc>
          <w:tcPr>
            <w:tcW w:w="3400" w:type="dxa"/>
            <w:tcBorders>
              <w:top w:val="nil"/>
              <w:left w:val="single" w:sz="4" w:space="0" w:color="auto"/>
              <w:bottom w:val="nil"/>
              <w:right w:val="single" w:sz="4" w:space="0" w:color="auto"/>
            </w:tcBorders>
            <w:shd w:val="clear" w:color="auto" w:fill="auto"/>
            <w:vAlign w:val="bottom"/>
            <w:hideMark/>
          </w:tcPr>
          <w:p w:rsidR="00954848" w:rsidRPr="00C00E7B" w:rsidRDefault="00954848" w:rsidP="00954848">
            <w:pPr>
              <w:rPr>
                <w:sz w:val="20"/>
                <w:szCs w:val="20"/>
              </w:rPr>
            </w:pPr>
            <w:r w:rsidRPr="00C00E7B">
              <w:rPr>
                <w:sz w:val="20"/>
                <w:szCs w:val="20"/>
              </w:rPr>
              <w:t>Contributions by scheme participants</w:t>
            </w:r>
          </w:p>
        </w:tc>
        <w:tc>
          <w:tcPr>
            <w:tcW w:w="1560" w:type="dxa"/>
            <w:tcBorders>
              <w:top w:val="nil"/>
              <w:left w:val="nil"/>
              <w:bottom w:val="nil"/>
              <w:right w:val="nil"/>
            </w:tcBorders>
            <w:shd w:val="clear" w:color="auto" w:fill="auto"/>
            <w:noWrap/>
            <w:vAlign w:val="bottom"/>
            <w:hideMark/>
          </w:tcPr>
          <w:p w:rsidR="00954848" w:rsidRPr="00C00E7B" w:rsidRDefault="00954848" w:rsidP="00954848">
            <w:pPr>
              <w:jc w:val="right"/>
              <w:rPr>
                <w:sz w:val="20"/>
                <w:szCs w:val="20"/>
              </w:rPr>
            </w:pPr>
            <w:r w:rsidRPr="00C00E7B">
              <w:rPr>
                <w:sz w:val="20"/>
                <w:szCs w:val="20"/>
              </w:rPr>
              <w:t>20,525</w:t>
            </w:r>
          </w:p>
        </w:tc>
        <w:tc>
          <w:tcPr>
            <w:tcW w:w="1560" w:type="dxa"/>
            <w:tcBorders>
              <w:top w:val="nil"/>
              <w:left w:val="nil"/>
              <w:bottom w:val="nil"/>
              <w:right w:val="single" w:sz="4" w:space="0" w:color="auto"/>
            </w:tcBorders>
            <w:shd w:val="clear" w:color="auto" w:fill="auto"/>
            <w:noWrap/>
            <w:vAlign w:val="bottom"/>
            <w:hideMark/>
          </w:tcPr>
          <w:p w:rsidR="00954848" w:rsidRPr="00C00E7B" w:rsidRDefault="00954848" w:rsidP="00954848">
            <w:pPr>
              <w:jc w:val="right"/>
              <w:rPr>
                <w:sz w:val="20"/>
                <w:szCs w:val="20"/>
              </w:rPr>
            </w:pPr>
            <w:r w:rsidRPr="00C00E7B">
              <w:rPr>
                <w:sz w:val="20"/>
                <w:szCs w:val="20"/>
              </w:rPr>
              <w:t>22,155</w:t>
            </w:r>
          </w:p>
        </w:tc>
        <w:tc>
          <w:tcPr>
            <w:tcW w:w="1270" w:type="dxa"/>
            <w:tcBorders>
              <w:top w:val="nil"/>
              <w:left w:val="nil"/>
              <w:bottom w:val="nil"/>
              <w:right w:val="nil"/>
            </w:tcBorders>
            <w:shd w:val="clear" w:color="auto" w:fill="auto"/>
            <w:noWrap/>
            <w:vAlign w:val="bottom"/>
            <w:hideMark/>
          </w:tcPr>
          <w:p w:rsidR="00954848" w:rsidRPr="00C00E7B" w:rsidRDefault="00954848" w:rsidP="00954848">
            <w:pPr>
              <w:jc w:val="right"/>
              <w:rPr>
                <w:sz w:val="20"/>
                <w:szCs w:val="20"/>
              </w:rPr>
            </w:pPr>
            <w:r w:rsidRPr="00C00E7B">
              <w:rPr>
                <w:sz w:val="20"/>
                <w:szCs w:val="20"/>
              </w:rPr>
              <w:t>-</w:t>
            </w:r>
          </w:p>
        </w:tc>
        <w:tc>
          <w:tcPr>
            <w:tcW w:w="1270" w:type="dxa"/>
            <w:tcBorders>
              <w:top w:val="nil"/>
              <w:left w:val="nil"/>
              <w:bottom w:val="nil"/>
              <w:right w:val="single" w:sz="4" w:space="0" w:color="auto"/>
            </w:tcBorders>
            <w:shd w:val="clear" w:color="auto" w:fill="auto"/>
            <w:noWrap/>
            <w:vAlign w:val="bottom"/>
            <w:hideMark/>
          </w:tcPr>
          <w:p w:rsidR="00954848" w:rsidRPr="00C00E7B" w:rsidRDefault="00954848" w:rsidP="00954848">
            <w:pPr>
              <w:jc w:val="right"/>
              <w:rPr>
                <w:sz w:val="20"/>
                <w:szCs w:val="20"/>
              </w:rPr>
            </w:pPr>
            <w:r w:rsidRPr="00C00E7B">
              <w:rPr>
                <w:sz w:val="20"/>
                <w:szCs w:val="20"/>
              </w:rPr>
              <w:t>-</w:t>
            </w:r>
          </w:p>
        </w:tc>
      </w:tr>
      <w:tr w:rsidR="00954848" w:rsidRPr="00C00E7B" w:rsidTr="00954848">
        <w:trPr>
          <w:trHeight w:val="300"/>
        </w:trPr>
        <w:tc>
          <w:tcPr>
            <w:tcW w:w="3400" w:type="dxa"/>
            <w:tcBorders>
              <w:top w:val="nil"/>
              <w:left w:val="single" w:sz="4" w:space="0" w:color="auto"/>
              <w:bottom w:val="nil"/>
              <w:right w:val="single" w:sz="4" w:space="0" w:color="auto"/>
            </w:tcBorders>
            <w:shd w:val="clear" w:color="auto" w:fill="auto"/>
            <w:noWrap/>
            <w:vAlign w:val="bottom"/>
            <w:hideMark/>
          </w:tcPr>
          <w:p w:rsidR="00954848" w:rsidRPr="00C00E7B" w:rsidRDefault="00954848" w:rsidP="00954848">
            <w:pPr>
              <w:rPr>
                <w:sz w:val="20"/>
                <w:szCs w:val="20"/>
              </w:rPr>
            </w:pPr>
            <w:r w:rsidRPr="00C00E7B">
              <w:rPr>
                <w:sz w:val="20"/>
                <w:szCs w:val="20"/>
              </w:rPr>
              <w:t>Actuarial (gains) and losses</w:t>
            </w:r>
          </w:p>
        </w:tc>
        <w:tc>
          <w:tcPr>
            <w:tcW w:w="1560" w:type="dxa"/>
            <w:tcBorders>
              <w:top w:val="nil"/>
              <w:left w:val="nil"/>
              <w:bottom w:val="nil"/>
              <w:right w:val="nil"/>
            </w:tcBorders>
            <w:shd w:val="clear" w:color="auto" w:fill="auto"/>
            <w:noWrap/>
            <w:vAlign w:val="bottom"/>
            <w:hideMark/>
          </w:tcPr>
          <w:p w:rsidR="00954848" w:rsidRPr="00C00E7B" w:rsidRDefault="00954848" w:rsidP="00954848">
            <w:pPr>
              <w:jc w:val="right"/>
              <w:rPr>
                <w:sz w:val="20"/>
                <w:szCs w:val="20"/>
              </w:rPr>
            </w:pPr>
            <w:r w:rsidRPr="00C00E7B">
              <w:rPr>
                <w:sz w:val="20"/>
                <w:szCs w:val="20"/>
              </w:rPr>
              <w:t>85,816</w:t>
            </w:r>
          </w:p>
        </w:tc>
        <w:tc>
          <w:tcPr>
            <w:tcW w:w="1560" w:type="dxa"/>
            <w:tcBorders>
              <w:top w:val="nil"/>
              <w:left w:val="nil"/>
              <w:bottom w:val="nil"/>
              <w:right w:val="single" w:sz="4" w:space="0" w:color="auto"/>
            </w:tcBorders>
            <w:shd w:val="clear" w:color="auto" w:fill="auto"/>
            <w:noWrap/>
            <w:vAlign w:val="bottom"/>
            <w:hideMark/>
          </w:tcPr>
          <w:p w:rsidR="00954848" w:rsidRPr="00C00E7B" w:rsidRDefault="00954848" w:rsidP="00954848">
            <w:pPr>
              <w:jc w:val="right"/>
              <w:rPr>
                <w:sz w:val="20"/>
                <w:szCs w:val="20"/>
              </w:rPr>
            </w:pPr>
            <w:r w:rsidRPr="00C00E7B">
              <w:rPr>
                <w:sz w:val="20"/>
                <w:szCs w:val="20"/>
              </w:rPr>
              <w:t>(151,811)</w:t>
            </w:r>
          </w:p>
        </w:tc>
        <w:tc>
          <w:tcPr>
            <w:tcW w:w="1270" w:type="dxa"/>
            <w:tcBorders>
              <w:top w:val="nil"/>
              <w:left w:val="nil"/>
              <w:bottom w:val="nil"/>
              <w:right w:val="nil"/>
            </w:tcBorders>
            <w:shd w:val="clear" w:color="auto" w:fill="auto"/>
            <w:noWrap/>
            <w:vAlign w:val="bottom"/>
            <w:hideMark/>
          </w:tcPr>
          <w:p w:rsidR="00954848" w:rsidRPr="00C00E7B" w:rsidRDefault="00954848" w:rsidP="00954848">
            <w:pPr>
              <w:jc w:val="right"/>
              <w:rPr>
                <w:sz w:val="20"/>
                <w:szCs w:val="20"/>
              </w:rPr>
            </w:pPr>
            <w:r w:rsidRPr="00C00E7B">
              <w:rPr>
                <w:sz w:val="20"/>
                <w:szCs w:val="20"/>
              </w:rPr>
              <w:t>4,583</w:t>
            </w:r>
          </w:p>
        </w:tc>
        <w:tc>
          <w:tcPr>
            <w:tcW w:w="1270" w:type="dxa"/>
            <w:tcBorders>
              <w:top w:val="nil"/>
              <w:left w:val="nil"/>
              <w:bottom w:val="nil"/>
              <w:right w:val="single" w:sz="4" w:space="0" w:color="auto"/>
            </w:tcBorders>
            <w:shd w:val="clear" w:color="auto" w:fill="auto"/>
            <w:noWrap/>
            <w:vAlign w:val="bottom"/>
            <w:hideMark/>
          </w:tcPr>
          <w:p w:rsidR="00954848" w:rsidRPr="00C00E7B" w:rsidRDefault="00954848" w:rsidP="00954848">
            <w:pPr>
              <w:jc w:val="right"/>
              <w:rPr>
                <w:sz w:val="20"/>
                <w:szCs w:val="20"/>
              </w:rPr>
            </w:pPr>
            <w:r w:rsidRPr="00C00E7B">
              <w:rPr>
                <w:sz w:val="20"/>
                <w:szCs w:val="20"/>
              </w:rPr>
              <w:t>2,911</w:t>
            </w:r>
          </w:p>
        </w:tc>
      </w:tr>
      <w:tr w:rsidR="00954848" w:rsidRPr="00C00E7B" w:rsidTr="00954848">
        <w:trPr>
          <w:trHeight w:val="300"/>
        </w:trPr>
        <w:tc>
          <w:tcPr>
            <w:tcW w:w="3400" w:type="dxa"/>
            <w:tcBorders>
              <w:top w:val="nil"/>
              <w:left w:val="single" w:sz="4" w:space="0" w:color="auto"/>
              <w:bottom w:val="nil"/>
              <w:right w:val="single" w:sz="4" w:space="0" w:color="auto"/>
            </w:tcBorders>
            <w:shd w:val="clear" w:color="auto" w:fill="auto"/>
            <w:noWrap/>
            <w:vAlign w:val="bottom"/>
            <w:hideMark/>
          </w:tcPr>
          <w:p w:rsidR="00954848" w:rsidRPr="00C00E7B" w:rsidRDefault="00954848" w:rsidP="00954848">
            <w:pPr>
              <w:rPr>
                <w:sz w:val="20"/>
                <w:szCs w:val="20"/>
              </w:rPr>
            </w:pPr>
            <w:r w:rsidRPr="00C00E7B">
              <w:rPr>
                <w:sz w:val="20"/>
                <w:szCs w:val="20"/>
              </w:rPr>
              <w:t>Benefits paid</w:t>
            </w:r>
          </w:p>
        </w:tc>
        <w:tc>
          <w:tcPr>
            <w:tcW w:w="1560" w:type="dxa"/>
            <w:tcBorders>
              <w:top w:val="nil"/>
              <w:left w:val="nil"/>
              <w:bottom w:val="nil"/>
              <w:right w:val="nil"/>
            </w:tcBorders>
            <w:shd w:val="clear" w:color="auto" w:fill="auto"/>
            <w:noWrap/>
            <w:vAlign w:val="bottom"/>
            <w:hideMark/>
          </w:tcPr>
          <w:p w:rsidR="00954848" w:rsidRPr="00C00E7B" w:rsidRDefault="00954848" w:rsidP="00954848">
            <w:pPr>
              <w:jc w:val="right"/>
              <w:rPr>
                <w:sz w:val="20"/>
                <w:szCs w:val="20"/>
              </w:rPr>
            </w:pPr>
            <w:r w:rsidRPr="00C00E7B">
              <w:rPr>
                <w:sz w:val="20"/>
                <w:szCs w:val="20"/>
              </w:rPr>
              <w:t>(105,257)</w:t>
            </w:r>
          </w:p>
        </w:tc>
        <w:tc>
          <w:tcPr>
            <w:tcW w:w="1560" w:type="dxa"/>
            <w:tcBorders>
              <w:top w:val="nil"/>
              <w:left w:val="nil"/>
              <w:bottom w:val="nil"/>
              <w:right w:val="single" w:sz="4" w:space="0" w:color="auto"/>
            </w:tcBorders>
            <w:shd w:val="clear" w:color="auto" w:fill="auto"/>
            <w:noWrap/>
            <w:vAlign w:val="bottom"/>
            <w:hideMark/>
          </w:tcPr>
          <w:p w:rsidR="00954848" w:rsidRPr="00C00E7B" w:rsidRDefault="00954848" w:rsidP="00954848">
            <w:pPr>
              <w:jc w:val="right"/>
              <w:rPr>
                <w:sz w:val="20"/>
                <w:szCs w:val="20"/>
              </w:rPr>
            </w:pPr>
            <w:r w:rsidRPr="00C00E7B">
              <w:rPr>
                <w:sz w:val="20"/>
                <w:szCs w:val="20"/>
              </w:rPr>
              <w:t>(94,464)</w:t>
            </w:r>
          </w:p>
        </w:tc>
        <w:tc>
          <w:tcPr>
            <w:tcW w:w="1270" w:type="dxa"/>
            <w:tcBorders>
              <w:top w:val="nil"/>
              <w:left w:val="nil"/>
              <w:bottom w:val="nil"/>
              <w:right w:val="nil"/>
            </w:tcBorders>
            <w:shd w:val="clear" w:color="auto" w:fill="auto"/>
            <w:noWrap/>
            <w:vAlign w:val="bottom"/>
            <w:hideMark/>
          </w:tcPr>
          <w:p w:rsidR="00954848" w:rsidRPr="00C00E7B" w:rsidRDefault="00954848" w:rsidP="00954848">
            <w:pPr>
              <w:jc w:val="right"/>
              <w:rPr>
                <w:sz w:val="20"/>
                <w:szCs w:val="20"/>
              </w:rPr>
            </w:pPr>
            <w:r w:rsidRPr="00C00E7B">
              <w:rPr>
                <w:sz w:val="20"/>
                <w:szCs w:val="20"/>
              </w:rPr>
              <w:t>(10,756)</w:t>
            </w:r>
          </w:p>
        </w:tc>
        <w:tc>
          <w:tcPr>
            <w:tcW w:w="1270" w:type="dxa"/>
            <w:tcBorders>
              <w:top w:val="nil"/>
              <w:left w:val="nil"/>
              <w:bottom w:val="nil"/>
              <w:right w:val="single" w:sz="4" w:space="0" w:color="auto"/>
            </w:tcBorders>
            <w:shd w:val="clear" w:color="auto" w:fill="auto"/>
            <w:noWrap/>
            <w:vAlign w:val="bottom"/>
            <w:hideMark/>
          </w:tcPr>
          <w:p w:rsidR="00954848" w:rsidRPr="00C00E7B" w:rsidRDefault="00954848" w:rsidP="00954848">
            <w:pPr>
              <w:jc w:val="right"/>
              <w:rPr>
                <w:sz w:val="20"/>
                <w:szCs w:val="20"/>
              </w:rPr>
            </w:pPr>
            <w:r w:rsidRPr="00C00E7B">
              <w:rPr>
                <w:sz w:val="20"/>
                <w:szCs w:val="20"/>
              </w:rPr>
              <w:t>(10,584)</w:t>
            </w:r>
          </w:p>
        </w:tc>
      </w:tr>
      <w:tr w:rsidR="00954848" w:rsidRPr="00C00E7B" w:rsidTr="00954848">
        <w:trPr>
          <w:trHeight w:val="300"/>
        </w:trPr>
        <w:tc>
          <w:tcPr>
            <w:tcW w:w="3400" w:type="dxa"/>
            <w:tcBorders>
              <w:top w:val="nil"/>
              <w:left w:val="single" w:sz="4" w:space="0" w:color="auto"/>
              <w:bottom w:val="nil"/>
              <w:right w:val="single" w:sz="4" w:space="0" w:color="auto"/>
            </w:tcBorders>
            <w:shd w:val="clear" w:color="auto" w:fill="auto"/>
            <w:noWrap/>
            <w:vAlign w:val="bottom"/>
            <w:hideMark/>
          </w:tcPr>
          <w:p w:rsidR="00954848" w:rsidRPr="00C00E7B" w:rsidRDefault="00954848" w:rsidP="00954848">
            <w:pPr>
              <w:rPr>
                <w:sz w:val="20"/>
                <w:szCs w:val="20"/>
              </w:rPr>
            </w:pPr>
            <w:r w:rsidRPr="00C00E7B">
              <w:rPr>
                <w:sz w:val="20"/>
                <w:szCs w:val="20"/>
              </w:rPr>
              <w:t>Curtailments</w:t>
            </w:r>
          </w:p>
        </w:tc>
        <w:tc>
          <w:tcPr>
            <w:tcW w:w="1560" w:type="dxa"/>
            <w:tcBorders>
              <w:top w:val="nil"/>
              <w:left w:val="nil"/>
              <w:bottom w:val="nil"/>
              <w:right w:val="nil"/>
            </w:tcBorders>
            <w:shd w:val="clear" w:color="auto" w:fill="auto"/>
            <w:noWrap/>
            <w:vAlign w:val="bottom"/>
            <w:hideMark/>
          </w:tcPr>
          <w:p w:rsidR="00954848" w:rsidRPr="00C00E7B" w:rsidRDefault="00954848" w:rsidP="00954848">
            <w:pPr>
              <w:jc w:val="right"/>
              <w:rPr>
                <w:sz w:val="20"/>
                <w:szCs w:val="20"/>
              </w:rPr>
            </w:pPr>
            <w:r w:rsidRPr="00C00E7B">
              <w:rPr>
                <w:sz w:val="20"/>
                <w:szCs w:val="20"/>
              </w:rPr>
              <w:t>6,705</w:t>
            </w:r>
          </w:p>
        </w:tc>
        <w:tc>
          <w:tcPr>
            <w:tcW w:w="1560" w:type="dxa"/>
            <w:tcBorders>
              <w:top w:val="nil"/>
              <w:left w:val="nil"/>
              <w:bottom w:val="nil"/>
              <w:right w:val="single" w:sz="4" w:space="0" w:color="auto"/>
            </w:tcBorders>
            <w:shd w:val="clear" w:color="auto" w:fill="auto"/>
            <w:noWrap/>
            <w:vAlign w:val="bottom"/>
            <w:hideMark/>
          </w:tcPr>
          <w:p w:rsidR="00954848" w:rsidRPr="00C00E7B" w:rsidRDefault="00954848" w:rsidP="00954848">
            <w:pPr>
              <w:jc w:val="right"/>
              <w:rPr>
                <w:sz w:val="20"/>
                <w:szCs w:val="20"/>
              </w:rPr>
            </w:pPr>
            <w:r w:rsidRPr="00C00E7B">
              <w:rPr>
                <w:sz w:val="20"/>
                <w:szCs w:val="20"/>
              </w:rPr>
              <w:t>10,663</w:t>
            </w:r>
          </w:p>
        </w:tc>
        <w:tc>
          <w:tcPr>
            <w:tcW w:w="1270" w:type="dxa"/>
            <w:tcBorders>
              <w:top w:val="nil"/>
              <w:left w:val="nil"/>
              <w:bottom w:val="nil"/>
              <w:right w:val="nil"/>
            </w:tcBorders>
            <w:shd w:val="clear" w:color="auto" w:fill="auto"/>
            <w:noWrap/>
            <w:vAlign w:val="bottom"/>
            <w:hideMark/>
          </w:tcPr>
          <w:p w:rsidR="00954848" w:rsidRPr="00C00E7B" w:rsidRDefault="00954848" w:rsidP="00954848">
            <w:pPr>
              <w:jc w:val="right"/>
              <w:rPr>
                <w:sz w:val="20"/>
                <w:szCs w:val="20"/>
              </w:rPr>
            </w:pPr>
            <w:r w:rsidRPr="00C00E7B">
              <w:rPr>
                <w:sz w:val="20"/>
                <w:szCs w:val="20"/>
              </w:rPr>
              <w:t>270</w:t>
            </w:r>
          </w:p>
        </w:tc>
        <w:tc>
          <w:tcPr>
            <w:tcW w:w="1270" w:type="dxa"/>
            <w:tcBorders>
              <w:top w:val="nil"/>
              <w:left w:val="nil"/>
              <w:bottom w:val="nil"/>
              <w:right w:val="single" w:sz="4" w:space="0" w:color="auto"/>
            </w:tcBorders>
            <w:shd w:val="clear" w:color="auto" w:fill="auto"/>
            <w:noWrap/>
            <w:vAlign w:val="bottom"/>
            <w:hideMark/>
          </w:tcPr>
          <w:p w:rsidR="00954848" w:rsidRPr="00C00E7B" w:rsidRDefault="00954848" w:rsidP="00954848">
            <w:pPr>
              <w:jc w:val="right"/>
              <w:rPr>
                <w:sz w:val="20"/>
                <w:szCs w:val="20"/>
              </w:rPr>
            </w:pPr>
            <w:r w:rsidRPr="00C00E7B">
              <w:rPr>
                <w:sz w:val="20"/>
                <w:szCs w:val="20"/>
              </w:rPr>
              <w:t>314</w:t>
            </w:r>
          </w:p>
        </w:tc>
      </w:tr>
      <w:tr w:rsidR="00954848" w:rsidRPr="00C00E7B" w:rsidTr="00954848">
        <w:trPr>
          <w:trHeight w:val="300"/>
        </w:trPr>
        <w:tc>
          <w:tcPr>
            <w:tcW w:w="3400" w:type="dxa"/>
            <w:tcBorders>
              <w:top w:val="nil"/>
              <w:left w:val="single" w:sz="4" w:space="0" w:color="auto"/>
              <w:bottom w:val="nil"/>
              <w:right w:val="single" w:sz="4" w:space="0" w:color="auto"/>
            </w:tcBorders>
            <w:shd w:val="clear" w:color="auto" w:fill="auto"/>
            <w:noWrap/>
            <w:vAlign w:val="bottom"/>
            <w:hideMark/>
          </w:tcPr>
          <w:p w:rsidR="00954848" w:rsidRPr="00C00E7B" w:rsidRDefault="00954848" w:rsidP="00954848">
            <w:pPr>
              <w:rPr>
                <w:sz w:val="20"/>
                <w:szCs w:val="20"/>
              </w:rPr>
            </w:pPr>
            <w:r w:rsidRPr="00C00E7B">
              <w:rPr>
                <w:sz w:val="20"/>
                <w:szCs w:val="20"/>
              </w:rPr>
              <w:t>Settlements</w:t>
            </w:r>
          </w:p>
        </w:tc>
        <w:tc>
          <w:tcPr>
            <w:tcW w:w="1560" w:type="dxa"/>
            <w:tcBorders>
              <w:top w:val="nil"/>
              <w:left w:val="nil"/>
              <w:bottom w:val="nil"/>
              <w:right w:val="nil"/>
            </w:tcBorders>
            <w:shd w:val="clear" w:color="auto" w:fill="auto"/>
            <w:noWrap/>
            <w:vAlign w:val="bottom"/>
            <w:hideMark/>
          </w:tcPr>
          <w:p w:rsidR="00954848" w:rsidRPr="00C00E7B" w:rsidRDefault="00954848" w:rsidP="00954848">
            <w:pPr>
              <w:jc w:val="right"/>
              <w:rPr>
                <w:sz w:val="20"/>
                <w:szCs w:val="20"/>
              </w:rPr>
            </w:pPr>
            <w:r w:rsidRPr="00C00E7B">
              <w:rPr>
                <w:sz w:val="20"/>
                <w:szCs w:val="20"/>
              </w:rPr>
              <w:t>(12,238)</w:t>
            </w:r>
          </w:p>
        </w:tc>
        <w:tc>
          <w:tcPr>
            <w:tcW w:w="1560" w:type="dxa"/>
            <w:tcBorders>
              <w:top w:val="nil"/>
              <w:left w:val="nil"/>
              <w:bottom w:val="nil"/>
              <w:right w:val="single" w:sz="4" w:space="0" w:color="auto"/>
            </w:tcBorders>
            <w:shd w:val="clear" w:color="auto" w:fill="auto"/>
            <w:noWrap/>
            <w:vAlign w:val="bottom"/>
            <w:hideMark/>
          </w:tcPr>
          <w:p w:rsidR="00954848" w:rsidRPr="00C00E7B" w:rsidRDefault="00954848" w:rsidP="00954848">
            <w:pPr>
              <w:jc w:val="right"/>
              <w:rPr>
                <w:sz w:val="20"/>
                <w:szCs w:val="20"/>
              </w:rPr>
            </w:pPr>
            <w:r w:rsidRPr="00C00E7B">
              <w:rPr>
                <w:sz w:val="20"/>
                <w:szCs w:val="20"/>
              </w:rPr>
              <w:t>-</w:t>
            </w:r>
          </w:p>
        </w:tc>
        <w:tc>
          <w:tcPr>
            <w:tcW w:w="1270" w:type="dxa"/>
            <w:tcBorders>
              <w:top w:val="nil"/>
              <w:left w:val="nil"/>
              <w:bottom w:val="nil"/>
              <w:right w:val="nil"/>
            </w:tcBorders>
            <w:shd w:val="clear" w:color="auto" w:fill="auto"/>
            <w:noWrap/>
            <w:vAlign w:val="bottom"/>
            <w:hideMark/>
          </w:tcPr>
          <w:p w:rsidR="00954848" w:rsidRPr="00C00E7B" w:rsidRDefault="00954848" w:rsidP="00954848">
            <w:pPr>
              <w:jc w:val="right"/>
              <w:rPr>
                <w:sz w:val="20"/>
                <w:szCs w:val="20"/>
              </w:rPr>
            </w:pPr>
            <w:r w:rsidRPr="00C00E7B">
              <w:rPr>
                <w:sz w:val="20"/>
                <w:szCs w:val="20"/>
              </w:rPr>
              <w:t>-</w:t>
            </w:r>
          </w:p>
        </w:tc>
        <w:tc>
          <w:tcPr>
            <w:tcW w:w="1270" w:type="dxa"/>
            <w:tcBorders>
              <w:top w:val="nil"/>
              <w:left w:val="nil"/>
              <w:bottom w:val="nil"/>
              <w:right w:val="single" w:sz="4" w:space="0" w:color="auto"/>
            </w:tcBorders>
            <w:shd w:val="clear" w:color="auto" w:fill="auto"/>
            <w:noWrap/>
            <w:vAlign w:val="bottom"/>
            <w:hideMark/>
          </w:tcPr>
          <w:p w:rsidR="00954848" w:rsidRPr="00C00E7B" w:rsidRDefault="00954848" w:rsidP="00954848">
            <w:pPr>
              <w:jc w:val="right"/>
              <w:rPr>
                <w:sz w:val="20"/>
                <w:szCs w:val="20"/>
              </w:rPr>
            </w:pPr>
            <w:r w:rsidRPr="00C00E7B">
              <w:rPr>
                <w:sz w:val="20"/>
                <w:szCs w:val="20"/>
              </w:rPr>
              <w:t>-</w:t>
            </w:r>
          </w:p>
        </w:tc>
      </w:tr>
      <w:tr w:rsidR="00954848" w:rsidRPr="00C00E7B" w:rsidTr="00954848">
        <w:trPr>
          <w:trHeight w:val="300"/>
        </w:trPr>
        <w:tc>
          <w:tcPr>
            <w:tcW w:w="3400" w:type="dxa"/>
            <w:tcBorders>
              <w:top w:val="nil"/>
              <w:left w:val="single" w:sz="4" w:space="0" w:color="auto"/>
              <w:bottom w:val="nil"/>
              <w:right w:val="single" w:sz="4" w:space="0" w:color="auto"/>
            </w:tcBorders>
            <w:shd w:val="clear" w:color="auto" w:fill="auto"/>
            <w:noWrap/>
            <w:vAlign w:val="bottom"/>
            <w:hideMark/>
          </w:tcPr>
          <w:p w:rsidR="00954848" w:rsidRPr="00C00E7B" w:rsidRDefault="00954848" w:rsidP="00954848">
            <w:pPr>
              <w:rPr>
                <w:sz w:val="20"/>
                <w:szCs w:val="20"/>
              </w:rPr>
            </w:pPr>
            <w:r w:rsidRPr="00C00E7B">
              <w:rPr>
                <w:sz w:val="20"/>
                <w:szCs w:val="20"/>
              </w:rPr>
              <w:t>Past service costs/(gains)</w:t>
            </w:r>
          </w:p>
        </w:tc>
        <w:tc>
          <w:tcPr>
            <w:tcW w:w="1560" w:type="dxa"/>
            <w:tcBorders>
              <w:top w:val="nil"/>
              <w:left w:val="nil"/>
              <w:bottom w:val="nil"/>
              <w:right w:val="nil"/>
            </w:tcBorders>
            <w:shd w:val="clear" w:color="auto" w:fill="auto"/>
            <w:noWrap/>
            <w:vAlign w:val="bottom"/>
            <w:hideMark/>
          </w:tcPr>
          <w:p w:rsidR="00954848" w:rsidRPr="00C00E7B" w:rsidRDefault="00954848" w:rsidP="00954848">
            <w:pPr>
              <w:jc w:val="right"/>
              <w:rPr>
                <w:sz w:val="20"/>
                <w:szCs w:val="20"/>
              </w:rPr>
            </w:pPr>
            <w:r w:rsidRPr="00C00E7B">
              <w:rPr>
                <w:sz w:val="20"/>
                <w:szCs w:val="20"/>
              </w:rPr>
              <w:t>24</w:t>
            </w:r>
          </w:p>
        </w:tc>
        <w:tc>
          <w:tcPr>
            <w:tcW w:w="1560" w:type="dxa"/>
            <w:tcBorders>
              <w:top w:val="nil"/>
              <w:left w:val="nil"/>
              <w:bottom w:val="nil"/>
              <w:right w:val="single" w:sz="4" w:space="0" w:color="auto"/>
            </w:tcBorders>
            <w:shd w:val="clear" w:color="auto" w:fill="auto"/>
            <w:noWrap/>
            <w:vAlign w:val="bottom"/>
            <w:hideMark/>
          </w:tcPr>
          <w:p w:rsidR="00954848" w:rsidRPr="00C00E7B" w:rsidRDefault="00954848" w:rsidP="00954848">
            <w:pPr>
              <w:jc w:val="right"/>
              <w:rPr>
                <w:sz w:val="20"/>
                <w:szCs w:val="20"/>
              </w:rPr>
            </w:pPr>
            <w:r w:rsidRPr="00C00E7B">
              <w:rPr>
                <w:sz w:val="20"/>
                <w:szCs w:val="20"/>
              </w:rPr>
              <w:t>(145,522)</w:t>
            </w:r>
          </w:p>
        </w:tc>
        <w:tc>
          <w:tcPr>
            <w:tcW w:w="1270" w:type="dxa"/>
            <w:tcBorders>
              <w:top w:val="nil"/>
              <w:left w:val="nil"/>
              <w:bottom w:val="nil"/>
              <w:right w:val="nil"/>
            </w:tcBorders>
            <w:shd w:val="clear" w:color="auto" w:fill="auto"/>
            <w:noWrap/>
            <w:vAlign w:val="bottom"/>
            <w:hideMark/>
          </w:tcPr>
          <w:p w:rsidR="00954848" w:rsidRPr="00C00E7B" w:rsidRDefault="00954848" w:rsidP="00954848">
            <w:pPr>
              <w:jc w:val="right"/>
              <w:rPr>
                <w:sz w:val="20"/>
                <w:szCs w:val="20"/>
              </w:rPr>
            </w:pPr>
            <w:r w:rsidRPr="00C00E7B">
              <w:rPr>
                <w:sz w:val="20"/>
                <w:szCs w:val="20"/>
              </w:rPr>
              <w:t>-</w:t>
            </w:r>
          </w:p>
        </w:tc>
        <w:tc>
          <w:tcPr>
            <w:tcW w:w="1270" w:type="dxa"/>
            <w:tcBorders>
              <w:top w:val="nil"/>
              <w:left w:val="nil"/>
              <w:bottom w:val="nil"/>
              <w:right w:val="single" w:sz="4" w:space="0" w:color="auto"/>
            </w:tcBorders>
            <w:shd w:val="clear" w:color="auto" w:fill="auto"/>
            <w:noWrap/>
            <w:vAlign w:val="bottom"/>
            <w:hideMark/>
          </w:tcPr>
          <w:p w:rsidR="00954848" w:rsidRPr="00C00E7B" w:rsidRDefault="00954848" w:rsidP="00954848">
            <w:pPr>
              <w:jc w:val="right"/>
              <w:rPr>
                <w:sz w:val="20"/>
                <w:szCs w:val="20"/>
              </w:rPr>
            </w:pPr>
            <w:r w:rsidRPr="00C00E7B">
              <w:rPr>
                <w:sz w:val="20"/>
                <w:szCs w:val="20"/>
              </w:rPr>
              <w:t>(7,941)</w:t>
            </w:r>
          </w:p>
        </w:tc>
      </w:tr>
      <w:tr w:rsidR="00954848" w:rsidRPr="00C00E7B" w:rsidTr="00954848">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848" w:rsidRPr="00C00E7B" w:rsidRDefault="00954848" w:rsidP="00954848">
            <w:pPr>
              <w:rPr>
                <w:b/>
                <w:bCs/>
                <w:sz w:val="20"/>
                <w:szCs w:val="20"/>
              </w:rPr>
            </w:pPr>
            <w:r w:rsidRPr="00C00E7B">
              <w:rPr>
                <w:b/>
                <w:bCs/>
                <w:sz w:val="20"/>
                <w:szCs w:val="20"/>
              </w:rPr>
              <w:t>31st March</w:t>
            </w:r>
          </w:p>
        </w:tc>
        <w:tc>
          <w:tcPr>
            <w:tcW w:w="1560" w:type="dxa"/>
            <w:tcBorders>
              <w:top w:val="single" w:sz="4" w:space="0" w:color="auto"/>
              <w:left w:val="nil"/>
              <w:bottom w:val="single" w:sz="8" w:space="0" w:color="auto"/>
              <w:right w:val="nil"/>
            </w:tcBorders>
            <w:shd w:val="clear" w:color="auto" w:fill="auto"/>
            <w:noWrap/>
            <w:vAlign w:val="bottom"/>
            <w:hideMark/>
          </w:tcPr>
          <w:p w:rsidR="00954848" w:rsidRPr="00C00E7B" w:rsidRDefault="00954848" w:rsidP="00954848">
            <w:pPr>
              <w:jc w:val="right"/>
              <w:rPr>
                <w:b/>
                <w:bCs/>
                <w:sz w:val="20"/>
                <w:szCs w:val="20"/>
              </w:rPr>
            </w:pPr>
            <w:r w:rsidRPr="00C00E7B">
              <w:rPr>
                <w:b/>
                <w:bCs/>
                <w:sz w:val="20"/>
                <w:szCs w:val="20"/>
              </w:rPr>
              <w:t>2,555,357</w:t>
            </w:r>
          </w:p>
        </w:tc>
        <w:tc>
          <w:tcPr>
            <w:tcW w:w="1560" w:type="dxa"/>
            <w:tcBorders>
              <w:top w:val="single" w:sz="4" w:space="0" w:color="auto"/>
              <w:left w:val="nil"/>
              <w:bottom w:val="single" w:sz="8" w:space="0" w:color="auto"/>
              <w:right w:val="single" w:sz="4" w:space="0" w:color="auto"/>
            </w:tcBorders>
            <w:shd w:val="clear" w:color="auto" w:fill="auto"/>
            <w:noWrap/>
            <w:vAlign w:val="bottom"/>
            <w:hideMark/>
          </w:tcPr>
          <w:p w:rsidR="00954848" w:rsidRPr="00C00E7B" w:rsidRDefault="00954848" w:rsidP="00954848">
            <w:pPr>
              <w:jc w:val="right"/>
              <w:rPr>
                <w:b/>
                <w:bCs/>
                <w:sz w:val="20"/>
                <w:szCs w:val="20"/>
              </w:rPr>
            </w:pPr>
            <w:r w:rsidRPr="00C00E7B">
              <w:rPr>
                <w:b/>
                <w:bCs/>
                <w:sz w:val="20"/>
                <w:szCs w:val="20"/>
              </w:rPr>
              <w:t>2,372,019</w:t>
            </w:r>
          </w:p>
        </w:tc>
        <w:tc>
          <w:tcPr>
            <w:tcW w:w="1270" w:type="dxa"/>
            <w:tcBorders>
              <w:top w:val="single" w:sz="4" w:space="0" w:color="auto"/>
              <w:left w:val="nil"/>
              <w:bottom w:val="single" w:sz="8" w:space="0" w:color="auto"/>
              <w:right w:val="nil"/>
            </w:tcBorders>
            <w:shd w:val="clear" w:color="auto" w:fill="auto"/>
            <w:noWrap/>
            <w:vAlign w:val="bottom"/>
            <w:hideMark/>
          </w:tcPr>
          <w:p w:rsidR="00954848" w:rsidRPr="00C00E7B" w:rsidRDefault="00954848" w:rsidP="00954848">
            <w:pPr>
              <w:jc w:val="right"/>
              <w:rPr>
                <w:b/>
                <w:bCs/>
                <w:sz w:val="20"/>
                <w:szCs w:val="20"/>
              </w:rPr>
            </w:pPr>
            <w:r w:rsidRPr="00C00E7B">
              <w:rPr>
                <w:b/>
                <w:bCs/>
                <w:sz w:val="20"/>
                <w:szCs w:val="20"/>
              </w:rPr>
              <w:t>137,361</w:t>
            </w:r>
          </w:p>
        </w:tc>
        <w:tc>
          <w:tcPr>
            <w:tcW w:w="1270" w:type="dxa"/>
            <w:tcBorders>
              <w:top w:val="single" w:sz="4" w:space="0" w:color="auto"/>
              <w:left w:val="nil"/>
              <w:bottom w:val="single" w:sz="8" w:space="0" w:color="auto"/>
              <w:right w:val="single" w:sz="4" w:space="0" w:color="auto"/>
            </w:tcBorders>
            <w:shd w:val="clear" w:color="auto" w:fill="auto"/>
            <w:noWrap/>
            <w:vAlign w:val="bottom"/>
            <w:hideMark/>
          </w:tcPr>
          <w:p w:rsidR="00954848" w:rsidRPr="00C00E7B" w:rsidRDefault="00954848" w:rsidP="00954848">
            <w:pPr>
              <w:jc w:val="right"/>
              <w:rPr>
                <w:b/>
                <w:bCs/>
                <w:sz w:val="20"/>
                <w:szCs w:val="20"/>
              </w:rPr>
            </w:pPr>
            <w:r w:rsidRPr="00C00E7B">
              <w:rPr>
                <w:b/>
                <w:bCs/>
                <w:sz w:val="20"/>
                <w:szCs w:val="20"/>
              </w:rPr>
              <w:t>136,200</w:t>
            </w:r>
          </w:p>
        </w:tc>
      </w:tr>
    </w:tbl>
    <w:p w:rsidR="00954848" w:rsidRPr="00442EEE" w:rsidRDefault="00954848" w:rsidP="00954848">
      <w:pPr>
        <w:spacing w:after="240"/>
        <w:ind w:left="720"/>
      </w:pPr>
    </w:p>
    <w:p w:rsidR="00954848" w:rsidRDefault="00954848" w:rsidP="00954848">
      <w:pPr>
        <w:spacing w:after="240"/>
        <w:ind w:firstLine="720"/>
        <w:rPr>
          <w:b/>
        </w:rPr>
      </w:pPr>
      <w:r w:rsidRPr="00442EEE">
        <w:rPr>
          <w:b/>
        </w:rPr>
        <w:t>Reconciliation of fair value of the scheme assets:</w:t>
      </w:r>
      <w:r w:rsidRPr="00442EEE">
        <w:rPr>
          <w:b/>
        </w:rPr>
        <w:tab/>
      </w:r>
    </w:p>
    <w:tbl>
      <w:tblPr>
        <w:tblW w:w="7294" w:type="dxa"/>
        <w:tblInd w:w="735" w:type="dxa"/>
        <w:tblLook w:val="04A0"/>
      </w:tblPr>
      <w:tblGrid>
        <w:gridCol w:w="4134"/>
        <w:gridCol w:w="1284"/>
        <w:gridCol w:w="1876"/>
      </w:tblGrid>
      <w:tr w:rsidR="00954848" w:rsidRPr="00526614" w:rsidTr="00954848">
        <w:trPr>
          <w:trHeight w:val="315"/>
        </w:trPr>
        <w:tc>
          <w:tcPr>
            <w:tcW w:w="5418" w:type="dxa"/>
            <w:gridSpan w:val="2"/>
            <w:tcBorders>
              <w:top w:val="nil"/>
              <w:left w:val="nil"/>
              <w:bottom w:val="nil"/>
              <w:right w:val="nil"/>
            </w:tcBorders>
            <w:shd w:val="clear" w:color="auto" w:fill="auto"/>
            <w:noWrap/>
            <w:vAlign w:val="bottom"/>
            <w:hideMark/>
          </w:tcPr>
          <w:p w:rsidR="00954848" w:rsidRPr="00526614" w:rsidRDefault="00954848" w:rsidP="00954848">
            <w:pPr>
              <w:rPr>
                <w:b/>
                <w:bCs/>
              </w:rPr>
            </w:pPr>
            <w:r w:rsidRPr="00526614">
              <w:rPr>
                <w:b/>
                <w:bCs/>
              </w:rPr>
              <w:t>Local Government Pension Scheme</w:t>
            </w:r>
          </w:p>
        </w:tc>
        <w:tc>
          <w:tcPr>
            <w:tcW w:w="1876" w:type="dxa"/>
            <w:tcBorders>
              <w:top w:val="nil"/>
              <w:left w:val="nil"/>
              <w:bottom w:val="nil"/>
              <w:right w:val="nil"/>
            </w:tcBorders>
            <w:shd w:val="clear" w:color="auto" w:fill="auto"/>
            <w:noWrap/>
            <w:vAlign w:val="bottom"/>
            <w:hideMark/>
          </w:tcPr>
          <w:p w:rsidR="00954848" w:rsidRPr="00526614" w:rsidRDefault="00954848" w:rsidP="00954848"/>
        </w:tc>
      </w:tr>
      <w:tr w:rsidR="00954848" w:rsidRPr="00526614" w:rsidTr="00954848">
        <w:trPr>
          <w:trHeight w:val="315"/>
        </w:trPr>
        <w:tc>
          <w:tcPr>
            <w:tcW w:w="4134" w:type="dxa"/>
            <w:tcBorders>
              <w:top w:val="nil"/>
              <w:left w:val="nil"/>
              <w:bottom w:val="nil"/>
              <w:right w:val="nil"/>
            </w:tcBorders>
            <w:shd w:val="clear" w:color="auto" w:fill="auto"/>
            <w:noWrap/>
            <w:vAlign w:val="bottom"/>
            <w:hideMark/>
          </w:tcPr>
          <w:p w:rsidR="00954848" w:rsidRPr="00526614" w:rsidRDefault="00954848" w:rsidP="00954848"/>
        </w:tc>
        <w:tc>
          <w:tcPr>
            <w:tcW w:w="1284" w:type="dxa"/>
            <w:tcBorders>
              <w:top w:val="nil"/>
              <w:left w:val="nil"/>
              <w:bottom w:val="nil"/>
              <w:right w:val="nil"/>
            </w:tcBorders>
            <w:shd w:val="clear" w:color="auto" w:fill="auto"/>
            <w:noWrap/>
            <w:vAlign w:val="bottom"/>
            <w:hideMark/>
          </w:tcPr>
          <w:p w:rsidR="00954848" w:rsidRPr="00526614" w:rsidRDefault="00954848" w:rsidP="00954848">
            <w:pPr>
              <w:jc w:val="right"/>
              <w:rPr>
                <w:b/>
                <w:bCs/>
              </w:rPr>
            </w:pPr>
            <w:r w:rsidRPr="00526614">
              <w:rPr>
                <w:b/>
                <w:bCs/>
              </w:rPr>
              <w:t>2011/12</w:t>
            </w:r>
          </w:p>
        </w:tc>
        <w:tc>
          <w:tcPr>
            <w:tcW w:w="1876" w:type="dxa"/>
            <w:tcBorders>
              <w:top w:val="nil"/>
              <w:left w:val="nil"/>
              <w:bottom w:val="nil"/>
              <w:right w:val="nil"/>
            </w:tcBorders>
            <w:shd w:val="clear" w:color="auto" w:fill="auto"/>
            <w:noWrap/>
            <w:vAlign w:val="bottom"/>
            <w:hideMark/>
          </w:tcPr>
          <w:p w:rsidR="00954848" w:rsidRPr="00526614" w:rsidRDefault="00954848" w:rsidP="00954848">
            <w:pPr>
              <w:jc w:val="right"/>
              <w:rPr>
                <w:b/>
                <w:bCs/>
              </w:rPr>
            </w:pPr>
            <w:r w:rsidRPr="00526614">
              <w:rPr>
                <w:b/>
                <w:bCs/>
              </w:rPr>
              <w:t>2010/11</w:t>
            </w:r>
          </w:p>
        </w:tc>
      </w:tr>
      <w:tr w:rsidR="00954848" w:rsidRPr="00526614" w:rsidTr="00954848">
        <w:trPr>
          <w:trHeight w:val="315"/>
        </w:trPr>
        <w:tc>
          <w:tcPr>
            <w:tcW w:w="4134" w:type="dxa"/>
            <w:tcBorders>
              <w:top w:val="nil"/>
              <w:left w:val="nil"/>
              <w:bottom w:val="nil"/>
              <w:right w:val="nil"/>
            </w:tcBorders>
            <w:shd w:val="clear" w:color="auto" w:fill="auto"/>
            <w:noWrap/>
            <w:vAlign w:val="bottom"/>
            <w:hideMark/>
          </w:tcPr>
          <w:p w:rsidR="00954848" w:rsidRPr="00526614" w:rsidRDefault="00954848" w:rsidP="00954848"/>
        </w:tc>
        <w:tc>
          <w:tcPr>
            <w:tcW w:w="1284" w:type="dxa"/>
            <w:tcBorders>
              <w:top w:val="nil"/>
              <w:left w:val="nil"/>
              <w:bottom w:val="single" w:sz="4" w:space="0" w:color="auto"/>
              <w:right w:val="nil"/>
            </w:tcBorders>
            <w:shd w:val="clear" w:color="auto" w:fill="auto"/>
            <w:noWrap/>
            <w:vAlign w:val="bottom"/>
            <w:hideMark/>
          </w:tcPr>
          <w:p w:rsidR="00954848" w:rsidRPr="00526614" w:rsidRDefault="00954848" w:rsidP="00954848">
            <w:pPr>
              <w:jc w:val="right"/>
              <w:rPr>
                <w:b/>
                <w:bCs/>
              </w:rPr>
            </w:pPr>
            <w:r w:rsidRPr="00526614">
              <w:rPr>
                <w:b/>
                <w:bCs/>
              </w:rPr>
              <w:t>£000</w:t>
            </w:r>
          </w:p>
        </w:tc>
        <w:tc>
          <w:tcPr>
            <w:tcW w:w="1876" w:type="dxa"/>
            <w:tcBorders>
              <w:top w:val="nil"/>
              <w:left w:val="nil"/>
              <w:bottom w:val="single" w:sz="4" w:space="0" w:color="auto"/>
              <w:right w:val="nil"/>
            </w:tcBorders>
            <w:shd w:val="clear" w:color="auto" w:fill="auto"/>
            <w:noWrap/>
            <w:vAlign w:val="bottom"/>
            <w:hideMark/>
          </w:tcPr>
          <w:p w:rsidR="00954848" w:rsidRPr="00526614" w:rsidRDefault="00954848" w:rsidP="00954848">
            <w:pPr>
              <w:jc w:val="right"/>
              <w:rPr>
                <w:b/>
                <w:bCs/>
              </w:rPr>
            </w:pPr>
            <w:r w:rsidRPr="00526614">
              <w:rPr>
                <w:b/>
                <w:bCs/>
              </w:rPr>
              <w:t>£000</w:t>
            </w:r>
          </w:p>
        </w:tc>
      </w:tr>
      <w:tr w:rsidR="00954848" w:rsidRPr="00526614" w:rsidTr="00954848">
        <w:trPr>
          <w:trHeight w:val="315"/>
        </w:trPr>
        <w:tc>
          <w:tcPr>
            <w:tcW w:w="4134" w:type="dxa"/>
            <w:tcBorders>
              <w:top w:val="nil"/>
              <w:left w:val="nil"/>
              <w:bottom w:val="nil"/>
              <w:right w:val="nil"/>
            </w:tcBorders>
            <w:shd w:val="clear" w:color="auto" w:fill="auto"/>
            <w:noWrap/>
            <w:vAlign w:val="bottom"/>
            <w:hideMark/>
          </w:tcPr>
          <w:p w:rsidR="00954848" w:rsidRPr="00526614" w:rsidRDefault="00954848" w:rsidP="00954848">
            <w:pPr>
              <w:rPr>
                <w:b/>
                <w:bCs/>
              </w:rPr>
            </w:pPr>
            <w:r w:rsidRPr="00526614">
              <w:rPr>
                <w:b/>
                <w:bCs/>
              </w:rPr>
              <w:t>1 April</w:t>
            </w:r>
          </w:p>
        </w:tc>
        <w:tc>
          <w:tcPr>
            <w:tcW w:w="1284" w:type="dxa"/>
            <w:tcBorders>
              <w:top w:val="nil"/>
              <w:left w:val="nil"/>
              <w:bottom w:val="nil"/>
              <w:right w:val="nil"/>
            </w:tcBorders>
            <w:shd w:val="clear" w:color="auto" w:fill="auto"/>
            <w:noWrap/>
            <w:vAlign w:val="bottom"/>
            <w:hideMark/>
          </w:tcPr>
          <w:p w:rsidR="00954848" w:rsidRPr="00526614" w:rsidRDefault="00954848" w:rsidP="00954848">
            <w:pPr>
              <w:jc w:val="right"/>
            </w:pPr>
            <w:r w:rsidRPr="00526614">
              <w:t>1,743,007</w:t>
            </w:r>
          </w:p>
        </w:tc>
        <w:tc>
          <w:tcPr>
            <w:tcW w:w="1876" w:type="dxa"/>
            <w:tcBorders>
              <w:top w:val="nil"/>
              <w:left w:val="nil"/>
              <w:bottom w:val="nil"/>
              <w:right w:val="nil"/>
            </w:tcBorders>
            <w:shd w:val="clear" w:color="auto" w:fill="auto"/>
            <w:noWrap/>
            <w:vAlign w:val="bottom"/>
            <w:hideMark/>
          </w:tcPr>
          <w:p w:rsidR="00954848" w:rsidRPr="00526614" w:rsidRDefault="00954848" w:rsidP="00954848">
            <w:pPr>
              <w:jc w:val="right"/>
            </w:pPr>
            <w:r w:rsidRPr="00526614">
              <w:t>1,606,424</w:t>
            </w:r>
          </w:p>
        </w:tc>
      </w:tr>
      <w:tr w:rsidR="00954848" w:rsidRPr="00526614" w:rsidTr="00954848">
        <w:trPr>
          <w:trHeight w:val="300"/>
        </w:trPr>
        <w:tc>
          <w:tcPr>
            <w:tcW w:w="4134" w:type="dxa"/>
            <w:tcBorders>
              <w:top w:val="nil"/>
              <w:left w:val="nil"/>
              <w:bottom w:val="nil"/>
              <w:right w:val="nil"/>
            </w:tcBorders>
            <w:shd w:val="clear" w:color="auto" w:fill="auto"/>
            <w:noWrap/>
            <w:vAlign w:val="bottom"/>
            <w:hideMark/>
          </w:tcPr>
          <w:p w:rsidR="00954848" w:rsidRPr="00526614" w:rsidRDefault="00954848" w:rsidP="00954848">
            <w:r w:rsidRPr="00526614">
              <w:t>Expected rate of return</w:t>
            </w:r>
          </w:p>
        </w:tc>
        <w:tc>
          <w:tcPr>
            <w:tcW w:w="1284" w:type="dxa"/>
            <w:tcBorders>
              <w:top w:val="nil"/>
              <w:left w:val="nil"/>
              <w:bottom w:val="nil"/>
              <w:right w:val="nil"/>
            </w:tcBorders>
            <w:shd w:val="clear" w:color="auto" w:fill="auto"/>
            <w:noWrap/>
            <w:vAlign w:val="bottom"/>
            <w:hideMark/>
          </w:tcPr>
          <w:p w:rsidR="00954848" w:rsidRPr="00526614" w:rsidRDefault="00954848" w:rsidP="00954848">
            <w:pPr>
              <w:jc w:val="right"/>
            </w:pPr>
            <w:r w:rsidRPr="00526614">
              <w:t>113,221</w:t>
            </w:r>
          </w:p>
        </w:tc>
        <w:tc>
          <w:tcPr>
            <w:tcW w:w="1876" w:type="dxa"/>
            <w:tcBorders>
              <w:top w:val="nil"/>
              <w:left w:val="nil"/>
              <w:bottom w:val="nil"/>
              <w:right w:val="nil"/>
            </w:tcBorders>
            <w:shd w:val="clear" w:color="auto" w:fill="auto"/>
            <w:noWrap/>
            <w:vAlign w:val="bottom"/>
            <w:hideMark/>
          </w:tcPr>
          <w:p w:rsidR="00954848" w:rsidRPr="00526614" w:rsidRDefault="00954848" w:rsidP="00954848">
            <w:pPr>
              <w:jc w:val="right"/>
            </w:pPr>
            <w:r w:rsidRPr="00526614">
              <w:t>103,312</w:t>
            </w:r>
          </w:p>
        </w:tc>
      </w:tr>
      <w:tr w:rsidR="00954848" w:rsidRPr="00526614" w:rsidTr="00954848">
        <w:trPr>
          <w:trHeight w:val="300"/>
        </w:trPr>
        <w:tc>
          <w:tcPr>
            <w:tcW w:w="4134" w:type="dxa"/>
            <w:tcBorders>
              <w:top w:val="nil"/>
              <w:left w:val="nil"/>
              <w:bottom w:val="nil"/>
              <w:right w:val="nil"/>
            </w:tcBorders>
            <w:shd w:val="clear" w:color="auto" w:fill="auto"/>
            <w:noWrap/>
            <w:vAlign w:val="bottom"/>
            <w:hideMark/>
          </w:tcPr>
          <w:p w:rsidR="00954848" w:rsidRPr="00526614" w:rsidRDefault="00954848" w:rsidP="00954848">
            <w:r w:rsidRPr="00526614">
              <w:t>Actuarial gains and (losses)</w:t>
            </w:r>
          </w:p>
        </w:tc>
        <w:tc>
          <w:tcPr>
            <w:tcW w:w="1284" w:type="dxa"/>
            <w:tcBorders>
              <w:top w:val="nil"/>
              <w:left w:val="nil"/>
              <w:bottom w:val="nil"/>
              <w:right w:val="nil"/>
            </w:tcBorders>
            <w:shd w:val="clear" w:color="auto" w:fill="auto"/>
            <w:noWrap/>
            <w:vAlign w:val="bottom"/>
            <w:hideMark/>
          </w:tcPr>
          <w:p w:rsidR="00954848" w:rsidRPr="00526614" w:rsidRDefault="00954848" w:rsidP="00954848">
            <w:pPr>
              <w:jc w:val="right"/>
            </w:pPr>
            <w:r w:rsidRPr="00526614">
              <w:t>(85,001)</w:t>
            </w:r>
          </w:p>
        </w:tc>
        <w:tc>
          <w:tcPr>
            <w:tcW w:w="1876" w:type="dxa"/>
            <w:tcBorders>
              <w:top w:val="nil"/>
              <w:left w:val="nil"/>
              <w:bottom w:val="nil"/>
              <w:right w:val="nil"/>
            </w:tcBorders>
            <w:shd w:val="clear" w:color="auto" w:fill="auto"/>
            <w:noWrap/>
            <w:vAlign w:val="bottom"/>
            <w:hideMark/>
          </w:tcPr>
          <w:p w:rsidR="00954848" w:rsidRPr="00526614" w:rsidRDefault="00954848" w:rsidP="00954848">
            <w:pPr>
              <w:jc w:val="right"/>
            </w:pPr>
            <w:r w:rsidRPr="00526614">
              <w:t>29,690</w:t>
            </w:r>
          </w:p>
        </w:tc>
      </w:tr>
      <w:tr w:rsidR="00954848" w:rsidRPr="00526614" w:rsidTr="00954848">
        <w:trPr>
          <w:trHeight w:val="300"/>
        </w:trPr>
        <w:tc>
          <w:tcPr>
            <w:tcW w:w="4134" w:type="dxa"/>
            <w:tcBorders>
              <w:top w:val="nil"/>
              <w:left w:val="nil"/>
              <w:bottom w:val="nil"/>
              <w:right w:val="nil"/>
            </w:tcBorders>
            <w:shd w:val="clear" w:color="auto" w:fill="auto"/>
            <w:noWrap/>
            <w:vAlign w:val="bottom"/>
            <w:hideMark/>
          </w:tcPr>
          <w:p w:rsidR="00954848" w:rsidRPr="00526614" w:rsidRDefault="00954848" w:rsidP="00954848">
            <w:r w:rsidRPr="00526614">
              <w:t>Settlements</w:t>
            </w:r>
          </w:p>
        </w:tc>
        <w:tc>
          <w:tcPr>
            <w:tcW w:w="1284" w:type="dxa"/>
            <w:tcBorders>
              <w:top w:val="nil"/>
              <w:left w:val="nil"/>
              <w:bottom w:val="nil"/>
              <w:right w:val="nil"/>
            </w:tcBorders>
            <w:shd w:val="clear" w:color="auto" w:fill="auto"/>
            <w:noWrap/>
            <w:vAlign w:val="bottom"/>
            <w:hideMark/>
          </w:tcPr>
          <w:p w:rsidR="00954848" w:rsidRPr="00526614" w:rsidRDefault="00954848" w:rsidP="00954848">
            <w:pPr>
              <w:jc w:val="right"/>
            </w:pPr>
            <w:r w:rsidRPr="00526614">
              <w:t>(3,518)</w:t>
            </w:r>
          </w:p>
        </w:tc>
        <w:tc>
          <w:tcPr>
            <w:tcW w:w="1876" w:type="dxa"/>
            <w:tcBorders>
              <w:top w:val="nil"/>
              <w:left w:val="nil"/>
              <w:bottom w:val="nil"/>
              <w:right w:val="nil"/>
            </w:tcBorders>
            <w:shd w:val="clear" w:color="auto" w:fill="auto"/>
            <w:noWrap/>
            <w:vAlign w:val="bottom"/>
            <w:hideMark/>
          </w:tcPr>
          <w:p w:rsidR="00954848" w:rsidRPr="00526614" w:rsidRDefault="00954848" w:rsidP="00954848">
            <w:pPr>
              <w:jc w:val="right"/>
            </w:pPr>
            <w:r w:rsidRPr="00526614">
              <w:t>-</w:t>
            </w:r>
          </w:p>
        </w:tc>
      </w:tr>
      <w:tr w:rsidR="00954848" w:rsidRPr="00526614" w:rsidTr="00954848">
        <w:trPr>
          <w:trHeight w:val="300"/>
        </w:trPr>
        <w:tc>
          <w:tcPr>
            <w:tcW w:w="4134" w:type="dxa"/>
            <w:tcBorders>
              <w:top w:val="nil"/>
              <w:left w:val="nil"/>
              <w:bottom w:val="nil"/>
              <w:right w:val="nil"/>
            </w:tcBorders>
            <w:shd w:val="clear" w:color="auto" w:fill="auto"/>
            <w:noWrap/>
            <w:vAlign w:val="bottom"/>
            <w:hideMark/>
          </w:tcPr>
          <w:p w:rsidR="00954848" w:rsidRPr="00526614" w:rsidRDefault="00954848" w:rsidP="00954848">
            <w:r w:rsidRPr="00526614">
              <w:t>Employer contributions</w:t>
            </w:r>
          </w:p>
        </w:tc>
        <w:tc>
          <w:tcPr>
            <w:tcW w:w="1284" w:type="dxa"/>
            <w:tcBorders>
              <w:top w:val="nil"/>
              <w:left w:val="nil"/>
              <w:bottom w:val="nil"/>
              <w:right w:val="nil"/>
            </w:tcBorders>
            <w:shd w:val="clear" w:color="auto" w:fill="auto"/>
            <w:noWrap/>
            <w:vAlign w:val="bottom"/>
            <w:hideMark/>
          </w:tcPr>
          <w:p w:rsidR="00954848" w:rsidRPr="00526614" w:rsidRDefault="00A43AD5" w:rsidP="00954848">
            <w:pPr>
              <w:jc w:val="right"/>
            </w:pPr>
            <w:r>
              <w:t>70,246</w:t>
            </w:r>
          </w:p>
        </w:tc>
        <w:tc>
          <w:tcPr>
            <w:tcW w:w="1876" w:type="dxa"/>
            <w:tcBorders>
              <w:top w:val="nil"/>
              <w:left w:val="nil"/>
              <w:bottom w:val="nil"/>
              <w:right w:val="nil"/>
            </w:tcBorders>
            <w:shd w:val="clear" w:color="auto" w:fill="auto"/>
            <w:noWrap/>
            <w:vAlign w:val="bottom"/>
            <w:hideMark/>
          </w:tcPr>
          <w:p w:rsidR="00954848" w:rsidRPr="00526614" w:rsidRDefault="00954848" w:rsidP="00954848">
            <w:pPr>
              <w:jc w:val="right"/>
            </w:pPr>
            <w:r w:rsidRPr="00526614">
              <w:t>75,890</w:t>
            </w:r>
          </w:p>
        </w:tc>
      </w:tr>
      <w:tr w:rsidR="00954848" w:rsidRPr="00526614" w:rsidTr="00954848">
        <w:trPr>
          <w:trHeight w:val="300"/>
        </w:trPr>
        <w:tc>
          <w:tcPr>
            <w:tcW w:w="4134" w:type="dxa"/>
            <w:tcBorders>
              <w:top w:val="nil"/>
              <w:left w:val="nil"/>
              <w:bottom w:val="nil"/>
              <w:right w:val="nil"/>
            </w:tcBorders>
            <w:shd w:val="clear" w:color="auto" w:fill="auto"/>
            <w:noWrap/>
            <w:vAlign w:val="bottom"/>
            <w:hideMark/>
          </w:tcPr>
          <w:p w:rsidR="00954848" w:rsidRPr="00526614" w:rsidRDefault="00954848" w:rsidP="00954848">
            <w:r w:rsidRPr="00526614">
              <w:t>Contributions by scheme participants</w:t>
            </w:r>
          </w:p>
        </w:tc>
        <w:tc>
          <w:tcPr>
            <w:tcW w:w="1284" w:type="dxa"/>
            <w:tcBorders>
              <w:top w:val="nil"/>
              <w:left w:val="nil"/>
              <w:bottom w:val="nil"/>
              <w:right w:val="nil"/>
            </w:tcBorders>
            <w:shd w:val="clear" w:color="auto" w:fill="auto"/>
            <w:noWrap/>
            <w:vAlign w:val="bottom"/>
            <w:hideMark/>
          </w:tcPr>
          <w:p w:rsidR="00954848" w:rsidRPr="00526614" w:rsidRDefault="00954848" w:rsidP="00954848">
            <w:pPr>
              <w:jc w:val="right"/>
            </w:pPr>
            <w:r w:rsidRPr="00526614">
              <w:t>20,525</w:t>
            </w:r>
          </w:p>
        </w:tc>
        <w:tc>
          <w:tcPr>
            <w:tcW w:w="1876" w:type="dxa"/>
            <w:tcBorders>
              <w:top w:val="nil"/>
              <w:left w:val="nil"/>
              <w:bottom w:val="nil"/>
              <w:right w:val="nil"/>
            </w:tcBorders>
            <w:shd w:val="clear" w:color="auto" w:fill="auto"/>
            <w:noWrap/>
            <w:vAlign w:val="bottom"/>
            <w:hideMark/>
          </w:tcPr>
          <w:p w:rsidR="00954848" w:rsidRPr="00526614" w:rsidRDefault="00954848" w:rsidP="00954848">
            <w:pPr>
              <w:jc w:val="right"/>
            </w:pPr>
            <w:r w:rsidRPr="00526614">
              <w:t>22,155</w:t>
            </w:r>
          </w:p>
        </w:tc>
      </w:tr>
      <w:tr w:rsidR="00954848" w:rsidRPr="00526614" w:rsidTr="00954848">
        <w:trPr>
          <w:trHeight w:val="300"/>
        </w:trPr>
        <w:tc>
          <w:tcPr>
            <w:tcW w:w="4134" w:type="dxa"/>
            <w:tcBorders>
              <w:top w:val="nil"/>
              <w:left w:val="nil"/>
              <w:bottom w:val="nil"/>
              <w:right w:val="nil"/>
            </w:tcBorders>
            <w:shd w:val="clear" w:color="auto" w:fill="auto"/>
            <w:noWrap/>
            <w:vAlign w:val="bottom"/>
            <w:hideMark/>
          </w:tcPr>
          <w:p w:rsidR="00954848" w:rsidRPr="00526614" w:rsidRDefault="00954848" w:rsidP="00954848">
            <w:r w:rsidRPr="00526614">
              <w:t>Benefits paid</w:t>
            </w:r>
          </w:p>
        </w:tc>
        <w:tc>
          <w:tcPr>
            <w:tcW w:w="1284" w:type="dxa"/>
            <w:tcBorders>
              <w:top w:val="nil"/>
              <w:left w:val="nil"/>
              <w:bottom w:val="nil"/>
              <w:right w:val="nil"/>
            </w:tcBorders>
            <w:shd w:val="clear" w:color="auto" w:fill="auto"/>
            <w:noWrap/>
            <w:vAlign w:val="bottom"/>
            <w:hideMark/>
          </w:tcPr>
          <w:p w:rsidR="00954848" w:rsidRPr="00526614" w:rsidRDefault="00954848" w:rsidP="00954848">
            <w:pPr>
              <w:jc w:val="right"/>
            </w:pPr>
            <w:r w:rsidRPr="00526614">
              <w:t>(105,257)</w:t>
            </w:r>
          </w:p>
        </w:tc>
        <w:tc>
          <w:tcPr>
            <w:tcW w:w="1876" w:type="dxa"/>
            <w:tcBorders>
              <w:top w:val="nil"/>
              <w:left w:val="nil"/>
              <w:bottom w:val="nil"/>
              <w:right w:val="nil"/>
            </w:tcBorders>
            <w:shd w:val="clear" w:color="auto" w:fill="auto"/>
            <w:noWrap/>
            <w:vAlign w:val="bottom"/>
            <w:hideMark/>
          </w:tcPr>
          <w:p w:rsidR="00954848" w:rsidRPr="00526614" w:rsidRDefault="00954848" w:rsidP="00954848">
            <w:pPr>
              <w:jc w:val="right"/>
            </w:pPr>
            <w:r w:rsidRPr="00526614">
              <w:t>(94,464)</w:t>
            </w:r>
          </w:p>
        </w:tc>
      </w:tr>
      <w:tr w:rsidR="00954848" w:rsidRPr="00526614" w:rsidTr="00954848">
        <w:trPr>
          <w:trHeight w:val="330"/>
        </w:trPr>
        <w:tc>
          <w:tcPr>
            <w:tcW w:w="4134" w:type="dxa"/>
            <w:tcBorders>
              <w:top w:val="nil"/>
              <w:left w:val="nil"/>
              <w:bottom w:val="nil"/>
              <w:right w:val="nil"/>
            </w:tcBorders>
            <w:shd w:val="clear" w:color="auto" w:fill="auto"/>
            <w:noWrap/>
            <w:vAlign w:val="bottom"/>
            <w:hideMark/>
          </w:tcPr>
          <w:p w:rsidR="00954848" w:rsidRPr="00526614" w:rsidRDefault="00954848" w:rsidP="00954848">
            <w:pPr>
              <w:rPr>
                <w:b/>
                <w:bCs/>
              </w:rPr>
            </w:pPr>
            <w:r w:rsidRPr="00526614">
              <w:rPr>
                <w:b/>
                <w:bCs/>
              </w:rPr>
              <w:t>31 March</w:t>
            </w:r>
          </w:p>
        </w:tc>
        <w:tc>
          <w:tcPr>
            <w:tcW w:w="1284" w:type="dxa"/>
            <w:tcBorders>
              <w:top w:val="single" w:sz="4" w:space="0" w:color="auto"/>
              <w:left w:val="nil"/>
              <w:bottom w:val="double" w:sz="6" w:space="0" w:color="auto"/>
              <w:right w:val="nil"/>
            </w:tcBorders>
            <w:shd w:val="clear" w:color="auto" w:fill="auto"/>
            <w:noWrap/>
            <w:vAlign w:val="bottom"/>
            <w:hideMark/>
          </w:tcPr>
          <w:p w:rsidR="00954848" w:rsidRPr="00526614" w:rsidRDefault="00954848" w:rsidP="00A43AD5">
            <w:pPr>
              <w:jc w:val="right"/>
              <w:rPr>
                <w:b/>
                <w:bCs/>
              </w:rPr>
            </w:pPr>
            <w:r w:rsidRPr="00526614">
              <w:rPr>
                <w:b/>
                <w:bCs/>
              </w:rPr>
              <w:t>1</w:t>
            </w:r>
            <w:r w:rsidR="00A43AD5">
              <w:rPr>
                <w:b/>
                <w:bCs/>
              </w:rPr>
              <w:t>,753,223</w:t>
            </w:r>
          </w:p>
        </w:tc>
        <w:tc>
          <w:tcPr>
            <w:tcW w:w="1876" w:type="dxa"/>
            <w:tcBorders>
              <w:top w:val="single" w:sz="4" w:space="0" w:color="auto"/>
              <w:left w:val="nil"/>
              <w:bottom w:val="double" w:sz="6" w:space="0" w:color="auto"/>
              <w:right w:val="nil"/>
            </w:tcBorders>
            <w:shd w:val="clear" w:color="auto" w:fill="auto"/>
            <w:noWrap/>
            <w:vAlign w:val="bottom"/>
            <w:hideMark/>
          </w:tcPr>
          <w:p w:rsidR="00954848" w:rsidRPr="00526614" w:rsidRDefault="00954848" w:rsidP="00954848">
            <w:pPr>
              <w:jc w:val="right"/>
              <w:rPr>
                <w:b/>
                <w:bCs/>
              </w:rPr>
            </w:pPr>
            <w:r w:rsidRPr="00526614">
              <w:rPr>
                <w:b/>
                <w:bCs/>
              </w:rPr>
              <w:t>1,743,007</w:t>
            </w:r>
          </w:p>
        </w:tc>
      </w:tr>
    </w:tbl>
    <w:p w:rsidR="00954848" w:rsidRPr="00442EEE" w:rsidRDefault="00954848" w:rsidP="00954848">
      <w:pPr>
        <w:spacing w:after="240"/>
        <w:ind w:left="720"/>
        <w:rPr>
          <w:b/>
        </w:rPr>
      </w:pPr>
    </w:p>
    <w:p w:rsidR="00954848" w:rsidRPr="00346CC4" w:rsidRDefault="00954848" w:rsidP="00954848">
      <w:pPr>
        <w:spacing w:after="240"/>
        <w:ind w:left="720"/>
        <w:jc w:val="both"/>
      </w:pPr>
      <w:r w:rsidRPr="00346CC4">
        <w:t>The expected return on scheme assets is determined by considering the expected returns available on the assets underlying the current investment policy. Expected yields on fixed interest investments are based on gross redemption yields as at the Balance Sheet date. Expected returns on equity investments reflect long-term real rates of return experienced in the respective markets.</w:t>
      </w:r>
    </w:p>
    <w:p w:rsidR="00954848" w:rsidRPr="00344712" w:rsidRDefault="00954848" w:rsidP="00954848">
      <w:pPr>
        <w:spacing w:after="240"/>
        <w:ind w:left="720"/>
        <w:jc w:val="both"/>
      </w:pPr>
      <w:r w:rsidRPr="00344712">
        <w:t>The actual return on scheme assets in the year was a gain of £28.220 million (2010/11 gain of £129.873 million).</w:t>
      </w:r>
    </w:p>
    <w:p w:rsidR="00811649" w:rsidRDefault="00811649" w:rsidP="00954848">
      <w:pPr>
        <w:spacing w:after="240"/>
        <w:ind w:left="720"/>
        <w:rPr>
          <w:b/>
        </w:rPr>
      </w:pPr>
    </w:p>
    <w:p w:rsidR="00954848" w:rsidRPr="00344712" w:rsidRDefault="00954848" w:rsidP="00954848">
      <w:pPr>
        <w:spacing w:after="240"/>
        <w:ind w:left="720"/>
        <w:rPr>
          <w:b/>
        </w:rPr>
      </w:pPr>
      <w:r w:rsidRPr="00344712">
        <w:rPr>
          <w:b/>
        </w:rPr>
        <w:lastRenderedPageBreak/>
        <w:t>Scheme history</w:t>
      </w:r>
    </w:p>
    <w:tbl>
      <w:tblPr>
        <w:tblW w:w="9671" w:type="dxa"/>
        <w:tblInd w:w="720" w:type="dxa"/>
        <w:tblLook w:val="04A0"/>
      </w:tblPr>
      <w:tblGrid>
        <w:gridCol w:w="3476"/>
        <w:gridCol w:w="1239"/>
        <w:gridCol w:w="1239"/>
        <w:gridCol w:w="1239"/>
        <w:gridCol w:w="1239"/>
        <w:gridCol w:w="1239"/>
      </w:tblGrid>
      <w:tr w:rsidR="00954848" w:rsidRPr="00344712" w:rsidTr="00954848">
        <w:trPr>
          <w:trHeight w:val="300"/>
        </w:trPr>
        <w:tc>
          <w:tcPr>
            <w:tcW w:w="3476" w:type="dxa"/>
            <w:tcBorders>
              <w:top w:val="nil"/>
              <w:left w:val="nil"/>
              <w:bottom w:val="nil"/>
              <w:right w:val="nil"/>
            </w:tcBorders>
            <w:shd w:val="clear" w:color="auto" w:fill="auto"/>
            <w:noWrap/>
            <w:vAlign w:val="bottom"/>
            <w:hideMark/>
          </w:tcPr>
          <w:p w:rsidR="00954848" w:rsidRPr="00344712" w:rsidRDefault="00954848" w:rsidP="00954848"/>
        </w:tc>
        <w:tc>
          <w:tcPr>
            <w:tcW w:w="1239" w:type="dxa"/>
            <w:tcBorders>
              <w:top w:val="nil"/>
              <w:left w:val="nil"/>
              <w:bottom w:val="nil"/>
              <w:right w:val="nil"/>
            </w:tcBorders>
            <w:shd w:val="clear" w:color="auto" w:fill="auto"/>
            <w:noWrap/>
            <w:vAlign w:val="bottom"/>
            <w:hideMark/>
          </w:tcPr>
          <w:p w:rsidR="00954848" w:rsidRPr="00344712" w:rsidRDefault="00954848" w:rsidP="00954848">
            <w:pPr>
              <w:jc w:val="right"/>
              <w:rPr>
                <w:b/>
                <w:bCs/>
                <w:sz w:val="20"/>
                <w:szCs w:val="20"/>
              </w:rPr>
            </w:pPr>
            <w:r w:rsidRPr="00344712">
              <w:rPr>
                <w:b/>
                <w:bCs/>
                <w:sz w:val="20"/>
                <w:szCs w:val="20"/>
              </w:rPr>
              <w:t>2007/8</w:t>
            </w:r>
          </w:p>
        </w:tc>
        <w:tc>
          <w:tcPr>
            <w:tcW w:w="1239" w:type="dxa"/>
            <w:tcBorders>
              <w:top w:val="nil"/>
              <w:left w:val="nil"/>
              <w:bottom w:val="nil"/>
              <w:right w:val="nil"/>
            </w:tcBorders>
            <w:shd w:val="clear" w:color="auto" w:fill="auto"/>
            <w:noWrap/>
            <w:vAlign w:val="bottom"/>
            <w:hideMark/>
          </w:tcPr>
          <w:p w:rsidR="00954848" w:rsidRPr="00344712" w:rsidRDefault="00954848" w:rsidP="00954848">
            <w:pPr>
              <w:jc w:val="right"/>
              <w:rPr>
                <w:b/>
                <w:bCs/>
                <w:sz w:val="20"/>
                <w:szCs w:val="20"/>
              </w:rPr>
            </w:pPr>
            <w:r w:rsidRPr="00344712">
              <w:rPr>
                <w:b/>
                <w:bCs/>
                <w:sz w:val="20"/>
                <w:szCs w:val="20"/>
              </w:rPr>
              <w:t>2008/09</w:t>
            </w:r>
          </w:p>
        </w:tc>
        <w:tc>
          <w:tcPr>
            <w:tcW w:w="1239" w:type="dxa"/>
            <w:tcBorders>
              <w:top w:val="nil"/>
              <w:left w:val="nil"/>
              <w:bottom w:val="nil"/>
              <w:right w:val="nil"/>
            </w:tcBorders>
            <w:shd w:val="clear" w:color="auto" w:fill="auto"/>
            <w:noWrap/>
            <w:vAlign w:val="bottom"/>
            <w:hideMark/>
          </w:tcPr>
          <w:p w:rsidR="00954848" w:rsidRPr="00344712" w:rsidRDefault="00954848" w:rsidP="00954848">
            <w:pPr>
              <w:jc w:val="right"/>
              <w:rPr>
                <w:b/>
                <w:bCs/>
                <w:sz w:val="20"/>
                <w:szCs w:val="20"/>
              </w:rPr>
            </w:pPr>
            <w:r w:rsidRPr="00344712">
              <w:rPr>
                <w:b/>
                <w:bCs/>
                <w:sz w:val="20"/>
                <w:szCs w:val="20"/>
              </w:rPr>
              <w:t>2009/10</w:t>
            </w:r>
          </w:p>
        </w:tc>
        <w:tc>
          <w:tcPr>
            <w:tcW w:w="1239" w:type="dxa"/>
            <w:tcBorders>
              <w:top w:val="nil"/>
              <w:left w:val="nil"/>
              <w:bottom w:val="nil"/>
              <w:right w:val="nil"/>
            </w:tcBorders>
            <w:shd w:val="clear" w:color="auto" w:fill="auto"/>
            <w:noWrap/>
            <w:vAlign w:val="bottom"/>
            <w:hideMark/>
          </w:tcPr>
          <w:p w:rsidR="00954848" w:rsidRPr="00344712" w:rsidRDefault="00954848" w:rsidP="00954848">
            <w:pPr>
              <w:jc w:val="right"/>
              <w:rPr>
                <w:b/>
                <w:bCs/>
                <w:sz w:val="20"/>
                <w:szCs w:val="20"/>
              </w:rPr>
            </w:pPr>
            <w:r w:rsidRPr="00344712">
              <w:rPr>
                <w:b/>
                <w:bCs/>
                <w:sz w:val="20"/>
                <w:szCs w:val="20"/>
              </w:rPr>
              <w:t>2010/11</w:t>
            </w:r>
          </w:p>
        </w:tc>
        <w:tc>
          <w:tcPr>
            <w:tcW w:w="1239" w:type="dxa"/>
            <w:tcBorders>
              <w:top w:val="nil"/>
              <w:left w:val="nil"/>
              <w:bottom w:val="nil"/>
              <w:right w:val="nil"/>
            </w:tcBorders>
            <w:shd w:val="clear" w:color="auto" w:fill="auto"/>
            <w:noWrap/>
            <w:vAlign w:val="bottom"/>
            <w:hideMark/>
          </w:tcPr>
          <w:p w:rsidR="00954848" w:rsidRPr="00344712" w:rsidRDefault="00954848" w:rsidP="00954848">
            <w:pPr>
              <w:jc w:val="right"/>
              <w:rPr>
                <w:b/>
                <w:bCs/>
                <w:sz w:val="20"/>
                <w:szCs w:val="20"/>
              </w:rPr>
            </w:pPr>
            <w:r w:rsidRPr="00344712">
              <w:rPr>
                <w:b/>
                <w:bCs/>
                <w:sz w:val="20"/>
                <w:szCs w:val="20"/>
              </w:rPr>
              <w:t>2011/12</w:t>
            </w:r>
          </w:p>
        </w:tc>
      </w:tr>
      <w:tr w:rsidR="00954848" w:rsidRPr="00344712" w:rsidTr="00954848">
        <w:trPr>
          <w:trHeight w:val="300"/>
        </w:trPr>
        <w:tc>
          <w:tcPr>
            <w:tcW w:w="3476" w:type="dxa"/>
            <w:tcBorders>
              <w:top w:val="nil"/>
              <w:left w:val="nil"/>
              <w:bottom w:val="single" w:sz="4" w:space="0" w:color="auto"/>
              <w:right w:val="nil"/>
            </w:tcBorders>
            <w:shd w:val="clear" w:color="auto" w:fill="auto"/>
            <w:noWrap/>
            <w:vAlign w:val="bottom"/>
            <w:hideMark/>
          </w:tcPr>
          <w:p w:rsidR="00954848" w:rsidRPr="00344712" w:rsidRDefault="00954848" w:rsidP="00954848">
            <w:pPr>
              <w:rPr>
                <w:sz w:val="20"/>
                <w:szCs w:val="20"/>
              </w:rPr>
            </w:pPr>
            <w:r w:rsidRPr="00344712">
              <w:rPr>
                <w:sz w:val="20"/>
                <w:szCs w:val="20"/>
              </w:rPr>
              <w:t> </w:t>
            </w:r>
          </w:p>
        </w:tc>
        <w:tc>
          <w:tcPr>
            <w:tcW w:w="1239" w:type="dxa"/>
            <w:tcBorders>
              <w:top w:val="nil"/>
              <w:left w:val="nil"/>
              <w:bottom w:val="single" w:sz="4" w:space="0" w:color="auto"/>
              <w:right w:val="nil"/>
            </w:tcBorders>
            <w:shd w:val="clear" w:color="auto" w:fill="auto"/>
            <w:noWrap/>
            <w:vAlign w:val="bottom"/>
            <w:hideMark/>
          </w:tcPr>
          <w:p w:rsidR="00954848" w:rsidRPr="00344712" w:rsidRDefault="00954848" w:rsidP="00954848">
            <w:pPr>
              <w:jc w:val="right"/>
              <w:rPr>
                <w:b/>
                <w:bCs/>
                <w:sz w:val="20"/>
                <w:szCs w:val="20"/>
              </w:rPr>
            </w:pPr>
            <w:r w:rsidRPr="00344712">
              <w:rPr>
                <w:b/>
                <w:bCs/>
                <w:sz w:val="20"/>
                <w:szCs w:val="20"/>
              </w:rPr>
              <w:t>£000</w:t>
            </w:r>
          </w:p>
        </w:tc>
        <w:tc>
          <w:tcPr>
            <w:tcW w:w="1239" w:type="dxa"/>
            <w:tcBorders>
              <w:top w:val="nil"/>
              <w:left w:val="nil"/>
              <w:bottom w:val="single" w:sz="4" w:space="0" w:color="auto"/>
              <w:right w:val="nil"/>
            </w:tcBorders>
            <w:shd w:val="clear" w:color="auto" w:fill="auto"/>
            <w:noWrap/>
            <w:vAlign w:val="bottom"/>
            <w:hideMark/>
          </w:tcPr>
          <w:p w:rsidR="00954848" w:rsidRPr="00344712" w:rsidRDefault="00954848" w:rsidP="00954848">
            <w:pPr>
              <w:jc w:val="right"/>
              <w:rPr>
                <w:b/>
                <w:bCs/>
                <w:sz w:val="20"/>
                <w:szCs w:val="20"/>
              </w:rPr>
            </w:pPr>
            <w:r w:rsidRPr="00344712">
              <w:rPr>
                <w:b/>
                <w:bCs/>
                <w:sz w:val="20"/>
                <w:szCs w:val="20"/>
              </w:rPr>
              <w:t>£000</w:t>
            </w:r>
          </w:p>
        </w:tc>
        <w:tc>
          <w:tcPr>
            <w:tcW w:w="1239" w:type="dxa"/>
            <w:tcBorders>
              <w:top w:val="nil"/>
              <w:left w:val="nil"/>
              <w:bottom w:val="single" w:sz="4" w:space="0" w:color="auto"/>
              <w:right w:val="nil"/>
            </w:tcBorders>
            <w:shd w:val="clear" w:color="auto" w:fill="auto"/>
            <w:noWrap/>
            <w:vAlign w:val="bottom"/>
            <w:hideMark/>
          </w:tcPr>
          <w:p w:rsidR="00954848" w:rsidRPr="00344712" w:rsidRDefault="00954848" w:rsidP="00954848">
            <w:pPr>
              <w:jc w:val="right"/>
              <w:rPr>
                <w:b/>
                <w:bCs/>
                <w:sz w:val="20"/>
                <w:szCs w:val="20"/>
              </w:rPr>
            </w:pPr>
            <w:r w:rsidRPr="00344712">
              <w:rPr>
                <w:b/>
                <w:bCs/>
                <w:sz w:val="20"/>
                <w:szCs w:val="20"/>
              </w:rPr>
              <w:t>£000</w:t>
            </w:r>
          </w:p>
        </w:tc>
        <w:tc>
          <w:tcPr>
            <w:tcW w:w="1239" w:type="dxa"/>
            <w:tcBorders>
              <w:top w:val="nil"/>
              <w:left w:val="nil"/>
              <w:bottom w:val="single" w:sz="4" w:space="0" w:color="auto"/>
              <w:right w:val="nil"/>
            </w:tcBorders>
            <w:shd w:val="clear" w:color="auto" w:fill="auto"/>
            <w:noWrap/>
            <w:vAlign w:val="bottom"/>
            <w:hideMark/>
          </w:tcPr>
          <w:p w:rsidR="00954848" w:rsidRPr="00344712" w:rsidRDefault="00954848" w:rsidP="00954848">
            <w:pPr>
              <w:jc w:val="right"/>
              <w:rPr>
                <w:b/>
                <w:bCs/>
                <w:sz w:val="20"/>
                <w:szCs w:val="20"/>
              </w:rPr>
            </w:pPr>
            <w:r w:rsidRPr="00344712">
              <w:rPr>
                <w:b/>
                <w:bCs/>
                <w:sz w:val="20"/>
                <w:szCs w:val="20"/>
              </w:rPr>
              <w:t>£000</w:t>
            </w:r>
          </w:p>
        </w:tc>
        <w:tc>
          <w:tcPr>
            <w:tcW w:w="1239" w:type="dxa"/>
            <w:tcBorders>
              <w:top w:val="nil"/>
              <w:left w:val="nil"/>
              <w:bottom w:val="single" w:sz="4" w:space="0" w:color="auto"/>
              <w:right w:val="nil"/>
            </w:tcBorders>
            <w:shd w:val="clear" w:color="auto" w:fill="auto"/>
            <w:noWrap/>
            <w:vAlign w:val="bottom"/>
            <w:hideMark/>
          </w:tcPr>
          <w:p w:rsidR="00954848" w:rsidRPr="00344712" w:rsidRDefault="00954848" w:rsidP="00954848">
            <w:pPr>
              <w:jc w:val="right"/>
              <w:rPr>
                <w:b/>
                <w:bCs/>
                <w:sz w:val="20"/>
                <w:szCs w:val="20"/>
              </w:rPr>
            </w:pPr>
            <w:r w:rsidRPr="00344712">
              <w:rPr>
                <w:b/>
                <w:bCs/>
                <w:sz w:val="20"/>
                <w:szCs w:val="20"/>
              </w:rPr>
              <w:t>£000</w:t>
            </w:r>
          </w:p>
        </w:tc>
      </w:tr>
      <w:tr w:rsidR="00954848" w:rsidRPr="00344712" w:rsidTr="00954848">
        <w:trPr>
          <w:trHeight w:val="300"/>
        </w:trPr>
        <w:tc>
          <w:tcPr>
            <w:tcW w:w="3476" w:type="dxa"/>
            <w:tcBorders>
              <w:top w:val="nil"/>
              <w:left w:val="nil"/>
              <w:bottom w:val="nil"/>
              <w:right w:val="nil"/>
            </w:tcBorders>
            <w:shd w:val="clear" w:color="auto" w:fill="auto"/>
            <w:noWrap/>
            <w:vAlign w:val="bottom"/>
            <w:hideMark/>
          </w:tcPr>
          <w:p w:rsidR="00954848" w:rsidRPr="00344712" w:rsidRDefault="00954848" w:rsidP="00954848">
            <w:pPr>
              <w:rPr>
                <w:b/>
                <w:bCs/>
                <w:sz w:val="20"/>
                <w:szCs w:val="20"/>
              </w:rPr>
            </w:pPr>
            <w:r w:rsidRPr="00344712">
              <w:rPr>
                <w:b/>
                <w:bCs/>
                <w:sz w:val="20"/>
                <w:szCs w:val="20"/>
              </w:rPr>
              <w:t>Present value of scheme liabilities:</w:t>
            </w:r>
          </w:p>
        </w:tc>
        <w:tc>
          <w:tcPr>
            <w:tcW w:w="1239" w:type="dxa"/>
            <w:tcBorders>
              <w:top w:val="nil"/>
              <w:left w:val="nil"/>
              <w:bottom w:val="nil"/>
              <w:right w:val="nil"/>
            </w:tcBorders>
            <w:shd w:val="clear" w:color="auto" w:fill="auto"/>
            <w:noWrap/>
            <w:vAlign w:val="bottom"/>
            <w:hideMark/>
          </w:tcPr>
          <w:p w:rsidR="00954848" w:rsidRPr="00344712" w:rsidRDefault="00954848" w:rsidP="00954848">
            <w:pPr>
              <w:rPr>
                <w:sz w:val="20"/>
                <w:szCs w:val="20"/>
              </w:rPr>
            </w:pPr>
          </w:p>
        </w:tc>
        <w:tc>
          <w:tcPr>
            <w:tcW w:w="1239" w:type="dxa"/>
            <w:tcBorders>
              <w:top w:val="nil"/>
              <w:left w:val="nil"/>
              <w:bottom w:val="nil"/>
              <w:right w:val="nil"/>
            </w:tcBorders>
            <w:shd w:val="clear" w:color="auto" w:fill="auto"/>
            <w:noWrap/>
            <w:vAlign w:val="bottom"/>
            <w:hideMark/>
          </w:tcPr>
          <w:p w:rsidR="00954848" w:rsidRPr="00344712" w:rsidRDefault="00954848" w:rsidP="00954848">
            <w:pPr>
              <w:rPr>
                <w:sz w:val="20"/>
                <w:szCs w:val="20"/>
              </w:rPr>
            </w:pPr>
          </w:p>
        </w:tc>
        <w:tc>
          <w:tcPr>
            <w:tcW w:w="1239" w:type="dxa"/>
            <w:tcBorders>
              <w:top w:val="nil"/>
              <w:left w:val="nil"/>
              <w:bottom w:val="nil"/>
              <w:right w:val="nil"/>
            </w:tcBorders>
            <w:shd w:val="clear" w:color="auto" w:fill="auto"/>
            <w:noWrap/>
            <w:vAlign w:val="bottom"/>
            <w:hideMark/>
          </w:tcPr>
          <w:p w:rsidR="00954848" w:rsidRPr="00344712" w:rsidRDefault="00954848" w:rsidP="00954848">
            <w:pPr>
              <w:rPr>
                <w:sz w:val="20"/>
                <w:szCs w:val="20"/>
              </w:rPr>
            </w:pPr>
          </w:p>
        </w:tc>
        <w:tc>
          <w:tcPr>
            <w:tcW w:w="1239" w:type="dxa"/>
            <w:tcBorders>
              <w:top w:val="nil"/>
              <w:left w:val="nil"/>
              <w:bottom w:val="nil"/>
              <w:right w:val="nil"/>
            </w:tcBorders>
            <w:shd w:val="clear" w:color="auto" w:fill="auto"/>
            <w:noWrap/>
            <w:vAlign w:val="bottom"/>
            <w:hideMark/>
          </w:tcPr>
          <w:p w:rsidR="00954848" w:rsidRPr="00344712" w:rsidRDefault="00954848" w:rsidP="00954848">
            <w:pPr>
              <w:rPr>
                <w:sz w:val="20"/>
                <w:szCs w:val="20"/>
              </w:rPr>
            </w:pPr>
          </w:p>
        </w:tc>
        <w:tc>
          <w:tcPr>
            <w:tcW w:w="1239" w:type="dxa"/>
            <w:tcBorders>
              <w:top w:val="nil"/>
              <w:left w:val="nil"/>
              <w:bottom w:val="nil"/>
              <w:right w:val="nil"/>
            </w:tcBorders>
            <w:shd w:val="clear" w:color="auto" w:fill="auto"/>
            <w:noWrap/>
            <w:vAlign w:val="bottom"/>
            <w:hideMark/>
          </w:tcPr>
          <w:p w:rsidR="00954848" w:rsidRPr="00344712" w:rsidRDefault="00954848" w:rsidP="00954848">
            <w:pPr>
              <w:rPr>
                <w:sz w:val="20"/>
                <w:szCs w:val="20"/>
              </w:rPr>
            </w:pPr>
          </w:p>
        </w:tc>
      </w:tr>
      <w:tr w:rsidR="00954848" w:rsidRPr="00344712" w:rsidTr="00954848">
        <w:trPr>
          <w:trHeight w:val="300"/>
        </w:trPr>
        <w:tc>
          <w:tcPr>
            <w:tcW w:w="3476" w:type="dxa"/>
            <w:tcBorders>
              <w:top w:val="nil"/>
              <w:left w:val="nil"/>
              <w:bottom w:val="nil"/>
              <w:right w:val="nil"/>
            </w:tcBorders>
            <w:shd w:val="clear" w:color="auto" w:fill="auto"/>
            <w:noWrap/>
            <w:vAlign w:val="bottom"/>
            <w:hideMark/>
          </w:tcPr>
          <w:p w:rsidR="00954848" w:rsidRPr="00344712" w:rsidRDefault="00954848" w:rsidP="00954848">
            <w:pPr>
              <w:rPr>
                <w:sz w:val="20"/>
                <w:szCs w:val="20"/>
              </w:rPr>
            </w:pPr>
            <w:r w:rsidRPr="00344712">
              <w:rPr>
                <w:sz w:val="20"/>
                <w:szCs w:val="20"/>
              </w:rPr>
              <w:t>Local Government Pensions Scheme</w:t>
            </w:r>
          </w:p>
        </w:tc>
        <w:tc>
          <w:tcPr>
            <w:tcW w:w="1239" w:type="dxa"/>
            <w:tcBorders>
              <w:top w:val="nil"/>
              <w:left w:val="nil"/>
              <w:bottom w:val="nil"/>
              <w:right w:val="nil"/>
            </w:tcBorders>
            <w:shd w:val="clear" w:color="auto" w:fill="auto"/>
            <w:noWrap/>
            <w:vAlign w:val="bottom"/>
            <w:hideMark/>
          </w:tcPr>
          <w:p w:rsidR="00954848" w:rsidRPr="00344712" w:rsidRDefault="00954848" w:rsidP="00954848">
            <w:pPr>
              <w:jc w:val="right"/>
              <w:rPr>
                <w:sz w:val="20"/>
                <w:szCs w:val="20"/>
              </w:rPr>
            </w:pPr>
            <w:r w:rsidRPr="00344712">
              <w:rPr>
                <w:sz w:val="20"/>
                <w:szCs w:val="20"/>
              </w:rPr>
              <w:t>(2,144,466)</w:t>
            </w:r>
          </w:p>
        </w:tc>
        <w:tc>
          <w:tcPr>
            <w:tcW w:w="1239" w:type="dxa"/>
            <w:tcBorders>
              <w:top w:val="nil"/>
              <w:left w:val="nil"/>
              <w:bottom w:val="nil"/>
              <w:right w:val="nil"/>
            </w:tcBorders>
            <w:shd w:val="clear" w:color="auto" w:fill="auto"/>
            <w:noWrap/>
            <w:vAlign w:val="bottom"/>
            <w:hideMark/>
          </w:tcPr>
          <w:p w:rsidR="00954848" w:rsidRPr="00344712" w:rsidRDefault="00954848" w:rsidP="00954848">
            <w:pPr>
              <w:jc w:val="right"/>
              <w:rPr>
                <w:sz w:val="20"/>
                <w:szCs w:val="20"/>
              </w:rPr>
            </w:pPr>
            <w:r w:rsidRPr="00344712">
              <w:rPr>
                <w:sz w:val="20"/>
                <w:szCs w:val="20"/>
              </w:rPr>
              <w:t>(1,828,200)</w:t>
            </w:r>
          </w:p>
        </w:tc>
        <w:tc>
          <w:tcPr>
            <w:tcW w:w="1239" w:type="dxa"/>
            <w:tcBorders>
              <w:top w:val="nil"/>
              <w:left w:val="nil"/>
              <w:bottom w:val="nil"/>
              <w:right w:val="nil"/>
            </w:tcBorders>
            <w:shd w:val="clear" w:color="auto" w:fill="auto"/>
            <w:noWrap/>
            <w:vAlign w:val="bottom"/>
            <w:hideMark/>
          </w:tcPr>
          <w:p w:rsidR="00954848" w:rsidRPr="00344712" w:rsidRDefault="00954848" w:rsidP="00954848">
            <w:pPr>
              <w:jc w:val="right"/>
              <w:rPr>
                <w:sz w:val="20"/>
                <w:szCs w:val="20"/>
              </w:rPr>
            </w:pPr>
            <w:r w:rsidRPr="00344712">
              <w:rPr>
                <w:sz w:val="20"/>
                <w:szCs w:val="20"/>
              </w:rPr>
              <w:t>(2,522,504)</w:t>
            </w:r>
          </w:p>
        </w:tc>
        <w:tc>
          <w:tcPr>
            <w:tcW w:w="1239" w:type="dxa"/>
            <w:tcBorders>
              <w:top w:val="nil"/>
              <w:left w:val="nil"/>
              <w:bottom w:val="nil"/>
              <w:right w:val="nil"/>
            </w:tcBorders>
            <w:shd w:val="clear" w:color="auto" w:fill="auto"/>
            <w:noWrap/>
            <w:vAlign w:val="bottom"/>
            <w:hideMark/>
          </w:tcPr>
          <w:p w:rsidR="00954848" w:rsidRPr="00344712" w:rsidRDefault="00954848" w:rsidP="00954848">
            <w:pPr>
              <w:jc w:val="right"/>
              <w:rPr>
                <w:sz w:val="20"/>
                <w:szCs w:val="20"/>
              </w:rPr>
            </w:pPr>
            <w:r w:rsidRPr="00344712">
              <w:rPr>
                <w:sz w:val="20"/>
                <w:szCs w:val="20"/>
              </w:rPr>
              <w:t>(2,372,019)</w:t>
            </w:r>
          </w:p>
        </w:tc>
        <w:tc>
          <w:tcPr>
            <w:tcW w:w="1239" w:type="dxa"/>
            <w:tcBorders>
              <w:top w:val="nil"/>
              <w:left w:val="nil"/>
              <w:bottom w:val="nil"/>
              <w:right w:val="nil"/>
            </w:tcBorders>
            <w:shd w:val="clear" w:color="auto" w:fill="auto"/>
            <w:noWrap/>
            <w:vAlign w:val="bottom"/>
            <w:hideMark/>
          </w:tcPr>
          <w:p w:rsidR="00954848" w:rsidRPr="00344712" w:rsidRDefault="00954848" w:rsidP="00954848">
            <w:pPr>
              <w:jc w:val="right"/>
              <w:rPr>
                <w:sz w:val="20"/>
                <w:szCs w:val="20"/>
              </w:rPr>
            </w:pPr>
            <w:r w:rsidRPr="00344712">
              <w:rPr>
                <w:sz w:val="20"/>
                <w:szCs w:val="20"/>
              </w:rPr>
              <w:t>(2,555,357)</w:t>
            </w:r>
          </w:p>
        </w:tc>
      </w:tr>
      <w:tr w:rsidR="00954848" w:rsidRPr="00344712" w:rsidTr="00954848">
        <w:trPr>
          <w:trHeight w:val="300"/>
        </w:trPr>
        <w:tc>
          <w:tcPr>
            <w:tcW w:w="3476" w:type="dxa"/>
            <w:tcBorders>
              <w:top w:val="nil"/>
              <w:left w:val="nil"/>
              <w:bottom w:val="nil"/>
              <w:right w:val="nil"/>
            </w:tcBorders>
            <w:shd w:val="clear" w:color="auto" w:fill="auto"/>
            <w:noWrap/>
            <w:vAlign w:val="bottom"/>
            <w:hideMark/>
          </w:tcPr>
          <w:p w:rsidR="00954848" w:rsidRPr="00344712" w:rsidRDefault="00954848" w:rsidP="00954848">
            <w:pPr>
              <w:rPr>
                <w:sz w:val="20"/>
                <w:szCs w:val="20"/>
              </w:rPr>
            </w:pPr>
            <w:r w:rsidRPr="00344712">
              <w:rPr>
                <w:sz w:val="20"/>
                <w:szCs w:val="20"/>
              </w:rPr>
              <w:t>Teachers Pensions Scheme</w:t>
            </w:r>
          </w:p>
        </w:tc>
        <w:tc>
          <w:tcPr>
            <w:tcW w:w="1239" w:type="dxa"/>
            <w:tcBorders>
              <w:top w:val="nil"/>
              <w:left w:val="nil"/>
              <w:bottom w:val="nil"/>
              <w:right w:val="nil"/>
            </w:tcBorders>
            <w:shd w:val="clear" w:color="auto" w:fill="auto"/>
            <w:noWrap/>
            <w:vAlign w:val="bottom"/>
            <w:hideMark/>
          </w:tcPr>
          <w:p w:rsidR="00954848" w:rsidRPr="00344712" w:rsidRDefault="00954848" w:rsidP="00954848">
            <w:pPr>
              <w:jc w:val="right"/>
              <w:rPr>
                <w:sz w:val="20"/>
                <w:szCs w:val="20"/>
              </w:rPr>
            </w:pPr>
            <w:r w:rsidRPr="00344712">
              <w:rPr>
                <w:sz w:val="20"/>
                <w:szCs w:val="20"/>
              </w:rPr>
              <w:t>(142,023)</w:t>
            </w:r>
          </w:p>
        </w:tc>
        <w:tc>
          <w:tcPr>
            <w:tcW w:w="1239" w:type="dxa"/>
            <w:tcBorders>
              <w:top w:val="nil"/>
              <w:left w:val="nil"/>
              <w:bottom w:val="nil"/>
              <w:right w:val="nil"/>
            </w:tcBorders>
            <w:shd w:val="clear" w:color="auto" w:fill="auto"/>
            <w:noWrap/>
            <w:vAlign w:val="bottom"/>
            <w:hideMark/>
          </w:tcPr>
          <w:p w:rsidR="00954848" w:rsidRPr="00344712" w:rsidRDefault="00954848" w:rsidP="00954848">
            <w:pPr>
              <w:jc w:val="right"/>
              <w:rPr>
                <w:sz w:val="20"/>
                <w:szCs w:val="20"/>
              </w:rPr>
            </w:pPr>
            <w:r w:rsidRPr="00344712">
              <w:rPr>
                <w:sz w:val="20"/>
                <w:szCs w:val="20"/>
              </w:rPr>
              <w:t>(121,972)</w:t>
            </w:r>
          </w:p>
        </w:tc>
        <w:tc>
          <w:tcPr>
            <w:tcW w:w="1239" w:type="dxa"/>
            <w:tcBorders>
              <w:top w:val="nil"/>
              <w:left w:val="nil"/>
              <w:bottom w:val="nil"/>
              <w:right w:val="nil"/>
            </w:tcBorders>
            <w:shd w:val="clear" w:color="auto" w:fill="auto"/>
            <w:noWrap/>
            <w:vAlign w:val="bottom"/>
            <w:hideMark/>
          </w:tcPr>
          <w:p w:rsidR="00954848" w:rsidRPr="00344712" w:rsidRDefault="00954848" w:rsidP="00954848">
            <w:pPr>
              <w:jc w:val="right"/>
              <w:rPr>
                <w:sz w:val="20"/>
                <w:szCs w:val="20"/>
              </w:rPr>
            </w:pPr>
            <w:r w:rsidRPr="00344712">
              <w:rPr>
                <w:sz w:val="20"/>
                <w:szCs w:val="20"/>
              </w:rPr>
              <w:t>(143,878)</w:t>
            </w:r>
          </w:p>
        </w:tc>
        <w:tc>
          <w:tcPr>
            <w:tcW w:w="1239" w:type="dxa"/>
            <w:tcBorders>
              <w:top w:val="nil"/>
              <w:left w:val="nil"/>
              <w:bottom w:val="nil"/>
              <w:right w:val="nil"/>
            </w:tcBorders>
            <w:shd w:val="clear" w:color="auto" w:fill="auto"/>
            <w:noWrap/>
            <w:vAlign w:val="bottom"/>
            <w:hideMark/>
          </w:tcPr>
          <w:p w:rsidR="00954848" w:rsidRPr="00344712" w:rsidRDefault="00954848" w:rsidP="00954848">
            <w:pPr>
              <w:jc w:val="right"/>
              <w:rPr>
                <w:sz w:val="20"/>
                <w:szCs w:val="20"/>
              </w:rPr>
            </w:pPr>
            <w:r w:rsidRPr="00344712">
              <w:rPr>
                <w:sz w:val="20"/>
                <w:szCs w:val="20"/>
              </w:rPr>
              <w:t>(136,200)</w:t>
            </w:r>
          </w:p>
        </w:tc>
        <w:tc>
          <w:tcPr>
            <w:tcW w:w="1239" w:type="dxa"/>
            <w:tcBorders>
              <w:top w:val="nil"/>
              <w:left w:val="nil"/>
              <w:bottom w:val="nil"/>
              <w:right w:val="nil"/>
            </w:tcBorders>
            <w:shd w:val="clear" w:color="auto" w:fill="auto"/>
            <w:noWrap/>
            <w:vAlign w:val="bottom"/>
            <w:hideMark/>
          </w:tcPr>
          <w:p w:rsidR="00954848" w:rsidRPr="00344712" w:rsidRDefault="00954848" w:rsidP="00954848">
            <w:pPr>
              <w:jc w:val="right"/>
              <w:rPr>
                <w:sz w:val="20"/>
                <w:szCs w:val="20"/>
              </w:rPr>
            </w:pPr>
            <w:r w:rsidRPr="00344712">
              <w:rPr>
                <w:sz w:val="20"/>
                <w:szCs w:val="20"/>
              </w:rPr>
              <w:t>(137,361)</w:t>
            </w:r>
          </w:p>
        </w:tc>
      </w:tr>
      <w:tr w:rsidR="00954848" w:rsidRPr="00344712" w:rsidTr="00954848">
        <w:trPr>
          <w:trHeight w:val="300"/>
        </w:trPr>
        <w:tc>
          <w:tcPr>
            <w:tcW w:w="3476" w:type="dxa"/>
            <w:tcBorders>
              <w:top w:val="nil"/>
              <w:left w:val="nil"/>
              <w:bottom w:val="nil"/>
              <w:right w:val="nil"/>
            </w:tcBorders>
            <w:shd w:val="clear" w:color="auto" w:fill="auto"/>
            <w:noWrap/>
            <w:vAlign w:val="bottom"/>
            <w:hideMark/>
          </w:tcPr>
          <w:p w:rsidR="00954848" w:rsidRPr="00344712" w:rsidRDefault="00954848" w:rsidP="00954848">
            <w:pPr>
              <w:rPr>
                <w:sz w:val="20"/>
                <w:szCs w:val="20"/>
              </w:rPr>
            </w:pPr>
          </w:p>
        </w:tc>
        <w:tc>
          <w:tcPr>
            <w:tcW w:w="1239" w:type="dxa"/>
            <w:tcBorders>
              <w:top w:val="nil"/>
              <w:left w:val="nil"/>
              <w:bottom w:val="nil"/>
              <w:right w:val="nil"/>
            </w:tcBorders>
            <w:shd w:val="clear" w:color="auto" w:fill="auto"/>
            <w:noWrap/>
            <w:vAlign w:val="bottom"/>
            <w:hideMark/>
          </w:tcPr>
          <w:p w:rsidR="00954848" w:rsidRPr="00344712" w:rsidRDefault="00954848" w:rsidP="00954848">
            <w:pPr>
              <w:rPr>
                <w:sz w:val="20"/>
                <w:szCs w:val="20"/>
              </w:rPr>
            </w:pPr>
          </w:p>
        </w:tc>
        <w:tc>
          <w:tcPr>
            <w:tcW w:w="1239" w:type="dxa"/>
            <w:tcBorders>
              <w:top w:val="nil"/>
              <w:left w:val="nil"/>
              <w:bottom w:val="nil"/>
              <w:right w:val="nil"/>
            </w:tcBorders>
            <w:shd w:val="clear" w:color="auto" w:fill="auto"/>
            <w:noWrap/>
            <w:vAlign w:val="bottom"/>
            <w:hideMark/>
          </w:tcPr>
          <w:p w:rsidR="00954848" w:rsidRPr="00344712" w:rsidRDefault="00954848" w:rsidP="00954848">
            <w:pPr>
              <w:rPr>
                <w:sz w:val="20"/>
                <w:szCs w:val="20"/>
              </w:rPr>
            </w:pPr>
          </w:p>
        </w:tc>
        <w:tc>
          <w:tcPr>
            <w:tcW w:w="1239" w:type="dxa"/>
            <w:tcBorders>
              <w:top w:val="nil"/>
              <w:left w:val="nil"/>
              <w:bottom w:val="nil"/>
              <w:right w:val="nil"/>
            </w:tcBorders>
            <w:shd w:val="clear" w:color="auto" w:fill="auto"/>
            <w:noWrap/>
            <w:vAlign w:val="bottom"/>
            <w:hideMark/>
          </w:tcPr>
          <w:p w:rsidR="00954848" w:rsidRPr="00344712" w:rsidRDefault="00954848" w:rsidP="00954848">
            <w:pPr>
              <w:rPr>
                <w:sz w:val="20"/>
                <w:szCs w:val="20"/>
              </w:rPr>
            </w:pPr>
          </w:p>
        </w:tc>
        <w:tc>
          <w:tcPr>
            <w:tcW w:w="1239" w:type="dxa"/>
            <w:tcBorders>
              <w:top w:val="nil"/>
              <w:left w:val="nil"/>
              <w:bottom w:val="nil"/>
              <w:right w:val="nil"/>
            </w:tcBorders>
            <w:shd w:val="clear" w:color="auto" w:fill="auto"/>
            <w:noWrap/>
            <w:vAlign w:val="bottom"/>
            <w:hideMark/>
          </w:tcPr>
          <w:p w:rsidR="00954848" w:rsidRPr="00344712" w:rsidRDefault="00954848" w:rsidP="00954848">
            <w:pPr>
              <w:rPr>
                <w:sz w:val="20"/>
                <w:szCs w:val="20"/>
              </w:rPr>
            </w:pPr>
          </w:p>
        </w:tc>
        <w:tc>
          <w:tcPr>
            <w:tcW w:w="1239" w:type="dxa"/>
            <w:tcBorders>
              <w:top w:val="nil"/>
              <w:left w:val="nil"/>
              <w:bottom w:val="nil"/>
              <w:right w:val="nil"/>
            </w:tcBorders>
            <w:shd w:val="clear" w:color="auto" w:fill="auto"/>
            <w:noWrap/>
            <w:vAlign w:val="bottom"/>
            <w:hideMark/>
          </w:tcPr>
          <w:p w:rsidR="00954848" w:rsidRPr="00344712" w:rsidRDefault="00954848" w:rsidP="00954848">
            <w:pPr>
              <w:rPr>
                <w:sz w:val="20"/>
                <w:szCs w:val="20"/>
              </w:rPr>
            </w:pPr>
          </w:p>
        </w:tc>
      </w:tr>
      <w:tr w:rsidR="00954848" w:rsidRPr="00344712" w:rsidTr="00954848">
        <w:trPr>
          <w:trHeight w:val="510"/>
        </w:trPr>
        <w:tc>
          <w:tcPr>
            <w:tcW w:w="3476" w:type="dxa"/>
            <w:tcBorders>
              <w:top w:val="nil"/>
              <w:left w:val="nil"/>
              <w:bottom w:val="nil"/>
              <w:right w:val="nil"/>
            </w:tcBorders>
            <w:shd w:val="clear" w:color="auto" w:fill="auto"/>
            <w:vAlign w:val="bottom"/>
            <w:hideMark/>
          </w:tcPr>
          <w:p w:rsidR="00954848" w:rsidRPr="00344712" w:rsidRDefault="00954848" w:rsidP="00954848">
            <w:pPr>
              <w:rPr>
                <w:b/>
                <w:bCs/>
                <w:sz w:val="20"/>
                <w:szCs w:val="20"/>
              </w:rPr>
            </w:pPr>
            <w:r w:rsidRPr="00344712">
              <w:rPr>
                <w:b/>
                <w:bCs/>
                <w:sz w:val="20"/>
                <w:szCs w:val="20"/>
              </w:rPr>
              <w:t>Fair value of assets in the Local Government Pension Scheme</w:t>
            </w:r>
          </w:p>
        </w:tc>
        <w:tc>
          <w:tcPr>
            <w:tcW w:w="1239" w:type="dxa"/>
            <w:tcBorders>
              <w:top w:val="nil"/>
              <w:left w:val="nil"/>
              <w:bottom w:val="nil"/>
              <w:right w:val="nil"/>
            </w:tcBorders>
            <w:shd w:val="clear" w:color="auto" w:fill="auto"/>
            <w:noWrap/>
            <w:vAlign w:val="bottom"/>
            <w:hideMark/>
          </w:tcPr>
          <w:p w:rsidR="00954848" w:rsidRPr="00344712" w:rsidRDefault="00954848" w:rsidP="00954848">
            <w:pPr>
              <w:jc w:val="right"/>
              <w:rPr>
                <w:sz w:val="20"/>
                <w:szCs w:val="20"/>
              </w:rPr>
            </w:pPr>
            <w:r w:rsidRPr="00344712">
              <w:rPr>
                <w:sz w:val="20"/>
                <w:szCs w:val="20"/>
              </w:rPr>
              <w:t>1,512,157</w:t>
            </w:r>
          </w:p>
        </w:tc>
        <w:tc>
          <w:tcPr>
            <w:tcW w:w="1239" w:type="dxa"/>
            <w:tcBorders>
              <w:top w:val="nil"/>
              <w:left w:val="nil"/>
              <w:bottom w:val="nil"/>
              <w:right w:val="nil"/>
            </w:tcBorders>
            <w:shd w:val="clear" w:color="auto" w:fill="auto"/>
            <w:noWrap/>
            <w:vAlign w:val="bottom"/>
            <w:hideMark/>
          </w:tcPr>
          <w:p w:rsidR="00954848" w:rsidRPr="00344712" w:rsidRDefault="00954848" w:rsidP="00954848">
            <w:pPr>
              <w:jc w:val="right"/>
              <w:rPr>
                <w:sz w:val="20"/>
                <w:szCs w:val="20"/>
              </w:rPr>
            </w:pPr>
            <w:r w:rsidRPr="00344712">
              <w:rPr>
                <w:sz w:val="20"/>
                <w:szCs w:val="20"/>
              </w:rPr>
              <w:t>1,202,529</w:t>
            </w:r>
          </w:p>
        </w:tc>
        <w:tc>
          <w:tcPr>
            <w:tcW w:w="1239" w:type="dxa"/>
            <w:tcBorders>
              <w:top w:val="nil"/>
              <w:left w:val="nil"/>
              <w:bottom w:val="nil"/>
              <w:right w:val="nil"/>
            </w:tcBorders>
            <w:shd w:val="clear" w:color="auto" w:fill="auto"/>
            <w:noWrap/>
            <w:vAlign w:val="bottom"/>
            <w:hideMark/>
          </w:tcPr>
          <w:p w:rsidR="00954848" w:rsidRPr="00344712" w:rsidRDefault="00954848" w:rsidP="00954848">
            <w:pPr>
              <w:jc w:val="right"/>
              <w:rPr>
                <w:sz w:val="20"/>
                <w:szCs w:val="20"/>
              </w:rPr>
            </w:pPr>
            <w:r w:rsidRPr="00344712">
              <w:rPr>
                <w:sz w:val="20"/>
                <w:szCs w:val="20"/>
              </w:rPr>
              <w:t>1,606,424</w:t>
            </w:r>
          </w:p>
        </w:tc>
        <w:tc>
          <w:tcPr>
            <w:tcW w:w="1239" w:type="dxa"/>
            <w:tcBorders>
              <w:top w:val="nil"/>
              <w:left w:val="nil"/>
              <w:bottom w:val="nil"/>
              <w:right w:val="nil"/>
            </w:tcBorders>
            <w:shd w:val="clear" w:color="auto" w:fill="auto"/>
            <w:noWrap/>
            <w:vAlign w:val="bottom"/>
            <w:hideMark/>
          </w:tcPr>
          <w:p w:rsidR="00954848" w:rsidRPr="00344712" w:rsidRDefault="00954848" w:rsidP="00954848">
            <w:pPr>
              <w:jc w:val="right"/>
              <w:rPr>
                <w:sz w:val="20"/>
                <w:szCs w:val="20"/>
              </w:rPr>
            </w:pPr>
            <w:r w:rsidRPr="00344712">
              <w:rPr>
                <w:sz w:val="20"/>
                <w:szCs w:val="20"/>
              </w:rPr>
              <w:t>1,743,007</w:t>
            </w:r>
          </w:p>
        </w:tc>
        <w:tc>
          <w:tcPr>
            <w:tcW w:w="1239" w:type="dxa"/>
            <w:tcBorders>
              <w:top w:val="nil"/>
              <w:left w:val="nil"/>
              <w:bottom w:val="nil"/>
              <w:right w:val="nil"/>
            </w:tcBorders>
            <w:shd w:val="clear" w:color="auto" w:fill="auto"/>
            <w:noWrap/>
            <w:vAlign w:val="bottom"/>
            <w:hideMark/>
          </w:tcPr>
          <w:p w:rsidR="00954848" w:rsidRPr="00344712" w:rsidRDefault="00807F17" w:rsidP="00954848">
            <w:pPr>
              <w:jc w:val="right"/>
              <w:rPr>
                <w:sz w:val="20"/>
                <w:szCs w:val="20"/>
              </w:rPr>
            </w:pPr>
            <w:r>
              <w:rPr>
                <w:sz w:val="20"/>
                <w:szCs w:val="20"/>
              </w:rPr>
              <w:t>1,753,223</w:t>
            </w:r>
          </w:p>
        </w:tc>
      </w:tr>
      <w:tr w:rsidR="00954848" w:rsidRPr="00344712" w:rsidTr="00954848">
        <w:trPr>
          <w:trHeight w:val="300"/>
        </w:trPr>
        <w:tc>
          <w:tcPr>
            <w:tcW w:w="3476" w:type="dxa"/>
            <w:tcBorders>
              <w:top w:val="nil"/>
              <w:left w:val="nil"/>
              <w:bottom w:val="nil"/>
              <w:right w:val="nil"/>
            </w:tcBorders>
            <w:shd w:val="clear" w:color="auto" w:fill="auto"/>
            <w:vAlign w:val="bottom"/>
            <w:hideMark/>
          </w:tcPr>
          <w:p w:rsidR="00954848" w:rsidRPr="00344712" w:rsidRDefault="00954848" w:rsidP="00954848">
            <w:pPr>
              <w:rPr>
                <w:b/>
                <w:bCs/>
                <w:sz w:val="20"/>
                <w:szCs w:val="20"/>
              </w:rPr>
            </w:pPr>
          </w:p>
        </w:tc>
        <w:tc>
          <w:tcPr>
            <w:tcW w:w="1239" w:type="dxa"/>
            <w:tcBorders>
              <w:top w:val="nil"/>
              <w:left w:val="nil"/>
              <w:bottom w:val="nil"/>
              <w:right w:val="nil"/>
            </w:tcBorders>
            <w:shd w:val="clear" w:color="auto" w:fill="auto"/>
            <w:noWrap/>
            <w:vAlign w:val="bottom"/>
            <w:hideMark/>
          </w:tcPr>
          <w:p w:rsidR="00954848" w:rsidRPr="00344712" w:rsidRDefault="00954848" w:rsidP="00954848">
            <w:pPr>
              <w:rPr>
                <w:sz w:val="20"/>
                <w:szCs w:val="20"/>
              </w:rPr>
            </w:pPr>
          </w:p>
        </w:tc>
        <w:tc>
          <w:tcPr>
            <w:tcW w:w="1239" w:type="dxa"/>
            <w:tcBorders>
              <w:top w:val="nil"/>
              <w:left w:val="nil"/>
              <w:bottom w:val="nil"/>
              <w:right w:val="nil"/>
            </w:tcBorders>
            <w:shd w:val="clear" w:color="auto" w:fill="auto"/>
            <w:noWrap/>
            <w:vAlign w:val="bottom"/>
            <w:hideMark/>
          </w:tcPr>
          <w:p w:rsidR="00954848" w:rsidRPr="00344712" w:rsidRDefault="00954848" w:rsidP="00954848">
            <w:pPr>
              <w:rPr>
                <w:sz w:val="20"/>
                <w:szCs w:val="20"/>
              </w:rPr>
            </w:pPr>
          </w:p>
        </w:tc>
        <w:tc>
          <w:tcPr>
            <w:tcW w:w="1239" w:type="dxa"/>
            <w:tcBorders>
              <w:top w:val="nil"/>
              <w:left w:val="nil"/>
              <w:bottom w:val="nil"/>
              <w:right w:val="nil"/>
            </w:tcBorders>
            <w:shd w:val="clear" w:color="auto" w:fill="auto"/>
            <w:noWrap/>
            <w:vAlign w:val="bottom"/>
            <w:hideMark/>
          </w:tcPr>
          <w:p w:rsidR="00954848" w:rsidRPr="00344712" w:rsidRDefault="00954848" w:rsidP="00954848">
            <w:pPr>
              <w:rPr>
                <w:sz w:val="20"/>
                <w:szCs w:val="20"/>
              </w:rPr>
            </w:pPr>
          </w:p>
        </w:tc>
        <w:tc>
          <w:tcPr>
            <w:tcW w:w="1239" w:type="dxa"/>
            <w:tcBorders>
              <w:top w:val="nil"/>
              <w:left w:val="nil"/>
              <w:bottom w:val="nil"/>
              <w:right w:val="nil"/>
            </w:tcBorders>
            <w:shd w:val="clear" w:color="auto" w:fill="auto"/>
            <w:noWrap/>
            <w:vAlign w:val="bottom"/>
            <w:hideMark/>
          </w:tcPr>
          <w:p w:rsidR="00954848" w:rsidRPr="00344712" w:rsidRDefault="00954848" w:rsidP="00954848">
            <w:pPr>
              <w:rPr>
                <w:sz w:val="20"/>
                <w:szCs w:val="20"/>
              </w:rPr>
            </w:pPr>
          </w:p>
        </w:tc>
        <w:tc>
          <w:tcPr>
            <w:tcW w:w="1239" w:type="dxa"/>
            <w:tcBorders>
              <w:top w:val="nil"/>
              <w:left w:val="nil"/>
              <w:bottom w:val="nil"/>
              <w:right w:val="nil"/>
            </w:tcBorders>
            <w:shd w:val="clear" w:color="auto" w:fill="auto"/>
            <w:noWrap/>
            <w:vAlign w:val="bottom"/>
            <w:hideMark/>
          </w:tcPr>
          <w:p w:rsidR="00954848" w:rsidRPr="00344712" w:rsidRDefault="00954848" w:rsidP="00954848">
            <w:pPr>
              <w:rPr>
                <w:sz w:val="20"/>
                <w:szCs w:val="20"/>
              </w:rPr>
            </w:pPr>
          </w:p>
        </w:tc>
      </w:tr>
      <w:tr w:rsidR="00954848" w:rsidRPr="00344712" w:rsidTr="00954848">
        <w:trPr>
          <w:trHeight w:val="300"/>
        </w:trPr>
        <w:tc>
          <w:tcPr>
            <w:tcW w:w="3476" w:type="dxa"/>
            <w:tcBorders>
              <w:top w:val="nil"/>
              <w:left w:val="nil"/>
              <w:bottom w:val="nil"/>
              <w:right w:val="nil"/>
            </w:tcBorders>
            <w:shd w:val="clear" w:color="auto" w:fill="auto"/>
            <w:noWrap/>
            <w:vAlign w:val="bottom"/>
            <w:hideMark/>
          </w:tcPr>
          <w:p w:rsidR="00954848" w:rsidRPr="00344712" w:rsidRDefault="00954848" w:rsidP="00954848">
            <w:pPr>
              <w:rPr>
                <w:sz w:val="20"/>
                <w:szCs w:val="20"/>
              </w:rPr>
            </w:pPr>
          </w:p>
        </w:tc>
        <w:tc>
          <w:tcPr>
            <w:tcW w:w="1239" w:type="dxa"/>
            <w:tcBorders>
              <w:top w:val="nil"/>
              <w:left w:val="nil"/>
              <w:bottom w:val="nil"/>
              <w:right w:val="nil"/>
            </w:tcBorders>
            <w:shd w:val="clear" w:color="auto" w:fill="auto"/>
            <w:noWrap/>
            <w:vAlign w:val="bottom"/>
            <w:hideMark/>
          </w:tcPr>
          <w:p w:rsidR="00954848" w:rsidRPr="00344712" w:rsidRDefault="00954848" w:rsidP="00954848">
            <w:pPr>
              <w:rPr>
                <w:sz w:val="20"/>
                <w:szCs w:val="20"/>
              </w:rPr>
            </w:pPr>
          </w:p>
        </w:tc>
        <w:tc>
          <w:tcPr>
            <w:tcW w:w="1239" w:type="dxa"/>
            <w:tcBorders>
              <w:top w:val="nil"/>
              <w:left w:val="nil"/>
              <w:bottom w:val="nil"/>
              <w:right w:val="nil"/>
            </w:tcBorders>
            <w:shd w:val="clear" w:color="auto" w:fill="auto"/>
            <w:noWrap/>
            <w:vAlign w:val="bottom"/>
            <w:hideMark/>
          </w:tcPr>
          <w:p w:rsidR="00954848" w:rsidRPr="00344712" w:rsidRDefault="00954848" w:rsidP="00954848">
            <w:pPr>
              <w:rPr>
                <w:sz w:val="20"/>
                <w:szCs w:val="20"/>
              </w:rPr>
            </w:pPr>
          </w:p>
        </w:tc>
        <w:tc>
          <w:tcPr>
            <w:tcW w:w="1239" w:type="dxa"/>
            <w:tcBorders>
              <w:top w:val="nil"/>
              <w:left w:val="nil"/>
              <w:bottom w:val="nil"/>
              <w:right w:val="nil"/>
            </w:tcBorders>
            <w:shd w:val="clear" w:color="auto" w:fill="auto"/>
            <w:noWrap/>
            <w:vAlign w:val="bottom"/>
            <w:hideMark/>
          </w:tcPr>
          <w:p w:rsidR="00954848" w:rsidRPr="00344712" w:rsidRDefault="00954848" w:rsidP="00954848">
            <w:pPr>
              <w:rPr>
                <w:sz w:val="20"/>
                <w:szCs w:val="20"/>
              </w:rPr>
            </w:pPr>
          </w:p>
        </w:tc>
        <w:tc>
          <w:tcPr>
            <w:tcW w:w="1239" w:type="dxa"/>
            <w:tcBorders>
              <w:top w:val="nil"/>
              <w:left w:val="nil"/>
              <w:bottom w:val="nil"/>
              <w:right w:val="nil"/>
            </w:tcBorders>
            <w:shd w:val="clear" w:color="auto" w:fill="auto"/>
            <w:noWrap/>
            <w:vAlign w:val="bottom"/>
            <w:hideMark/>
          </w:tcPr>
          <w:p w:rsidR="00954848" w:rsidRPr="00344712" w:rsidRDefault="00954848" w:rsidP="00954848">
            <w:pPr>
              <w:rPr>
                <w:sz w:val="20"/>
                <w:szCs w:val="20"/>
              </w:rPr>
            </w:pPr>
          </w:p>
        </w:tc>
        <w:tc>
          <w:tcPr>
            <w:tcW w:w="1239" w:type="dxa"/>
            <w:tcBorders>
              <w:top w:val="nil"/>
              <w:left w:val="nil"/>
              <w:bottom w:val="nil"/>
              <w:right w:val="nil"/>
            </w:tcBorders>
            <w:shd w:val="clear" w:color="auto" w:fill="auto"/>
            <w:noWrap/>
            <w:vAlign w:val="bottom"/>
            <w:hideMark/>
          </w:tcPr>
          <w:p w:rsidR="00954848" w:rsidRPr="00344712" w:rsidRDefault="00954848" w:rsidP="00954848">
            <w:pPr>
              <w:rPr>
                <w:sz w:val="20"/>
                <w:szCs w:val="20"/>
              </w:rPr>
            </w:pPr>
          </w:p>
        </w:tc>
      </w:tr>
      <w:tr w:rsidR="00954848" w:rsidRPr="00344712" w:rsidTr="00954848">
        <w:trPr>
          <w:trHeight w:val="300"/>
        </w:trPr>
        <w:tc>
          <w:tcPr>
            <w:tcW w:w="3476" w:type="dxa"/>
            <w:tcBorders>
              <w:top w:val="nil"/>
              <w:left w:val="nil"/>
              <w:bottom w:val="nil"/>
              <w:right w:val="nil"/>
            </w:tcBorders>
            <w:shd w:val="clear" w:color="auto" w:fill="auto"/>
            <w:noWrap/>
            <w:vAlign w:val="bottom"/>
            <w:hideMark/>
          </w:tcPr>
          <w:p w:rsidR="00954848" w:rsidRPr="00344712" w:rsidRDefault="00954848" w:rsidP="00954848">
            <w:pPr>
              <w:rPr>
                <w:b/>
                <w:bCs/>
                <w:sz w:val="20"/>
                <w:szCs w:val="20"/>
              </w:rPr>
            </w:pPr>
            <w:r w:rsidRPr="00344712">
              <w:rPr>
                <w:b/>
                <w:bCs/>
                <w:sz w:val="20"/>
                <w:szCs w:val="20"/>
              </w:rPr>
              <w:t>Surplus/(deficit) in scheme</w:t>
            </w:r>
          </w:p>
        </w:tc>
        <w:tc>
          <w:tcPr>
            <w:tcW w:w="1239" w:type="dxa"/>
            <w:tcBorders>
              <w:top w:val="nil"/>
              <w:left w:val="nil"/>
              <w:bottom w:val="nil"/>
              <w:right w:val="nil"/>
            </w:tcBorders>
            <w:shd w:val="clear" w:color="auto" w:fill="auto"/>
            <w:noWrap/>
            <w:vAlign w:val="bottom"/>
            <w:hideMark/>
          </w:tcPr>
          <w:p w:rsidR="00954848" w:rsidRPr="00344712" w:rsidRDefault="00954848" w:rsidP="00954848">
            <w:pPr>
              <w:rPr>
                <w:sz w:val="20"/>
                <w:szCs w:val="20"/>
              </w:rPr>
            </w:pPr>
          </w:p>
        </w:tc>
        <w:tc>
          <w:tcPr>
            <w:tcW w:w="1239" w:type="dxa"/>
            <w:tcBorders>
              <w:top w:val="nil"/>
              <w:left w:val="nil"/>
              <w:bottom w:val="nil"/>
              <w:right w:val="nil"/>
            </w:tcBorders>
            <w:shd w:val="clear" w:color="auto" w:fill="auto"/>
            <w:noWrap/>
            <w:vAlign w:val="bottom"/>
            <w:hideMark/>
          </w:tcPr>
          <w:p w:rsidR="00954848" w:rsidRPr="00344712" w:rsidRDefault="00954848" w:rsidP="00954848">
            <w:pPr>
              <w:rPr>
                <w:sz w:val="20"/>
                <w:szCs w:val="20"/>
              </w:rPr>
            </w:pPr>
          </w:p>
        </w:tc>
        <w:tc>
          <w:tcPr>
            <w:tcW w:w="1239" w:type="dxa"/>
            <w:tcBorders>
              <w:top w:val="nil"/>
              <w:left w:val="nil"/>
              <w:bottom w:val="nil"/>
              <w:right w:val="nil"/>
            </w:tcBorders>
            <w:shd w:val="clear" w:color="auto" w:fill="auto"/>
            <w:noWrap/>
            <w:vAlign w:val="bottom"/>
            <w:hideMark/>
          </w:tcPr>
          <w:p w:rsidR="00954848" w:rsidRPr="00344712" w:rsidRDefault="00954848" w:rsidP="00954848">
            <w:pPr>
              <w:rPr>
                <w:sz w:val="20"/>
                <w:szCs w:val="20"/>
              </w:rPr>
            </w:pPr>
          </w:p>
        </w:tc>
        <w:tc>
          <w:tcPr>
            <w:tcW w:w="1239" w:type="dxa"/>
            <w:tcBorders>
              <w:top w:val="nil"/>
              <w:left w:val="nil"/>
              <w:bottom w:val="nil"/>
              <w:right w:val="nil"/>
            </w:tcBorders>
            <w:shd w:val="clear" w:color="auto" w:fill="auto"/>
            <w:noWrap/>
            <w:vAlign w:val="bottom"/>
            <w:hideMark/>
          </w:tcPr>
          <w:p w:rsidR="00954848" w:rsidRPr="00344712" w:rsidRDefault="00954848" w:rsidP="00954848">
            <w:pPr>
              <w:rPr>
                <w:sz w:val="20"/>
                <w:szCs w:val="20"/>
              </w:rPr>
            </w:pPr>
          </w:p>
        </w:tc>
        <w:tc>
          <w:tcPr>
            <w:tcW w:w="1239" w:type="dxa"/>
            <w:tcBorders>
              <w:top w:val="nil"/>
              <w:left w:val="nil"/>
              <w:bottom w:val="nil"/>
              <w:right w:val="nil"/>
            </w:tcBorders>
            <w:shd w:val="clear" w:color="auto" w:fill="auto"/>
            <w:noWrap/>
            <w:vAlign w:val="bottom"/>
            <w:hideMark/>
          </w:tcPr>
          <w:p w:rsidR="00954848" w:rsidRPr="00344712" w:rsidRDefault="00954848" w:rsidP="00954848">
            <w:pPr>
              <w:rPr>
                <w:sz w:val="20"/>
                <w:szCs w:val="20"/>
              </w:rPr>
            </w:pPr>
          </w:p>
        </w:tc>
      </w:tr>
      <w:tr w:rsidR="00954848" w:rsidRPr="00344712" w:rsidTr="00954848">
        <w:trPr>
          <w:trHeight w:val="300"/>
        </w:trPr>
        <w:tc>
          <w:tcPr>
            <w:tcW w:w="3476" w:type="dxa"/>
            <w:tcBorders>
              <w:top w:val="nil"/>
              <w:left w:val="nil"/>
              <w:bottom w:val="nil"/>
              <w:right w:val="nil"/>
            </w:tcBorders>
            <w:shd w:val="clear" w:color="auto" w:fill="auto"/>
            <w:noWrap/>
            <w:vAlign w:val="bottom"/>
            <w:hideMark/>
          </w:tcPr>
          <w:p w:rsidR="00954848" w:rsidRPr="00344712" w:rsidRDefault="00954848" w:rsidP="00954848">
            <w:pPr>
              <w:rPr>
                <w:sz w:val="20"/>
                <w:szCs w:val="20"/>
              </w:rPr>
            </w:pPr>
            <w:r w:rsidRPr="00344712">
              <w:rPr>
                <w:sz w:val="20"/>
                <w:szCs w:val="20"/>
              </w:rPr>
              <w:t>Local Gov</w:t>
            </w:r>
            <w:r>
              <w:rPr>
                <w:sz w:val="20"/>
                <w:szCs w:val="20"/>
              </w:rPr>
              <w:t>ernment</w:t>
            </w:r>
            <w:r w:rsidRPr="00344712">
              <w:rPr>
                <w:sz w:val="20"/>
                <w:szCs w:val="20"/>
              </w:rPr>
              <w:t xml:space="preserve"> Pension Scheme</w:t>
            </w:r>
          </w:p>
        </w:tc>
        <w:tc>
          <w:tcPr>
            <w:tcW w:w="1239" w:type="dxa"/>
            <w:tcBorders>
              <w:top w:val="nil"/>
              <w:left w:val="nil"/>
              <w:bottom w:val="nil"/>
              <w:right w:val="nil"/>
            </w:tcBorders>
            <w:shd w:val="clear" w:color="auto" w:fill="auto"/>
            <w:noWrap/>
            <w:vAlign w:val="bottom"/>
            <w:hideMark/>
          </w:tcPr>
          <w:p w:rsidR="00954848" w:rsidRPr="00344712" w:rsidRDefault="00954848" w:rsidP="00954848">
            <w:pPr>
              <w:jc w:val="right"/>
              <w:rPr>
                <w:sz w:val="20"/>
                <w:szCs w:val="20"/>
              </w:rPr>
            </w:pPr>
            <w:r w:rsidRPr="00344712">
              <w:rPr>
                <w:sz w:val="20"/>
                <w:szCs w:val="20"/>
              </w:rPr>
              <w:t>(632,309)</w:t>
            </w:r>
          </w:p>
        </w:tc>
        <w:tc>
          <w:tcPr>
            <w:tcW w:w="1239" w:type="dxa"/>
            <w:tcBorders>
              <w:top w:val="nil"/>
              <w:left w:val="nil"/>
              <w:bottom w:val="nil"/>
              <w:right w:val="nil"/>
            </w:tcBorders>
            <w:shd w:val="clear" w:color="auto" w:fill="auto"/>
            <w:noWrap/>
            <w:vAlign w:val="bottom"/>
            <w:hideMark/>
          </w:tcPr>
          <w:p w:rsidR="00954848" w:rsidRPr="00344712" w:rsidRDefault="00954848" w:rsidP="00954848">
            <w:pPr>
              <w:jc w:val="right"/>
              <w:rPr>
                <w:sz w:val="20"/>
                <w:szCs w:val="20"/>
              </w:rPr>
            </w:pPr>
            <w:r w:rsidRPr="00344712">
              <w:rPr>
                <w:sz w:val="20"/>
                <w:szCs w:val="20"/>
              </w:rPr>
              <w:t>(625,671)</w:t>
            </w:r>
          </w:p>
        </w:tc>
        <w:tc>
          <w:tcPr>
            <w:tcW w:w="1239" w:type="dxa"/>
            <w:tcBorders>
              <w:top w:val="nil"/>
              <w:left w:val="nil"/>
              <w:bottom w:val="nil"/>
              <w:right w:val="nil"/>
            </w:tcBorders>
            <w:shd w:val="clear" w:color="auto" w:fill="auto"/>
            <w:noWrap/>
            <w:vAlign w:val="bottom"/>
            <w:hideMark/>
          </w:tcPr>
          <w:p w:rsidR="00954848" w:rsidRPr="00344712" w:rsidRDefault="00954848" w:rsidP="00954848">
            <w:pPr>
              <w:jc w:val="right"/>
              <w:rPr>
                <w:sz w:val="20"/>
                <w:szCs w:val="20"/>
              </w:rPr>
            </w:pPr>
            <w:r w:rsidRPr="00344712">
              <w:rPr>
                <w:sz w:val="20"/>
                <w:szCs w:val="20"/>
              </w:rPr>
              <w:t>(916,080)</w:t>
            </w:r>
          </w:p>
        </w:tc>
        <w:tc>
          <w:tcPr>
            <w:tcW w:w="1239" w:type="dxa"/>
            <w:tcBorders>
              <w:top w:val="nil"/>
              <w:left w:val="nil"/>
              <w:bottom w:val="nil"/>
              <w:right w:val="nil"/>
            </w:tcBorders>
            <w:shd w:val="clear" w:color="auto" w:fill="auto"/>
            <w:noWrap/>
            <w:vAlign w:val="bottom"/>
            <w:hideMark/>
          </w:tcPr>
          <w:p w:rsidR="00954848" w:rsidRPr="00344712" w:rsidRDefault="00954848" w:rsidP="00954848">
            <w:pPr>
              <w:jc w:val="right"/>
              <w:rPr>
                <w:sz w:val="20"/>
                <w:szCs w:val="20"/>
              </w:rPr>
            </w:pPr>
            <w:r w:rsidRPr="00344712">
              <w:rPr>
                <w:sz w:val="20"/>
                <w:szCs w:val="20"/>
              </w:rPr>
              <w:t>(629,012)</w:t>
            </w:r>
          </w:p>
        </w:tc>
        <w:tc>
          <w:tcPr>
            <w:tcW w:w="1239" w:type="dxa"/>
            <w:tcBorders>
              <w:top w:val="nil"/>
              <w:left w:val="nil"/>
              <w:bottom w:val="nil"/>
              <w:right w:val="nil"/>
            </w:tcBorders>
            <w:shd w:val="clear" w:color="auto" w:fill="auto"/>
            <w:noWrap/>
            <w:vAlign w:val="bottom"/>
            <w:hideMark/>
          </w:tcPr>
          <w:p w:rsidR="00954848" w:rsidRPr="00344712" w:rsidRDefault="00954848" w:rsidP="00797EA4">
            <w:pPr>
              <w:jc w:val="right"/>
              <w:rPr>
                <w:sz w:val="20"/>
                <w:szCs w:val="20"/>
              </w:rPr>
            </w:pPr>
            <w:r w:rsidRPr="00344712">
              <w:rPr>
                <w:sz w:val="20"/>
                <w:szCs w:val="20"/>
              </w:rPr>
              <w:t>(</w:t>
            </w:r>
            <w:r w:rsidR="00797EA4">
              <w:rPr>
                <w:sz w:val="20"/>
                <w:szCs w:val="20"/>
              </w:rPr>
              <w:t>802,134</w:t>
            </w:r>
            <w:r w:rsidRPr="00344712">
              <w:rPr>
                <w:sz w:val="20"/>
                <w:szCs w:val="20"/>
              </w:rPr>
              <w:t>)</w:t>
            </w:r>
          </w:p>
        </w:tc>
      </w:tr>
      <w:tr w:rsidR="00954848" w:rsidRPr="00344712" w:rsidTr="00954848">
        <w:trPr>
          <w:trHeight w:val="300"/>
        </w:trPr>
        <w:tc>
          <w:tcPr>
            <w:tcW w:w="3476" w:type="dxa"/>
            <w:tcBorders>
              <w:top w:val="nil"/>
              <w:left w:val="nil"/>
              <w:bottom w:val="nil"/>
              <w:right w:val="nil"/>
            </w:tcBorders>
            <w:shd w:val="clear" w:color="auto" w:fill="auto"/>
            <w:noWrap/>
            <w:vAlign w:val="bottom"/>
            <w:hideMark/>
          </w:tcPr>
          <w:p w:rsidR="00954848" w:rsidRPr="00344712" w:rsidRDefault="00954848" w:rsidP="00954848">
            <w:pPr>
              <w:rPr>
                <w:sz w:val="20"/>
                <w:szCs w:val="20"/>
              </w:rPr>
            </w:pPr>
            <w:r w:rsidRPr="00344712">
              <w:rPr>
                <w:sz w:val="20"/>
                <w:szCs w:val="20"/>
              </w:rPr>
              <w:t>Teachers Pension Scheme</w:t>
            </w:r>
          </w:p>
        </w:tc>
        <w:tc>
          <w:tcPr>
            <w:tcW w:w="1239" w:type="dxa"/>
            <w:tcBorders>
              <w:top w:val="nil"/>
              <w:left w:val="nil"/>
              <w:bottom w:val="nil"/>
              <w:right w:val="nil"/>
            </w:tcBorders>
            <w:shd w:val="clear" w:color="auto" w:fill="auto"/>
            <w:noWrap/>
            <w:vAlign w:val="bottom"/>
            <w:hideMark/>
          </w:tcPr>
          <w:p w:rsidR="00954848" w:rsidRPr="00344712" w:rsidRDefault="00954848" w:rsidP="00954848">
            <w:pPr>
              <w:jc w:val="right"/>
              <w:rPr>
                <w:sz w:val="20"/>
                <w:szCs w:val="20"/>
              </w:rPr>
            </w:pPr>
            <w:r w:rsidRPr="00344712">
              <w:rPr>
                <w:sz w:val="20"/>
                <w:szCs w:val="20"/>
              </w:rPr>
              <w:t>(142,023)</w:t>
            </w:r>
          </w:p>
        </w:tc>
        <w:tc>
          <w:tcPr>
            <w:tcW w:w="1239" w:type="dxa"/>
            <w:tcBorders>
              <w:top w:val="nil"/>
              <w:left w:val="nil"/>
              <w:bottom w:val="nil"/>
              <w:right w:val="nil"/>
            </w:tcBorders>
            <w:shd w:val="clear" w:color="auto" w:fill="auto"/>
            <w:noWrap/>
            <w:vAlign w:val="bottom"/>
            <w:hideMark/>
          </w:tcPr>
          <w:p w:rsidR="00954848" w:rsidRPr="00344712" w:rsidRDefault="00954848" w:rsidP="00954848">
            <w:pPr>
              <w:jc w:val="right"/>
              <w:rPr>
                <w:sz w:val="20"/>
                <w:szCs w:val="20"/>
              </w:rPr>
            </w:pPr>
            <w:r w:rsidRPr="00344712">
              <w:rPr>
                <w:sz w:val="20"/>
                <w:szCs w:val="20"/>
              </w:rPr>
              <w:t>(121,972)</w:t>
            </w:r>
          </w:p>
        </w:tc>
        <w:tc>
          <w:tcPr>
            <w:tcW w:w="1239" w:type="dxa"/>
            <w:tcBorders>
              <w:top w:val="nil"/>
              <w:left w:val="nil"/>
              <w:bottom w:val="nil"/>
              <w:right w:val="nil"/>
            </w:tcBorders>
            <w:shd w:val="clear" w:color="auto" w:fill="auto"/>
            <w:noWrap/>
            <w:vAlign w:val="bottom"/>
            <w:hideMark/>
          </w:tcPr>
          <w:p w:rsidR="00954848" w:rsidRPr="00344712" w:rsidRDefault="00954848" w:rsidP="00954848">
            <w:pPr>
              <w:jc w:val="right"/>
              <w:rPr>
                <w:sz w:val="20"/>
                <w:szCs w:val="20"/>
              </w:rPr>
            </w:pPr>
            <w:r w:rsidRPr="00344712">
              <w:rPr>
                <w:sz w:val="20"/>
                <w:szCs w:val="20"/>
              </w:rPr>
              <w:t>(143,878)</w:t>
            </w:r>
          </w:p>
        </w:tc>
        <w:tc>
          <w:tcPr>
            <w:tcW w:w="1239" w:type="dxa"/>
            <w:tcBorders>
              <w:top w:val="nil"/>
              <w:left w:val="nil"/>
              <w:bottom w:val="nil"/>
              <w:right w:val="nil"/>
            </w:tcBorders>
            <w:shd w:val="clear" w:color="auto" w:fill="auto"/>
            <w:noWrap/>
            <w:vAlign w:val="bottom"/>
            <w:hideMark/>
          </w:tcPr>
          <w:p w:rsidR="00954848" w:rsidRPr="00344712" w:rsidRDefault="00954848" w:rsidP="00954848">
            <w:pPr>
              <w:jc w:val="right"/>
              <w:rPr>
                <w:sz w:val="20"/>
                <w:szCs w:val="20"/>
              </w:rPr>
            </w:pPr>
            <w:r w:rsidRPr="00344712">
              <w:rPr>
                <w:sz w:val="20"/>
                <w:szCs w:val="20"/>
              </w:rPr>
              <w:t>(136,200)</w:t>
            </w:r>
          </w:p>
        </w:tc>
        <w:tc>
          <w:tcPr>
            <w:tcW w:w="1239" w:type="dxa"/>
            <w:tcBorders>
              <w:top w:val="nil"/>
              <w:left w:val="nil"/>
              <w:bottom w:val="nil"/>
              <w:right w:val="nil"/>
            </w:tcBorders>
            <w:shd w:val="clear" w:color="auto" w:fill="auto"/>
            <w:noWrap/>
            <w:vAlign w:val="bottom"/>
            <w:hideMark/>
          </w:tcPr>
          <w:p w:rsidR="00954848" w:rsidRPr="00344712" w:rsidRDefault="00954848" w:rsidP="00954848">
            <w:pPr>
              <w:jc w:val="right"/>
              <w:rPr>
                <w:sz w:val="20"/>
                <w:szCs w:val="20"/>
              </w:rPr>
            </w:pPr>
            <w:r w:rsidRPr="00344712">
              <w:rPr>
                <w:sz w:val="20"/>
                <w:szCs w:val="20"/>
              </w:rPr>
              <w:t>(137,361)</w:t>
            </w:r>
          </w:p>
        </w:tc>
      </w:tr>
      <w:tr w:rsidR="00954848" w:rsidRPr="00344712" w:rsidTr="00954848">
        <w:trPr>
          <w:trHeight w:val="330"/>
        </w:trPr>
        <w:tc>
          <w:tcPr>
            <w:tcW w:w="3476" w:type="dxa"/>
            <w:tcBorders>
              <w:top w:val="single" w:sz="4" w:space="0" w:color="auto"/>
              <w:left w:val="nil"/>
              <w:bottom w:val="double" w:sz="6" w:space="0" w:color="auto"/>
              <w:right w:val="nil"/>
            </w:tcBorders>
            <w:shd w:val="clear" w:color="auto" w:fill="auto"/>
            <w:noWrap/>
            <w:vAlign w:val="bottom"/>
            <w:hideMark/>
          </w:tcPr>
          <w:p w:rsidR="00954848" w:rsidRPr="00344712" w:rsidRDefault="00954848" w:rsidP="00954848">
            <w:pPr>
              <w:rPr>
                <w:b/>
                <w:bCs/>
                <w:sz w:val="20"/>
                <w:szCs w:val="20"/>
              </w:rPr>
            </w:pPr>
            <w:r w:rsidRPr="00344712">
              <w:rPr>
                <w:b/>
                <w:bCs/>
                <w:sz w:val="20"/>
                <w:szCs w:val="20"/>
              </w:rPr>
              <w:t>Total</w:t>
            </w:r>
          </w:p>
        </w:tc>
        <w:tc>
          <w:tcPr>
            <w:tcW w:w="1239" w:type="dxa"/>
            <w:tcBorders>
              <w:top w:val="single" w:sz="4" w:space="0" w:color="auto"/>
              <w:left w:val="nil"/>
              <w:bottom w:val="double" w:sz="6" w:space="0" w:color="auto"/>
              <w:right w:val="nil"/>
            </w:tcBorders>
            <w:shd w:val="clear" w:color="auto" w:fill="auto"/>
            <w:noWrap/>
            <w:vAlign w:val="bottom"/>
            <w:hideMark/>
          </w:tcPr>
          <w:p w:rsidR="00954848" w:rsidRPr="00344712" w:rsidRDefault="00954848" w:rsidP="00954848">
            <w:pPr>
              <w:jc w:val="right"/>
              <w:rPr>
                <w:b/>
                <w:bCs/>
                <w:sz w:val="20"/>
                <w:szCs w:val="20"/>
              </w:rPr>
            </w:pPr>
            <w:r w:rsidRPr="00344712">
              <w:rPr>
                <w:b/>
                <w:bCs/>
                <w:sz w:val="20"/>
                <w:szCs w:val="20"/>
              </w:rPr>
              <w:t>(774,332)</w:t>
            </w:r>
          </w:p>
        </w:tc>
        <w:tc>
          <w:tcPr>
            <w:tcW w:w="1239" w:type="dxa"/>
            <w:tcBorders>
              <w:top w:val="single" w:sz="4" w:space="0" w:color="auto"/>
              <w:left w:val="nil"/>
              <w:bottom w:val="double" w:sz="6" w:space="0" w:color="auto"/>
              <w:right w:val="nil"/>
            </w:tcBorders>
            <w:shd w:val="clear" w:color="auto" w:fill="auto"/>
            <w:noWrap/>
            <w:vAlign w:val="bottom"/>
            <w:hideMark/>
          </w:tcPr>
          <w:p w:rsidR="00954848" w:rsidRPr="00344712" w:rsidRDefault="00954848" w:rsidP="00954848">
            <w:pPr>
              <w:jc w:val="right"/>
              <w:rPr>
                <w:b/>
                <w:bCs/>
                <w:sz w:val="20"/>
                <w:szCs w:val="20"/>
              </w:rPr>
            </w:pPr>
            <w:r w:rsidRPr="00344712">
              <w:rPr>
                <w:b/>
                <w:bCs/>
                <w:sz w:val="20"/>
                <w:szCs w:val="20"/>
              </w:rPr>
              <w:t>(747,643)</w:t>
            </w:r>
          </w:p>
        </w:tc>
        <w:tc>
          <w:tcPr>
            <w:tcW w:w="1239" w:type="dxa"/>
            <w:tcBorders>
              <w:top w:val="single" w:sz="4" w:space="0" w:color="auto"/>
              <w:left w:val="nil"/>
              <w:bottom w:val="double" w:sz="6" w:space="0" w:color="auto"/>
              <w:right w:val="nil"/>
            </w:tcBorders>
            <w:shd w:val="clear" w:color="auto" w:fill="auto"/>
            <w:noWrap/>
            <w:vAlign w:val="bottom"/>
            <w:hideMark/>
          </w:tcPr>
          <w:p w:rsidR="00954848" w:rsidRPr="00344712" w:rsidRDefault="00954848" w:rsidP="00954848">
            <w:pPr>
              <w:jc w:val="right"/>
              <w:rPr>
                <w:b/>
                <w:bCs/>
                <w:sz w:val="20"/>
                <w:szCs w:val="20"/>
              </w:rPr>
            </w:pPr>
            <w:r w:rsidRPr="00344712">
              <w:rPr>
                <w:b/>
                <w:bCs/>
                <w:sz w:val="20"/>
                <w:szCs w:val="20"/>
              </w:rPr>
              <w:t>(1,059,958)</w:t>
            </w:r>
          </w:p>
        </w:tc>
        <w:tc>
          <w:tcPr>
            <w:tcW w:w="1239" w:type="dxa"/>
            <w:tcBorders>
              <w:top w:val="single" w:sz="4" w:space="0" w:color="auto"/>
              <w:left w:val="nil"/>
              <w:bottom w:val="double" w:sz="6" w:space="0" w:color="auto"/>
              <w:right w:val="nil"/>
            </w:tcBorders>
            <w:shd w:val="clear" w:color="auto" w:fill="auto"/>
            <w:noWrap/>
            <w:vAlign w:val="bottom"/>
            <w:hideMark/>
          </w:tcPr>
          <w:p w:rsidR="00954848" w:rsidRPr="00344712" w:rsidRDefault="00954848" w:rsidP="00954848">
            <w:pPr>
              <w:jc w:val="right"/>
              <w:rPr>
                <w:b/>
                <w:bCs/>
                <w:sz w:val="20"/>
                <w:szCs w:val="20"/>
              </w:rPr>
            </w:pPr>
            <w:r w:rsidRPr="00344712">
              <w:rPr>
                <w:b/>
                <w:bCs/>
                <w:sz w:val="20"/>
                <w:szCs w:val="20"/>
              </w:rPr>
              <w:t>(765,212)</w:t>
            </w:r>
          </w:p>
        </w:tc>
        <w:tc>
          <w:tcPr>
            <w:tcW w:w="1239" w:type="dxa"/>
            <w:tcBorders>
              <w:top w:val="single" w:sz="4" w:space="0" w:color="auto"/>
              <w:left w:val="nil"/>
              <w:bottom w:val="double" w:sz="6" w:space="0" w:color="auto"/>
              <w:right w:val="nil"/>
            </w:tcBorders>
            <w:shd w:val="clear" w:color="auto" w:fill="auto"/>
            <w:noWrap/>
            <w:vAlign w:val="bottom"/>
            <w:hideMark/>
          </w:tcPr>
          <w:p w:rsidR="00954848" w:rsidRPr="00344712" w:rsidRDefault="00954848" w:rsidP="00807F17">
            <w:pPr>
              <w:jc w:val="right"/>
              <w:rPr>
                <w:b/>
                <w:bCs/>
                <w:sz w:val="20"/>
                <w:szCs w:val="20"/>
              </w:rPr>
            </w:pPr>
            <w:r w:rsidRPr="00344712">
              <w:rPr>
                <w:b/>
                <w:bCs/>
                <w:sz w:val="20"/>
                <w:szCs w:val="20"/>
              </w:rPr>
              <w:t>(</w:t>
            </w:r>
            <w:r w:rsidR="00807F17">
              <w:rPr>
                <w:b/>
                <w:bCs/>
                <w:sz w:val="20"/>
                <w:szCs w:val="20"/>
              </w:rPr>
              <w:t>939,495</w:t>
            </w:r>
            <w:r w:rsidRPr="00344712">
              <w:rPr>
                <w:b/>
                <w:bCs/>
                <w:sz w:val="20"/>
                <w:szCs w:val="20"/>
              </w:rPr>
              <w:t>)</w:t>
            </w:r>
          </w:p>
        </w:tc>
      </w:tr>
    </w:tbl>
    <w:p w:rsidR="00954848" w:rsidRDefault="00954848" w:rsidP="00954848">
      <w:pPr>
        <w:spacing w:after="240"/>
        <w:ind w:left="720"/>
        <w:jc w:val="both"/>
      </w:pPr>
    </w:p>
    <w:p w:rsidR="00954848" w:rsidRPr="008875DE" w:rsidRDefault="00954848" w:rsidP="00954848">
      <w:pPr>
        <w:spacing w:after="240"/>
        <w:ind w:left="720"/>
        <w:jc w:val="both"/>
      </w:pPr>
      <w:r w:rsidRPr="008875DE">
        <w:t>*The council has elected not to restate fair value of scheme assets for 2007/08 as permitted by International Accounting Standard (IAS 19), (as revised), nor to restate 2007/08 fair values on the grounds of materiality.</w:t>
      </w:r>
    </w:p>
    <w:p w:rsidR="00954848" w:rsidRPr="00533CC6" w:rsidRDefault="00954848" w:rsidP="00954848">
      <w:pPr>
        <w:spacing w:after="240"/>
        <w:ind w:left="720"/>
        <w:jc w:val="both"/>
      </w:pPr>
      <w:r w:rsidRPr="008875DE">
        <w:t>The liabilities show the underlying commitments that the authority has in the long run to pay retirement benefits. The total liability of £</w:t>
      </w:r>
      <w:r w:rsidR="00807F17">
        <w:t>939.495</w:t>
      </w:r>
      <w:r w:rsidRPr="008875DE">
        <w:t xml:space="preserve"> million in 2011/12 has a substantial impact on the net worth of the authority as recorded in the Balance Sheet</w:t>
      </w:r>
      <w:r w:rsidRPr="00533CC6">
        <w:t>, resulting in net assets of £</w:t>
      </w:r>
      <w:r>
        <w:t>1,0</w:t>
      </w:r>
      <w:r w:rsidR="00851550">
        <w:t>29</w:t>
      </w:r>
      <w:r>
        <w:t>.</w:t>
      </w:r>
      <w:r w:rsidR="00851550">
        <w:t>482</w:t>
      </w:r>
      <w:r w:rsidRPr="00533CC6">
        <w:t xml:space="preserve"> million.</w:t>
      </w:r>
    </w:p>
    <w:p w:rsidR="00954848" w:rsidRPr="00C00E7B" w:rsidRDefault="00954848" w:rsidP="00954848">
      <w:pPr>
        <w:spacing w:after="240"/>
        <w:ind w:left="720"/>
        <w:jc w:val="both"/>
      </w:pPr>
      <w:r w:rsidRPr="00C00E7B">
        <w:t>However, statutory arrangements for funding the deficit mean that the financial position of the authority remains healthy.</w:t>
      </w:r>
    </w:p>
    <w:p w:rsidR="00954848" w:rsidRPr="00C00E7B" w:rsidRDefault="00954848" w:rsidP="00954848">
      <w:pPr>
        <w:spacing w:after="240"/>
        <w:ind w:left="720"/>
        <w:jc w:val="both"/>
      </w:pPr>
      <w:r w:rsidRPr="00C00E7B">
        <w:t>The deficit on the local government scheme will be made good by increased contributions over the remaining working life of employees, assessed by the scheme actuary.</w:t>
      </w:r>
    </w:p>
    <w:p w:rsidR="00954848" w:rsidRPr="00442EEE" w:rsidRDefault="00954848" w:rsidP="00D6238B">
      <w:pPr>
        <w:spacing w:after="240"/>
        <w:ind w:left="720"/>
        <w:jc w:val="both"/>
      </w:pPr>
      <w:r w:rsidRPr="00C00E7B">
        <w:t>The total contributions expected to be made to the Local Government Pension Scheme by the coun</w:t>
      </w:r>
      <w:r>
        <w:t>cil in the year to 31 March 2013</w:t>
      </w:r>
      <w:r w:rsidRPr="00C00E7B">
        <w:t xml:space="preserve"> is £5</w:t>
      </w:r>
      <w:r>
        <w:t>7.091</w:t>
      </w:r>
      <w:r w:rsidRPr="00C00E7B">
        <w:t xml:space="preserve"> million. Expected contributions for the</w:t>
      </w:r>
      <w:r>
        <w:t xml:space="preserve"> </w:t>
      </w:r>
      <w:r w:rsidRPr="00C00E7B">
        <w:t xml:space="preserve">Teachers Pension Scheme </w:t>
      </w:r>
      <w:r>
        <w:t>in the y</w:t>
      </w:r>
      <w:r w:rsidR="00807F17">
        <w:t>ear to 31 March 2013 are £46.772</w:t>
      </w:r>
      <w:r w:rsidRPr="00C00E7B">
        <w:t xml:space="preserve"> million.</w:t>
      </w:r>
    </w:p>
    <w:p w:rsidR="00954848" w:rsidRPr="002D0AE8" w:rsidRDefault="00954848" w:rsidP="00954848">
      <w:pPr>
        <w:spacing w:after="240"/>
        <w:ind w:left="720"/>
        <w:jc w:val="both"/>
        <w:rPr>
          <w:b/>
        </w:rPr>
      </w:pPr>
      <w:r w:rsidRPr="002D0AE8">
        <w:rPr>
          <w:b/>
        </w:rPr>
        <w:t>Basis for estimating assets and liabilities</w:t>
      </w:r>
    </w:p>
    <w:p w:rsidR="00954848" w:rsidRDefault="00954848" w:rsidP="00954848">
      <w:pPr>
        <w:spacing w:after="240"/>
        <w:ind w:left="720"/>
        <w:jc w:val="both"/>
      </w:pPr>
      <w:r w:rsidRPr="002D0AE8">
        <w:t xml:space="preserve">Liabilities have been assessed on an actuarial basis using the projected unit method, an estimate of the pensions that will be payable in the future years dependent on assumptions about mortality rates, salary levels, etc. Both the Teachers Pension Scheme and </w:t>
      </w:r>
      <w:r w:rsidR="001F1A1A">
        <w:t>County Council</w:t>
      </w:r>
      <w:r w:rsidRPr="002D0AE8">
        <w:t xml:space="preserve"> Fund liabilities have been assessed by Mercer Human Resource Consulting Limited, an independent firm of actuaries, estimates for the </w:t>
      </w:r>
      <w:r w:rsidR="001F1A1A">
        <w:t>County Council</w:t>
      </w:r>
      <w:r w:rsidRPr="002D0AE8">
        <w:t xml:space="preserve"> Fund being </w:t>
      </w:r>
      <w:r w:rsidRPr="002A3175">
        <w:t>based on the latest full valuation of the scheme as at 31 March 2010.</w:t>
      </w:r>
      <w:r>
        <w:t xml:space="preserve"> </w:t>
      </w:r>
      <w:r w:rsidRPr="002D0AE8">
        <w:t>The principal assumptions used by the actuary have been:</w:t>
      </w:r>
    </w:p>
    <w:p w:rsidR="00954848" w:rsidRDefault="00954848" w:rsidP="00954848">
      <w:pPr>
        <w:ind w:left="720"/>
      </w:pPr>
    </w:p>
    <w:tbl>
      <w:tblPr>
        <w:tblStyle w:val="TableGrid"/>
        <w:tblpPr w:leftFromText="180" w:rightFromText="180" w:vertAnchor="text" w:horzAnchor="margin" w:tblpY="577"/>
        <w:tblW w:w="947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9"/>
        <w:gridCol w:w="1649"/>
        <w:gridCol w:w="1276"/>
        <w:gridCol w:w="1234"/>
        <w:gridCol w:w="1189"/>
      </w:tblGrid>
      <w:tr w:rsidR="00954848" w:rsidRPr="002A3175" w:rsidTr="00954848">
        <w:trPr>
          <w:trHeight w:val="930"/>
        </w:trPr>
        <w:tc>
          <w:tcPr>
            <w:tcW w:w="4129" w:type="dxa"/>
            <w:noWrap/>
            <w:hideMark/>
          </w:tcPr>
          <w:p w:rsidR="00954848" w:rsidRPr="00526614" w:rsidRDefault="00954848" w:rsidP="00954848">
            <w:pPr>
              <w:rPr>
                <w:sz w:val="20"/>
                <w:szCs w:val="20"/>
              </w:rPr>
            </w:pPr>
          </w:p>
        </w:tc>
        <w:tc>
          <w:tcPr>
            <w:tcW w:w="2925" w:type="dxa"/>
            <w:gridSpan w:val="2"/>
            <w:hideMark/>
          </w:tcPr>
          <w:p w:rsidR="00954848" w:rsidRPr="002A3175" w:rsidRDefault="00954848" w:rsidP="00954848">
            <w:pPr>
              <w:jc w:val="center"/>
              <w:rPr>
                <w:b/>
                <w:bCs/>
                <w:sz w:val="20"/>
                <w:szCs w:val="20"/>
              </w:rPr>
            </w:pPr>
            <w:r w:rsidRPr="002A3175">
              <w:rPr>
                <w:b/>
                <w:bCs/>
                <w:sz w:val="20"/>
                <w:szCs w:val="20"/>
              </w:rPr>
              <w:t xml:space="preserve">Local Government Pension Scheme </w:t>
            </w:r>
          </w:p>
        </w:tc>
        <w:tc>
          <w:tcPr>
            <w:tcW w:w="2423" w:type="dxa"/>
            <w:gridSpan w:val="2"/>
            <w:hideMark/>
          </w:tcPr>
          <w:p w:rsidR="00954848" w:rsidRPr="002A3175" w:rsidRDefault="00954848" w:rsidP="00954848">
            <w:pPr>
              <w:jc w:val="center"/>
              <w:rPr>
                <w:b/>
                <w:bCs/>
                <w:sz w:val="20"/>
                <w:szCs w:val="20"/>
              </w:rPr>
            </w:pPr>
            <w:r w:rsidRPr="002A3175">
              <w:rPr>
                <w:b/>
                <w:bCs/>
                <w:sz w:val="20"/>
                <w:szCs w:val="20"/>
              </w:rPr>
              <w:t>Teachers Pension Scheme</w:t>
            </w:r>
          </w:p>
        </w:tc>
      </w:tr>
      <w:tr w:rsidR="00954848" w:rsidRPr="002A3175" w:rsidTr="00954848">
        <w:trPr>
          <w:trHeight w:val="255"/>
        </w:trPr>
        <w:tc>
          <w:tcPr>
            <w:tcW w:w="4129" w:type="dxa"/>
            <w:noWrap/>
            <w:hideMark/>
          </w:tcPr>
          <w:p w:rsidR="00954848" w:rsidRPr="002A3175" w:rsidRDefault="00954848" w:rsidP="00954848">
            <w:pPr>
              <w:rPr>
                <w:sz w:val="20"/>
                <w:szCs w:val="20"/>
              </w:rPr>
            </w:pPr>
          </w:p>
        </w:tc>
        <w:tc>
          <w:tcPr>
            <w:tcW w:w="1649" w:type="dxa"/>
            <w:noWrap/>
            <w:hideMark/>
          </w:tcPr>
          <w:p w:rsidR="00954848" w:rsidRPr="002A3175" w:rsidRDefault="00954848" w:rsidP="00954848">
            <w:pPr>
              <w:jc w:val="center"/>
              <w:rPr>
                <w:b/>
                <w:bCs/>
                <w:sz w:val="20"/>
                <w:szCs w:val="20"/>
              </w:rPr>
            </w:pPr>
            <w:r w:rsidRPr="002A3175">
              <w:rPr>
                <w:b/>
                <w:bCs/>
                <w:sz w:val="20"/>
                <w:szCs w:val="20"/>
              </w:rPr>
              <w:t>2011/12</w:t>
            </w:r>
          </w:p>
        </w:tc>
        <w:tc>
          <w:tcPr>
            <w:tcW w:w="1276" w:type="dxa"/>
            <w:noWrap/>
            <w:hideMark/>
          </w:tcPr>
          <w:p w:rsidR="00954848" w:rsidRPr="002A3175" w:rsidRDefault="00954848" w:rsidP="00954848">
            <w:pPr>
              <w:jc w:val="center"/>
              <w:rPr>
                <w:b/>
                <w:bCs/>
                <w:sz w:val="20"/>
                <w:szCs w:val="20"/>
              </w:rPr>
            </w:pPr>
            <w:r w:rsidRPr="002A3175">
              <w:rPr>
                <w:b/>
                <w:bCs/>
                <w:sz w:val="20"/>
                <w:szCs w:val="20"/>
              </w:rPr>
              <w:t>2010/11</w:t>
            </w:r>
          </w:p>
        </w:tc>
        <w:tc>
          <w:tcPr>
            <w:tcW w:w="1234" w:type="dxa"/>
            <w:noWrap/>
            <w:hideMark/>
          </w:tcPr>
          <w:p w:rsidR="00954848" w:rsidRPr="002A3175" w:rsidRDefault="00954848" w:rsidP="00954848">
            <w:pPr>
              <w:jc w:val="center"/>
              <w:rPr>
                <w:b/>
                <w:bCs/>
                <w:sz w:val="20"/>
                <w:szCs w:val="20"/>
              </w:rPr>
            </w:pPr>
            <w:r w:rsidRPr="002A3175">
              <w:rPr>
                <w:b/>
                <w:bCs/>
                <w:sz w:val="20"/>
                <w:szCs w:val="20"/>
              </w:rPr>
              <w:t>2011/12</w:t>
            </w:r>
          </w:p>
        </w:tc>
        <w:tc>
          <w:tcPr>
            <w:tcW w:w="1189" w:type="dxa"/>
            <w:noWrap/>
            <w:hideMark/>
          </w:tcPr>
          <w:p w:rsidR="00954848" w:rsidRPr="002A3175" w:rsidRDefault="00954848" w:rsidP="00954848">
            <w:pPr>
              <w:jc w:val="center"/>
              <w:rPr>
                <w:b/>
                <w:bCs/>
                <w:sz w:val="20"/>
                <w:szCs w:val="20"/>
              </w:rPr>
            </w:pPr>
            <w:r w:rsidRPr="002A3175">
              <w:rPr>
                <w:b/>
                <w:bCs/>
                <w:sz w:val="20"/>
                <w:szCs w:val="20"/>
              </w:rPr>
              <w:t>2010/11</w:t>
            </w:r>
          </w:p>
        </w:tc>
      </w:tr>
      <w:tr w:rsidR="00954848" w:rsidRPr="002A3175" w:rsidTr="00954848">
        <w:trPr>
          <w:trHeight w:val="255"/>
        </w:trPr>
        <w:tc>
          <w:tcPr>
            <w:tcW w:w="4129" w:type="dxa"/>
            <w:noWrap/>
            <w:hideMark/>
          </w:tcPr>
          <w:p w:rsidR="00954848" w:rsidRPr="002A3175" w:rsidRDefault="00954848" w:rsidP="00954848">
            <w:pPr>
              <w:rPr>
                <w:sz w:val="20"/>
                <w:szCs w:val="20"/>
              </w:rPr>
            </w:pPr>
          </w:p>
        </w:tc>
        <w:tc>
          <w:tcPr>
            <w:tcW w:w="1649" w:type="dxa"/>
            <w:noWrap/>
            <w:hideMark/>
          </w:tcPr>
          <w:p w:rsidR="00954848" w:rsidRPr="002A3175" w:rsidRDefault="00954848" w:rsidP="00954848">
            <w:pPr>
              <w:rPr>
                <w:sz w:val="20"/>
                <w:szCs w:val="20"/>
              </w:rPr>
            </w:pPr>
          </w:p>
        </w:tc>
        <w:tc>
          <w:tcPr>
            <w:tcW w:w="1276" w:type="dxa"/>
            <w:noWrap/>
            <w:hideMark/>
          </w:tcPr>
          <w:p w:rsidR="00954848" w:rsidRPr="002A3175" w:rsidRDefault="00954848" w:rsidP="00954848">
            <w:pPr>
              <w:rPr>
                <w:sz w:val="20"/>
                <w:szCs w:val="20"/>
              </w:rPr>
            </w:pPr>
          </w:p>
        </w:tc>
        <w:tc>
          <w:tcPr>
            <w:tcW w:w="1234" w:type="dxa"/>
            <w:noWrap/>
            <w:hideMark/>
          </w:tcPr>
          <w:p w:rsidR="00954848" w:rsidRPr="002A3175" w:rsidRDefault="00954848" w:rsidP="00954848">
            <w:pPr>
              <w:rPr>
                <w:sz w:val="20"/>
                <w:szCs w:val="20"/>
              </w:rPr>
            </w:pPr>
          </w:p>
        </w:tc>
        <w:tc>
          <w:tcPr>
            <w:tcW w:w="1189" w:type="dxa"/>
            <w:noWrap/>
            <w:hideMark/>
          </w:tcPr>
          <w:p w:rsidR="00954848" w:rsidRPr="002A3175" w:rsidRDefault="00954848" w:rsidP="00954848">
            <w:pPr>
              <w:rPr>
                <w:sz w:val="20"/>
                <w:szCs w:val="20"/>
              </w:rPr>
            </w:pPr>
          </w:p>
        </w:tc>
      </w:tr>
      <w:tr w:rsidR="00954848" w:rsidRPr="002A3175" w:rsidTr="00954848">
        <w:trPr>
          <w:trHeight w:val="570"/>
        </w:trPr>
        <w:tc>
          <w:tcPr>
            <w:tcW w:w="4129" w:type="dxa"/>
            <w:hideMark/>
          </w:tcPr>
          <w:p w:rsidR="00954848" w:rsidRPr="002A3175" w:rsidRDefault="00954848" w:rsidP="00954848">
            <w:pPr>
              <w:rPr>
                <w:b/>
                <w:bCs/>
                <w:sz w:val="20"/>
                <w:szCs w:val="20"/>
              </w:rPr>
            </w:pPr>
            <w:r w:rsidRPr="002A3175">
              <w:rPr>
                <w:b/>
                <w:bCs/>
                <w:sz w:val="20"/>
                <w:szCs w:val="20"/>
              </w:rPr>
              <w:t>Long-term expected rate of return on assets in the scheme</w:t>
            </w:r>
          </w:p>
        </w:tc>
        <w:tc>
          <w:tcPr>
            <w:tcW w:w="1649" w:type="dxa"/>
            <w:hideMark/>
          </w:tcPr>
          <w:p w:rsidR="00954848" w:rsidRPr="002A3175" w:rsidRDefault="00954848" w:rsidP="00954848">
            <w:pPr>
              <w:rPr>
                <w:b/>
                <w:bCs/>
                <w:sz w:val="20"/>
                <w:szCs w:val="20"/>
              </w:rPr>
            </w:pPr>
          </w:p>
        </w:tc>
        <w:tc>
          <w:tcPr>
            <w:tcW w:w="1276" w:type="dxa"/>
            <w:hideMark/>
          </w:tcPr>
          <w:p w:rsidR="00954848" w:rsidRPr="002A3175" w:rsidRDefault="00954848" w:rsidP="00954848">
            <w:pPr>
              <w:rPr>
                <w:b/>
                <w:bCs/>
                <w:sz w:val="20"/>
                <w:szCs w:val="20"/>
              </w:rPr>
            </w:pPr>
          </w:p>
        </w:tc>
        <w:tc>
          <w:tcPr>
            <w:tcW w:w="1234" w:type="dxa"/>
            <w:noWrap/>
            <w:hideMark/>
          </w:tcPr>
          <w:p w:rsidR="00954848" w:rsidRPr="002A3175" w:rsidRDefault="00954848" w:rsidP="00954848">
            <w:pPr>
              <w:rPr>
                <w:sz w:val="20"/>
                <w:szCs w:val="20"/>
              </w:rPr>
            </w:pPr>
          </w:p>
        </w:tc>
        <w:tc>
          <w:tcPr>
            <w:tcW w:w="1189" w:type="dxa"/>
            <w:noWrap/>
            <w:hideMark/>
          </w:tcPr>
          <w:p w:rsidR="00954848" w:rsidRPr="002A3175" w:rsidRDefault="00954848" w:rsidP="00954848">
            <w:pPr>
              <w:rPr>
                <w:sz w:val="20"/>
                <w:szCs w:val="20"/>
              </w:rPr>
            </w:pPr>
          </w:p>
        </w:tc>
      </w:tr>
      <w:tr w:rsidR="00954848" w:rsidRPr="002A3175" w:rsidTr="00954848">
        <w:trPr>
          <w:trHeight w:val="255"/>
        </w:trPr>
        <w:tc>
          <w:tcPr>
            <w:tcW w:w="4129" w:type="dxa"/>
            <w:noWrap/>
            <w:hideMark/>
          </w:tcPr>
          <w:p w:rsidR="00954848" w:rsidRPr="002A3175" w:rsidRDefault="00954848" w:rsidP="00954848">
            <w:pPr>
              <w:rPr>
                <w:sz w:val="20"/>
                <w:szCs w:val="20"/>
              </w:rPr>
            </w:pPr>
            <w:r w:rsidRPr="002A3175">
              <w:rPr>
                <w:sz w:val="20"/>
                <w:szCs w:val="20"/>
              </w:rPr>
              <w:t>Equity investments</w:t>
            </w:r>
          </w:p>
        </w:tc>
        <w:tc>
          <w:tcPr>
            <w:tcW w:w="1649" w:type="dxa"/>
            <w:noWrap/>
            <w:hideMark/>
          </w:tcPr>
          <w:p w:rsidR="00954848" w:rsidRPr="002A3175" w:rsidRDefault="00954848" w:rsidP="00954848">
            <w:pPr>
              <w:jc w:val="center"/>
              <w:rPr>
                <w:sz w:val="20"/>
                <w:szCs w:val="20"/>
              </w:rPr>
            </w:pPr>
            <w:r w:rsidRPr="002A3175">
              <w:rPr>
                <w:sz w:val="20"/>
                <w:szCs w:val="20"/>
              </w:rPr>
              <w:t>7.25%</w:t>
            </w:r>
          </w:p>
        </w:tc>
        <w:tc>
          <w:tcPr>
            <w:tcW w:w="1276" w:type="dxa"/>
            <w:noWrap/>
            <w:hideMark/>
          </w:tcPr>
          <w:p w:rsidR="00954848" w:rsidRPr="002A3175" w:rsidRDefault="00954848" w:rsidP="00954848">
            <w:pPr>
              <w:jc w:val="center"/>
              <w:rPr>
                <w:sz w:val="20"/>
                <w:szCs w:val="20"/>
              </w:rPr>
            </w:pPr>
            <w:r w:rsidRPr="002A3175">
              <w:rPr>
                <w:sz w:val="20"/>
                <w:szCs w:val="20"/>
              </w:rPr>
              <w:t>7.50%</w:t>
            </w:r>
          </w:p>
        </w:tc>
        <w:tc>
          <w:tcPr>
            <w:tcW w:w="1234" w:type="dxa"/>
            <w:noWrap/>
            <w:hideMark/>
          </w:tcPr>
          <w:p w:rsidR="00954848" w:rsidRPr="002A3175" w:rsidRDefault="00954848" w:rsidP="00954848">
            <w:pPr>
              <w:jc w:val="right"/>
              <w:rPr>
                <w:sz w:val="20"/>
                <w:szCs w:val="20"/>
              </w:rPr>
            </w:pPr>
            <w:r w:rsidRPr="002A3175">
              <w:rPr>
                <w:sz w:val="20"/>
                <w:szCs w:val="20"/>
              </w:rPr>
              <w:t xml:space="preserve">                -   </w:t>
            </w:r>
          </w:p>
        </w:tc>
        <w:tc>
          <w:tcPr>
            <w:tcW w:w="1189" w:type="dxa"/>
            <w:noWrap/>
            <w:hideMark/>
          </w:tcPr>
          <w:p w:rsidR="00954848" w:rsidRPr="002A3175" w:rsidRDefault="00954848" w:rsidP="00954848">
            <w:pPr>
              <w:jc w:val="right"/>
              <w:rPr>
                <w:sz w:val="20"/>
                <w:szCs w:val="20"/>
              </w:rPr>
            </w:pPr>
            <w:r w:rsidRPr="002A3175">
              <w:rPr>
                <w:sz w:val="20"/>
                <w:szCs w:val="20"/>
              </w:rPr>
              <w:t xml:space="preserve">             -   </w:t>
            </w:r>
          </w:p>
        </w:tc>
      </w:tr>
      <w:tr w:rsidR="00954848" w:rsidRPr="002A3175" w:rsidTr="00954848">
        <w:trPr>
          <w:trHeight w:val="255"/>
        </w:trPr>
        <w:tc>
          <w:tcPr>
            <w:tcW w:w="4129" w:type="dxa"/>
            <w:noWrap/>
            <w:hideMark/>
          </w:tcPr>
          <w:p w:rsidR="00954848" w:rsidRPr="002A3175" w:rsidRDefault="00954848" w:rsidP="00954848">
            <w:pPr>
              <w:ind w:firstLineChars="200" w:firstLine="400"/>
              <w:rPr>
                <w:sz w:val="20"/>
                <w:szCs w:val="20"/>
              </w:rPr>
            </w:pPr>
            <w:r w:rsidRPr="002A3175">
              <w:rPr>
                <w:sz w:val="20"/>
                <w:szCs w:val="20"/>
              </w:rPr>
              <w:t>Bonds</w:t>
            </w:r>
          </w:p>
        </w:tc>
        <w:tc>
          <w:tcPr>
            <w:tcW w:w="1649" w:type="dxa"/>
            <w:noWrap/>
            <w:hideMark/>
          </w:tcPr>
          <w:p w:rsidR="00954848" w:rsidRPr="002A3175" w:rsidRDefault="00954848" w:rsidP="00954848">
            <w:pPr>
              <w:jc w:val="center"/>
              <w:rPr>
                <w:sz w:val="20"/>
                <w:szCs w:val="20"/>
              </w:rPr>
            </w:pPr>
            <w:r w:rsidRPr="002A3175">
              <w:rPr>
                <w:sz w:val="20"/>
                <w:szCs w:val="20"/>
              </w:rPr>
              <w:t>4.18%</w:t>
            </w:r>
          </w:p>
        </w:tc>
        <w:tc>
          <w:tcPr>
            <w:tcW w:w="1276" w:type="dxa"/>
            <w:noWrap/>
            <w:hideMark/>
          </w:tcPr>
          <w:p w:rsidR="00954848" w:rsidRPr="002A3175" w:rsidRDefault="00954848" w:rsidP="00954848">
            <w:pPr>
              <w:jc w:val="center"/>
              <w:rPr>
                <w:sz w:val="20"/>
                <w:szCs w:val="20"/>
              </w:rPr>
            </w:pPr>
            <w:r w:rsidRPr="002A3175">
              <w:rPr>
                <w:sz w:val="20"/>
                <w:szCs w:val="20"/>
              </w:rPr>
              <w:t>4.75%</w:t>
            </w:r>
          </w:p>
        </w:tc>
        <w:tc>
          <w:tcPr>
            <w:tcW w:w="1234" w:type="dxa"/>
            <w:noWrap/>
            <w:hideMark/>
          </w:tcPr>
          <w:p w:rsidR="00954848" w:rsidRPr="002A3175" w:rsidRDefault="00954848" w:rsidP="00954848">
            <w:pPr>
              <w:jc w:val="right"/>
              <w:rPr>
                <w:sz w:val="20"/>
                <w:szCs w:val="20"/>
              </w:rPr>
            </w:pPr>
            <w:r w:rsidRPr="002A3175">
              <w:rPr>
                <w:sz w:val="20"/>
                <w:szCs w:val="20"/>
              </w:rPr>
              <w:t xml:space="preserve">                -   </w:t>
            </w:r>
          </w:p>
        </w:tc>
        <w:tc>
          <w:tcPr>
            <w:tcW w:w="1189" w:type="dxa"/>
            <w:noWrap/>
            <w:hideMark/>
          </w:tcPr>
          <w:p w:rsidR="00954848" w:rsidRPr="002A3175" w:rsidRDefault="00954848" w:rsidP="00954848">
            <w:pPr>
              <w:jc w:val="right"/>
              <w:rPr>
                <w:sz w:val="20"/>
                <w:szCs w:val="20"/>
              </w:rPr>
            </w:pPr>
            <w:r w:rsidRPr="002A3175">
              <w:rPr>
                <w:sz w:val="20"/>
                <w:szCs w:val="20"/>
              </w:rPr>
              <w:t xml:space="preserve">             -   </w:t>
            </w:r>
          </w:p>
        </w:tc>
      </w:tr>
      <w:tr w:rsidR="00954848" w:rsidRPr="002A3175" w:rsidTr="00954848">
        <w:trPr>
          <w:trHeight w:val="255"/>
        </w:trPr>
        <w:tc>
          <w:tcPr>
            <w:tcW w:w="4129" w:type="dxa"/>
            <w:noWrap/>
            <w:hideMark/>
          </w:tcPr>
          <w:p w:rsidR="00954848" w:rsidRPr="002A3175" w:rsidRDefault="00954848" w:rsidP="00954848">
            <w:pPr>
              <w:ind w:firstLineChars="200" w:firstLine="400"/>
              <w:rPr>
                <w:sz w:val="20"/>
                <w:szCs w:val="20"/>
              </w:rPr>
            </w:pPr>
            <w:r w:rsidRPr="002A3175">
              <w:rPr>
                <w:sz w:val="20"/>
                <w:szCs w:val="20"/>
              </w:rPr>
              <w:t>Other</w:t>
            </w:r>
          </w:p>
        </w:tc>
        <w:tc>
          <w:tcPr>
            <w:tcW w:w="1649" w:type="dxa"/>
            <w:noWrap/>
            <w:hideMark/>
          </w:tcPr>
          <w:p w:rsidR="00954848" w:rsidRPr="002A3175" w:rsidRDefault="00954848" w:rsidP="00954848">
            <w:pPr>
              <w:jc w:val="center"/>
              <w:rPr>
                <w:sz w:val="20"/>
                <w:szCs w:val="20"/>
              </w:rPr>
            </w:pPr>
            <w:r w:rsidRPr="002A3175">
              <w:rPr>
                <w:sz w:val="20"/>
                <w:szCs w:val="20"/>
              </w:rPr>
              <w:t>4.67%</w:t>
            </w:r>
          </w:p>
        </w:tc>
        <w:tc>
          <w:tcPr>
            <w:tcW w:w="1276" w:type="dxa"/>
            <w:noWrap/>
            <w:hideMark/>
          </w:tcPr>
          <w:p w:rsidR="00954848" w:rsidRPr="002A3175" w:rsidRDefault="00954848" w:rsidP="00954848">
            <w:pPr>
              <w:jc w:val="center"/>
              <w:rPr>
                <w:sz w:val="20"/>
                <w:szCs w:val="20"/>
              </w:rPr>
            </w:pPr>
            <w:r w:rsidRPr="002A3175">
              <w:rPr>
                <w:sz w:val="20"/>
                <w:szCs w:val="20"/>
              </w:rPr>
              <w:t>4.83%</w:t>
            </w:r>
          </w:p>
        </w:tc>
        <w:tc>
          <w:tcPr>
            <w:tcW w:w="1234" w:type="dxa"/>
            <w:noWrap/>
            <w:hideMark/>
          </w:tcPr>
          <w:p w:rsidR="00954848" w:rsidRPr="002A3175" w:rsidRDefault="00954848" w:rsidP="00954848">
            <w:pPr>
              <w:jc w:val="right"/>
              <w:rPr>
                <w:sz w:val="20"/>
                <w:szCs w:val="20"/>
              </w:rPr>
            </w:pPr>
            <w:r w:rsidRPr="002A3175">
              <w:rPr>
                <w:sz w:val="20"/>
                <w:szCs w:val="20"/>
              </w:rPr>
              <w:t xml:space="preserve">                -   </w:t>
            </w:r>
          </w:p>
        </w:tc>
        <w:tc>
          <w:tcPr>
            <w:tcW w:w="1189" w:type="dxa"/>
            <w:noWrap/>
            <w:hideMark/>
          </w:tcPr>
          <w:p w:rsidR="00954848" w:rsidRPr="002A3175" w:rsidRDefault="00954848" w:rsidP="00954848">
            <w:pPr>
              <w:jc w:val="right"/>
              <w:rPr>
                <w:sz w:val="20"/>
                <w:szCs w:val="20"/>
              </w:rPr>
            </w:pPr>
            <w:r w:rsidRPr="002A3175">
              <w:rPr>
                <w:sz w:val="20"/>
                <w:szCs w:val="20"/>
              </w:rPr>
              <w:t xml:space="preserve">             -   </w:t>
            </w:r>
          </w:p>
        </w:tc>
      </w:tr>
      <w:tr w:rsidR="00954848" w:rsidRPr="002A3175" w:rsidTr="00954848">
        <w:trPr>
          <w:trHeight w:val="255"/>
        </w:trPr>
        <w:tc>
          <w:tcPr>
            <w:tcW w:w="4129" w:type="dxa"/>
            <w:noWrap/>
            <w:hideMark/>
          </w:tcPr>
          <w:p w:rsidR="00954848" w:rsidRPr="002A3175" w:rsidRDefault="00954848" w:rsidP="00954848">
            <w:pPr>
              <w:rPr>
                <w:sz w:val="20"/>
                <w:szCs w:val="20"/>
              </w:rPr>
            </w:pPr>
          </w:p>
        </w:tc>
        <w:tc>
          <w:tcPr>
            <w:tcW w:w="1649" w:type="dxa"/>
            <w:noWrap/>
            <w:hideMark/>
          </w:tcPr>
          <w:p w:rsidR="00954848" w:rsidRPr="002A3175" w:rsidRDefault="00954848" w:rsidP="00954848">
            <w:pPr>
              <w:rPr>
                <w:sz w:val="20"/>
                <w:szCs w:val="20"/>
              </w:rPr>
            </w:pPr>
          </w:p>
        </w:tc>
        <w:tc>
          <w:tcPr>
            <w:tcW w:w="1276" w:type="dxa"/>
            <w:noWrap/>
            <w:hideMark/>
          </w:tcPr>
          <w:p w:rsidR="00954848" w:rsidRPr="002A3175" w:rsidRDefault="00954848" w:rsidP="00954848">
            <w:pPr>
              <w:rPr>
                <w:sz w:val="20"/>
                <w:szCs w:val="20"/>
              </w:rPr>
            </w:pPr>
          </w:p>
        </w:tc>
        <w:tc>
          <w:tcPr>
            <w:tcW w:w="1234" w:type="dxa"/>
            <w:noWrap/>
            <w:hideMark/>
          </w:tcPr>
          <w:p w:rsidR="00954848" w:rsidRPr="002A3175" w:rsidRDefault="00954848" w:rsidP="00954848">
            <w:pPr>
              <w:rPr>
                <w:sz w:val="20"/>
                <w:szCs w:val="20"/>
              </w:rPr>
            </w:pPr>
          </w:p>
        </w:tc>
        <w:tc>
          <w:tcPr>
            <w:tcW w:w="1189" w:type="dxa"/>
            <w:noWrap/>
            <w:hideMark/>
          </w:tcPr>
          <w:p w:rsidR="00954848" w:rsidRPr="002A3175" w:rsidRDefault="00954848" w:rsidP="00954848">
            <w:pPr>
              <w:rPr>
                <w:sz w:val="20"/>
                <w:szCs w:val="20"/>
              </w:rPr>
            </w:pPr>
          </w:p>
        </w:tc>
      </w:tr>
      <w:tr w:rsidR="00954848" w:rsidRPr="002A3175" w:rsidTr="00954848">
        <w:trPr>
          <w:trHeight w:val="255"/>
        </w:trPr>
        <w:tc>
          <w:tcPr>
            <w:tcW w:w="4129" w:type="dxa"/>
            <w:noWrap/>
            <w:hideMark/>
          </w:tcPr>
          <w:p w:rsidR="00954848" w:rsidRPr="002A3175" w:rsidRDefault="00954848" w:rsidP="00954848">
            <w:pPr>
              <w:rPr>
                <w:sz w:val="20"/>
                <w:szCs w:val="20"/>
              </w:rPr>
            </w:pPr>
            <w:r w:rsidRPr="002A3175">
              <w:rPr>
                <w:sz w:val="20"/>
                <w:szCs w:val="20"/>
              </w:rPr>
              <w:t>Mortality assumptions:</w:t>
            </w:r>
          </w:p>
        </w:tc>
        <w:tc>
          <w:tcPr>
            <w:tcW w:w="1649" w:type="dxa"/>
            <w:noWrap/>
            <w:hideMark/>
          </w:tcPr>
          <w:p w:rsidR="00954848" w:rsidRPr="002A3175" w:rsidRDefault="00954848" w:rsidP="00954848">
            <w:pPr>
              <w:rPr>
                <w:sz w:val="20"/>
                <w:szCs w:val="20"/>
              </w:rPr>
            </w:pPr>
          </w:p>
        </w:tc>
        <w:tc>
          <w:tcPr>
            <w:tcW w:w="1276" w:type="dxa"/>
            <w:noWrap/>
            <w:hideMark/>
          </w:tcPr>
          <w:p w:rsidR="00954848" w:rsidRPr="002A3175" w:rsidRDefault="00954848" w:rsidP="00954848">
            <w:pPr>
              <w:rPr>
                <w:sz w:val="20"/>
                <w:szCs w:val="20"/>
              </w:rPr>
            </w:pPr>
          </w:p>
        </w:tc>
        <w:tc>
          <w:tcPr>
            <w:tcW w:w="1234" w:type="dxa"/>
            <w:noWrap/>
            <w:hideMark/>
          </w:tcPr>
          <w:p w:rsidR="00954848" w:rsidRPr="002A3175" w:rsidRDefault="00954848" w:rsidP="00954848">
            <w:pPr>
              <w:rPr>
                <w:sz w:val="20"/>
                <w:szCs w:val="20"/>
              </w:rPr>
            </w:pPr>
          </w:p>
        </w:tc>
        <w:tc>
          <w:tcPr>
            <w:tcW w:w="1189" w:type="dxa"/>
            <w:noWrap/>
            <w:hideMark/>
          </w:tcPr>
          <w:p w:rsidR="00954848" w:rsidRPr="002A3175" w:rsidRDefault="00954848" w:rsidP="00954848">
            <w:pPr>
              <w:rPr>
                <w:sz w:val="20"/>
                <w:szCs w:val="20"/>
              </w:rPr>
            </w:pPr>
          </w:p>
        </w:tc>
      </w:tr>
      <w:tr w:rsidR="00954848" w:rsidRPr="002A3175" w:rsidTr="00954848">
        <w:trPr>
          <w:trHeight w:val="255"/>
        </w:trPr>
        <w:tc>
          <w:tcPr>
            <w:tcW w:w="4129" w:type="dxa"/>
            <w:noWrap/>
            <w:hideMark/>
          </w:tcPr>
          <w:p w:rsidR="00954848" w:rsidRPr="002A3175" w:rsidRDefault="00954848" w:rsidP="00954848">
            <w:pPr>
              <w:rPr>
                <w:sz w:val="20"/>
                <w:szCs w:val="20"/>
              </w:rPr>
            </w:pPr>
            <w:r w:rsidRPr="002A3175">
              <w:rPr>
                <w:sz w:val="20"/>
                <w:szCs w:val="20"/>
              </w:rPr>
              <w:t>Longevity at 65 current pensioners:</w:t>
            </w:r>
          </w:p>
        </w:tc>
        <w:tc>
          <w:tcPr>
            <w:tcW w:w="1649" w:type="dxa"/>
            <w:noWrap/>
            <w:hideMark/>
          </w:tcPr>
          <w:p w:rsidR="00954848" w:rsidRPr="002A3175" w:rsidRDefault="00954848" w:rsidP="00954848">
            <w:pPr>
              <w:rPr>
                <w:sz w:val="20"/>
                <w:szCs w:val="20"/>
              </w:rPr>
            </w:pPr>
          </w:p>
        </w:tc>
        <w:tc>
          <w:tcPr>
            <w:tcW w:w="1276" w:type="dxa"/>
            <w:noWrap/>
            <w:hideMark/>
          </w:tcPr>
          <w:p w:rsidR="00954848" w:rsidRPr="002A3175" w:rsidRDefault="00954848" w:rsidP="00954848">
            <w:pPr>
              <w:rPr>
                <w:sz w:val="20"/>
                <w:szCs w:val="20"/>
              </w:rPr>
            </w:pPr>
          </w:p>
        </w:tc>
        <w:tc>
          <w:tcPr>
            <w:tcW w:w="1234" w:type="dxa"/>
            <w:noWrap/>
            <w:hideMark/>
          </w:tcPr>
          <w:p w:rsidR="00954848" w:rsidRPr="002A3175" w:rsidRDefault="00954848" w:rsidP="00954848">
            <w:pPr>
              <w:rPr>
                <w:sz w:val="20"/>
                <w:szCs w:val="20"/>
              </w:rPr>
            </w:pPr>
          </w:p>
        </w:tc>
        <w:tc>
          <w:tcPr>
            <w:tcW w:w="1189" w:type="dxa"/>
            <w:noWrap/>
            <w:hideMark/>
          </w:tcPr>
          <w:p w:rsidR="00954848" w:rsidRPr="002A3175" w:rsidRDefault="00954848" w:rsidP="00954848">
            <w:pPr>
              <w:rPr>
                <w:sz w:val="20"/>
                <w:szCs w:val="20"/>
              </w:rPr>
            </w:pPr>
          </w:p>
        </w:tc>
      </w:tr>
      <w:tr w:rsidR="00954848" w:rsidRPr="002A3175" w:rsidTr="00954848">
        <w:trPr>
          <w:trHeight w:val="255"/>
        </w:trPr>
        <w:tc>
          <w:tcPr>
            <w:tcW w:w="4129" w:type="dxa"/>
            <w:noWrap/>
            <w:hideMark/>
          </w:tcPr>
          <w:p w:rsidR="00954848" w:rsidRPr="002A3175" w:rsidRDefault="00954848" w:rsidP="00954848">
            <w:pPr>
              <w:ind w:firstLineChars="200" w:firstLine="400"/>
              <w:rPr>
                <w:sz w:val="20"/>
                <w:szCs w:val="20"/>
              </w:rPr>
            </w:pPr>
            <w:r w:rsidRPr="002A3175">
              <w:rPr>
                <w:sz w:val="20"/>
                <w:szCs w:val="20"/>
              </w:rPr>
              <w:t>Men</w:t>
            </w:r>
          </w:p>
        </w:tc>
        <w:tc>
          <w:tcPr>
            <w:tcW w:w="1649" w:type="dxa"/>
            <w:noWrap/>
            <w:hideMark/>
          </w:tcPr>
          <w:p w:rsidR="00954848" w:rsidRPr="002A3175" w:rsidRDefault="00954848" w:rsidP="00954848">
            <w:pPr>
              <w:jc w:val="center"/>
              <w:rPr>
                <w:sz w:val="20"/>
                <w:szCs w:val="20"/>
              </w:rPr>
            </w:pPr>
            <w:r w:rsidRPr="002A3175">
              <w:rPr>
                <w:sz w:val="20"/>
                <w:szCs w:val="20"/>
              </w:rPr>
              <w:t>21.7 years</w:t>
            </w:r>
          </w:p>
        </w:tc>
        <w:tc>
          <w:tcPr>
            <w:tcW w:w="1276" w:type="dxa"/>
            <w:noWrap/>
            <w:hideMark/>
          </w:tcPr>
          <w:p w:rsidR="00954848" w:rsidRPr="002A3175" w:rsidRDefault="00954848" w:rsidP="00954848">
            <w:pPr>
              <w:jc w:val="center"/>
              <w:rPr>
                <w:sz w:val="20"/>
                <w:szCs w:val="20"/>
              </w:rPr>
            </w:pPr>
            <w:r w:rsidRPr="002A3175">
              <w:rPr>
                <w:sz w:val="20"/>
                <w:szCs w:val="20"/>
              </w:rPr>
              <w:t>21.6 years</w:t>
            </w:r>
          </w:p>
        </w:tc>
        <w:tc>
          <w:tcPr>
            <w:tcW w:w="1234" w:type="dxa"/>
            <w:noWrap/>
            <w:hideMark/>
          </w:tcPr>
          <w:p w:rsidR="00954848" w:rsidRPr="002A3175" w:rsidRDefault="00954848" w:rsidP="00954848">
            <w:pPr>
              <w:jc w:val="center"/>
              <w:rPr>
                <w:sz w:val="20"/>
                <w:szCs w:val="20"/>
              </w:rPr>
            </w:pPr>
            <w:r w:rsidRPr="002A3175">
              <w:rPr>
                <w:sz w:val="20"/>
                <w:szCs w:val="20"/>
              </w:rPr>
              <w:t>21.7 years</w:t>
            </w:r>
          </w:p>
        </w:tc>
        <w:tc>
          <w:tcPr>
            <w:tcW w:w="1189" w:type="dxa"/>
            <w:noWrap/>
            <w:hideMark/>
          </w:tcPr>
          <w:p w:rsidR="00954848" w:rsidRPr="002A3175" w:rsidRDefault="00954848" w:rsidP="00954848">
            <w:pPr>
              <w:jc w:val="center"/>
              <w:rPr>
                <w:sz w:val="20"/>
                <w:szCs w:val="20"/>
              </w:rPr>
            </w:pPr>
            <w:r w:rsidRPr="002A3175">
              <w:rPr>
                <w:sz w:val="20"/>
                <w:szCs w:val="20"/>
              </w:rPr>
              <w:t>21.6 years</w:t>
            </w:r>
          </w:p>
        </w:tc>
      </w:tr>
      <w:tr w:rsidR="00954848" w:rsidRPr="002A3175" w:rsidTr="00954848">
        <w:trPr>
          <w:trHeight w:val="255"/>
        </w:trPr>
        <w:tc>
          <w:tcPr>
            <w:tcW w:w="4129" w:type="dxa"/>
            <w:noWrap/>
            <w:hideMark/>
          </w:tcPr>
          <w:p w:rsidR="00954848" w:rsidRPr="002A3175" w:rsidRDefault="00954848" w:rsidP="00954848">
            <w:pPr>
              <w:ind w:firstLineChars="200" w:firstLine="400"/>
              <w:rPr>
                <w:sz w:val="20"/>
                <w:szCs w:val="20"/>
              </w:rPr>
            </w:pPr>
            <w:r w:rsidRPr="002A3175">
              <w:rPr>
                <w:sz w:val="20"/>
                <w:szCs w:val="20"/>
              </w:rPr>
              <w:t>Women</w:t>
            </w:r>
          </w:p>
        </w:tc>
        <w:tc>
          <w:tcPr>
            <w:tcW w:w="1649" w:type="dxa"/>
            <w:noWrap/>
            <w:hideMark/>
          </w:tcPr>
          <w:p w:rsidR="00954848" w:rsidRPr="002A3175" w:rsidRDefault="00954848" w:rsidP="00954848">
            <w:pPr>
              <w:jc w:val="center"/>
              <w:rPr>
                <w:sz w:val="20"/>
                <w:szCs w:val="20"/>
              </w:rPr>
            </w:pPr>
            <w:r w:rsidRPr="002A3175">
              <w:rPr>
                <w:sz w:val="20"/>
                <w:szCs w:val="20"/>
              </w:rPr>
              <w:t>24.3 years</w:t>
            </w:r>
          </w:p>
        </w:tc>
        <w:tc>
          <w:tcPr>
            <w:tcW w:w="1276" w:type="dxa"/>
            <w:noWrap/>
            <w:hideMark/>
          </w:tcPr>
          <w:p w:rsidR="00954848" w:rsidRPr="002A3175" w:rsidRDefault="00954848" w:rsidP="00954848">
            <w:pPr>
              <w:jc w:val="center"/>
              <w:rPr>
                <w:sz w:val="20"/>
                <w:szCs w:val="20"/>
              </w:rPr>
            </w:pPr>
            <w:r w:rsidRPr="002A3175">
              <w:rPr>
                <w:sz w:val="20"/>
                <w:szCs w:val="20"/>
              </w:rPr>
              <w:t>24.2 years</w:t>
            </w:r>
          </w:p>
        </w:tc>
        <w:tc>
          <w:tcPr>
            <w:tcW w:w="1234" w:type="dxa"/>
            <w:noWrap/>
            <w:hideMark/>
          </w:tcPr>
          <w:p w:rsidR="00954848" w:rsidRPr="002A3175" w:rsidRDefault="00954848" w:rsidP="00954848">
            <w:pPr>
              <w:jc w:val="center"/>
              <w:rPr>
                <w:sz w:val="20"/>
                <w:szCs w:val="20"/>
              </w:rPr>
            </w:pPr>
            <w:r w:rsidRPr="002A3175">
              <w:rPr>
                <w:sz w:val="20"/>
                <w:szCs w:val="20"/>
              </w:rPr>
              <w:t>24.3 years</w:t>
            </w:r>
          </w:p>
        </w:tc>
        <w:tc>
          <w:tcPr>
            <w:tcW w:w="1189" w:type="dxa"/>
            <w:noWrap/>
            <w:hideMark/>
          </w:tcPr>
          <w:p w:rsidR="00954848" w:rsidRPr="002A3175" w:rsidRDefault="00954848" w:rsidP="00954848">
            <w:pPr>
              <w:jc w:val="center"/>
              <w:rPr>
                <w:sz w:val="20"/>
                <w:szCs w:val="20"/>
              </w:rPr>
            </w:pPr>
            <w:r w:rsidRPr="002A3175">
              <w:rPr>
                <w:sz w:val="20"/>
                <w:szCs w:val="20"/>
              </w:rPr>
              <w:t>24.2 years</w:t>
            </w:r>
          </w:p>
        </w:tc>
      </w:tr>
      <w:tr w:rsidR="00954848" w:rsidRPr="002A3175" w:rsidTr="00954848">
        <w:trPr>
          <w:trHeight w:val="255"/>
        </w:trPr>
        <w:tc>
          <w:tcPr>
            <w:tcW w:w="4129" w:type="dxa"/>
            <w:noWrap/>
            <w:hideMark/>
          </w:tcPr>
          <w:p w:rsidR="00954848" w:rsidRPr="002A3175" w:rsidRDefault="00954848" w:rsidP="00954848">
            <w:pPr>
              <w:rPr>
                <w:sz w:val="20"/>
                <w:szCs w:val="20"/>
              </w:rPr>
            </w:pPr>
          </w:p>
        </w:tc>
        <w:tc>
          <w:tcPr>
            <w:tcW w:w="1649" w:type="dxa"/>
            <w:noWrap/>
            <w:hideMark/>
          </w:tcPr>
          <w:p w:rsidR="00954848" w:rsidRPr="002A3175" w:rsidRDefault="00954848" w:rsidP="00954848">
            <w:pPr>
              <w:rPr>
                <w:sz w:val="20"/>
                <w:szCs w:val="20"/>
              </w:rPr>
            </w:pPr>
          </w:p>
        </w:tc>
        <w:tc>
          <w:tcPr>
            <w:tcW w:w="1276" w:type="dxa"/>
            <w:noWrap/>
            <w:hideMark/>
          </w:tcPr>
          <w:p w:rsidR="00954848" w:rsidRPr="002A3175" w:rsidRDefault="00954848" w:rsidP="00954848">
            <w:pPr>
              <w:jc w:val="center"/>
              <w:rPr>
                <w:sz w:val="20"/>
                <w:szCs w:val="20"/>
              </w:rPr>
            </w:pPr>
          </w:p>
        </w:tc>
        <w:tc>
          <w:tcPr>
            <w:tcW w:w="1234" w:type="dxa"/>
            <w:noWrap/>
            <w:hideMark/>
          </w:tcPr>
          <w:p w:rsidR="00954848" w:rsidRPr="002A3175" w:rsidRDefault="00954848" w:rsidP="00954848">
            <w:pPr>
              <w:jc w:val="center"/>
              <w:rPr>
                <w:sz w:val="20"/>
                <w:szCs w:val="20"/>
              </w:rPr>
            </w:pPr>
          </w:p>
        </w:tc>
        <w:tc>
          <w:tcPr>
            <w:tcW w:w="1189" w:type="dxa"/>
            <w:noWrap/>
            <w:hideMark/>
          </w:tcPr>
          <w:p w:rsidR="00954848" w:rsidRPr="002A3175" w:rsidRDefault="00954848" w:rsidP="00954848">
            <w:pPr>
              <w:jc w:val="center"/>
              <w:rPr>
                <w:sz w:val="20"/>
                <w:szCs w:val="20"/>
              </w:rPr>
            </w:pPr>
          </w:p>
        </w:tc>
      </w:tr>
      <w:tr w:rsidR="00954848" w:rsidRPr="002A3175" w:rsidTr="00954848">
        <w:trPr>
          <w:trHeight w:val="255"/>
        </w:trPr>
        <w:tc>
          <w:tcPr>
            <w:tcW w:w="4129" w:type="dxa"/>
            <w:noWrap/>
            <w:hideMark/>
          </w:tcPr>
          <w:p w:rsidR="00954848" w:rsidRPr="002A3175" w:rsidRDefault="00954848" w:rsidP="00954848">
            <w:pPr>
              <w:rPr>
                <w:sz w:val="20"/>
                <w:szCs w:val="20"/>
              </w:rPr>
            </w:pPr>
            <w:r w:rsidRPr="002A3175">
              <w:rPr>
                <w:sz w:val="20"/>
                <w:szCs w:val="20"/>
              </w:rPr>
              <w:t>Longevity at 65 for future pensioners:</w:t>
            </w:r>
          </w:p>
        </w:tc>
        <w:tc>
          <w:tcPr>
            <w:tcW w:w="1649" w:type="dxa"/>
            <w:noWrap/>
            <w:hideMark/>
          </w:tcPr>
          <w:p w:rsidR="00954848" w:rsidRPr="002A3175" w:rsidRDefault="00954848" w:rsidP="00954848">
            <w:pPr>
              <w:rPr>
                <w:sz w:val="20"/>
                <w:szCs w:val="20"/>
              </w:rPr>
            </w:pPr>
          </w:p>
        </w:tc>
        <w:tc>
          <w:tcPr>
            <w:tcW w:w="1276" w:type="dxa"/>
            <w:noWrap/>
            <w:hideMark/>
          </w:tcPr>
          <w:p w:rsidR="00954848" w:rsidRPr="002A3175" w:rsidRDefault="00954848" w:rsidP="00954848">
            <w:pPr>
              <w:jc w:val="center"/>
              <w:rPr>
                <w:sz w:val="20"/>
                <w:szCs w:val="20"/>
              </w:rPr>
            </w:pPr>
          </w:p>
        </w:tc>
        <w:tc>
          <w:tcPr>
            <w:tcW w:w="1234" w:type="dxa"/>
            <w:noWrap/>
            <w:hideMark/>
          </w:tcPr>
          <w:p w:rsidR="00954848" w:rsidRPr="002A3175" w:rsidRDefault="00954848" w:rsidP="00954848">
            <w:pPr>
              <w:jc w:val="center"/>
              <w:rPr>
                <w:sz w:val="20"/>
                <w:szCs w:val="20"/>
              </w:rPr>
            </w:pPr>
          </w:p>
        </w:tc>
        <w:tc>
          <w:tcPr>
            <w:tcW w:w="1189" w:type="dxa"/>
            <w:noWrap/>
            <w:hideMark/>
          </w:tcPr>
          <w:p w:rsidR="00954848" w:rsidRPr="002A3175" w:rsidRDefault="00954848" w:rsidP="00954848">
            <w:pPr>
              <w:jc w:val="center"/>
              <w:rPr>
                <w:sz w:val="20"/>
                <w:szCs w:val="20"/>
              </w:rPr>
            </w:pPr>
          </w:p>
        </w:tc>
      </w:tr>
      <w:tr w:rsidR="00954848" w:rsidRPr="002A3175" w:rsidTr="00954848">
        <w:trPr>
          <w:trHeight w:val="255"/>
        </w:trPr>
        <w:tc>
          <w:tcPr>
            <w:tcW w:w="4129" w:type="dxa"/>
            <w:noWrap/>
            <w:hideMark/>
          </w:tcPr>
          <w:p w:rsidR="00954848" w:rsidRPr="002A3175" w:rsidRDefault="00954848" w:rsidP="00954848">
            <w:pPr>
              <w:ind w:firstLineChars="200" w:firstLine="400"/>
              <w:rPr>
                <w:sz w:val="20"/>
                <w:szCs w:val="20"/>
              </w:rPr>
            </w:pPr>
            <w:r w:rsidRPr="002A3175">
              <w:rPr>
                <w:sz w:val="20"/>
                <w:szCs w:val="20"/>
              </w:rPr>
              <w:t>Men</w:t>
            </w:r>
          </w:p>
        </w:tc>
        <w:tc>
          <w:tcPr>
            <w:tcW w:w="1649" w:type="dxa"/>
            <w:noWrap/>
            <w:hideMark/>
          </w:tcPr>
          <w:p w:rsidR="00954848" w:rsidRPr="002A3175" w:rsidRDefault="00954848" w:rsidP="00954848">
            <w:pPr>
              <w:ind w:firstLineChars="200" w:firstLine="400"/>
              <w:rPr>
                <w:sz w:val="20"/>
                <w:szCs w:val="20"/>
              </w:rPr>
            </w:pPr>
            <w:r w:rsidRPr="002A3175">
              <w:rPr>
                <w:sz w:val="20"/>
                <w:szCs w:val="20"/>
              </w:rPr>
              <w:t>23.1 years</w:t>
            </w:r>
          </w:p>
        </w:tc>
        <w:tc>
          <w:tcPr>
            <w:tcW w:w="1276" w:type="dxa"/>
            <w:noWrap/>
            <w:hideMark/>
          </w:tcPr>
          <w:p w:rsidR="00954848" w:rsidRPr="002A3175" w:rsidRDefault="00954848" w:rsidP="00954848">
            <w:pPr>
              <w:jc w:val="center"/>
              <w:rPr>
                <w:sz w:val="20"/>
                <w:szCs w:val="20"/>
              </w:rPr>
            </w:pPr>
            <w:r w:rsidRPr="002A3175">
              <w:rPr>
                <w:sz w:val="20"/>
                <w:szCs w:val="20"/>
              </w:rPr>
              <w:t>23.0 years</w:t>
            </w:r>
          </w:p>
        </w:tc>
        <w:tc>
          <w:tcPr>
            <w:tcW w:w="1234" w:type="dxa"/>
            <w:noWrap/>
            <w:hideMark/>
          </w:tcPr>
          <w:p w:rsidR="00954848" w:rsidRPr="002A3175" w:rsidRDefault="00954848" w:rsidP="00954848">
            <w:pPr>
              <w:jc w:val="center"/>
              <w:rPr>
                <w:sz w:val="20"/>
                <w:szCs w:val="20"/>
              </w:rPr>
            </w:pPr>
            <w:r w:rsidRPr="002A3175">
              <w:rPr>
                <w:sz w:val="20"/>
                <w:szCs w:val="20"/>
              </w:rPr>
              <w:t>23.1 years</w:t>
            </w:r>
          </w:p>
        </w:tc>
        <w:tc>
          <w:tcPr>
            <w:tcW w:w="1189" w:type="dxa"/>
            <w:noWrap/>
            <w:hideMark/>
          </w:tcPr>
          <w:p w:rsidR="00954848" w:rsidRPr="002A3175" w:rsidRDefault="00954848" w:rsidP="00954848">
            <w:pPr>
              <w:jc w:val="center"/>
              <w:rPr>
                <w:sz w:val="20"/>
                <w:szCs w:val="20"/>
              </w:rPr>
            </w:pPr>
            <w:r w:rsidRPr="002A3175">
              <w:rPr>
                <w:sz w:val="20"/>
                <w:szCs w:val="20"/>
              </w:rPr>
              <w:t>23.0 years</w:t>
            </w:r>
          </w:p>
        </w:tc>
      </w:tr>
      <w:tr w:rsidR="00954848" w:rsidRPr="002A3175" w:rsidTr="00954848">
        <w:trPr>
          <w:trHeight w:val="255"/>
        </w:trPr>
        <w:tc>
          <w:tcPr>
            <w:tcW w:w="4129" w:type="dxa"/>
            <w:noWrap/>
            <w:hideMark/>
          </w:tcPr>
          <w:p w:rsidR="00954848" w:rsidRPr="002A3175" w:rsidRDefault="00954848" w:rsidP="00954848">
            <w:pPr>
              <w:ind w:firstLineChars="200" w:firstLine="400"/>
              <w:rPr>
                <w:sz w:val="20"/>
                <w:szCs w:val="20"/>
              </w:rPr>
            </w:pPr>
            <w:r w:rsidRPr="002A3175">
              <w:rPr>
                <w:sz w:val="20"/>
                <w:szCs w:val="20"/>
              </w:rPr>
              <w:t>Women</w:t>
            </w:r>
          </w:p>
        </w:tc>
        <w:tc>
          <w:tcPr>
            <w:tcW w:w="1649" w:type="dxa"/>
            <w:noWrap/>
            <w:hideMark/>
          </w:tcPr>
          <w:p w:rsidR="00954848" w:rsidRPr="002A3175" w:rsidRDefault="00954848" w:rsidP="00954848">
            <w:pPr>
              <w:ind w:firstLineChars="200" w:firstLine="400"/>
              <w:rPr>
                <w:sz w:val="20"/>
                <w:szCs w:val="20"/>
              </w:rPr>
            </w:pPr>
            <w:r w:rsidRPr="002A3175">
              <w:rPr>
                <w:sz w:val="20"/>
                <w:szCs w:val="20"/>
              </w:rPr>
              <w:t>25.9 years</w:t>
            </w:r>
          </w:p>
        </w:tc>
        <w:tc>
          <w:tcPr>
            <w:tcW w:w="1276" w:type="dxa"/>
            <w:noWrap/>
            <w:hideMark/>
          </w:tcPr>
          <w:p w:rsidR="00954848" w:rsidRPr="002A3175" w:rsidRDefault="00954848" w:rsidP="00954848">
            <w:pPr>
              <w:jc w:val="center"/>
              <w:rPr>
                <w:sz w:val="20"/>
                <w:szCs w:val="20"/>
              </w:rPr>
            </w:pPr>
            <w:r w:rsidRPr="002A3175">
              <w:rPr>
                <w:sz w:val="20"/>
                <w:szCs w:val="20"/>
              </w:rPr>
              <w:t>25.8 years</w:t>
            </w:r>
          </w:p>
        </w:tc>
        <w:tc>
          <w:tcPr>
            <w:tcW w:w="1234" w:type="dxa"/>
            <w:noWrap/>
            <w:hideMark/>
          </w:tcPr>
          <w:p w:rsidR="00954848" w:rsidRPr="002A3175" w:rsidRDefault="00954848" w:rsidP="00954848">
            <w:pPr>
              <w:jc w:val="center"/>
              <w:rPr>
                <w:sz w:val="20"/>
                <w:szCs w:val="20"/>
              </w:rPr>
            </w:pPr>
            <w:r w:rsidRPr="002A3175">
              <w:rPr>
                <w:sz w:val="20"/>
                <w:szCs w:val="20"/>
              </w:rPr>
              <w:t>25.9 years</w:t>
            </w:r>
          </w:p>
        </w:tc>
        <w:tc>
          <w:tcPr>
            <w:tcW w:w="1189" w:type="dxa"/>
            <w:noWrap/>
            <w:hideMark/>
          </w:tcPr>
          <w:p w:rsidR="00954848" w:rsidRPr="002A3175" w:rsidRDefault="00954848" w:rsidP="00954848">
            <w:pPr>
              <w:jc w:val="center"/>
              <w:rPr>
                <w:sz w:val="20"/>
                <w:szCs w:val="20"/>
              </w:rPr>
            </w:pPr>
            <w:r w:rsidRPr="002A3175">
              <w:rPr>
                <w:sz w:val="20"/>
                <w:szCs w:val="20"/>
              </w:rPr>
              <w:t>25.8 years</w:t>
            </w:r>
          </w:p>
        </w:tc>
      </w:tr>
      <w:tr w:rsidR="00954848" w:rsidRPr="002A3175" w:rsidTr="00954848">
        <w:trPr>
          <w:trHeight w:val="255"/>
        </w:trPr>
        <w:tc>
          <w:tcPr>
            <w:tcW w:w="4129" w:type="dxa"/>
            <w:noWrap/>
            <w:hideMark/>
          </w:tcPr>
          <w:p w:rsidR="00954848" w:rsidRPr="002A3175" w:rsidRDefault="00954848" w:rsidP="00954848">
            <w:pPr>
              <w:rPr>
                <w:sz w:val="20"/>
                <w:szCs w:val="20"/>
              </w:rPr>
            </w:pPr>
          </w:p>
        </w:tc>
        <w:tc>
          <w:tcPr>
            <w:tcW w:w="1649" w:type="dxa"/>
            <w:noWrap/>
            <w:hideMark/>
          </w:tcPr>
          <w:p w:rsidR="00954848" w:rsidRPr="002A3175" w:rsidRDefault="00954848" w:rsidP="00954848">
            <w:pPr>
              <w:rPr>
                <w:sz w:val="20"/>
                <w:szCs w:val="20"/>
              </w:rPr>
            </w:pPr>
          </w:p>
        </w:tc>
        <w:tc>
          <w:tcPr>
            <w:tcW w:w="1276" w:type="dxa"/>
            <w:noWrap/>
            <w:hideMark/>
          </w:tcPr>
          <w:p w:rsidR="00954848" w:rsidRPr="002A3175" w:rsidRDefault="00954848" w:rsidP="00954848">
            <w:pPr>
              <w:rPr>
                <w:sz w:val="20"/>
                <w:szCs w:val="20"/>
              </w:rPr>
            </w:pPr>
          </w:p>
        </w:tc>
        <w:tc>
          <w:tcPr>
            <w:tcW w:w="1234" w:type="dxa"/>
            <w:noWrap/>
            <w:hideMark/>
          </w:tcPr>
          <w:p w:rsidR="00954848" w:rsidRPr="002A3175" w:rsidRDefault="00954848" w:rsidP="00954848">
            <w:pPr>
              <w:jc w:val="center"/>
              <w:rPr>
                <w:sz w:val="20"/>
                <w:szCs w:val="20"/>
              </w:rPr>
            </w:pPr>
          </w:p>
        </w:tc>
        <w:tc>
          <w:tcPr>
            <w:tcW w:w="1189" w:type="dxa"/>
            <w:noWrap/>
            <w:hideMark/>
          </w:tcPr>
          <w:p w:rsidR="00954848" w:rsidRPr="002A3175" w:rsidRDefault="00954848" w:rsidP="00954848">
            <w:pPr>
              <w:jc w:val="center"/>
              <w:rPr>
                <w:sz w:val="20"/>
                <w:szCs w:val="20"/>
              </w:rPr>
            </w:pPr>
          </w:p>
        </w:tc>
      </w:tr>
      <w:tr w:rsidR="00954848" w:rsidRPr="002A3175" w:rsidTr="00954848">
        <w:trPr>
          <w:trHeight w:val="255"/>
        </w:trPr>
        <w:tc>
          <w:tcPr>
            <w:tcW w:w="4129" w:type="dxa"/>
            <w:noWrap/>
            <w:hideMark/>
          </w:tcPr>
          <w:p w:rsidR="00954848" w:rsidRPr="002A3175" w:rsidRDefault="00954848" w:rsidP="00954848">
            <w:pPr>
              <w:rPr>
                <w:sz w:val="20"/>
                <w:szCs w:val="20"/>
              </w:rPr>
            </w:pPr>
            <w:r w:rsidRPr="002A3175">
              <w:rPr>
                <w:sz w:val="20"/>
                <w:szCs w:val="20"/>
              </w:rPr>
              <w:t>Rate of inflation (CPI)</w:t>
            </w:r>
          </w:p>
        </w:tc>
        <w:tc>
          <w:tcPr>
            <w:tcW w:w="1649" w:type="dxa"/>
            <w:noWrap/>
            <w:hideMark/>
          </w:tcPr>
          <w:p w:rsidR="00954848" w:rsidRPr="002A3175" w:rsidRDefault="00954848" w:rsidP="00954848">
            <w:pPr>
              <w:jc w:val="center"/>
              <w:rPr>
                <w:sz w:val="20"/>
                <w:szCs w:val="20"/>
              </w:rPr>
            </w:pPr>
            <w:r w:rsidRPr="002A3175">
              <w:rPr>
                <w:sz w:val="20"/>
                <w:szCs w:val="20"/>
              </w:rPr>
              <w:t>2.50%</w:t>
            </w:r>
          </w:p>
        </w:tc>
        <w:tc>
          <w:tcPr>
            <w:tcW w:w="1276" w:type="dxa"/>
            <w:noWrap/>
            <w:hideMark/>
          </w:tcPr>
          <w:p w:rsidR="00954848" w:rsidRPr="002A3175" w:rsidRDefault="00954848" w:rsidP="00954848">
            <w:pPr>
              <w:jc w:val="center"/>
              <w:rPr>
                <w:sz w:val="20"/>
                <w:szCs w:val="20"/>
              </w:rPr>
            </w:pPr>
            <w:r w:rsidRPr="002A3175">
              <w:rPr>
                <w:sz w:val="20"/>
                <w:szCs w:val="20"/>
              </w:rPr>
              <w:t>2.90%</w:t>
            </w:r>
          </w:p>
        </w:tc>
        <w:tc>
          <w:tcPr>
            <w:tcW w:w="1234" w:type="dxa"/>
            <w:noWrap/>
            <w:hideMark/>
          </w:tcPr>
          <w:p w:rsidR="00954848" w:rsidRPr="002A3175" w:rsidRDefault="00954848" w:rsidP="00954848">
            <w:pPr>
              <w:jc w:val="center"/>
              <w:rPr>
                <w:sz w:val="20"/>
                <w:szCs w:val="20"/>
              </w:rPr>
            </w:pPr>
            <w:r w:rsidRPr="002A3175">
              <w:rPr>
                <w:sz w:val="20"/>
                <w:szCs w:val="20"/>
              </w:rPr>
              <w:t>2.30%</w:t>
            </w:r>
          </w:p>
        </w:tc>
        <w:tc>
          <w:tcPr>
            <w:tcW w:w="1189" w:type="dxa"/>
            <w:noWrap/>
            <w:hideMark/>
          </w:tcPr>
          <w:p w:rsidR="00954848" w:rsidRPr="002A3175" w:rsidRDefault="00954848" w:rsidP="00954848">
            <w:pPr>
              <w:jc w:val="center"/>
              <w:rPr>
                <w:sz w:val="20"/>
                <w:szCs w:val="20"/>
              </w:rPr>
            </w:pPr>
            <w:r w:rsidRPr="002A3175">
              <w:rPr>
                <w:sz w:val="20"/>
                <w:szCs w:val="20"/>
              </w:rPr>
              <w:t>2.80%</w:t>
            </w:r>
          </w:p>
        </w:tc>
      </w:tr>
      <w:tr w:rsidR="00954848" w:rsidRPr="002A3175" w:rsidTr="00954848">
        <w:trPr>
          <w:trHeight w:val="255"/>
        </w:trPr>
        <w:tc>
          <w:tcPr>
            <w:tcW w:w="4129" w:type="dxa"/>
            <w:hideMark/>
          </w:tcPr>
          <w:p w:rsidR="00954848" w:rsidRPr="002A3175" w:rsidRDefault="00954848" w:rsidP="00954848">
            <w:pPr>
              <w:rPr>
                <w:sz w:val="20"/>
                <w:szCs w:val="20"/>
              </w:rPr>
            </w:pPr>
            <w:r w:rsidRPr="002A3175">
              <w:rPr>
                <w:sz w:val="20"/>
                <w:szCs w:val="20"/>
              </w:rPr>
              <w:t>Rate of increase in salaries</w:t>
            </w:r>
          </w:p>
        </w:tc>
        <w:tc>
          <w:tcPr>
            <w:tcW w:w="1649" w:type="dxa"/>
            <w:noWrap/>
            <w:hideMark/>
          </w:tcPr>
          <w:p w:rsidR="00954848" w:rsidRPr="002A3175" w:rsidRDefault="00954848" w:rsidP="00954848">
            <w:pPr>
              <w:jc w:val="center"/>
              <w:rPr>
                <w:sz w:val="20"/>
                <w:szCs w:val="20"/>
              </w:rPr>
            </w:pPr>
            <w:r w:rsidRPr="002A3175">
              <w:rPr>
                <w:sz w:val="20"/>
                <w:szCs w:val="20"/>
              </w:rPr>
              <w:t>4.50%</w:t>
            </w:r>
          </w:p>
        </w:tc>
        <w:tc>
          <w:tcPr>
            <w:tcW w:w="1276" w:type="dxa"/>
            <w:noWrap/>
            <w:hideMark/>
          </w:tcPr>
          <w:p w:rsidR="00954848" w:rsidRPr="002A3175" w:rsidRDefault="00954848" w:rsidP="00954848">
            <w:pPr>
              <w:jc w:val="center"/>
              <w:rPr>
                <w:sz w:val="20"/>
                <w:szCs w:val="20"/>
              </w:rPr>
            </w:pPr>
            <w:r w:rsidRPr="002A3175">
              <w:rPr>
                <w:sz w:val="20"/>
                <w:szCs w:val="20"/>
              </w:rPr>
              <w:t>4.90%</w:t>
            </w:r>
          </w:p>
        </w:tc>
        <w:tc>
          <w:tcPr>
            <w:tcW w:w="1234" w:type="dxa"/>
            <w:noWrap/>
            <w:hideMark/>
          </w:tcPr>
          <w:p w:rsidR="00954848" w:rsidRPr="002A3175" w:rsidRDefault="00954848" w:rsidP="00954848">
            <w:pPr>
              <w:jc w:val="center"/>
              <w:rPr>
                <w:sz w:val="20"/>
                <w:szCs w:val="20"/>
              </w:rPr>
            </w:pPr>
            <w:r w:rsidRPr="002A3175">
              <w:rPr>
                <w:sz w:val="20"/>
                <w:szCs w:val="20"/>
              </w:rPr>
              <w:t>4.50%</w:t>
            </w:r>
          </w:p>
        </w:tc>
        <w:tc>
          <w:tcPr>
            <w:tcW w:w="1189" w:type="dxa"/>
            <w:noWrap/>
            <w:hideMark/>
          </w:tcPr>
          <w:p w:rsidR="00954848" w:rsidRPr="002A3175" w:rsidRDefault="00954848" w:rsidP="00954848">
            <w:pPr>
              <w:jc w:val="center"/>
              <w:rPr>
                <w:sz w:val="20"/>
                <w:szCs w:val="20"/>
              </w:rPr>
            </w:pPr>
            <w:r w:rsidRPr="002A3175">
              <w:rPr>
                <w:sz w:val="20"/>
                <w:szCs w:val="20"/>
              </w:rPr>
              <w:t>4.90%</w:t>
            </w:r>
          </w:p>
        </w:tc>
      </w:tr>
      <w:tr w:rsidR="00954848" w:rsidRPr="002A3175" w:rsidTr="00954848">
        <w:trPr>
          <w:trHeight w:val="255"/>
        </w:trPr>
        <w:tc>
          <w:tcPr>
            <w:tcW w:w="4129" w:type="dxa"/>
            <w:hideMark/>
          </w:tcPr>
          <w:p w:rsidR="00954848" w:rsidRPr="002A3175" w:rsidRDefault="00954848" w:rsidP="00954848">
            <w:pPr>
              <w:rPr>
                <w:sz w:val="20"/>
                <w:szCs w:val="20"/>
              </w:rPr>
            </w:pPr>
            <w:r w:rsidRPr="002A3175">
              <w:rPr>
                <w:sz w:val="20"/>
                <w:szCs w:val="20"/>
              </w:rPr>
              <w:t>Rate of increase in pensions</w:t>
            </w:r>
          </w:p>
        </w:tc>
        <w:tc>
          <w:tcPr>
            <w:tcW w:w="1649" w:type="dxa"/>
            <w:noWrap/>
            <w:hideMark/>
          </w:tcPr>
          <w:p w:rsidR="00954848" w:rsidRPr="002A3175" w:rsidRDefault="00954848" w:rsidP="00954848">
            <w:pPr>
              <w:jc w:val="center"/>
              <w:rPr>
                <w:sz w:val="20"/>
                <w:szCs w:val="20"/>
              </w:rPr>
            </w:pPr>
            <w:r w:rsidRPr="002A3175">
              <w:rPr>
                <w:sz w:val="20"/>
                <w:szCs w:val="20"/>
              </w:rPr>
              <w:t>2.50%</w:t>
            </w:r>
          </w:p>
        </w:tc>
        <w:tc>
          <w:tcPr>
            <w:tcW w:w="1276" w:type="dxa"/>
            <w:noWrap/>
            <w:hideMark/>
          </w:tcPr>
          <w:p w:rsidR="00954848" w:rsidRPr="002A3175" w:rsidRDefault="00954848" w:rsidP="00954848">
            <w:pPr>
              <w:jc w:val="center"/>
              <w:rPr>
                <w:sz w:val="20"/>
                <w:szCs w:val="20"/>
              </w:rPr>
            </w:pPr>
            <w:r w:rsidRPr="002A3175">
              <w:rPr>
                <w:sz w:val="20"/>
                <w:szCs w:val="20"/>
              </w:rPr>
              <w:t>2.90%</w:t>
            </w:r>
          </w:p>
        </w:tc>
        <w:tc>
          <w:tcPr>
            <w:tcW w:w="1234" w:type="dxa"/>
            <w:noWrap/>
            <w:hideMark/>
          </w:tcPr>
          <w:p w:rsidR="00954848" w:rsidRPr="002A3175" w:rsidRDefault="00954848" w:rsidP="00954848">
            <w:pPr>
              <w:jc w:val="center"/>
              <w:rPr>
                <w:sz w:val="20"/>
                <w:szCs w:val="20"/>
              </w:rPr>
            </w:pPr>
            <w:r w:rsidRPr="002A3175">
              <w:rPr>
                <w:sz w:val="20"/>
                <w:szCs w:val="20"/>
              </w:rPr>
              <w:t>2.30%</w:t>
            </w:r>
          </w:p>
        </w:tc>
        <w:tc>
          <w:tcPr>
            <w:tcW w:w="1189" w:type="dxa"/>
            <w:noWrap/>
            <w:hideMark/>
          </w:tcPr>
          <w:p w:rsidR="00954848" w:rsidRPr="002A3175" w:rsidRDefault="00954848" w:rsidP="00954848">
            <w:pPr>
              <w:jc w:val="center"/>
              <w:rPr>
                <w:sz w:val="20"/>
                <w:szCs w:val="20"/>
              </w:rPr>
            </w:pPr>
            <w:r w:rsidRPr="002A3175">
              <w:rPr>
                <w:sz w:val="20"/>
                <w:szCs w:val="20"/>
              </w:rPr>
              <w:t>2.80%</w:t>
            </w:r>
          </w:p>
        </w:tc>
      </w:tr>
      <w:tr w:rsidR="00954848" w:rsidRPr="002A3175" w:rsidTr="00954848">
        <w:trPr>
          <w:trHeight w:val="255"/>
        </w:trPr>
        <w:tc>
          <w:tcPr>
            <w:tcW w:w="4129" w:type="dxa"/>
            <w:hideMark/>
          </w:tcPr>
          <w:p w:rsidR="00954848" w:rsidRPr="002A3175" w:rsidRDefault="00954848" w:rsidP="00954848">
            <w:pPr>
              <w:rPr>
                <w:sz w:val="20"/>
                <w:szCs w:val="20"/>
              </w:rPr>
            </w:pPr>
            <w:r w:rsidRPr="002A3175">
              <w:rPr>
                <w:sz w:val="20"/>
                <w:szCs w:val="20"/>
              </w:rPr>
              <w:t>Rate for discounting scheme liabilities</w:t>
            </w:r>
          </w:p>
        </w:tc>
        <w:tc>
          <w:tcPr>
            <w:tcW w:w="1649" w:type="dxa"/>
            <w:noWrap/>
            <w:hideMark/>
          </w:tcPr>
          <w:p w:rsidR="00954848" w:rsidRPr="002A3175" w:rsidRDefault="00954848" w:rsidP="00954848">
            <w:pPr>
              <w:jc w:val="center"/>
              <w:rPr>
                <w:sz w:val="20"/>
                <w:szCs w:val="20"/>
              </w:rPr>
            </w:pPr>
            <w:r w:rsidRPr="002A3175">
              <w:rPr>
                <w:sz w:val="20"/>
                <w:szCs w:val="20"/>
              </w:rPr>
              <w:t>4.90%</w:t>
            </w:r>
          </w:p>
        </w:tc>
        <w:tc>
          <w:tcPr>
            <w:tcW w:w="1276" w:type="dxa"/>
            <w:noWrap/>
            <w:hideMark/>
          </w:tcPr>
          <w:p w:rsidR="00954848" w:rsidRPr="002A3175" w:rsidRDefault="00954848" w:rsidP="00954848">
            <w:pPr>
              <w:jc w:val="center"/>
              <w:rPr>
                <w:sz w:val="20"/>
                <w:szCs w:val="20"/>
              </w:rPr>
            </w:pPr>
            <w:r w:rsidRPr="002A3175">
              <w:rPr>
                <w:sz w:val="20"/>
                <w:szCs w:val="20"/>
              </w:rPr>
              <w:t>5.50%</w:t>
            </w:r>
          </w:p>
        </w:tc>
        <w:tc>
          <w:tcPr>
            <w:tcW w:w="1234" w:type="dxa"/>
            <w:noWrap/>
            <w:hideMark/>
          </w:tcPr>
          <w:p w:rsidR="00954848" w:rsidRPr="002A3175" w:rsidRDefault="00954848" w:rsidP="00954848">
            <w:pPr>
              <w:jc w:val="center"/>
              <w:rPr>
                <w:sz w:val="20"/>
                <w:szCs w:val="20"/>
              </w:rPr>
            </w:pPr>
            <w:r w:rsidRPr="002A3175">
              <w:rPr>
                <w:sz w:val="20"/>
                <w:szCs w:val="20"/>
              </w:rPr>
              <w:t>4.60%</w:t>
            </w:r>
          </w:p>
        </w:tc>
        <w:tc>
          <w:tcPr>
            <w:tcW w:w="1189" w:type="dxa"/>
            <w:noWrap/>
            <w:hideMark/>
          </w:tcPr>
          <w:p w:rsidR="00954848" w:rsidRPr="002A3175" w:rsidRDefault="00954848" w:rsidP="00954848">
            <w:pPr>
              <w:jc w:val="center"/>
              <w:rPr>
                <w:sz w:val="20"/>
                <w:szCs w:val="20"/>
              </w:rPr>
            </w:pPr>
            <w:r w:rsidRPr="002A3175">
              <w:rPr>
                <w:sz w:val="20"/>
                <w:szCs w:val="20"/>
              </w:rPr>
              <w:t>5.40%</w:t>
            </w:r>
          </w:p>
        </w:tc>
      </w:tr>
      <w:tr w:rsidR="00954848" w:rsidRPr="00526614" w:rsidTr="00954848">
        <w:trPr>
          <w:trHeight w:val="510"/>
        </w:trPr>
        <w:tc>
          <w:tcPr>
            <w:tcW w:w="4129" w:type="dxa"/>
            <w:hideMark/>
          </w:tcPr>
          <w:p w:rsidR="00954848" w:rsidRPr="002A3175" w:rsidRDefault="00954848" w:rsidP="00954848">
            <w:pPr>
              <w:rPr>
                <w:sz w:val="20"/>
                <w:szCs w:val="20"/>
              </w:rPr>
            </w:pPr>
            <w:r w:rsidRPr="002A3175">
              <w:rPr>
                <w:sz w:val="20"/>
                <w:szCs w:val="20"/>
              </w:rPr>
              <w:t>Take-up of option to convert annual pension into retirement lump sum</w:t>
            </w:r>
          </w:p>
        </w:tc>
        <w:tc>
          <w:tcPr>
            <w:tcW w:w="1649" w:type="dxa"/>
            <w:noWrap/>
            <w:hideMark/>
          </w:tcPr>
          <w:p w:rsidR="00954848" w:rsidRPr="002A3175" w:rsidRDefault="00954848" w:rsidP="00954848">
            <w:pPr>
              <w:jc w:val="center"/>
              <w:rPr>
                <w:sz w:val="20"/>
                <w:szCs w:val="20"/>
              </w:rPr>
            </w:pPr>
            <w:r w:rsidRPr="002A3175">
              <w:rPr>
                <w:sz w:val="20"/>
                <w:szCs w:val="20"/>
              </w:rPr>
              <w:t>50%</w:t>
            </w:r>
          </w:p>
        </w:tc>
        <w:tc>
          <w:tcPr>
            <w:tcW w:w="1276" w:type="dxa"/>
            <w:noWrap/>
            <w:hideMark/>
          </w:tcPr>
          <w:p w:rsidR="00954848" w:rsidRPr="002A3175" w:rsidRDefault="00954848" w:rsidP="00954848">
            <w:pPr>
              <w:jc w:val="center"/>
              <w:rPr>
                <w:sz w:val="20"/>
                <w:szCs w:val="20"/>
              </w:rPr>
            </w:pPr>
            <w:r w:rsidRPr="002A3175">
              <w:rPr>
                <w:sz w:val="20"/>
                <w:szCs w:val="20"/>
              </w:rPr>
              <w:t>50%</w:t>
            </w:r>
          </w:p>
        </w:tc>
        <w:tc>
          <w:tcPr>
            <w:tcW w:w="1234" w:type="dxa"/>
            <w:hideMark/>
          </w:tcPr>
          <w:p w:rsidR="00954848" w:rsidRPr="002A3175" w:rsidRDefault="00954848" w:rsidP="00954848">
            <w:pPr>
              <w:jc w:val="center"/>
              <w:rPr>
                <w:sz w:val="20"/>
                <w:szCs w:val="20"/>
              </w:rPr>
            </w:pPr>
            <w:r w:rsidRPr="002A3175">
              <w:rPr>
                <w:sz w:val="20"/>
                <w:szCs w:val="20"/>
              </w:rPr>
              <w:t>50%</w:t>
            </w:r>
          </w:p>
        </w:tc>
        <w:tc>
          <w:tcPr>
            <w:tcW w:w="1189" w:type="dxa"/>
            <w:hideMark/>
          </w:tcPr>
          <w:p w:rsidR="00954848" w:rsidRPr="00526614" w:rsidRDefault="00954848" w:rsidP="00954848">
            <w:pPr>
              <w:jc w:val="center"/>
              <w:rPr>
                <w:sz w:val="20"/>
                <w:szCs w:val="20"/>
              </w:rPr>
            </w:pPr>
            <w:r w:rsidRPr="002A3175">
              <w:rPr>
                <w:sz w:val="20"/>
                <w:szCs w:val="20"/>
              </w:rPr>
              <w:t>50%</w:t>
            </w:r>
          </w:p>
        </w:tc>
      </w:tr>
    </w:tbl>
    <w:p w:rsidR="00954848" w:rsidRDefault="00954848" w:rsidP="00954848">
      <w:pPr>
        <w:ind w:left="720"/>
      </w:pPr>
    </w:p>
    <w:p w:rsidR="00954848" w:rsidRDefault="00954848" w:rsidP="00954848">
      <w:pPr>
        <w:ind w:left="720"/>
      </w:pPr>
    </w:p>
    <w:tbl>
      <w:tblPr>
        <w:tblW w:w="9060" w:type="dxa"/>
        <w:tblInd w:w="920" w:type="dxa"/>
        <w:tblLayout w:type="fixed"/>
        <w:tblLook w:val="04A0"/>
      </w:tblPr>
      <w:tblGrid>
        <w:gridCol w:w="4717"/>
        <w:gridCol w:w="2126"/>
        <w:gridCol w:w="2217"/>
      </w:tblGrid>
      <w:tr w:rsidR="00091BCD" w:rsidRPr="00526614" w:rsidTr="00F20241">
        <w:trPr>
          <w:trHeight w:val="308"/>
        </w:trPr>
        <w:tc>
          <w:tcPr>
            <w:tcW w:w="9060" w:type="dxa"/>
            <w:gridSpan w:val="3"/>
            <w:tcBorders>
              <w:top w:val="nil"/>
              <w:left w:val="nil"/>
              <w:bottom w:val="nil"/>
              <w:right w:val="nil"/>
            </w:tcBorders>
            <w:shd w:val="clear" w:color="auto" w:fill="auto"/>
            <w:noWrap/>
            <w:vAlign w:val="bottom"/>
            <w:hideMark/>
          </w:tcPr>
          <w:p w:rsidR="00091BCD" w:rsidRDefault="00091BCD" w:rsidP="00954848"/>
          <w:p w:rsidR="00091BCD" w:rsidRDefault="00091BCD" w:rsidP="00954848">
            <w:r w:rsidRPr="00091BCD">
              <w:t>The Teachers Pension Scheme has no assets to cover its liabilities. The Local Government Pension Scheme's assets consist of the following categories, by proportion of the local assets held:</w:t>
            </w:r>
            <w:r w:rsidRPr="00091BCD">
              <w:tab/>
            </w:r>
          </w:p>
          <w:p w:rsidR="00091BCD" w:rsidRPr="00526614" w:rsidRDefault="00091BCD" w:rsidP="00954848">
            <w:pPr>
              <w:jc w:val="right"/>
              <w:rPr>
                <w:b/>
                <w:bCs/>
              </w:rPr>
            </w:pPr>
          </w:p>
        </w:tc>
      </w:tr>
      <w:tr w:rsidR="00954848" w:rsidRPr="00526614" w:rsidTr="00091BCD">
        <w:trPr>
          <w:trHeight w:val="567"/>
        </w:trPr>
        <w:tc>
          <w:tcPr>
            <w:tcW w:w="4717" w:type="dxa"/>
            <w:tcBorders>
              <w:top w:val="nil"/>
              <w:left w:val="nil"/>
              <w:bottom w:val="nil"/>
              <w:right w:val="nil"/>
            </w:tcBorders>
            <w:shd w:val="clear" w:color="auto" w:fill="auto"/>
            <w:noWrap/>
            <w:vAlign w:val="bottom"/>
            <w:hideMark/>
          </w:tcPr>
          <w:p w:rsidR="00954848" w:rsidRDefault="00954848" w:rsidP="00954848"/>
          <w:p w:rsidR="00954848" w:rsidRDefault="00954848" w:rsidP="00954848"/>
          <w:p w:rsidR="00954848" w:rsidRPr="00526614" w:rsidRDefault="00954848" w:rsidP="00954848"/>
        </w:tc>
        <w:tc>
          <w:tcPr>
            <w:tcW w:w="2126" w:type="dxa"/>
            <w:tcBorders>
              <w:top w:val="nil"/>
              <w:left w:val="nil"/>
              <w:bottom w:val="nil"/>
              <w:right w:val="nil"/>
            </w:tcBorders>
            <w:shd w:val="clear" w:color="auto" w:fill="auto"/>
            <w:noWrap/>
            <w:vAlign w:val="bottom"/>
            <w:hideMark/>
          </w:tcPr>
          <w:p w:rsidR="00954848" w:rsidRPr="00526614" w:rsidRDefault="00091BCD" w:rsidP="00091BCD">
            <w:pPr>
              <w:rPr>
                <w:b/>
                <w:bCs/>
              </w:rPr>
            </w:pPr>
            <w:r>
              <w:rPr>
                <w:b/>
                <w:bCs/>
              </w:rPr>
              <w:t xml:space="preserve">   </w:t>
            </w:r>
            <w:r w:rsidR="00954848" w:rsidRPr="00526614">
              <w:rPr>
                <w:b/>
                <w:bCs/>
              </w:rPr>
              <w:t>31 March 2012</w:t>
            </w:r>
          </w:p>
        </w:tc>
        <w:tc>
          <w:tcPr>
            <w:tcW w:w="2217" w:type="dxa"/>
            <w:tcBorders>
              <w:top w:val="nil"/>
              <w:left w:val="nil"/>
              <w:bottom w:val="nil"/>
              <w:right w:val="nil"/>
            </w:tcBorders>
            <w:shd w:val="clear" w:color="auto" w:fill="auto"/>
            <w:noWrap/>
            <w:vAlign w:val="bottom"/>
            <w:hideMark/>
          </w:tcPr>
          <w:p w:rsidR="00954848" w:rsidRPr="00526614" w:rsidRDefault="00954848" w:rsidP="00954848">
            <w:pPr>
              <w:jc w:val="right"/>
              <w:rPr>
                <w:b/>
                <w:bCs/>
              </w:rPr>
            </w:pPr>
            <w:r w:rsidRPr="00526614">
              <w:rPr>
                <w:b/>
                <w:bCs/>
              </w:rPr>
              <w:t xml:space="preserve">31 March </w:t>
            </w:r>
            <w:r>
              <w:rPr>
                <w:b/>
                <w:bCs/>
              </w:rPr>
              <w:t>2</w:t>
            </w:r>
            <w:r w:rsidRPr="00526614">
              <w:rPr>
                <w:b/>
                <w:bCs/>
              </w:rPr>
              <w:t>011</w:t>
            </w:r>
          </w:p>
        </w:tc>
      </w:tr>
      <w:tr w:rsidR="00954848" w:rsidRPr="00526614" w:rsidTr="00091BCD">
        <w:trPr>
          <w:trHeight w:val="308"/>
        </w:trPr>
        <w:tc>
          <w:tcPr>
            <w:tcW w:w="4717" w:type="dxa"/>
            <w:tcBorders>
              <w:top w:val="nil"/>
              <w:left w:val="nil"/>
              <w:bottom w:val="nil"/>
              <w:right w:val="nil"/>
            </w:tcBorders>
            <w:shd w:val="clear" w:color="auto" w:fill="auto"/>
            <w:noWrap/>
            <w:vAlign w:val="bottom"/>
            <w:hideMark/>
          </w:tcPr>
          <w:p w:rsidR="00954848" w:rsidRPr="00526614" w:rsidRDefault="00954848" w:rsidP="00954848"/>
        </w:tc>
        <w:tc>
          <w:tcPr>
            <w:tcW w:w="2126" w:type="dxa"/>
            <w:tcBorders>
              <w:top w:val="nil"/>
              <w:left w:val="nil"/>
              <w:bottom w:val="single" w:sz="4" w:space="0" w:color="auto"/>
              <w:right w:val="nil"/>
            </w:tcBorders>
            <w:shd w:val="clear" w:color="auto" w:fill="auto"/>
            <w:vAlign w:val="bottom"/>
            <w:hideMark/>
          </w:tcPr>
          <w:p w:rsidR="00954848" w:rsidRPr="00526614" w:rsidRDefault="00954848" w:rsidP="00954848">
            <w:pPr>
              <w:jc w:val="right"/>
              <w:rPr>
                <w:b/>
                <w:bCs/>
              </w:rPr>
            </w:pPr>
            <w:r w:rsidRPr="00526614">
              <w:rPr>
                <w:b/>
                <w:bCs/>
              </w:rPr>
              <w:t>%</w:t>
            </w:r>
          </w:p>
        </w:tc>
        <w:tc>
          <w:tcPr>
            <w:tcW w:w="2217" w:type="dxa"/>
            <w:tcBorders>
              <w:top w:val="nil"/>
              <w:left w:val="nil"/>
              <w:bottom w:val="single" w:sz="4" w:space="0" w:color="auto"/>
              <w:right w:val="nil"/>
            </w:tcBorders>
            <w:shd w:val="clear" w:color="auto" w:fill="auto"/>
            <w:vAlign w:val="bottom"/>
            <w:hideMark/>
          </w:tcPr>
          <w:p w:rsidR="00954848" w:rsidRPr="00526614" w:rsidRDefault="00954848" w:rsidP="00954848">
            <w:pPr>
              <w:jc w:val="right"/>
              <w:rPr>
                <w:b/>
                <w:bCs/>
              </w:rPr>
            </w:pPr>
            <w:r w:rsidRPr="00526614">
              <w:rPr>
                <w:b/>
                <w:bCs/>
              </w:rPr>
              <w:t>%</w:t>
            </w:r>
          </w:p>
        </w:tc>
      </w:tr>
      <w:tr w:rsidR="00954848" w:rsidRPr="00526614" w:rsidTr="00091BCD">
        <w:trPr>
          <w:trHeight w:val="293"/>
        </w:trPr>
        <w:tc>
          <w:tcPr>
            <w:tcW w:w="4717" w:type="dxa"/>
            <w:tcBorders>
              <w:top w:val="nil"/>
              <w:left w:val="nil"/>
              <w:bottom w:val="nil"/>
              <w:right w:val="nil"/>
            </w:tcBorders>
            <w:shd w:val="clear" w:color="auto" w:fill="auto"/>
            <w:noWrap/>
            <w:vAlign w:val="bottom"/>
            <w:hideMark/>
          </w:tcPr>
          <w:p w:rsidR="00954848" w:rsidRPr="00526614" w:rsidRDefault="00954848" w:rsidP="00954848">
            <w:r w:rsidRPr="00526614">
              <w:t>Equity investments</w:t>
            </w:r>
          </w:p>
        </w:tc>
        <w:tc>
          <w:tcPr>
            <w:tcW w:w="2126" w:type="dxa"/>
            <w:tcBorders>
              <w:top w:val="nil"/>
              <w:left w:val="nil"/>
              <w:bottom w:val="nil"/>
              <w:right w:val="nil"/>
            </w:tcBorders>
            <w:shd w:val="clear" w:color="auto" w:fill="auto"/>
            <w:noWrap/>
            <w:vAlign w:val="bottom"/>
            <w:hideMark/>
          </w:tcPr>
          <w:p w:rsidR="00954848" w:rsidRPr="00526614" w:rsidRDefault="00954848" w:rsidP="00954848">
            <w:pPr>
              <w:jc w:val="right"/>
            </w:pPr>
            <w:r w:rsidRPr="00526614">
              <w:t>58.0</w:t>
            </w:r>
          </w:p>
        </w:tc>
        <w:tc>
          <w:tcPr>
            <w:tcW w:w="2217" w:type="dxa"/>
            <w:tcBorders>
              <w:top w:val="nil"/>
              <w:left w:val="nil"/>
              <w:bottom w:val="nil"/>
              <w:right w:val="nil"/>
            </w:tcBorders>
            <w:shd w:val="clear" w:color="auto" w:fill="auto"/>
            <w:noWrap/>
            <w:vAlign w:val="bottom"/>
            <w:hideMark/>
          </w:tcPr>
          <w:p w:rsidR="00954848" w:rsidRPr="00526614" w:rsidRDefault="00954848" w:rsidP="00954848">
            <w:pPr>
              <w:jc w:val="right"/>
            </w:pPr>
            <w:r w:rsidRPr="00526614">
              <w:t>64.0</w:t>
            </w:r>
          </w:p>
        </w:tc>
      </w:tr>
      <w:tr w:rsidR="00954848" w:rsidRPr="00526614" w:rsidTr="00091BCD">
        <w:trPr>
          <w:trHeight w:val="293"/>
        </w:trPr>
        <w:tc>
          <w:tcPr>
            <w:tcW w:w="4717" w:type="dxa"/>
            <w:tcBorders>
              <w:top w:val="nil"/>
              <w:left w:val="nil"/>
              <w:bottom w:val="nil"/>
              <w:right w:val="nil"/>
            </w:tcBorders>
            <w:shd w:val="clear" w:color="auto" w:fill="auto"/>
            <w:noWrap/>
            <w:vAlign w:val="bottom"/>
            <w:hideMark/>
          </w:tcPr>
          <w:p w:rsidR="00954848" w:rsidRPr="00526614" w:rsidRDefault="00954848" w:rsidP="00954848">
            <w:r w:rsidRPr="00526614">
              <w:t>Bonds</w:t>
            </w:r>
          </w:p>
        </w:tc>
        <w:tc>
          <w:tcPr>
            <w:tcW w:w="2126" w:type="dxa"/>
            <w:tcBorders>
              <w:top w:val="nil"/>
              <w:left w:val="nil"/>
              <w:bottom w:val="nil"/>
              <w:right w:val="nil"/>
            </w:tcBorders>
            <w:shd w:val="clear" w:color="auto" w:fill="auto"/>
            <w:noWrap/>
            <w:vAlign w:val="bottom"/>
            <w:hideMark/>
          </w:tcPr>
          <w:p w:rsidR="00954848" w:rsidRPr="00526614" w:rsidRDefault="00954848" w:rsidP="00954848">
            <w:pPr>
              <w:jc w:val="right"/>
            </w:pPr>
            <w:r w:rsidRPr="00526614">
              <w:t>20.0</w:t>
            </w:r>
          </w:p>
        </w:tc>
        <w:tc>
          <w:tcPr>
            <w:tcW w:w="2217" w:type="dxa"/>
            <w:tcBorders>
              <w:top w:val="nil"/>
              <w:left w:val="nil"/>
              <w:bottom w:val="nil"/>
              <w:right w:val="nil"/>
            </w:tcBorders>
            <w:shd w:val="clear" w:color="auto" w:fill="auto"/>
            <w:noWrap/>
            <w:vAlign w:val="bottom"/>
            <w:hideMark/>
          </w:tcPr>
          <w:p w:rsidR="00954848" w:rsidRPr="00526614" w:rsidRDefault="00954848" w:rsidP="00954848">
            <w:pPr>
              <w:jc w:val="right"/>
            </w:pPr>
            <w:r w:rsidRPr="00526614">
              <w:t>21.0</w:t>
            </w:r>
          </w:p>
        </w:tc>
      </w:tr>
      <w:tr w:rsidR="00954848" w:rsidRPr="00526614" w:rsidTr="00091BCD">
        <w:trPr>
          <w:trHeight w:val="293"/>
        </w:trPr>
        <w:tc>
          <w:tcPr>
            <w:tcW w:w="4717" w:type="dxa"/>
            <w:tcBorders>
              <w:top w:val="nil"/>
              <w:left w:val="nil"/>
              <w:bottom w:val="nil"/>
              <w:right w:val="nil"/>
            </w:tcBorders>
            <w:shd w:val="clear" w:color="auto" w:fill="auto"/>
            <w:noWrap/>
            <w:vAlign w:val="bottom"/>
            <w:hideMark/>
          </w:tcPr>
          <w:p w:rsidR="00954848" w:rsidRPr="00526614" w:rsidRDefault="00954848" w:rsidP="00954848">
            <w:r w:rsidRPr="00526614">
              <w:t>Other assets</w:t>
            </w:r>
          </w:p>
        </w:tc>
        <w:tc>
          <w:tcPr>
            <w:tcW w:w="2126" w:type="dxa"/>
            <w:tcBorders>
              <w:top w:val="nil"/>
              <w:left w:val="nil"/>
              <w:bottom w:val="nil"/>
              <w:right w:val="nil"/>
            </w:tcBorders>
            <w:shd w:val="clear" w:color="auto" w:fill="auto"/>
            <w:noWrap/>
            <w:vAlign w:val="bottom"/>
            <w:hideMark/>
          </w:tcPr>
          <w:p w:rsidR="00954848" w:rsidRPr="00526614" w:rsidRDefault="00954848" w:rsidP="00954848">
            <w:pPr>
              <w:jc w:val="right"/>
            </w:pPr>
            <w:r w:rsidRPr="00526614">
              <w:t>22.0</w:t>
            </w:r>
          </w:p>
        </w:tc>
        <w:tc>
          <w:tcPr>
            <w:tcW w:w="2217" w:type="dxa"/>
            <w:tcBorders>
              <w:top w:val="nil"/>
              <w:left w:val="nil"/>
              <w:bottom w:val="nil"/>
              <w:right w:val="nil"/>
            </w:tcBorders>
            <w:shd w:val="clear" w:color="auto" w:fill="auto"/>
            <w:noWrap/>
            <w:vAlign w:val="bottom"/>
            <w:hideMark/>
          </w:tcPr>
          <w:p w:rsidR="00954848" w:rsidRPr="00526614" w:rsidRDefault="00954848" w:rsidP="00954848">
            <w:pPr>
              <w:jc w:val="right"/>
            </w:pPr>
            <w:r w:rsidRPr="00526614">
              <w:t>15.0</w:t>
            </w:r>
          </w:p>
        </w:tc>
      </w:tr>
      <w:tr w:rsidR="00954848" w:rsidRPr="00526614" w:rsidTr="00091BCD">
        <w:trPr>
          <w:trHeight w:val="293"/>
        </w:trPr>
        <w:tc>
          <w:tcPr>
            <w:tcW w:w="4717" w:type="dxa"/>
            <w:tcBorders>
              <w:top w:val="nil"/>
              <w:left w:val="nil"/>
              <w:bottom w:val="nil"/>
              <w:right w:val="nil"/>
            </w:tcBorders>
            <w:shd w:val="clear" w:color="auto" w:fill="auto"/>
            <w:noWrap/>
            <w:vAlign w:val="bottom"/>
            <w:hideMark/>
          </w:tcPr>
          <w:p w:rsidR="00954848" w:rsidRPr="00526614" w:rsidRDefault="00954848" w:rsidP="00954848"/>
        </w:tc>
        <w:tc>
          <w:tcPr>
            <w:tcW w:w="2126" w:type="dxa"/>
            <w:tcBorders>
              <w:top w:val="single" w:sz="4" w:space="0" w:color="auto"/>
              <w:left w:val="nil"/>
              <w:bottom w:val="single" w:sz="4" w:space="0" w:color="auto"/>
              <w:right w:val="nil"/>
            </w:tcBorders>
            <w:shd w:val="clear" w:color="auto" w:fill="auto"/>
            <w:noWrap/>
            <w:vAlign w:val="bottom"/>
            <w:hideMark/>
          </w:tcPr>
          <w:p w:rsidR="00954848" w:rsidRPr="00526614" w:rsidRDefault="00954848" w:rsidP="00954848">
            <w:pPr>
              <w:jc w:val="right"/>
            </w:pPr>
            <w:r w:rsidRPr="00526614">
              <w:t>100.0</w:t>
            </w:r>
          </w:p>
        </w:tc>
        <w:tc>
          <w:tcPr>
            <w:tcW w:w="2217" w:type="dxa"/>
            <w:tcBorders>
              <w:top w:val="single" w:sz="4" w:space="0" w:color="auto"/>
              <w:left w:val="nil"/>
              <w:bottom w:val="single" w:sz="4" w:space="0" w:color="auto"/>
              <w:right w:val="nil"/>
            </w:tcBorders>
            <w:shd w:val="clear" w:color="auto" w:fill="auto"/>
            <w:noWrap/>
            <w:vAlign w:val="bottom"/>
            <w:hideMark/>
          </w:tcPr>
          <w:p w:rsidR="00954848" w:rsidRPr="00526614" w:rsidRDefault="00954848" w:rsidP="00954848">
            <w:pPr>
              <w:jc w:val="right"/>
            </w:pPr>
            <w:r w:rsidRPr="00526614">
              <w:t>100.0</w:t>
            </w:r>
          </w:p>
        </w:tc>
      </w:tr>
    </w:tbl>
    <w:p w:rsidR="00954848" w:rsidRPr="00631512" w:rsidRDefault="00954848" w:rsidP="00954848">
      <w:r w:rsidRPr="00631512">
        <w:tab/>
      </w:r>
    </w:p>
    <w:p w:rsidR="00091BCD" w:rsidRDefault="00091BCD" w:rsidP="00954848">
      <w:pPr>
        <w:ind w:firstLine="720"/>
        <w:rPr>
          <w:b/>
        </w:rPr>
      </w:pPr>
    </w:p>
    <w:p w:rsidR="00D6238B" w:rsidRDefault="00D6238B" w:rsidP="00954848">
      <w:pPr>
        <w:ind w:firstLine="720"/>
        <w:rPr>
          <w:b/>
        </w:rPr>
      </w:pPr>
    </w:p>
    <w:p w:rsidR="00954848" w:rsidRPr="00631512" w:rsidRDefault="00954848" w:rsidP="00954848">
      <w:pPr>
        <w:ind w:firstLine="720"/>
        <w:rPr>
          <w:b/>
        </w:rPr>
      </w:pPr>
      <w:r w:rsidRPr="00631512">
        <w:rPr>
          <w:b/>
        </w:rPr>
        <w:t>History of experience gains and losses</w:t>
      </w:r>
    </w:p>
    <w:p w:rsidR="00954848" w:rsidRPr="00CA35D4" w:rsidRDefault="00954848" w:rsidP="00954848">
      <w:pPr>
        <w:jc w:val="both"/>
        <w:rPr>
          <w:b/>
          <w:highlight w:val="yellow"/>
        </w:rPr>
      </w:pPr>
    </w:p>
    <w:p w:rsidR="00954848" w:rsidRPr="002D0AE8" w:rsidRDefault="00954848" w:rsidP="00954848">
      <w:pPr>
        <w:spacing w:after="240"/>
        <w:ind w:left="720"/>
        <w:jc w:val="both"/>
      </w:pPr>
      <w:r w:rsidRPr="002D0AE8">
        <w:t>The actuarial gains identified as movements on the Pensions Reserve 2011/12 can be analysed into the following categories, measured as a percentage of assets or liabilities at 31 March 2012:</w:t>
      </w:r>
    </w:p>
    <w:p w:rsidR="00954848" w:rsidRPr="00CA35D4" w:rsidRDefault="00954848" w:rsidP="00954848">
      <w:pPr>
        <w:spacing w:after="240"/>
        <w:ind w:left="720"/>
        <w:rPr>
          <w:highlight w:val="yellow"/>
        </w:rPr>
      </w:pPr>
    </w:p>
    <w:tbl>
      <w:tblPr>
        <w:tblW w:w="9360" w:type="dxa"/>
        <w:tblInd w:w="720" w:type="dxa"/>
        <w:tblLook w:val="04A0"/>
      </w:tblPr>
      <w:tblGrid>
        <w:gridCol w:w="4320"/>
        <w:gridCol w:w="1008"/>
        <w:gridCol w:w="1008"/>
        <w:gridCol w:w="1008"/>
        <w:gridCol w:w="1008"/>
        <w:gridCol w:w="1008"/>
      </w:tblGrid>
      <w:tr w:rsidR="00954848" w:rsidRPr="00526614" w:rsidTr="00954848">
        <w:trPr>
          <w:trHeight w:val="300"/>
        </w:trPr>
        <w:tc>
          <w:tcPr>
            <w:tcW w:w="4320" w:type="dxa"/>
            <w:tcBorders>
              <w:top w:val="nil"/>
              <w:left w:val="nil"/>
              <w:bottom w:val="single" w:sz="4" w:space="0" w:color="auto"/>
              <w:right w:val="nil"/>
            </w:tcBorders>
            <w:shd w:val="clear" w:color="auto" w:fill="auto"/>
            <w:noWrap/>
            <w:vAlign w:val="bottom"/>
            <w:hideMark/>
          </w:tcPr>
          <w:p w:rsidR="00954848" w:rsidRPr="00526614" w:rsidRDefault="00954848" w:rsidP="00954848">
            <w:pPr>
              <w:rPr>
                <w:sz w:val="20"/>
                <w:szCs w:val="20"/>
              </w:rPr>
            </w:pPr>
            <w:r w:rsidRPr="00526614">
              <w:rPr>
                <w:sz w:val="20"/>
                <w:szCs w:val="20"/>
              </w:rPr>
              <w:lastRenderedPageBreak/>
              <w:t> </w:t>
            </w:r>
          </w:p>
        </w:tc>
        <w:tc>
          <w:tcPr>
            <w:tcW w:w="1008" w:type="dxa"/>
            <w:tcBorders>
              <w:top w:val="nil"/>
              <w:left w:val="nil"/>
              <w:bottom w:val="single" w:sz="4" w:space="0" w:color="auto"/>
              <w:right w:val="nil"/>
            </w:tcBorders>
            <w:shd w:val="clear" w:color="auto" w:fill="auto"/>
            <w:noWrap/>
            <w:vAlign w:val="bottom"/>
            <w:hideMark/>
          </w:tcPr>
          <w:p w:rsidR="00954848" w:rsidRPr="00526614" w:rsidRDefault="00954848" w:rsidP="00954848">
            <w:pPr>
              <w:jc w:val="center"/>
              <w:rPr>
                <w:b/>
                <w:bCs/>
                <w:sz w:val="20"/>
                <w:szCs w:val="20"/>
              </w:rPr>
            </w:pPr>
            <w:r w:rsidRPr="00526614">
              <w:rPr>
                <w:b/>
                <w:bCs/>
                <w:sz w:val="20"/>
                <w:szCs w:val="20"/>
              </w:rPr>
              <w:t>2007/08</w:t>
            </w:r>
          </w:p>
        </w:tc>
        <w:tc>
          <w:tcPr>
            <w:tcW w:w="1008" w:type="dxa"/>
            <w:tcBorders>
              <w:top w:val="nil"/>
              <w:left w:val="nil"/>
              <w:bottom w:val="single" w:sz="4" w:space="0" w:color="auto"/>
              <w:right w:val="nil"/>
            </w:tcBorders>
            <w:shd w:val="clear" w:color="auto" w:fill="auto"/>
            <w:noWrap/>
            <w:vAlign w:val="bottom"/>
            <w:hideMark/>
          </w:tcPr>
          <w:p w:rsidR="00954848" w:rsidRPr="00526614" w:rsidRDefault="00954848" w:rsidP="00954848">
            <w:pPr>
              <w:jc w:val="center"/>
              <w:rPr>
                <w:b/>
                <w:bCs/>
                <w:sz w:val="20"/>
                <w:szCs w:val="20"/>
              </w:rPr>
            </w:pPr>
            <w:r w:rsidRPr="00526614">
              <w:rPr>
                <w:b/>
                <w:bCs/>
                <w:sz w:val="20"/>
                <w:szCs w:val="20"/>
              </w:rPr>
              <w:t>2008/09</w:t>
            </w:r>
          </w:p>
        </w:tc>
        <w:tc>
          <w:tcPr>
            <w:tcW w:w="1008" w:type="dxa"/>
            <w:tcBorders>
              <w:top w:val="nil"/>
              <w:left w:val="nil"/>
              <w:bottom w:val="single" w:sz="4" w:space="0" w:color="auto"/>
              <w:right w:val="nil"/>
            </w:tcBorders>
            <w:shd w:val="clear" w:color="auto" w:fill="auto"/>
            <w:noWrap/>
            <w:vAlign w:val="bottom"/>
            <w:hideMark/>
          </w:tcPr>
          <w:p w:rsidR="00954848" w:rsidRPr="00526614" w:rsidRDefault="00954848" w:rsidP="00954848">
            <w:pPr>
              <w:jc w:val="center"/>
              <w:rPr>
                <w:b/>
                <w:bCs/>
                <w:sz w:val="20"/>
                <w:szCs w:val="20"/>
              </w:rPr>
            </w:pPr>
            <w:r w:rsidRPr="00526614">
              <w:rPr>
                <w:b/>
                <w:bCs/>
                <w:sz w:val="20"/>
                <w:szCs w:val="20"/>
              </w:rPr>
              <w:t>2009/10</w:t>
            </w:r>
          </w:p>
        </w:tc>
        <w:tc>
          <w:tcPr>
            <w:tcW w:w="1008" w:type="dxa"/>
            <w:tcBorders>
              <w:top w:val="nil"/>
              <w:left w:val="nil"/>
              <w:bottom w:val="single" w:sz="4" w:space="0" w:color="auto"/>
              <w:right w:val="nil"/>
            </w:tcBorders>
            <w:shd w:val="clear" w:color="auto" w:fill="auto"/>
            <w:noWrap/>
            <w:vAlign w:val="bottom"/>
            <w:hideMark/>
          </w:tcPr>
          <w:p w:rsidR="00954848" w:rsidRPr="00526614" w:rsidRDefault="00954848" w:rsidP="00954848">
            <w:pPr>
              <w:jc w:val="center"/>
              <w:rPr>
                <w:b/>
                <w:bCs/>
                <w:sz w:val="20"/>
                <w:szCs w:val="20"/>
              </w:rPr>
            </w:pPr>
            <w:r w:rsidRPr="00526614">
              <w:rPr>
                <w:b/>
                <w:bCs/>
                <w:sz w:val="20"/>
                <w:szCs w:val="20"/>
              </w:rPr>
              <w:t>2010/11</w:t>
            </w:r>
          </w:p>
        </w:tc>
        <w:tc>
          <w:tcPr>
            <w:tcW w:w="1008" w:type="dxa"/>
            <w:tcBorders>
              <w:top w:val="nil"/>
              <w:left w:val="nil"/>
              <w:bottom w:val="single" w:sz="4" w:space="0" w:color="auto"/>
              <w:right w:val="nil"/>
            </w:tcBorders>
            <w:shd w:val="clear" w:color="auto" w:fill="auto"/>
            <w:noWrap/>
            <w:vAlign w:val="bottom"/>
            <w:hideMark/>
          </w:tcPr>
          <w:p w:rsidR="00954848" w:rsidRPr="00526614" w:rsidRDefault="00954848" w:rsidP="00954848">
            <w:pPr>
              <w:jc w:val="center"/>
              <w:rPr>
                <w:b/>
                <w:bCs/>
                <w:sz w:val="20"/>
                <w:szCs w:val="20"/>
              </w:rPr>
            </w:pPr>
            <w:r w:rsidRPr="00526614">
              <w:rPr>
                <w:b/>
                <w:bCs/>
                <w:sz w:val="20"/>
                <w:szCs w:val="20"/>
              </w:rPr>
              <w:t>2011/12</w:t>
            </w:r>
          </w:p>
        </w:tc>
      </w:tr>
      <w:tr w:rsidR="00954848" w:rsidRPr="00526614" w:rsidTr="00954848">
        <w:trPr>
          <w:trHeight w:val="300"/>
        </w:trPr>
        <w:tc>
          <w:tcPr>
            <w:tcW w:w="4320" w:type="dxa"/>
            <w:tcBorders>
              <w:top w:val="nil"/>
              <w:left w:val="nil"/>
              <w:bottom w:val="nil"/>
              <w:right w:val="nil"/>
            </w:tcBorders>
            <w:shd w:val="clear" w:color="auto" w:fill="auto"/>
            <w:noWrap/>
            <w:vAlign w:val="bottom"/>
            <w:hideMark/>
          </w:tcPr>
          <w:p w:rsidR="00954848" w:rsidRPr="00526614" w:rsidRDefault="00954848" w:rsidP="00954848">
            <w:pPr>
              <w:rPr>
                <w:sz w:val="20"/>
                <w:szCs w:val="20"/>
              </w:rPr>
            </w:pPr>
          </w:p>
        </w:tc>
        <w:tc>
          <w:tcPr>
            <w:tcW w:w="1008" w:type="dxa"/>
            <w:tcBorders>
              <w:top w:val="nil"/>
              <w:left w:val="nil"/>
              <w:bottom w:val="nil"/>
              <w:right w:val="nil"/>
            </w:tcBorders>
            <w:shd w:val="clear" w:color="auto" w:fill="auto"/>
            <w:noWrap/>
            <w:vAlign w:val="bottom"/>
            <w:hideMark/>
          </w:tcPr>
          <w:p w:rsidR="00954848" w:rsidRPr="00526614" w:rsidRDefault="00954848" w:rsidP="00954848">
            <w:pPr>
              <w:jc w:val="center"/>
              <w:rPr>
                <w:sz w:val="20"/>
                <w:szCs w:val="20"/>
              </w:rPr>
            </w:pPr>
            <w:r w:rsidRPr="00526614">
              <w:rPr>
                <w:sz w:val="20"/>
                <w:szCs w:val="20"/>
              </w:rPr>
              <w:t>%</w:t>
            </w:r>
          </w:p>
        </w:tc>
        <w:tc>
          <w:tcPr>
            <w:tcW w:w="1008" w:type="dxa"/>
            <w:tcBorders>
              <w:top w:val="nil"/>
              <w:left w:val="nil"/>
              <w:bottom w:val="nil"/>
              <w:right w:val="nil"/>
            </w:tcBorders>
            <w:shd w:val="clear" w:color="auto" w:fill="auto"/>
            <w:noWrap/>
            <w:vAlign w:val="bottom"/>
            <w:hideMark/>
          </w:tcPr>
          <w:p w:rsidR="00954848" w:rsidRPr="00526614" w:rsidRDefault="00954848" w:rsidP="00954848">
            <w:pPr>
              <w:jc w:val="center"/>
              <w:rPr>
                <w:sz w:val="20"/>
                <w:szCs w:val="20"/>
              </w:rPr>
            </w:pPr>
            <w:r w:rsidRPr="00526614">
              <w:rPr>
                <w:sz w:val="20"/>
                <w:szCs w:val="20"/>
              </w:rPr>
              <w:t>%</w:t>
            </w:r>
          </w:p>
        </w:tc>
        <w:tc>
          <w:tcPr>
            <w:tcW w:w="1008" w:type="dxa"/>
            <w:tcBorders>
              <w:top w:val="nil"/>
              <w:left w:val="nil"/>
              <w:bottom w:val="nil"/>
              <w:right w:val="nil"/>
            </w:tcBorders>
            <w:shd w:val="clear" w:color="auto" w:fill="auto"/>
            <w:noWrap/>
            <w:vAlign w:val="bottom"/>
            <w:hideMark/>
          </w:tcPr>
          <w:p w:rsidR="00954848" w:rsidRPr="00526614" w:rsidRDefault="00954848" w:rsidP="00954848">
            <w:pPr>
              <w:jc w:val="center"/>
              <w:rPr>
                <w:sz w:val="20"/>
                <w:szCs w:val="20"/>
              </w:rPr>
            </w:pPr>
            <w:r w:rsidRPr="00526614">
              <w:rPr>
                <w:sz w:val="20"/>
                <w:szCs w:val="20"/>
              </w:rPr>
              <w:t>%</w:t>
            </w:r>
          </w:p>
        </w:tc>
        <w:tc>
          <w:tcPr>
            <w:tcW w:w="1008" w:type="dxa"/>
            <w:tcBorders>
              <w:top w:val="nil"/>
              <w:left w:val="nil"/>
              <w:bottom w:val="nil"/>
              <w:right w:val="nil"/>
            </w:tcBorders>
            <w:shd w:val="clear" w:color="auto" w:fill="auto"/>
            <w:noWrap/>
            <w:vAlign w:val="bottom"/>
            <w:hideMark/>
          </w:tcPr>
          <w:p w:rsidR="00954848" w:rsidRPr="00526614" w:rsidRDefault="00954848" w:rsidP="00954848">
            <w:pPr>
              <w:jc w:val="center"/>
              <w:rPr>
                <w:sz w:val="20"/>
                <w:szCs w:val="20"/>
              </w:rPr>
            </w:pPr>
            <w:r w:rsidRPr="00526614">
              <w:rPr>
                <w:sz w:val="20"/>
                <w:szCs w:val="20"/>
              </w:rPr>
              <w:t>%</w:t>
            </w:r>
          </w:p>
        </w:tc>
        <w:tc>
          <w:tcPr>
            <w:tcW w:w="1008" w:type="dxa"/>
            <w:tcBorders>
              <w:top w:val="nil"/>
              <w:left w:val="nil"/>
              <w:bottom w:val="nil"/>
              <w:right w:val="nil"/>
            </w:tcBorders>
            <w:shd w:val="clear" w:color="auto" w:fill="auto"/>
            <w:noWrap/>
            <w:vAlign w:val="bottom"/>
            <w:hideMark/>
          </w:tcPr>
          <w:p w:rsidR="00954848" w:rsidRPr="00526614" w:rsidRDefault="00954848" w:rsidP="00954848">
            <w:pPr>
              <w:jc w:val="center"/>
              <w:rPr>
                <w:sz w:val="20"/>
                <w:szCs w:val="20"/>
              </w:rPr>
            </w:pPr>
            <w:r w:rsidRPr="00526614">
              <w:rPr>
                <w:sz w:val="20"/>
                <w:szCs w:val="20"/>
              </w:rPr>
              <w:t>%</w:t>
            </w:r>
          </w:p>
        </w:tc>
      </w:tr>
      <w:tr w:rsidR="00954848" w:rsidRPr="00526614" w:rsidTr="00954848">
        <w:trPr>
          <w:trHeight w:val="510"/>
        </w:trPr>
        <w:tc>
          <w:tcPr>
            <w:tcW w:w="4320" w:type="dxa"/>
            <w:tcBorders>
              <w:top w:val="nil"/>
              <w:left w:val="nil"/>
              <w:bottom w:val="nil"/>
              <w:right w:val="nil"/>
            </w:tcBorders>
            <w:shd w:val="clear" w:color="auto" w:fill="auto"/>
            <w:vAlign w:val="bottom"/>
            <w:hideMark/>
          </w:tcPr>
          <w:p w:rsidR="00954848" w:rsidRPr="00526614" w:rsidRDefault="00954848" w:rsidP="00954848">
            <w:pPr>
              <w:rPr>
                <w:sz w:val="20"/>
                <w:szCs w:val="20"/>
              </w:rPr>
            </w:pPr>
            <w:r w:rsidRPr="00526614">
              <w:rPr>
                <w:sz w:val="20"/>
                <w:szCs w:val="20"/>
              </w:rPr>
              <w:t>Differences between expected and actual return on assets</w:t>
            </w:r>
          </w:p>
        </w:tc>
        <w:tc>
          <w:tcPr>
            <w:tcW w:w="1008" w:type="dxa"/>
            <w:tcBorders>
              <w:top w:val="nil"/>
              <w:left w:val="nil"/>
              <w:bottom w:val="nil"/>
              <w:right w:val="nil"/>
            </w:tcBorders>
            <w:shd w:val="clear" w:color="auto" w:fill="auto"/>
            <w:noWrap/>
            <w:vAlign w:val="bottom"/>
            <w:hideMark/>
          </w:tcPr>
          <w:p w:rsidR="00954848" w:rsidRPr="00526614" w:rsidRDefault="00954848" w:rsidP="00954848">
            <w:pPr>
              <w:jc w:val="center"/>
              <w:rPr>
                <w:sz w:val="20"/>
                <w:szCs w:val="20"/>
              </w:rPr>
            </w:pPr>
            <w:r w:rsidRPr="00526614">
              <w:rPr>
                <w:sz w:val="20"/>
                <w:szCs w:val="20"/>
              </w:rPr>
              <w:t>(6)</w:t>
            </w:r>
          </w:p>
        </w:tc>
        <w:tc>
          <w:tcPr>
            <w:tcW w:w="1008" w:type="dxa"/>
            <w:tcBorders>
              <w:top w:val="nil"/>
              <w:left w:val="nil"/>
              <w:bottom w:val="nil"/>
              <w:right w:val="nil"/>
            </w:tcBorders>
            <w:shd w:val="clear" w:color="auto" w:fill="auto"/>
            <w:noWrap/>
            <w:vAlign w:val="bottom"/>
            <w:hideMark/>
          </w:tcPr>
          <w:p w:rsidR="00954848" w:rsidRPr="00526614" w:rsidRDefault="00954848" w:rsidP="00954848">
            <w:pPr>
              <w:jc w:val="center"/>
              <w:rPr>
                <w:sz w:val="20"/>
                <w:szCs w:val="20"/>
              </w:rPr>
            </w:pPr>
            <w:r w:rsidRPr="00526614">
              <w:rPr>
                <w:sz w:val="20"/>
                <w:szCs w:val="20"/>
              </w:rPr>
              <w:t>34</w:t>
            </w:r>
          </w:p>
        </w:tc>
        <w:tc>
          <w:tcPr>
            <w:tcW w:w="1008" w:type="dxa"/>
            <w:tcBorders>
              <w:top w:val="nil"/>
              <w:left w:val="nil"/>
              <w:bottom w:val="nil"/>
              <w:right w:val="nil"/>
            </w:tcBorders>
            <w:shd w:val="clear" w:color="auto" w:fill="auto"/>
            <w:noWrap/>
            <w:vAlign w:val="bottom"/>
            <w:hideMark/>
          </w:tcPr>
          <w:p w:rsidR="00954848" w:rsidRPr="00526614" w:rsidRDefault="00954848" w:rsidP="00954848">
            <w:pPr>
              <w:jc w:val="center"/>
              <w:rPr>
                <w:sz w:val="20"/>
                <w:szCs w:val="20"/>
              </w:rPr>
            </w:pPr>
            <w:r w:rsidRPr="00526614">
              <w:rPr>
                <w:sz w:val="20"/>
                <w:szCs w:val="20"/>
              </w:rPr>
              <w:t>20</w:t>
            </w:r>
          </w:p>
        </w:tc>
        <w:tc>
          <w:tcPr>
            <w:tcW w:w="1008" w:type="dxa"/>
            <w:tcBorders>
              <w:top w:val="nil"/>
              <w:left w:val="nil"/>
              <w:bottom w:val="nil"/>
              <w:right w:val="nil"/>
            </w:tcBorders>
            <w:shd w:val="clear" w:color="auto" w:fill="auto"/>
            <w:noWrap/>
            <w:vAlign w:val="bottom"/>
            <w:hideMark/>
          </w:tcPr>
          <w:p w:rsidR="00954848" w:rsidRPr="00526614" w:rsidRDefault="00954848" w:rsidP="00954848">
            <w:pPr>
              <w:jc w:val="center"/>
              <w:rPr>
                <w:sz w:val="20"/>
                <w:szCs w:val="20"/>
              </w:rPr>
            </w:pPr>
            <w:r w:rsidRPr="00526614">
              <w:rPr>
                <w:sz w:val="20"/>
                <w:szCs w:val="20"/>
              </w:rPr>
              <w:t>2</w:t>
            </w:r>
          </w:p>
        </w:tc>
        <w:tc>
          <w:tcPr>
            <w:tcW w:w="1008" w:type="dxa"/>
            <w:tcBorders>
              <w:top w:val="nil"/>
              <w:left w:val="nil"/>
              <w:bottom w:val="nil"/>
              <w:right w:val="nil"/>
            </w:tcBorders>
            <w:shd w:val="clear" w:color="auto" w:fill="auto"/>
            <w:noWrap/>
            <w:vAlign w:val="bottom"/>
            <w:hideMark/>
          </w:tcPr>
          <w:p w:rsidR="00954848" w:rsidRPr="00526614" w:rsidRDefault="00954848" w:rsidP="00954848">
            <w:pPr>
              <w:jc w:val="center"/>
              <w:rPr>
                <w:sz w:val="20"/>
                <w:szCs w:val="20"/>
              </w:rPr>
            </w:pPr>
            <w:r w:rsidRPr="00526614">
              <w:rPr>
                <w:sz w:val="20"/>
                <w:szCs w:val="20"/>
              </w:rPr>
              <w:t>(5)</w:t>
            </w:r>
          </w:p>
        </w:tc>
      </w:tr>
      <w:tr w:rsidR="00954848" w:rsidRPr="00526614" w:rsidTr="00954848">
        <w:trPr>
          <w:trHeight w:val="300"/>
        </w:trPr>
        <w:tc>
          <w:tcPr>
            <w:tcW w:w="4320" w:type="dxa"/>
            <w:tcBorders>
              <w:top w:val="nil"/>
              <w:left w:val="nil"/>
              <w:bottom w:val="nil"/>
              <w:right w:val="nil"/>
            </w:tcBorders>
            <w:shd w:val="clear" w:color="auto" w:fill="auto"/>
            <w:noWrap/>
            <w:vAlign w:val="bottom"/>
            <w:hideMark/>
          </w:tcPr>
          <w:p w:rsidR="00954848" w:rsidRPr="00526614" w:rsidRDefault="00954848" w:rsidP="00954848">
            <w:pPr>
              <w:jc w:val="right"/>
              <w:rPr>
                <w:sz w:val="20"/>
                <w:szCs w:val="20"/>
              </w:rPr>
            </w:pPr>
          </w:p>
        </w:tc>
        <w:tc>
          <w:tcPr>
            <w:tcW w:w="1008" w:type="dxa"/>
            <w:tcBorders>
              <w:top w:val="nil"/>
              <w:left w:val="nil"/>
              <w:bottom w:val="nil"/>
              <w:right w:val="nil"/>
            </w:tcBorders>
            <w:shd w:val="clear" w:color="auto" w:fill="auto"/>
            <w:noWrap/>
            <w:vAlign w:val="bottom"/>
            <w:hideMark/>
          </w:tcPr>
          <w:p w:rsidR="00954848" w:rsidRPr="00526614" w:rsidRDefault="00954848" w:rsidP="00954848">
            <w:pPr>
              <w:jc w:val="center"/>
              <w:rPr>
                <w:sz w:val="20"/>
                <w:szCs w:val="20"/>
              </w:rPr>
            </w:pPr>
          </w:p>
        </w:tc>
        <w:tc>
          <w:tcPr>
            <w:tcW w:w="1008" w:type="dxa"/>
            <w:tcBorders>
              <w:top w:val="nil"/>
              <w:left w:val="nil"/>
              <w:bottom w:val="nil"/>
              <w:right w:val="nil"/>
            </w:tcBorders>
            <w:shd w:val="clear" w:color="auto" w:fill="auto"/>
            <w:noWrap/>
            <w:vAlign w:val="bottom"/>
            <w:hideMark/>
          </w:tcPr>
          <w:p w:rsidR="00954848" w:rsidRPr="00526614" w:rsidRDefault="00954848" w:rsidP="00954848">
            <w:pPr>
              <w:jc w:val="center"/>
              <w:rPr>
                <w:sz w:val="20"/>
                <w:szCs w:val="20"/>
              </w:rPr>
            </w:pPr>
          </w:p>
        </w:tc>
        <w:tc>
          <w:tcPr>
            <w:tcW w:w="1008" w:type="dxa"/>
            <w:tcBorders>
              <w:top w:val="nil"/>
              <w:left w:val="nil"/>
              <w:bottom w:val="nil"/>
              <w:right w:val="nil"/>
            </w:tcBorders>
            <w:shd w:val="clear" w:color="auto" w:fill="auto"/>
            <w:noWrap/>
            <w:vAlign w:val="bottom"/>
            <w:hideMark/>
          </w:tcPr>
          <w:p w:rsidR="00954848" w:rsidRPr="00526614" w:rsidRDefault="00954848" w:rsidP="00954848">
            <w:pPr>
              <w:rPr>
                <w:sz w:val="20"/>
                <w:szCs w:val="20"/>
              </w:rPr>
            </w:pPr>
          </w:p>
        </w:tc>
        <w:tc>
          <w:tcPr>
            <w:tcW w:w="1008" w:type="dxa"/>
            <w:tcBorders>
              <w:top w:val="nil"/>
              <w:left w:val="nil"/>
              <w:bottom w:val="nil"/>
              <w:right w:val="nil"/>
            </w:tcBorders>
            <w:shd w:val="clear" w:color="auto" w:fill="auto"/>
            <w:noWrap/>
            <w:vAlign w:val="bottom"/>
            <w:hideMark/>
          </w:tcPr>
          <w:p w:rsidR="00954848" w:rsidRPr="00526614" w:rsidRDefault="00954848" w:rsidP="00954848">
            <w:pPr>
              <w:rPr>
                <w:sz w:val="20"/>
                <w:szCs w:val="20"/>
              </w:rPr>
            </w:pPr>
          </w:p>
        </w:tc>
        <w:tc>
          <w:tcPr>
            <w:tcW w:w="1008" w:type="dxa"/>
            <w:tcBorders>
              <w:top w:val="nil"/>
              <w:left w:val="nil"/>
              <w:bottom w:val="nil"/>
              <w:right w:val="nil"/>
            </w:tcBorders>
            <w:shd w:val="clear" w:color="auto" w:fill="auto"/>
            <w:noWrap/>
            <w:vAlign w:val="bottom"/>
            <w:hideMark/>
          </w:tcPr>
          <w:p w:rsidR="00954848" w:rsidRPr="00526614" w:rsidRDefault="00954848" w:rsidP="00954848">
            <w:pPr>
              <w:rPr>
                <w:sz w:val="20"/>
                <w:szCs w:val="20"/>
              </w:rPr>
            </w:pPr>
          </w:p>
        </w:tc>
      </w:tr>
      <w:tr w:rsidR="00954848" w:rsidRPr="00526614" w:rsidTr="00954848">
        <w:trPr>
          <w:trHeight w:val="300"/>
        </w:trPr>
        <w:tc>
          <w:tcPr>
            <w:tcW w:w="4320" w:type="dxa"/>
            <w:tcBorders>
              <w:top w:val="nil"/>
              <w:left w:val="nil"/>
              <w:bottom w:val="nil"/>
              <w:right w:val="nil"/>
            </w:tcBorders>
            <w:shd w:val="clear" w:color="auto" w:fill="auto"/>
            <w:noWrap/>
            <w:vAlign w:val="bottom"/>
            <w:hideMark/>
          </w:tcPr>
          <w:p w:rsidR="00954848" w:rsidRPr="00526614" w:rsidRDefault="00954848" w:rsidP="00954848">
            <w:pPr>
              <w:rPr>
                <w:sz w:val="20"/>
                <w:szCs w:val="20"/>
              </w:rPr>
            </w:pPr>
            <w:r w:rsidRPr="00526614">
              <w:rPr>
                <w:sz w:val="20"/>
                <w:szCs w:val="20"/>
              </w:rPr>
              <w:t>Experience gains and losses on liabilities</w:t>
            </w:r>
          </w:p>
        </w:tc>
        <w:tc>
          <w:tcPr>
            <w:tcW w:w="1008" w:type="dxa"/>
            <w:tcBorders>
              <w:top w:val="nil"/>
              <w:left w:val="nil"/>
              <w:bottom w:val="nil"/>
              <w:right w:val="nil"/>
            </w:tcBorders>
            <w:shd w:val="clear" w:color="auto" w:fill="auto"/>
            <w:noWrap/>
            <w:vAlign w:val="bottom"/>
            <w:hideMark/>
          </w:tcPr>
          <w:p w:rsidR="00954848" w:rsidRPr="00526614" w:rsidRDefault="00954848" w:rsidP="00954848">
            <w:pPr>
              <w:jc w:val="center"/>
              <w:rPr>
                <w:sz w:val="20"/>
                <w:szCs w:val="20"/>
              </w:rPr>
            </w:pPr>
            <w:r w:rsidRPr="00526614">
              <w:rPr>
                <w:sz w:val="20"/>
                <w:szCs w:val="20"/>
              </w:rPr>
              <w:t>1</w:t>
            </w:r>
          </w:p>
        </w:tc>
        <w:tc>
          <w:tcPr>
            <w:tcW w:w="1008" w:type="dxa"/>
            <w:tcBorders>
              <w:top w:val="nil"/>
              <w:left w:val="nil"/>
              <w:bottom w:val="nil"/>
              <w:right w:val="nil"/>
            </w:tcBorders>
            <w:shd w:val="clear" w:color="auto" w:fill="auto"/>
            <w:noWrap/>
            <w:vAlign w:val="bottom"/>
            <w:hideMark/>
          </w:tcPr>
          <w:p w:rsidR="00954848" w:rsidRPr="00526614" w:rsidRDefault="00954848" w:rsidP="00954848">
            <w:pPr>
              <w:jc w:val="center"/>
              <w:rPr>
                <w:sz w:val="20"/>
                <w:szCs w:val="20"/>
              </w:rPr>
            </w:pPr>
            <w:r w:rsidRPr="00526614">
              <w:rPr>
                <w:sz w:val="20"/>
                <w:szCs w:val="20"/>
              </w:rPr>
              <w:t>0</w:t>
            </w:r>
          </w:p>
        </w:tc>
        <w:tc>
          <w:tcPr>
            <w:tcW w:w="1008" w:type="dxa"/>
            <w:tcBorders>
              <w:top w:val="nil"/>
              <w:left w:val="nil"/>
              <w:bottom w:val="nil"/>
              <w:right w:val="nil"/>
            </w:tcBorders>
            <w:shd w:val="clear" w:color="auto" w:fill="auto"/>
            <w:noWrap/>
            <w:vAlign w:val="bottom"/>
            <w:hideMark/>
          </w:tcPr>
          <w:p w:rsidR="00954848" w:rsidRPr="00526614" w:rsidRDefault="00954848" w:rsidP="00954848">
            <w:pPr>
              <w:jc w:val="center"/>
              <w:rPr>
                <w:sz w:val="20"/>
                <w:szCs w:val="20"/>
              </w:rPr>
            </w:pPr>
            <w:r w:rsidRPr="00526614">
              <w:rPr>
                <w:sz w:val="20"/>
                <w:szCs w:val="20"/>
              </w:rPr>
              <w:t>0</w:t>
            </w:r>
          </w:p>
        </w:tc>
        <w:tc>
          <w:tcPr>
            <w:tcW w:w="1008" w:type="dxa"/>
            <w:tcBorders>
              <w:top w:val="nil"/>
              <w:left w:val="nil"/>
              <w:bottom w:val="nil"/>
              <w:right w:val="nil"/>
            </w:tcBorders>
            <w:shd w:val="clear" w:color="auto" w:fill="auto"/>
            <w:noWrap/>
            <w:vAlign w:val="bottom"/>
            <w:hideMark/>
          </w:tcPr>
          <w:p w:rsidR="00954848" w:rsidRPr="00526614" w:rsidRDefault="00954848" w:rsidP="00954848">
            <w:pPr>
              <w:jc w:val="center"/>
              <w:rPr>
                <w:sz w:val="20"/>
                <w:szCs w:val="20"/>
              </w:rPr>
            </w:pPr>
            <w:r w:rsidRPr="00526614">
              <w:rPr>
                <w:sz w:val="20"/>
                <w:szCs w:val="20"/>
              </w:rPr>
              <w:t>(6)</w:t>
            </w:r>
          </w:p>
        </w:tc>
        <w:tc>
          <w:tcPr>
            <w:tcW w:w="1008" w:type="dxa"/>
            <w:tcBorders>
              <w:top w:val="nil"/>
              <w:left w:val="nil"/>
              <w:bottom w:val="nil"/>
              <w:right w:val="nil"/>
            </w:tcBorders>
            <w:shd w:val="clear" w:color="auto" w:fill="auto"/>
            <w:noWrap/>
            <w:vAlign w:val="bottom"/>
            <w:hideMark/>
          </w:tcPr>
          <w:p w:rsidR="00954848" w:rsidRPr="00526614" w:rsidRDefault="00954848" w:rsidP="00954848">
            <w:pPr>
              <w:jc w:val="center"/>
              <w:rPr>
                <w:sz w:val="20"/>
                <w:szCs w:val="20"/>
              </w:rPr>
            </w:pPr>
            <w:r w:rsidRPr="00526614">
              <w:rPr>
                <w:sz w:val="20"/>
                <w:szCs w:val="20"/>
              </w:rPr>
              <w:t>3</w:t>
            </w:r>
          </w:p>
        </w:tc>
      </w:tr>
    </w:tbl>
    <w:p w:rsidR="007D48B9" w:rsidRPr="00286C0E" w:rsidRDefault="007D48B9" w:rsidP="001962F4">
      <w:pPr>
        <w:spacing w:after="240"/>
        <w:rPr>
          <w:highlight w:val="yellow"/>
        </w:rPr>
      </w:pPr>
    </w:p>
    <w:p w:rsidR="00013DB7" w:rsidRPr="00286C0E" w:rsidRDefault="00013DB7" w:rsidP="002C415D">
      <w:pPr>
        <w:spacing w:after="240"/>
        <w:ind w:left="360" w:firstLine="360"/>
        <w:rPr>
          <w:highlight w:val="yellow"/>
        </w:rPr>
      </w:pPr>
    </w:p>
    <w:p w:rsidR="00507600" w:rsidRPr="00D6238B" w:rsidRDefault="00507600" w:rsidP="007114A4">
      <w:pPr>
        <w:spacing w:after="240"/>
      </w:pPr>
    </w:p>
    <w:p w:rsidR="00A1169B" w:rsidRPr="00D6238B" w:rsidRDefault="00A1169B" w:rsidP="00BD07E4">
      <w:pPr>
        <w:numPr>
          <w:ilvl w:val="0"/>
          <w:numId w:val="21"/>
        </w:numPr>
        <w:spacing w:after="240"/>
        <w:rPr>
          <w:b/>
        </w:rPr>
      </w:pPr>
      <w:r w:rsidRPr="00D6238B">
        <w:rPr>
          <w:b/>
        </w:rPr>
        <w:t>Events after the balance sheet date</w:t>
      </w:r>
    </w:p>
    <w:p w:rsidR="00C62640" w:rsidRPr="00D6238B" w:rsidRDefault="00C62640" w:rsidP="00C62640">
      <w:pPr>
        <w:spacing w:after="240"/>
        <w:ind w:left="360"/>
        <w:rPr>
          <w:b/>
        </w:rPr>
      </w:pPr>
      <w:r w:rsidRPr="00D6238B">
        <w:rPr>
          <w:b/>
        </w:rPr>
        <w:t xml:space="preserve">      Date on which the Financial Statement were authorised for issue</w:t>
      </w:r>
    </w:p>
    <w:p w:rsidR="00D6238B" w:rsidRDefault="00D6238B" w:rsidP="00D6238B">
      <w:pPr>
        <w:spacing w:after="240"/>
        <w:ind w:left="720"/>
      </w:pPr>
      <w:r>
        <w:t xml:space="preserve">The Statement of Accounts was authorised for issue by the County Treasurer on 28 June 2012. Events taking place after this date are not reflected in the financial statements or notes. Where events taking place before this date provided information about conditions existing at 31 March 2012, the figures in the financial statements and notes have been adjusted in all material respects to reflect the impact of this information. </w:t>
      </w:r>
    </w:p>
    <w:p w:rsidR="00F42C1F" w:rsidRDefault="00F42C1F" w:rsidP="00875351">
      <w:pPr>
        <w:spacing w:after="240"/>
        <w:rPr>
          <w:highlight w:val="yellow"/>
        </w:rPr>
      </w:pPr>
    </w:p>
    <w:p w:rsidR="00F42C1F" w:rsidRPr="00286C0E" w:rsidRDefault="00F42C1F" w:rsidP="00875351">
      <w:pPr>
        <w:spacing w:after="240"/>
        <w:rPr>
          <w:highlight w:val="yellow"/>
        </w:rPr>
      </w:pPr>
    </w:p>
    <w:p w:rsidR="00D57B34" w:rsidRPr="00286C0E" w:rsidRDefault="00D57B34" w:rsidP="00D57B34">
      <w:pPr>
        <w:rPr>
          <w:highlight w:val="yellow"/>
        </w:rPr>
      </w:pPr>
    </w:p>
    <w:p w:rsidR="00811649" w:rsidRDefault="00811649">
      <w:pPr>
        <w:rPr>
          <w:highlight w:val="yellow"/>
        </w:rPr>
      </w:pPr>
      <w:r>
        <w:rPr>
          <w:highlight w:val="yellow"/>
        </w:rPr>
        <w:br w:type="page"/>
      </w:r>
    </w:p>
    <w:p w:rsidR="00D57B34" w:rsidRPr="00286C0E" w:rsidRDefault="00D57B34" w:rsidP="00D57B34">
      <w:pPr>
        <w:rPr>
          <w:highlight w:val="yellow"/>
        </w:rPr>
      </w:pPr>
    </w:p>
    <w:p w:rsidR="00EC02E6" w:rsidRPr="00811649" w:rsidRDefault="00854D47" w:rsidP="00811649">
      <w:pPr>
        <w:pStyle w:val="Heading1"/>
      </w:pPr>
      <w:r w:rsidRPr="00811649">
        <w:t>Other Fund and Reserves</w:t>
      </w:r>
    </w:p>
    <w:p w:rsidR="00B7750F" w:rsidRPr="00212872" w:rsidRDefault="00B7750F" w:rsidP="00B7750F">
      <w:pPr>
        <w:rPr>
          <w:b/>
        </w:rPr>
      </w:pPr>
    </w:p>
    <w:p w:rsidR="00A1169B" w:rsidRPr="00212872" w:rsidRDefault="00A1169B" w:rsidP="00C574E1">
      <w:pPr>
        <w:spacing w:after="240"/>
        <w:ind w:firstLine="720"/>
      </w:pPr>
      <w:r w:rsidRPr="00212872">
        <w:rPr>
          <w:b/>
        </w:rPr>
        <w:t>Trust and special funds</w:t>
      </w:r>
    </w:p>
    <w:p w:rsidR="00A1169B" w:rsidRPr="00212872" w:rsidRDefault="00A1169B" w:rsidP="00C23DCD">
      <w:pPr>
        <w:spacing w:after="240"/>
        <w:ind w:left="720"/>
        <w:jc w:val="both"/>
      </w:pPr>
      <w:r w:rsidRPr="00212872">
        <w:t>We manage several small trust and special funds. Most of the trust funds have been set up as a result of gifts and bequests to be used for the benefit of children, students or clients at a particular school, college or home, or in a specific area.</w:t>
      </w:r>
    </w:p>
    <w:p w:rsidR="00A1169B" w:rsidRPr="00212872" w:rsidRDefault="00A1169B" w:rsidP="00C23DCD">
      <w:pPr>
        <w:spacing w:after="240"/>
        <w:ind w:left="720"/>
        <w:jc w:val="both"/>
      </w:pPr>
      <w:r w:rsidRPr="00212872">
        <w:t>Each fund balance is invested in line with the terms of the relevant trust deed. The annual income is used to meet the aims of the trust, for example by providing school prizes.</w:t>
      </w:r>
    </w:p>
    <w:p w:rsidR="00A1169B" w:rsidRPr="00212872" w:rsidRDefault="00A1169B" w:rsidP="00C23DCD">
      <w:pPr>
        <w:spacing w:after="240"/>
        <w:ind w:left="720"/>
        <w:jc w:val="both"/>
      </w:pPr>
      <w:r w:rsidRPr="00212872">
        <w:t>The capital accounts in the table below show the value of the investment money that has been bequeathed.</w:t>
      </w:r>
    </w:p>
    <w:p w:rsidR="00A1169B" w:rsidRPr="00212872" w:rsidRDefault="00A1169B" w:rsidP="00C23DCD">
      <w:pPr>
        <w:spacing w:after="240"/>
        <w:ind w:left="720"/>
        <w:jc w:val="both"/>
      </w:pPr>
      <w:r w:rsidRPr="00212872">
        <w:t>The revenue accounts record the day-to-day transactions of the funds, including income earned from investments and payments made to beneficiaries.</w:t>
      </w:r>
    </w:p>
    <w:p w:rsidR="00A1169B" w:rsidRDefault="00A1169B" w:rsidP="00C23DCD">
      <w:pPr>
        <w:spacing w:after="240"/>
        <w:ind w:left="720"/>
        <w:jc w:val="both"/>
      </w:pPr>
      <w:r w:rsidRPr="00212872">
        <w:t>The movements on fund balances are summarised below.</w:t>
      </w:r>
    </w:p>
    <w:tbl>
      <w:tblPr>
        <w:tblW w:w="8995" w:type="dxa"/>
        <w:tblInd w:w="93" w:type="dxa"/>
        <w:tblLook w:val="04A0"/>
      </w:tblPr>
      <w:tblGrid>
        <w:gridCol w:w="2508"/>
        <w:gridCol w:w="1454"/>
        <w:gridCol w:w="1642"/>
        <w:gridCol w:w="939"/>
        <w:gridCol w:w="1071"/>
        <w:gridCol w:w="1381"/>
      </w:tblGrid>
      <w:tr w:rsidR="004B4068" w:rsidRPr="00212872" w:rsidTr="004B4068">
        <w:trPr>
          <w:trHeight w:val="228"/>
        </w:trPr>
        <w:tc>
          <w:tcPr>
            <w:tcW w:w="2508"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454" w:type="dxa"/>
            <w:tcBorders>
              <w:top w:val="nil"/>
              <w:left w:val="nil"/>
              <w:bottom w:val="nil"/>
              <w:right w:val="nil"/>
            </w:tcBorders>
            <w:vAlign w:val="bottom"/>
          </w:tcPr>
          <w:p w:rsidR="004B4068" w:rsidRPr="00212872" w:rsidRDefault="004B4068" w:rsidP="00EE236C">
            <w:pPr>
              <w:jc w:val="center"/>
              <w:rPr>
                <w:b/>
                <w:bCs/>
                <w:sz w:val="20"/>
                <w:szCs w:val="20"/>
              </w:rPr>
            </w:pPr>
            <w:r w:rsidRPr="00212872">
              <w:rPr>
                <w:b/>
                <w:bCs/>
                <w:sz w:val="20"/>
                <w:szCs w:val="20"/>
              </w:rPr>
              <w:t>Adult and</w:t>
            </w:r>
          </w:p>
        </w:tc>
        <w:tc>
          <w:tcPr>
            <w:tcW w:w="1642" w:type="dxa"/>
            <w:tcBorders>
              <w:top w:val="nil"/>
              <w:left w:val="nil"/>
              <w:bottom w:val="nil"/>
              <w:right w:val="nil"/>
            </w:tcBorders>
            <w:shd w:val="clear" w:color="auto" w:fill="auto"/>
            <w:noWrap/>
            <w:vAlign w:val="bottom"/>
            <w:hideMark/>
          </w:tcPr>
          <w:p w:rsidR="004B4068" w:rsidRPr="00212872" w:rsidRDefault="004B4068" w:rsidP="00212872">
            <w:pPr>
              <w:jc w:val="center"/>
              <w:rPr>
                <w:b/>
                <w:bCs/>
                <w:sz w:val="20"/>
                <w:szCs w:val="20"/>
              </w:rPr>
            </w:pPr>
            <w:r w:rsidRPr="00212872">
              <w:rPr>
                <w:b/>
                <w:bCs/>
                <w:sz w:val="20"/>
                <w:szCs w:val="20"/>
              </w:rPr>
              <w:t>Children and</w:t>
            </w:r>
          </w:p>
        </w:tc>
        <w:tc>
          <w:tcPr>
            <w:tcW w:w="939" w:type="dxa"/>
            <w:tcBorders>
              <w:top w:val="nil"/>
              <w:left w:val="nil"/>
              <w:bottom w:val="nil"/>
              <w:right w:val="nil"/>
            </w:tcBorders>
            <w:shd w:val="clear" w:color="auto" w:fill="auto"/>
            <w:noWrap/>
            <w:vAlign w:val="bottom"/>
            <w:hideMark/>
          </w:tcPr>
          <w:p w:rsidR="004B4068" w:rsidRPr="00212872" w:rsidRDefault="004B4068" w:rsidP="00323610">
            <w:pPr>
              <w:jc w:val="center"/>
              <w:rPr>
                <w:b/>
                <w:bCs/>
                <w:sz w:val="20"/>
                <w:szCs w:val="20"/>
              </w:rPr>
            </w:pPr>
            <w:r w:rsidRPr="00212872">
              <w:rPr>
                <w:b/>
                <w:bCs/>
                <w:sz w:val="20"/>
                <w:szCs w:val="20"/>
              </w:rPr>
              <w:t>Other</w:t>
            </w:r>
          </w:p>
        </w:tc>
        <w:tc>
          <w:tcPr>
            <w:tcW w:w="1071" w:type="dxa"/>
            <w:tcBorders>
              <w:top w:val="nil"/>
              <w:left w:val="nil"/>
              <w:bottom w:val="nil"/>
              <w:right w:val="nil"/>
            </w:tcBorders>
            <w:shd w:val="clear" w:color="auto" w:fill="auto"/>
            <w:noWrap/>
            <w:vAlign w:val="bottom"/>
            <w:hideMark/>
          </w:tcPr>
          <w:p w:rsidR="004B4068" w:rsidRPr="00212872" w:rsidRDefault="004B4068" w:rsidP="00212872">
            <w:pPr>
              <w:jc w:val="center"/>
              <w:rPr>
                <w:b/>
                <w:bCs/>
                <w:sz w:val="20"/>
                <w:szCs w:val="20"/>
              </w:rPr>
            </w:pPr>
            <w:r w:rsidRPr="00212872">
              <w:rPr>
                <w:b/>
                <w:bCs/>
                <w:sz w:val="20"/>
                <w:szCs w:val="20"/>
              </w:rPr>
              <w:t>Total</w:t>
            </w:r>
          </w:p>
        </w:tc>
        <w:tc>
          <w:tcPr>
            <w:tcW w:w="1381" w:type="dxa"/>
            <w:tcBorders>
              <w:top w:val="nil"/>
              <w:left w:val="nil"/>
              <w:bottom w:val="nil"/>
              <w:right w:val="nil"/>
            </w:tcBorders>
            <w:shd w:val="clear" w:color="auto" w:fill="auto"/>
            <w:noWrap/>
            <w:vAlign w:val="bottom"/>
            <w:hideMark/>
          </w:tcPr>
          <w:p w:rsidR="004B4068" w:rsidRPr="00212872" w:rsidRDefault="004B4068" w:rsidP="00212872">
            <w:pPr>
              <w:jc w:val="center"/>
              <w:rPr>
                <w:b/>
                <w:bCs/>
                <w:sz w:val="20"/>
                <w:szCs w:val="20"/>
              </w:rPr>
            </w:pPr>
            <w:r w:rsidRPr="00212872">
              <w:rPr>
                <w:b/>
                <w:bCs/>
                <w:sz w:val="20"/>
                <w:szCs w:val="20"/>
              </w:rPr>
              <w:t>Total</w:t>
            </w:r>
          </w:p>
        </w:tc>
      </w:tr>
      <w:tr w:rsidR="004B4068" w:rsidRPr="00212872" w:rsidTr="004B4068">
        <w:trPr>
          <w:trHeight w:val="228"/>
        </w:trPr>
        <w:tc>
          <w:tcPr>
            <w:tcW w:w="2508"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454" w:type="dxa"/>
            <w:tcBorders>
              <w:top w:val="nil"/>
              <w:left w:val="nil"/>
              <w:bottom w:val="nil"/>
              <w:right w:val="nil"/>
            </w:tcBorders>
            <w:vAlign w:val="bottom"/>
          </w:tcPr>
          <w:p w:rsidR="004B4068" w:rsidRPr="00212872" w:rsidRDefault="004B4068" w:rsidP="00EE236C">
            <w:pPr>
              <w:jc w:val="center"/>
              <w:rPr>
                <w:b/>
                <w:bCs/>
                <w:sz w:val="20"/>
                <w:szCs w:val="20"/>
              </w:rPr>
            </w:pPr>
            <w:r w:rsidRPr="00212872">
              <w:rPr>
                <w:b/>
                <w:bCs/>
                <w:sz w:val="20"/>
                <w:szCs w:val="20"/>
              </w:rPr>
              <w:t>Community</w:t>
            </w:r>
          </w:p>
        </w:tc>
        <w:tc>
          <w:tcPr>
            <w:tcW w:w="1642" w:type="dxa"/>
            <w:tcBorders>
              <w:top w:val="nil"/>
              <w:left w:val="nil"/>
              <w:bottom w:val="nil"/>
              <w:right w:val="nil"/>
            </w:tcBorders>
            <w:shd w:val="clear" w:color="auto" w:fill="auto"/>
            <w:noWrap/>
            <w:vAlign w:val="bottom"/>
            <w:hideMark/>
          </w:tcPr>
          <w:p w:rsidR="004B4068" w:rsidRPr="00212872" w:rsidRDefault="004B4068" w:rsidP="00212872">
            <w:pPr>
              <w:rPr>
                <w:b/>
                <w:bCs/>
                <w:sz w:val="20"/>
                <w:szCs w:val="20"/>
              </w:rPr>
            </w:pPr>
            <w:r w:rsidRPr="00212872">
              <w:rPr>
                <w:b/>
                <w:bCs/>
                <w:sz w:val="20"/>
                <w:szCs w:val="20"/>
              </w:rPr>
              <w:t>Young People</w:t>
            </w:r>
          </w:p>
        </w:tc>
        <w:tc>
          <w:tcPr>
            <w:tcW w:w="939" w:type="dxa"/>
            <w:tcBorders>
              <w:top w:val="nil"/>
              <w:left w:val="nil"/>
              <w:bottom w:val="nil"/>
              <w:right w:val="nil"/>
            </w:tcBorders>
            <w:shd w:val="clear" w:color="auto" w:fill="auto"/>
            <w:noWrap/>
            <w:vAlign w:val="bottom"/>
            <w:hideMark/>
          </w:tcPr>
          <w:p w:rsidR="004B4068" w:rsidRPr="00212872" w:rsidRDefault="004B4068" w:rsidP="00212872">
            <w:pPr>
              <w:rPr>
                <w:b/>
                <w:bCs/>
                <w:sz w:val="20"/>
                <w:szCs w:val="20"/>
              </w:rPr>
            </w:pPr>
          </w:p>
        </w:tc>
        <w:tc>
          <w:tcPr>
            <w:tcW w:w="1071" w:type="dxa"/>
            <w:tcBorders>
              <w:top w:val="nil"/>
              <w:left w:val="nil"/>
              <w:bottom w:val="nil"/>
              <w:right w:val="nil"/>
            </w:tcBorders>
            <w:shd w:val="clear" w:color="auto" w:fill="auto"/>
            <w:noWrap/>
            <w:vAlign w:val="bottom"/>
            <w:hideMark/>
          </w:tcPr>
          <w:p w:rsidR="004B4068" w:rsidRPr="00212872" w:rsidRDefault="004B4068" w:rsidP="00212872">
            <w:pPr>
              <w:rPr>
                <w:b/>
                <w:bCs/>
                <w:sz w:val="20"/>
                <w:szCs w:val="20"/>
              </w:rPr>
            </w:pPr>
          </w:p>
        </w:tc>
        <w:tc>
          <w:tcPr>
            <w:tcW w:w="1381" w:type="dxa"/>
            <w:tcBorders>
              <w:top w:val="nil"/>
              <w:left w:val="nil"/>
              <w:bottom w:val="nil"/>
              <w:right w:val="nil"/>
            </w:tcBorders>
            <w:shd w:val="clear" w:color="auto" w:fill="auto"/>
            <w:noWrap/>
            <w:vAlign w:val="bottom"/>
            <w:hideMark/>
          </w:tcPr>
          <w:p w:rsidR="004B4068" w:rsidRPr="00212872" w:rsidRDefault="004B4068" w:rsidP="00212872">
            <w:pPr>
              <w:rPr>
                <w:b/>
                <w:bCs/>
                <w:sz w:val="20"/>
                <w:szCs w:val="20"/>
              </w:rPr>
            </w:pPr>
          </w:p>
        </w:tc>
      </w:tr>
      <w:tr w:rsidR="004B4068" w:rsidRPr="00212872" w:rsidTr="004B4068">
        <w:trPr>
          <w:trHeight w:val="228"/>
        </w:trPr>
        <w:tc>
          <w:tcPr>
            <w:tcW w:w="2508"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454" w:type="dxa"/>
            <w:tcBorders>
              <w:top w:val="nil"/>
              <w:left w:val="nil"/>
              <w:bottom w:val="nil"/>
              <w:right w:val="nil"/>
            </w:tcBorders>
            <w:vAlign w:val="bottom"/>
          </w:tcPr>
          <w:p w:rsidR="004B4068" w:rsidRPr="00212872" w:rsidRDefault="004B4068" w:rsidP="00EE236C">
            <w:pPr>
              <w:jc w:val="center"/>
              <w:rPr>
                <w:b/>
                <w:bCs/>
                <w:sz w:val="20"/>
                <w:szCs w:val="20"/>
              </w:rPr>
            </w:pPr>
            <w:r w:rsidRPr="00212872">
              <w:rPr>
                <w:b/>
                <w:bCs/>
                <w:sz w:val="20"/>
                <w:szCs w:val="20"/>
              </w:rPr>
              <w:t>Services</w:t>
            </w:r>
          </w:p>
        </w:tc>
        <w:tc>
          <w:tcPr>
            <w:tcW w:w="1642" w:type="dxa"/>
            <w:tcBorders>
              <w:top w:val="nil"/>
              <w:left w:val="nil"/>
              <w:bottom w:val="nil"/>
              <w:right w:val="nil"/>
            </w:tcBorders>
            <w:shd w:val="clear" w:color="auto" w:fill="auto"/>
            <w:noWrap/>
            <w:vAlign w:val="bottom"/>
            <w:hideMark/>
          </w:tcPr>
          <w:p w:rsidR="004B4068" w:rsidRPr="00212872" w:rsidRDefault="004B4068" w:rsidP="00212872">
            <w:pPr>
              <w:rPr>
                <w:b/>
                <w:bCs/>
                <w:sz w:val="20"/>
                <w:szCs w:val="20"/>
              </w:rPr>
            </w:pPr>
          </w:p>
        </w:tc>
        <w:tc>
          <w:tcPr>
            <w:tcW w:w="939" w:type="dxa"/>
            <w:tcBorders>
              <w:top w:val="nil"/>
              <w:left w:val="nil"/>
              <w:bottom w:val="nil"/>
              <w:right w:val="nil"/>
            </w:tcBorders>
            <w:shd w:val="clear" w:color="auto" w:fill="auto"/>
            <w:noWrap/>
            <w:vAlign w:val="bottom"/>
            <w:hideMark/>
          </w:tcPr>
          <w:p w:rsidR="004B4068" w:rsidRPr="00212872" w:rsidRDefault="004B4068" w:rsidP="00212872">
            <w:pPr>
              <w:rPr>
                <w:b/>
                <w:bCs/>
                <w:sz w:val="20"/>
                <w:szCs w:val="20"/>
              </w:rPr>
            </w:pPr>
          </w:p>
        </w:tc>
        <w:tc>
          <w:tcPr>
            <w:tcW w:w="1071" w:type="dxa"/>
            <w:tcBorders>
              <w:top w:val="nil"/>
              <w:left w:val="nil"/>
              <w:bottom w:val="nil"/>
              <w:right w:val="nil"/>
            </w:tcBorders>
            <w:shd w:val="clear" w:color="auto" w:fill="auto"/>
            <w:noWrap/>
            <w:vAlign w:val="bottom"/>
            <w:hideMark/>
          </w:tcPr>
          <w:p w:rsidR="004B4068" w:rsidRPr="00212872" w:rsidRDefault="004B4068" w:rsidP="00212872">
            <w:pPr>
              <w:rPr>
                <w:b/>
                <w:bCs/>
                <w:sz w:val="20"/>
                <w:szCs w:val="20"/>
              </w:rPr>
            </w:pPr>
          </w:p>
        </w:tc>
        <w:tc>
          <w:tcPr>
            <w:tcW w:w="1381" w:type="dxa"/>
            <w:tcBorders>
              <w:top w:val="nil"/>
              <w:left w:val="nil"/>
              <w:bottom w:val="nil"/>
              <w:right w:val="nil"/>
            </w:tcBorders>
            <w:shd w:val="clear" w:color="auto" w:fill="auto"/>
            <w:noWrap/>
            <w:vAlign w:val="bottom"/>
            <w:hideMark/>
          </w:tcPr>
          <w:p w:rsidR="004B4068" w:rsidRPr="00212872" w:rsidRDefault="004B4068" w:rsidP="00212872">
            <w:pPr>
              <w:rPr>
                <w:b/>
                <w:bCs/>
                <w:sz w:val="20"/>
                <w:szCs w:val="20"/>
              </w:rPr>
            </w:pPr>
          </w:p>
        </w:tc>
      </w:tr>
      <w:tr w:rsidR="004B4068" w:rsidRPr="00212872" w:rsidTr="004B4068">
        <w:trPr>
          <w:trHeight w:val="228"/>
        </w:trPr>
        <w:tc>
          <w:tcPr>
            <w:tcW w:w="2508"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454" w:type="dxa"/>
            <w:tcBorders>
              <w:top w:val="nil"/>
              <w:left w:val="nil"/>
              <w:bottom w:val="nil"/>
              <w:right w:val="nil"/>
            </w:tcBorders>
            <w:vAlign w:val="bottom"/>
          </w:tcPr>
          <w:p w:rsidR="004B4068" w:rsidRDefault="004B4068" w:rsidP="00EE236C">
            <w:pPr>
              <w:jc w:val="center"/>
              <w:rPr>
                <w:b/>
                <w:bCs/>
                <w:sz w:val="20"/>
                <w:szCs w:val="20"/>
              </w:rPr>
            </w:pPr>
            <w:r>
              <w:rPr>
                <w:b/>
                <w:bCs/>
                <w:sz w:val="20"/>
                <w:szCs w:val="20"/>
              </w:rPr>
              <w:t>2011/12</w:t>
            </w:r>
          </w:p>
          <w:p w:rsidR="004B4068" w:rsidRPr="00212872" w:rsidRDefault="004B4068" w:rsidP="00EE236C">
            <w:pPr>
              <w:jc w:val="center"/>
              <w:rPr>
                <w:b/>
                <w:bCs/>
                <w:sz w:val="20"/>
                <w:szCs w:val="20"/>
              </w:rPr>
            </w:pPr>
            <w:r w:rsidRPr="00212872">
              <w:rPr>
                <w:b/>
                <w:bCs/>
                <w:sz w:val="20"/>
                <w:szCs w:val="20"/>
              </w:rPr>
              <w:t>£</w:t>
            </w:r>
          </w:p>
        </w:tc>
        <w:tc>
          <w:tcPr>
            <w:tcW w:w="1642" w:type="dxa"/>
            <w:tcBorders>
              <w:top w:val="nil"/>
              <w:left w:val="nil"/>
              <w:bottom w:val="nil"/>
              <w:right w:val="nil"/>
            </w:tcBorders>
            <w:shd w:val="clear" w:color="auto" w:fill="auto"/>
            <w:noWrap/>
            <w:vAlign w:val="bottom"/>
            <w:hideMark/>
          </w:tcPr>
          <w:p w:rsidR="004B4068" w:rsidRDefault="004B4068" w:rsidP="00212872">
            <w:pPr>
              <w:jc w:val="center"/>
              <w:rPr>
                <w:b/>
                <w:bCs/>
                <w:sz w:val="20"/>
                <w:szCs w:val="20"/>
              </w:rPr>
            </w:pPr>
            <w:r>
              <w:rPr>
                <w:b/>
                <w:bCs/>
                <w:sz w:val="20"/>
                <w:szCs w:val="20"/>
              </w:rPr>
              <w:t>2011/12</w:t>
            </w:r>
          </w:p>
          <w:p w:rsidR="004B4068" w:rsidRPr="00212872" w:rsidRDefault="004B4068" w:rsidP="00212872">
            <w:pPr>
              <w:jc w:val="center"/>
              <w:rPr>
                <w:b/>
                <w:bCs/>
                <w:sz w:val="20"/>
                <w:szCs w:val="20"/>
              </w:rPr>
            </w:pPr>
            <w:r w:rsidRPr="00212872">
              <w:rPr>
                <w:b/>
                <w:bCs/>
                <w:sz w:val="20"/>
                <w:szCs w:val="20"/>
              </w:rPr>
              <w:t>£</w:t>
            </w:r>
          </w:p>
        </w:tc>
        <w:tc>
          <w:tcPr>
            <w:tcW w:w="939" w:type="dxa"/>
            <w:tcBorders>
              <w:top w:val="nil"/>
              <w:left w:val="nil"/>
              <w:bottom w:val="nil"/>
              <w:right w:val="nil"/>
            </w:tcBorders>
            <w:shd w:val="clear" w:color="auto" w:fill="auto"/>
            <w:noWrap/>
            <w:vAlign w:val="bottom"/>
            <w:hideMark/>
          </w:tcPr>
          <w:p w:rsidR="004B4068" w:rsidRDefault="004B4068" w:rsidP="00212872">
            <w:pPr>
              <w:jc w:val="center"/>
              <w:rPr>
                <w:b/>
                <w:bCs/>
                <w:sz w:val="20"/>
                <w:szCs w:val="20"/>
              </w:rPr>
            </w:pPr>
            <w:r>
              <w:rPr>
                <w:b/>
                <w:bCs/>
                <w:sz w:val="20"/>
                <w:szCs w:val="20"/>
              </w:rPr>
              <w:t>2011/12</w:t>
            </w:r>
          </w:p>
          <w:p w:rsidR="004B4068" w:rsidRPr="00212872" w:rsidRDefault="004B4068" w:rsidP="00212872">
            <w:pPr>
              <w:jc w:val="center"/>
              <w:rPr>
                <w:b/>
                <w:bCs/>
                <w:sz w:val="20"/>
                <w:szCs w:val="20"/>
              </w:rPr>
            </w:pPr>
            <w:r w:rsidRPr="00212872">
              <w:rPr>
                <w:b/>
                <w:bCs/>
                <w:sz w:val="20"/>
                <w:szCs w:val="20"/>
              </w:rPr>
              <w:t>£</w:t>
            </w:r>
          </w:p>
        </w:tc>
        <w:tc>
          <w:tcPr>
            <w:tcW w:w="1071" w:type="dxa"/>
            <w:tcBorders>
              <w:top w:val="nil"/>
              <w:left w:val="nil"/>
              <w:bottom w:val="nil"/>
              <w:right w:val="nil"/>
            </w:tcBorders>
            <w:shd w:val="clear" w:color="auto" w:fill="auto"/>
            <w:noWrap/>
            <w:vAlign w:val="bottom"/>
            <w:hideMark/>
          </w:tcPr>
          <w:p w:rsidR="004B4068" w:rsidRDefault="004B4068" w:rsidP="00212872">
            <w:pPr>
              <w:jc w:val="center"/>
              <w:rPr>
                <w:b/>
                <w:bCs/>
                <w:sz w:val="20"/>
                <w:szCs w:val="20"/>
              </w:rPr>
            </w:pPr>
            <w:r>
              <w:rPr>
                <w:b/>
                <w:bCs/>
                <w:sz w:val="20"/>
                <w:szCs w:val="20"/>
              </w:rPr>
              <w:t>2011/12</w:t>
            </w:r>
          </w:p>
          <w:p w:rsidR="004B4068" w:rsidRPr="00212872" w:rsidRDefault="004B4068" w:rsidP="00212872">
            <w:pPr>
              <w:jc w:val="center"/>
              <w:rPr>
                <w:b/>
                <w:bCs/>
                <w:sz w:val="20"/>
                <w:szCs w:val="20"/>
              </w:rPr>
            </w:pPr>
            <w:r w:rsidRPr="00212872">
              <w:rPr>
                <w:b/>
                <w:bCs/>
                <w:sz w:val="20"/>
                <w:szCs w:val="20"/>
              </w:rPr>
              <w:t>£</w:t>
            </w:r>
          </w:p>
        </w:tc>
        <w:tc>
          <w:tcPr>
            <w:tcW w:w="1381" w:type="dxa"/>
            <w:tcBorders>
              <w:top w:val="nil"/>
              <w:left w:val="nil"/>
              <w:bottom w:val="nil"/>
              <w:right w:val="nil"/>
            </w:tcBorders>
            <w:shd w:val="clear" w:color="auto" w:fill="auto"/>
            <w:noWrap/>
            <w:vAlign w:val="bottom"/>
            <w:hideMark/>
          </w:tcPr>
          <w:p w:rsidR="004B4068" w:rsidRDefault="004B4068" w:rsidP="00212872">
            <w:pPr>
              <w:jc w:val="center"/>
              <w:rPr>
                <w:b/>
                <w:bCs/>
                <w:sz w:val="20"/>
                <w:szCs w:val="20"/>
              </w:rPr>
            </w:pPr>
            <w:r>
              <w:rPr>
                <w:b/>
                <w:bCs/>
                <w:sz w:val="20"/>
                <w:szCs w:val="20"/>
              </w:rPr>
              <w:t>2010/11</w:t>
            </w:r>
          </w:p>
          <w:p w:rsidR="004B4068" w:rsidRPr="00212872" w:rsidRDefault="004B4068" w:rsidP="00212872">
            <w:pPr>
              <w:jc w:val="center"/>
              <w:rPr>
                <w:b/>
                <w:bCs/>
                <w:sz w:val="20"/>
                <w:szCs w:val="20"/>
              </w:rPr>
            </w:pPr>
            <w:r w:rsidRPr="00212872">
              <w:rPr>
                <w:b/>
                <w:bCs/>
                <w:sz w:val="20"/>
                <w:szCs w:val="20"/>
              </w:rPr>
              <w:t>£</w:t>
            </w:r>
          </w:p>
        </w:tc>
      </w:tr>
      <w:tr w:rsidR="004B4068" w:rsidRPr="00212872" w:rsidTr="004B4068">
        <w:trPr>
          <w:trHeight w:val="228"/>
        </w:trPr>
        <w:tc>
          <w:tcPr>
            <w:tcW w:w="2508"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454" w:type="dxa"/>
            <w:tcBorders>
              <w:top w:val="nil"/>
              <w:left w:val="nil"/>
              <w:bottom w:val="nil"/>
              <w:right w:val="nil"/>
            </w:tcBorders>
            <w:vAlign w:val="bottom"/>
          </w:tcPr>
          <w:p w:rsidR="004B4068" w:rsidRPr="00212872" w:rsidRDefault="004B4068" w:rsidP="00EE236C">
            <w:pPr>
              <w:rPr>
                <w:sz w:val="20"/>
                <w:szCs w:val="20"/>
              </w:rPr>
            </w:pPr>
          </w:p>
        </w:tc>
        <w:tc>
          <w:tcPr>
            <w:tcW w:w="1642"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939"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071"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381"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r>
      <w:tr w:rsidR="004B4068" w:rsidRPr="00212872" w:rsidTr="004B4068">
        <w:trPr>
          <w:trHeight w:val="228"/>
        </w:trPr>
        <w:tc>
          <w:tcPr>
            <w:tcW w:w="2508" w:type="dxa"/>
            <w:tcBorders>
              <w:top w:val="nil"/>
              <w:left w:val="nil"/>
              <w:bottom w:val="nil"/>
              <w:right w:val="nil"/>
            </w:tcBorders>
            <w:shd w:val="clear" w:color="auto" w:fill="auto"/>
            <w:noWrap/>
            <w:vAlign w:val="bottom"/>
            <w:hideMark/>
          </w:tcPr>
          <w:p w:rsidR="004B4068" w:rsidRPr="00212872" w:rsidRDefault="004B4068" w:rsidP="00212872">
            <w:pPr>
              <w:rPr>
                <w:b/>
                <w:bCs/>
                <w:sz w:val="20"/>
                <w:szCs w:val="20"/>
              </w:rPr>
            </w:pPr>
            <w:r w:rsidRPr="00212872">
              <w:rPr>
                <w:b/>
                <w:bCs/>
                <w:sz w:val="20"/>
                <w:szCs w:val="20"/>
              </w:rPr>
              <w:t>CAPITAL ACCOUNTS</w:t>
            </w:r>
          </w:p>
        </w:tc>
        <w:tc>
          <w:tcPr>
            <w:tcW w:w="1454" w:type="dxa"/>
            <w:tcBorders>
              <w:top w:val="nil"/>
              <w:left w:val="nil"/>
              <w:bottom w:val="nil"/>
              <w:right w:val="nil"/>
            </w:tcBorders>
            <w:vAlign w:val="bottom"/>
          </w:tcPr>
          <w:p w:rsidR="004B4068" w:rsidRPr="00212872" w:rsidRDefault="004B4068" w:rsidP="00EE236C">
            <w:pPr>
              <w:rPr>
                <w:sz w:val="20"/>
                <w:szCs w:val="20"/>
              </w:rPr>
            </w:pPr>
          </w:p>
        </w:tc>
        <w:tc>
          <w:tcPr>
            <w:tcW w:w="1642"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939"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071"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381"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r>
      <w:tr w:rsidR="004B4068" w:rsidRPr="00212872" w:rsidTr="004B4068">
        <w:trPr>
          <w:trHeight w:val="228"/>
        </w:trPr>
        <w:tc>
          <w:tcPr>
            <w:tcW w:w="2508"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r w:rsidRPr="00212872">
              <w:rPr>
                <w:sz w:val="20"/>
                <w:szCs w:val="20"/>
              </w:rPr>
              <w:t>Balances at 1 April</w:t>
            </w:r>
          </w:p>
        </w:tc>
        <w:tc>
          <w:tcPr>
            <w:tcW w:w="1454" w:type="dxa"/>
            <w:tcBorders>
              <w:top w:val="nil"/>
              <w:left w:val="nil"/>
              <w:bottom w:val="nil"/>
              <w:right w:val="nil"/>
            </w:tcBorders>
            <w:vAlign w:val="bottom"/>
          </w:tcPr>
          <w:p w:rsidR="004B4068" w:rsidRPr="00212872" w:rsidRDefault="004B4068" w:rsidP="00EE236C">
            <w:pPr>
              <w:jc w:val="right"/>
              <w:rPr>
                <w:sz w:val="20"/>
                <w:szCs w:val="20"/>
              </w:rPr>
            </w:pPr>
            <w:r w:rsidRPr="00212872">
              <w:rPr>
                <w:sz w:val="20"/>
                <w:szCs w:val="20"/>
              </w:rPr>
              <w:t>3,051</w:t>
            </w:r>
          </w:p>
        </w:tc>
        <w:tc>
          <w:tcPr>
            <w:tcW w:w="1642" w:type="dxa"/>
            <w:tcBorders>
              <w:top w:val="nil"/>
              <w:left w:val="nil"/>
              <w:bottom w:val="nil"/>
              <w:right w:val="nil"/>
            </w:tcBorders>
            <w:shd w:val="clear" w:color="auto" w:fill="auto"/>
            <w:noWrap/>
            <w:vAlign w:val="bottom"/>
            <w:hideMark/>
          </w:tcPr>
          <w:p w:rsidR="004B4068" w:rsidRPr="00212872" w:rsidRDefault="004B4068" w:rsidP="00212872">
            <w:pPr>
              <w:jc w:val="right"/>
              <w:rPr>
                <w:sz w:val="20"/>
                <w:szCs w:val="20"/>
              </w:rPr>
            </w:pPr>
            <w:r w:rsidRPr="00212872">
              <w:rPr>
                <w:sz w:val="20"/>
                <w:szCs w:val="20"/>
              </w:rPr>
              <w:t>175,392</w:t>
            </w:r>
          </w:p>
        </w:tc>
        <w:tc>
          <w:tcPr>
            <w:tcW w:w="939" w:type="dxa"/>
            <w:tcBorders>
              <w:top w:val="nil"/>
              <w:left w:val="nil"/>
              <w:bottom w:val="nil"/>
              <w:right w:val="nil"/>
            </w:tcBorders>
            <w:shd w:val="clear" w:color="auto" w:fill="auto"/>
            <w:noWrap/>
            <w:vAlign w:val="bottom"/>
            <w:hideMark/>
          </w:tcPr>
          <w:p w:rsidR="004B4068" w:rsidRPr="00212872" w:rsidRDefault="004B4068" w:rsidP="00212872">
            <w:pPr>
              <w:jc w:val="right"/>
              <w:rPr>
                <w:sz w:val="20"/>
                <w:szCs w:val="20"/>
              </w:rPr>
            </w:pPr>
            <w:r w:rsidRPr="00212872">
              <w:rPr>
                <w:sz w:val="20"/>
                <w:szCs w:val="20"/>
              </w:rPr>
              <w:t>813</w:t>
            </w:r>
          </w:p>
        </w:tc>
        <w:tc>
          <w:tcPr>
            <w:tcW w:w="1071" w:type="dxa"/>
            <w:tcBorders>
              <w:top w:val="nil"/>
              <w:left w:val="nil"/>
              <w:bottom w:val="nil"/>
              <w:right w:val="nil"/>
            </w:tcBorders>
            <w:shd w:val="clear" w:color="auto" w:fill="auto"/>
            <w:noWrap/>
            <w:vAlign w:val="bottom"/>
            <w:hideMark/>
          </w:tcPr>
          <w:p w:rsidR="004B4068" w:rsidRPr="00212872" w:rsidRDefault="004B4068" w:rsidP="00212872">
            <w:pPr>
              <w:jc w:val="right"/>
              <w:rPr>
                <w:sz w:val="20"/>
                <w:szCs w:val="20"/>
              </w:rPr>
            </w:pPr>
            <w:r w:rsidRPr="00212872">
              <w:rPr>
                <w:sz w:val="20"/>
                <w:szCs w:val="20"/>
              </w:rPr>
              <w:t>179,256</w:t>
            </w:r>
          </w:p>
        </w:tc>
        <w:tc>
          <w:tcPr>
            <w:tcW w:w="1381" w:type="dxa"/>
            <w:tcBorders>
              <w:top w:val="nil"/>
              <w:left w:val="nil"/>
              <w:bottom w:val="nil"/>
              <w:right w:val="nil"/>
            </w:tcBorders>
            <w:shd w:val="clear" w:color="auto" w:fill="auto"/>
            <w:noWrap/>
            <w:vAlign w:val="bottom"/>
            <w:hideMark/>
          </w:tcPr>
          <w:p w:rsidR="004B4068" w:rsidRPr="00212872" w:rsidRDefault="004B4068" w:rsidP="00212872">
            <w:pPr>
              <w:jc w:val="right"/>
              <w:rPr>
                <w:sz w:val="20"/>
                <w:szCs w:val="20"/>
              </w:rPr>
            </w:pPr>
            <w:r w:rsidRPr="00212872">
              <w:rPr>
                <w:sz w:val="20"/>
                <w:szCs w:val="20"/>
              </w:rPr>
              <w:t>175,676</w:t>
            </w:r>
          </w:p>
        </w:tc>
      </w:tr>
      <w:tr w:rsidR="004B4068" w:rsidRPr="00212872" w:rsidTr="004B4068">
        <w:trPr>
          <w:trHeight w:val="228"/>
        </w:trPr>
        <w:tc>
          <w:tcPr>
            <w:tcW w:w="2508"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r w:rsidRPr="00212872">
              <w:rPr>
                <w:sz w:val="20"/>
                <w:szCs w:val="20"/>
              </w:rPr>
              <w:t>Net Movement in funds</w:t>
            </w:r>
          </w:p>
        </w:tc>
        <w:tc>
          <w:tcPr>
            <w:tcW w:w="1454" w:type="dxa"/>
            <w:tcBorders>
              <w:top w:val="nil"/>
              <w:left w:val="nil"/>
              <w:bottom w:val="nil"/>
              <w:right w:val="nil"/>
            </w:tcBorders>
            <w:vAlign w:val="bottom"/>
          </w:tcPr>
          <w:p w:rsidR="004B4068" w:rsidRPr="00212872" w:rsidRDefault="004B4068" w:rsidP="00EE236C">
            <w:pPr>
              <w:jc w:val="right"/>
              <w:rPr>
                <w:sz w:val="20"/>
                <w:szCs w:val="20"/>
              </w:rPr>
            </w:pPr>
            <w:r w:rsidRPr="00212872">
              <w:rPr>
                <w:sz w:val="20"/>
                <w:szCs w:val="20"/>
              </w:rPr>
              <w:t>-27</w:t>
            </w:r>
          </w:p>
        </w:tc>
        <w:tc>
          <w:tcPr>
            <w:tcW w:w="1642" w:type="dxa"/>
            <w:tcBorders>
              <w:top w:val="nil"/>
              <w:left w:val="nil"/>
              <w:bottom w:val="nil"/>
              <w:right w:val="nil"/>
            </w:tcBorders>
            <w:shd w:val="clear" w:color="auto" w:fill="auto"/>
            <w:noWrap/>
            <w:vAlign w:val="bottom"/>
            <w:hideMark/>
          </w:tcPr>
          <w:p w:rsidR="004B4068" w:rsidRPr="00212872" w:rsidRDefault="004B4068" w:rsidP="00212872">
            <w:pPr>
              <w:jc w:val="right"/>
              <w:rPr>
                <w:sz w:val="20"/>
                <w:szCs w:val="20"/>
              </w:rPr>
            </w:pPr>
            <w:r w:rsidRPr="00212872">
              <w:rPr>
                <w:sz w:val="20"/>
                <w:szCs w:val="20"/>
              </w:rPr>
              <w:t>-381</w:t>
            </w:r>
          </w:p>
        </w:tc>
        <w:tc>
          <w:tcPr>
            <w:tcW w:w="939" w:type="dxa"/>
            <w:tcBorders>
              <w:top w:val="nil"/>
              <w:left w:val="nil"/>
              <w:bottom w:val="nil"/>
              <w:right w:val="nil"/>
            </w:tcBorders>
            <w:shd w:val="clear" w:color="auto" w:fill="auto"/>
            <w:noWrap/>
            <w:vAlign w:val="bottom"/>
            <w:hideMark/>
          </w:tcPr>
          <w:p w:rsidR="004B4068" w:rsidRPr="00212872" w:rsidRDefault="00940BCE" w:rsidP="00212872">
            <w:pPr>
              <w:jc w:val="right"/>
              <w:rPr>
                <w:sz w:val="20"/>
                <w:szCs w:val="20"/>
              </w:rPr>
            </w:pPr>
            <w:r>
              <w:rPr>
                <w:sz w:val="20"/>
                <w:szCs w:val="20"/>
              </w:rPr>
              <w:t>-</w:t>
            </w:r>
          </w:p>
        </w:tc>
        <w:tc>
          <w:tcPr>
            <w:tcW w:w="1071" w:type="dxa"/>
            <w:tcBorders>
              <w:top w:val="nil"/>
              <w:left w:val="nil"/>
              <w:bottom w:val="nil"/>
              <w:right w:val="nil"/>
            </w:tcBorders>
            <w:shd w:val="clear" w:color="auto" w:fill="auto"/>
            <w:noWrap/>
            <w:vAlign w:val="bottom"/>
            <w:hideMark/>
          </w:tcPr>
          <w:p w:rsidR="004B4068" w:rsidRPr="00212872" w:rsidRDefault="004B4068" w:rsidP="00212872">
            <w:pPr>
              <w:jc w:val="right"/>
              <w:rPr>
                <w:sz w:val="20"/>
                <w:szCs w:val="20"/>
              </w:rPr>
            </w:pPr>
            <w:r w:rsidRPr="00212872">
              <w:rPr>
                <w:sz w:val="20"/>
                <w:szCs w:val="20"/>
              </w:rPr>
              <w:t>-408</w:t>
            </w:r>
          </w:p>
        </w:tc>
        <w:tc>
          <w:tcPr>
            <w:tcW w:w="1381" w:type="dxa"/>
            <w:tcBorders>
              <w:top w:val="nil"/>
              <w:left w:val="nil"/>
              <w:bottom w:val="nil"/>
              <w:right w:val="nil"/>
            </w:tcBorders>
            <w:shd w:val="clear" w:color="auto" w:fill="auto"/>
            <w:noWrap/>
            <w:vAlign w:val="bottom"/>
            <w:hideMark/>
          </w:tcPr>
          <w:p w:rsidR="004B4068" w:rsidRPr="00212872" w:rsidRDefault="004B4068" w:rsidP="00212872">
            <w:pPr>
              <w:jc w:val="right"/>
              <w:rPr>
                <w:sz w:val="20"/>
                <w:szCs w:val="20"/>
              </w:rPr>
            </w:pPr>
            <w:r w:rsidRPr="00212872">
              <w:rPr>
                <w:sz w:val="20"/>
                <w:szCs w:val="20"/>
              </w:rPr>
              <w:t>3,580</w:t>
            </w:r>
          </w:p>
        </w:tc>
      </w:tr>
      <w:tr w:rsidR="004B4068" w:rsidRPr="00212872" w:rsidTr="004B4068">
        <w:trPr>
          <w:trHeight w:val="228"/>
        </w:trPr>
        <w:tc>
          <w:tcPr>
            <w:tcW w:w="2508"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454" w:type="dxa"/>
            <w:tcBorders>
              <w:top w:val="nil"/>
              <w:left w:val="nil"/>
              <w:bottom w:val="single" w:sz="4" w:space="0" w:color="auto"/>
              <w:right w:val="nil"/>
            </w:tcBorders>
            <w:vAlign w:val="bottom"/>
          </w:tcPr>
          <w:p w:rsidR="004B4068" w:rsidRPr="00212872" w:rsidRDefault="004B4068" w:rsidP="00EE236C">
            <w:pPr>
              <w:rPr>
                <w:sz w:val="20"/>
                <w:szCs w:val="20"/>
              </w:rPr>
            </w:pPr>
            <w:r w:rsidRPr="00212872">
              <w:rPr>
                <w:sz w:val="20"/>
                <w:szCs w:val="20"/>
              </w:rPr>
              <w:t> </w:t>
            </w:r>
          </w:p>
        </w:tc>
        <w:tc>
          <w:tcPr>
            <w:tcW w:w="1642" w:type="dxa"/>
            <w:tcBorders>
              <w:top w:val="nil"/>
              <w:left w:val="nil"/>
              <w:bottom w:val="single" w:sz="4" w:space="0" w:color="auto"/>
              <w:right w:val="nil"/>
            </w:tcBorders>
            <w:shd w:val="clear" w:color="auto" w:fill="auto"/>
            <w:noWrap/>
            <w:vAlign w:val="bottom"/>
            <w:hideMark/>
          </w:tcPr>
          <w:p w:rsidR="004B4068" w:rsidRPr="00212872" w:rsidRDefault="004B4068" w:rsidP="00212872">
            <w:pPr>
              <w:rPr>
                <w:sz w:val="20"/>
                <w:szCs w:val="20"/>
              </w:rPr>
            </w:pPr>
            <w:r w:rsidRPr="00212872">
              <w:rPr>
                <w:sz w:val="20"/>
                <w:szCs w:val="20"/>
              </w:rPr>
              <w:t> </w:t>
            </w:r>
          </w:p>
        </w:tc>
        <w:tc>
          <w:tcPr>
            <w:tcW w:w="939" w:type="dxa"/>
            <w:tcBorders>
              <w:top w:val="nil"/>
              <w:left w:val="nil"/>
              <w:bottom w:val="single" w:sz="4" w:space="0" w:color="auto"/>
              <w:right w:val="nil"/>
            </w:tcBorders>
            <w:shd w:val="clear" w:color="auto" w:fill="auto"/>
            <w:noWrap/>
            <w:vAlign w:val="bottom"/>
            <w:hideMark/>
          </w:tcPr>
          <w:p w:rsidR="004B4068" w:rsidRPr="00212872" w:rsidRDefault="004B4068" w:rsidP="00212872">
            <w:pPr>
              <w:rPr>
                <w:sz w:val="20"/>
                <w:szCs w:val="20"/>
              </w:rPr>
            </w:pPr>
            <w:r w:rsidRPr="00212872">
              <w:rPr>
                <w:sz w:val="20"/>
                <w:szCs w:val="20"/>
              </w:rPr>
              <w:t> </w:t>
            </w:r>
          </w:p>
        </w:tc>
        <w:tc>
          <w:tcPr>
            <w:tcW w:w="1071" w:type="dxa"/>
            <w:tcBorders>
              <w:top w:val="nil"/>
              <w:left w:val="nil"/>
              <w:bottom w:val="single" w:sz="4" w:space="0" w:color="auto"/>
              <w:right w:val="nil"/>
            </w:tcBorders>
            <w:shd w:val="clear" w:color="auto" w:fill="auto"/>
            <w:noWrap/>
            <w:vAlign w:val="bottom"/>
            <w:hideMark/>
          </w:tcPr>
          <w:p w:rsidR="004B4068" w:rsidRPr="00212872" w:rsidRDefault="004B4068" w:rsidP="00212872">
            <w:pPr>
              <w:rPr>
                <w:sz w:val="20"/>
                <w:szCs w:val="20"/>
              </w:rPr>
            </w:pPr>
            <w:r w:rsidRPr="00212872">
              <w:rPr>
                <w:sz w:val="20"/>
                <w:szCs w:val="20"/>
              </w:rPr>
              <w:t> </w:t>
            </w:r>
          </w:p>
        </w:tc>
        <w:tc>
          <w:tcPr>
            <w:tcW w:w="1381" w:type="dxa"/>
            <w:tcBorders>
              <w:top w:val="nil"/>
              <w:left w:val="nil"/>
              <w:bottom w:val="single" w:sz="4" w:space="0" w:color="auto"/>
              <w:right w:val="nil"/>
            </w:tcBorders>
            <w:shd w:val="clear" w:color="auto" w:fill="auto"/>
            <w:noWrap/>
            <w:vAlign w:val="bottom"/>
            <w:hideMark/>
          </w:tcPr>
          <w:p w:rsidR="004B4068" w:rsidRPr="00212872" w:rsidRDefault="004B4068" w:rsidP="00212872">
            <w:pPr>
              <w:rPr>
                <w:sz w:val="20"/>
                <w:szCs w:val="20"/>
              </w:rPr>
            </w:pPr>
            <w:r w:rsidRPr="00212872">
              <w:rPr>
                <w:sz w:val="20"/>
                <w:szCs w:val="20"/>
              </w:rPr>
              <w:t> </w:t>
            </w:r>
          </w:p>
        </w:tc>
      </w:tr>
      <w:tr w:rsidR="004B4068" w:rsidRPr="00212872" w:rsidTr="004B4068">
        <w:trPr>
          <w:trHeight w:val="228"/>
        </w:trPr>
        <w:tc>
          <w:tcPr>
            <w:tcW w:w="2508"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454" w:type="dxa"/>
            <w:tcBorders>
              <w:top w:val="nil"/>
              <w:left w:val="nil"/>
              <w:bottom w:val="nil"/>
              <w:right w:val="nil"/>
            </w:tcBorders>
            <w:vAlign w:val="bottom"/>
          </w:tcPr>
          <w:p w:rsidR="004B4068" w:rsidRPr="00212872" w:rsidRDefault="004B4068" w:rsidP="00EE236C">
            <w:pPr>
              <w:rPr>
                <w:sz w:val="20"/>
                <w:szCs w:val="20"/>
              </w:rPr>
            </w:pPr>
          </w:p>
        </w:tc>
        <w:tc>
          <w:tcPr>
            <w:tcW w:w="1642"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939"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071"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381"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r>
      <w:tr w:rsidR="004B4068" w:rsidRPr="00212872" w:rsidTr="004B4068">
        <w:trPr>
          <w:trHeight w:val="228"/>
        </w:trPr>
        <w:tc>
          <w:tcPr>
            <w:tcW w:w="2508" w:type="dxa"/>
            <w:tcBorders>
              <w:top w:val="nil"/>
              <w:left w:val="nil"/>
              <w:bottom w:val="nil"/>
              <w:right w:val="nil"/>
            </w:tcBorders>
            <w:shd w:val="clear" w:color="auto" w:fill="auto"/>
            <w:noWrap/>
            <w:vAlign w:val="bottom"/>
            <w:hideMark/>
          </w:tcPr>
          <w:p w:rsidR="004B4068" w:rsidRPr="00212872" w:rsidRDefault="004B4068" w:rsidP="00212872">
            <w:pPr>
              <w:rPr>
                <w:b/>
                <w:bCs/>
                <w:sz w:val="20"/>
                <w:szCs w:val="20"/>
              </w:rPr>
            </w:pPr>
            <w:r w:rsidRPr="00212872">
              <w:rPr>
                <w:b/>
                <w:bCs/>
                <w:sz w:val="20"/>
                <w:szCs w:val="20"/>
              </w:rPr>
              <w:t xml:space="preserve">Balances at 31 March </w:t>
            </w:r>
          </w:p>
        </w:tc>
        <w:tc>
          <w:tcPr>
            <w:tcW w:w="1454" w:type="dxa"/>
            <w:tcBorders>
              <w:top w:val="nil"/>
              <w:left w:val="nil"/>
              <w:bottom w:val="nil"/>
              <w:right w:val="nil"/>
            </w:tcBorders>
            <w:vAlign w:val="bottom"/>
          </w:tcPr>
          <w:p w:rsidR="004B4068" w:rsidRPr="00212872" w:rsidRDefault="004B4068" w:rsidP="00EE236C">
            <w:pPr>
              <w:jc w:val="right"/>
              <w:rPr>
                <w:sz w:val="20"/>
                <w:szCs w:val="20"/>
              </w:rPr>
            </w:pPr>
            <w:r w:rsidRPr="00212872">
              <w:rPr>
                <w:sz w:val="20"/>
                <w:szCs w:val="20"/>
              </w:rPr>
              <w:t>3,024</w:t>
            </w:r>
          </w:p>
        </w:tc>
        <w:tc>
          <w:tcPr>
            <w:tcW w:w="1642" w:type="dxa"/>
            <w:tcBorders>
              <w:top w:val="nil"/>
              <w:left w:val="nil"/>
              <w:bottom w:val="nil"/>
              <w:right w:val="nil"/>
            </w:tcBorders>
            <w:shd w:val="clear" w:color="auto" w:fill="auto"/>
            <w:noWrap/>
            <w:vAlign w:val="bottom"/>
            <w:hideMark/>
          </w:tcPr>
          <w:p w:rsidR="004B4068" w:rsidRPr="00212872" w:rsidRDefault="004B4068" w:rsidP="00212872">
            <w:pPr>
              <w:jc w:val="right"/>
              <w:rPr>
                <w:sz w:val="20"/>
                <w:szCs w:val="20"/>
              </w:rPr>
            </w:pPr>
            <w:r w:rsidRPr="00212872">
              <w:rPr>
                <w:sz w:val="20"/>
                <w:szCs w:val="20"/>
              </w:rPr>
              <w:t>175,011</w:t>
            </w:r>
          </w:p>
        </w:tc>
        <w:tc>
          <w:tcPr>
            <w:tcW w:w="939" w:type="dxa"/>
            <w:tcBorders>
              <w:top w:val="nil"/>
              <w:left w:val="nil"/>
              <w:bottom w:val="nil"/>
              <w:right w:val="nil"/>
            </w:tcBorders>
            <w:shd w:val="clear" w:color="auto" w:fill="auto"/>
            <w:noWrap/>
            <w:vAlign w:val="bottom"/>
            <w:hideMark/>
          </w:tcPr>
          <w:p w:rsidR="004B4068" w:rsidRPr="00212872" w:rsidRDefault="004B4068" w:rsidP="00212872">
            <w:pPr>
              <w:jc w:val="right"/>
              <w:rPr>
                <w:sz w:val="20"/>
                <w:szCs w:val="20"/>
              </w:rPr>
            </w:pPr>
            <w:r w:rsidRPr="00212872">
              <w:rPr>
                <w:sz w:val="20"/>
                <w:szCs w:val="20"/>
              </w:rPr>
              <w:t>813</w:t>
            </w:r>
          </w:p>
        </w:tc>
        <w:tc>
          <w:tcPr>
            <w:tcW w:w="1071" w:type="dxa"/>
            <w:tcBorders>
              <w:top w:val="nil"/>
              <w:left w:val="nil"/>
              <w:bottom w:val="nil"/>
              <w:right w:val="nil"/>
            </w:tcBorders>
            <w:shd w:val="clear" w:color="auto" w:fill="auto"/>
            <w:noWrap/>
            <w:vAlign w:val="bottom"/>
            <w:hideMark/>
          </w:tcPr>
          <w:p w:rsidR="004B4068" w:rsidRPr="00212872" w:rsidRDefault="004B4068" w:rsidP="00212872">
            <w:pPr>
              <w:jc w:val="right"/>
              <w:rPr>
                <w:sz w:val="20"/>
                <w:szCs w:val="20"/>
              </w:rPr>
            </w:pPr>
            <w:r w:rsidRPr="00212872">
              <w:rPr>
                <w:sz w:val="20"/>
                <w:szCs w:val="20"/>
              </w:rPr>
              <w:t>178,848</w:t>
            </w:r>
          </w:p>
        </w:tc>
        <w:tc>
          <w:tcPr>
            <w:tcW w:w="1381" w:type="dxa"/>
            <w:tcBorders>
              <w:top w:val="nil"/>
              <w:left w:val="nil"/>
              <w:bottom w:val="nil"/>
              <w:right w:val="nil"/>
            </w:tcBorders>
            <w:shd w:val="clear" w:color="auto" w:fill="auto"/>
            <w:noWrap/>
            <w:vAlign w:val="bottom"/>
            <w:hideMark/>
          </w:tcPr>
          <w:p w:rsidR="004B4068" w:rsidRPr="00212872" w:rsidRDefault="004B4068" w:rsidP="00212872">
            <w:pPr>
              <w:jc w:val="right"/>
              <w:rPr>
                <w:sz w:val="20"/>
                <w:szCs w:val="20"/>
              </w:rPr>
            </w:pPr>
            <w:r w:rsidRPr="00212872">
              <w:rPr>
                <w:sz w:val="20"/>
                <w:szCs w:val="20"/>
              </w:rPr>
              <w:t>179,256</w:t>
            </w:r>
          </w:p>
        </w:tc>
      </w:tr>
      <w:tr w:rsidR="004B4068" w:rsidRPr="00212872" w:rsidTr="004B4068">
        <w:trPr>
          <w:trHeight w:val="242"/>
        </w:trPr>
        <w:tc>
          <w:tcPr>
            <w:tcW w:w="2508"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454" w:type="dxa"/>
            <w:tcBorders>
              <w:top w:val="nil"/>
              <w:left w:val="nil"/>
              <w:bottom w:val="double" w:sz="6" w:space="0" w:color="auto"/>
              <w:right w:val="nil"/>
            </w:tcBorders>
            <w:vAlign w:val="bottom"/>
          </w:tcPr>
          <w:p w:rsidR="004B4068" w:rsidRPr="00212872" w:rsidRDefault="004B4068" w:rsidP="00EE236C">
            <w:pPr>
              <w:rPr>
                <w:sz w:val="20"/>
                <w:szCs w:val="20"/>
              </w:rPr>
            </w:pPr>
            <w:r w:rsidRPr="00212872">
              <w:rPr>
                <w:sz w:val="20"/>
                <w:szCs w:val="20"/>
              </w:rPr>
              <w:t> </w:t>
            </w:r>
          </w:p>
        </w:tc>
        <w:tc>
          <w:tcPr>
            <w:tcW w:w="1642" w:type="dxa"/>
            <w:tcBorders>
              <w:top w:val="nil"/>
              <w:left w:val="nil"/>
              <w:bottom w:val="double" w:sz="6" w:space="0" w:color="auto"/>
              <w:right w:val="nil"/>
            </w:tcBorders>
            <w:shd w:val="clear" w:color="auto" w:fill="auto"/>
            <w:noWrap/>
            <w:vAlign w:val="bottom"/>
            <w:hideMark/>
          </w:tcPr>
          <w:p w:rsidR="004B4068" w:rsidRPr="00212872" w:rsidRDefault="004B4068" w:rsidP="00212872">
            <w:pPr>
              <w:rPr>
                <w:sz w:val="20"/>
                <w:szCs w:val="20"/>
              </w:rPr>
            </w:pPr>
            <w:r w:rsidRPr="00212872">
              <w:rPr>
                <w:sz w:val="20"/>
                <w:szCs w:val="20"/>
              </w:rPr>
              <w:t> </w:t>
            </w:r>
          </w:p>
        </w:tc>
        <w:tc>
          <w:tcPr>
            <w:tcW w:w="939" w:type="dxa"/>
            <w:tcBorders>
              <w:top w:val="nil"/>
              <w:left w:val="nil"/>
              <w:bottom w:val="double" w:sz="6" w:space="0" w:color="auto"/>
              <w:right w:val="nil"/>
            </w:tcBorders>
            <w:shd w:val="clear" w:color="auto" w:fill="auto"/>
            <w:noWrap/>
            <w:vAlign w:val="bottom"/>
            <w:hideMark/>
          </w:tcPr>
          <w:p w:rsidR="004B4068" w:rsidRPr="00212872" w:rsidRDefault="004B4068" w:rsidP="00212872">
            <w:pPr>
              <w:rPr>
                <w:sz w:val="20"/>
                <w:szCs w:val="20"/>
              </w:rPr>
            </w:pPr>
            <w:r w:rsidRPr="00212872">
              <w:rPr>
                <w:sz w:val="20"/>
                <w:szCs w:val="20"/>
              </w:rPr>
              <w:t> </w:t>
            </w:r>
          </w:p>
        </w:tc>
        <w:tc>
          <w:tcPr>
            <w:tcW w:w="1071" w:type="dxa"/>
            <w:tcBorders>
              <w:top w:val="nil"/>
              <w:left w:val="nil"/>
              <w:bottom w:val="double" w:sz="6" w:space="0" w:color="auto"/>
              <w:right w:val="nil"/>
            </w:tcBorders>
            <w:shd w:val="clear" w:color="auto" w:fill="auto"/>
            <w:noWrap/>
            <w:vAlign w:val="bottom"/>
            <w:hideMark/>
          </w:tcPr>
          <w:p w:rsidR="004B4068" w:rsidRPr="00212872" w:rsidRDefault="004B4068" w:rsidP="00212872">
            <w:pPr>
              <w:rPr>
                <w:sz w:val="20"/>
                <w:szCs w:val="20"/>
              </w:rPr>
            </w:pPr>
            <w:r w:rsidRPr="00212872">
              <w:rPr>
                <w:sz w:val="20"/>
                <w:szCs w:val="20"/>
              </w:rPr>
              <w:t> </w:t>
            </w:r>
          </w:p>
        </w:tc>
        <w:tc>
          <w:tcPr>
            <w:tcW w:w="1381" w:type="dxa"/>
            <w:tcBorders>
              <w:top w:val="nil"/>
              <w:left w:val="nil"/>
              <w:bottom w:val="double" w:sz="6" w:space="0" w:color="auto"/>
              <w:right w:val="nil"/>
            </w:tcBorders>
            <w:shd w:val="clear" w:color="auto" w:fill="auto"/>
            <w:noWrap/>
            <w:vAlign w:val="bottom"/>
            <w:hideMark/>
          </w:tcPr>
          <w:p w:rsidR="004B4068" w:rsidRPr="00212872" w:rsidRDefault="004B4068" w:rsidP="00212872">
            <w:pPr>
              <w:rPr>
                <w:sz w:val="20"/>
                <w:szCs w:val="20"/>
              </w:rPr>
            </w:pPr>
            <w:r w:rsidRPr="00212872">
              <w:rPr>
                <w:sz w:val="20"/>
                <w:szCs w:val="20"/>
              </w:rPr>
              <w:t> </w:t>
            </w:r>
          </w:p>
        </w:tc>
      </w:tr>
      <w:tr w:rsidR="004B4068" w:rsidRPr="00212872" w:rsidTr="004B4068">
        <w:trPr>
          <w:trHeight w:val="242"/>
        </w:trPr>
        <w:tc>
          <w:tcPr>
            <w:tcW w:w="2508"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454" w:type="dxa"/>
            <w:tcBorders>
              <w:top w:val="nil"/>
              <w:left w:val="nil"/>
              <w:bottom w:val="nil"/>
              <w:right w:val="nil"/>
            </w:tcBorders>
            <w:vAlign w:val="bottom"/>
          </w:tcPr>
          <w:p w:rsidR="004B4068" w:rsidRPr="00212872" w:rsidRDefault="004B4068" w:rsidP="00EE236C">
            <w:pPr>
              <w:rPr>
                <w:sz w:val="20"/>
                <w:szCs w:val="20"/>
              </w:rPr>
            </w:pPr>
          </w:p>
        </w:tc>
        <w:tc>
          <w:tcPr>
            <w:tcW w:w="1642"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939"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071"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381"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r>
      <w:tr w:rsidR="004B4068" w:rsidRPr="00212872" w:rsidTr="004B4068">
        <w:trPr>
          <w:trHeight w:val="228"/>
        </w:trPr>
        <w:tc>
          <w:tcPr>
            <w:tcW w:w="2508"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454" w:type="dxa"/>
            <w:tcBorders>
              <w:top w:val="nil"/>
              <w:left w:val="nil"/>
              <w:bottom w:val="nil"/>
              <w:right w:val="nil"/>
            </w:tcBorders>
            <w:vAlign w:val="bottom"/>
          </w:tcPr>
          <w:p w:rsidR="004B4068" w:rsidRPr="00212872" w:rsidRDefault="004B4068" w:rsidP="00EE236C">
            <w:pPr>
              <w:rPr>
                <w:sz w:val="20"/>
                <w:szCs w:val="20"/>
              </w:rPr>
            </w:pPr>
          </w:p>
        </w:tc>
        <w:tc>
          <w:tcPr>
            <w:tcW w:w="1642"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939"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071"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381"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r>
      <w:tr w:rsidR="004B4068" w:rsidRPr="00212872" w:rsidTr="004B4068">
        <w:trPr>
          <w:trHeight w:val="228"/>
        </w:trPr>
        <w:tc>
          <w:tcPr>
            <w:tcW w:w="2508" w:type="dxa"/>
            <w:tcBorders>
              <w:top w:val="nil"/>
              <w:left w:val="nil"/>
              <w:bottom w:val="nil"/>
              <w:right w:val="nil"/>
            </w:tcBorders>
            <w:shd w:val="clear" w:color="auto" w:fill="auto"/>
            <w:noWrap/>
            <w:vAlign w:val="bottom"/>
            <w:hideMark/>
          </w:tcPr>
          <w:p w:rsidR="004B4068" w:rsidRPr="00212872" w:rsidRDefault="004B4068" w:rsidP="00212872">
            <w:pPr>
              <w:rPr>
                <w:b/>
                <w:bCs/>
                <w:sz w:val="20"/>
                <w:szCs w:val="20"/>
              </w:rPr>
            </w:pPr>
            <w:r w:rsidRPr="00212872">
              <w:rPr>
                <w:b/>
                <w:bCs/>
                <w:sz w:val="20"/>
                <w:szCs w:val="20"/>
              </w:rPr>
              <w:t>REVENUE ACCOUNTS</w:t>
            </w:r>
          </w:p>
        </w:tc>
        <w:tc>
          <w:tcPr>
            <w:tcW w:w="1454" w:type="dxa"/>
            <w:tcBorders>
              <w:top w:val="nil"/>
              <w:left w:val="nil"/>
              <w:bottom w:val="nil"/>
              <w:right w:val="nil"/>
            </w:tcBorders>
            <w:vAlign w:val="bottom"/>
          </w:tcPr>
          <w:p w:rsidR="004B4068" w:rsidRPr="00212872" w:rsidRDefault="004B4068" w:rsidP="00EE236C">
            <w:pPr>
              <w:rPr>
                <w:sz w:val="20"/>
                <w:szCs w:val="20"/>
              </w:rPr>
            </w:pPr>
          </w:p>
        </w:tc>
        <w:tc>
          <w:tcPr>
            <w:tcW w:w="1642"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939"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071"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381"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r>
      <w:tr w:rsidR="004B4068" w:rsidRPr="00212872" w:rsidTr="004B4068">
        <w:trPr>
          <w:trHeight w:val="228"/>
        </w:trPr>
        <w:tc>
          <w:tcPr>
            <w:tcW w:w="2508"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r w:rsidRPr="00212872">
              <w:rPr>
                <w:sz w:val="20"/>
                <w:szCs w:val="20"/>
              </w:rPr>
              <w:t>Balances at 1 April</w:t>
            </w:r>
          </w:p>
        </w:tc>
        <w:tc>
          <w:tcPr>
            <w:tcW w:w="1454" w:type="dxa"/>
            <w:tcBorders>
              <w:top w:val="nil"/>
              <w:left w:val="nil"/>
              <w:bottom w:val="nil"/>
              <w:right w:val="nil"/>
            </w:tcBorders>
            <w:vAlign w:val="bottom"/>
          </w:tcPr>
          <w:p w:rsidR="004B4068" w:rsidRPr="00212872" w:rsidRDefault="004B4068" w:rsidP="00EE236C">
            <w:pPr>
              <w:jc w:val="right"/>
              <w:rPr>
                <w:sz w:val="20"/>
                <w:szCs w:val="20"/>
              </w:rPr>
            </w:pPr>
            <w:r w:rsidRPr="00212872">
              <w:rPr>
                <w:sz w:val="20"/>
                <w:szCs w:val="20"/>
              </w:rPr>
              <w:t>6,193</w:t>
            </w:r>
          </w:p>
        </w:tc>
        <w:tc>
          <w:tcPr>
            <w:tcW w:w="1642" w:type="dxa"/>
            <w:tcBorders>
              <w:top w:val="nil"/>
              <w:left w:val="nil"/>
              <w:bottom w:val="nil"/>
              <w:right w:val="nil"/>
            </w:tcBorders>
            <w:shd w:val="clear" w:color="auto" w:fill="auto"/>
            <w:noWrap/>
            <w:vAlign w:val="bottom"/>
            <w:hideMark/>
          </w:tcPr>
          <w:p w:rsidR="004B4068" w:rsidRPr="00212872" w:rsidRDefault="004B4068" w:rsidP="00212872">
            <w:pPr>
              <w:jc w:val="right"/>
              <w:rPr>
                <w:sz w:val="20"/>
                <w:szCs w:val="20"/>
              </w:rPr>
            </w:pPr>
            <w:r w:rsidRPr="00212872">
              <w:rPr>
                <w:sz w:val="20"/>
                <w:szCs w:val="20"/>
              </w:rPr>
              <w:t>43,145</w:t>
            </w:r>
          </w:p>
        </w:tc>
        <w:tc>
          <w:tcPr>
            <w:tcW w:w="939" w:type="dxa"/>
            <w:tcBorders>
              <w:top w:val="nil"/>
              <w:left w:val="nil"/>
              <w:bottom w:val="nil"/>
              <w:right w:val="nil"/>
            </w:tcBorders>
            <w:shd w:val="clear" w:color="auto" w:fill="auto"/>
            <w:noWrap/>
            <w:vAlign w:val="bottom"/>
            <w:hideMark/>
          </w:tcPr>
          <w:p w:rsidR="004B4068" w:rsidRPr="00212872" w:rsidRDefault="004B4068" w:rsidP="00212872">
            <w:pPr>
              <w:jc w:val="right"/>
              <w:rPr>
                <w:sz w:val="20"/>
                <w:szCs w:val="20"/>
              </w:rPr>
            </w:pPr>
            <w:r w:rsidRPr="00212872">
              <w:rPr>
                <w:sz w:val="20"/>
                <w:szCs w:val="20"/>
              </w:rPr>
              <w:t>4,570</w:t>
            </w:r>
          </w:p>
        </w:tc>
        <w:tc>
          <w:tcPr>
            <w:tcW w:w="1071" w:type="dxa"/>
            <w:tcBorders>
              <w:top w:val="nil"/>
              <w:left w:val="nil"/>
              <w:bottom w:val="nil"/>
              <w:right w:val="nil"/>
            </w:tcBorders>
            <w:shd w:val="clear" w:color="auto" w:fill="auto"/>
            <w:noWrap/>
            <w:vAlign w:val="bottom"/>
            <w:hideMark/>
          </w:tcPr>
          <w:p w:rsidR="004B4068" w:rsidRPr="00212872" w:rsidRDefault="004B4068" w:rsidP="00212872">
            <w:pPr>
              <w:jc w:val="right"/>
              <w:rPr>
                <w:sz w:val="20"/>
                <w:szCs w:val="20"/>
              </w:rPr>
            </w:pPr>
            <w:r w:rsidRPr="00212872">
              <w:rPr>
                <w:sz w:val="20"/>
                <w:szCs w:val="20"/>
              </w:rPr>
              <w:t>53,908</w:t>
            </w:r>
          </w:p>
        </w:tc>
        <w:tc>
          <w:tcPr>
            <w:tcW w:w="1381" w:type="dxa"/>
            <w:tcBorders>
              <w:top w:val="nil"/>
              <w:left w:val="nil"/>
              <w:bottom w:val="nil"/>
              <w:right w:val="nil"/>
            </w:tcBorders>
            <w:shd w:val="clear" w:color="auto" w:fill="auto"/>
            <w:noWrap/>
            <w:vAlign w:val="bottom"/>
            <w:hideMark/>
          </w:tcPr>
          <w:p w:rsidR="004B4068" w:rsidRPr="00212872" w:rsidRDefault="004B4068" w:rsidP="00212872">
            <w:pPr>
              <w:jc w:val="right"/>
              <w:rPr>
                <w:sz w:val="20"/>
                <w:szCs w:val="20"/>
              </w:rPr>
            </w:pPr>
            <w:r w:rsidRPr="00212872">
              <w:rPr>
                <w:sz w:val="20"/>
                <w:szCs w:val="20"/>
              </w:rPr>
              <w:t>55,038</w:t>
            </w:r>
          </w:p>
        </w:tc>
      </w:tr>
      <w:tr w:rsidR="004B4068" w:rsidRPr="00212872" w:rsidTr="004B4068">
        <w:trPr>
          <w:trHeight w:val="228"/>
        </w:trPr>
        <w:tc>
          <w:tcPr>
            <w:tcW w:w="2508"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r w:rsidRPr="00212872">
              <w:rPr>
                <w:sz w:val="20"/>
                <w:szCs w:val="20"/>
              </w:rPr>
              <w:t>Income received</w:t>
            </w:r>
          </w:p>
        </w:tc>
        <w:tc>
          <w:tcPr>
            <w:tcW w:w="1454" w:type="dxa"/>
            <w:tcBorders>
              <w:top w:val="nil"/>
              <w:left w:val="nil"/>
              <w:bottom w:val="nil"/>
              <w:right w:val="nil"/>
            </w:tcBorders>
            <w:vAlign w:val="bottom"/>
          </w:tcPr>
          <w:p w:rsidR="004B4068" w:rsidRPr="00212872" w:rsidRDefault="004B4068" w:rsidP="00EE236C">
            <w:pPr>
              <w:jc w:val="right"/>
              <w:rPr>
                <w:sz w:val="20"/>
                <w:szCs w:val="20"/>
              </w:rPr>
            </w:pPr>
            <w:r w:rsidRPr="00212872">
              <w:rPr>
                <w:sz w:val="20"/>
                <w:szCs w:val="20"/>
              </w:rPr>
              <w:t>164</w:t>
            </w:r>
          </w:p>
        </w:tc>
        <w:tc>
          <w:tcPr>
            <w:tcW w:w="1642" w:type="dxa"/>
            <w:tcBorders>
              <w:top w:val="nil"/>
              <w:left w:val="nil"/>
              <w:bottom w:val="nil"/>
              <w:right w:val="nil"/>
            </w:tcBorders>
            <w:shd w:val="clear" w:color="auto" w:fill="auto"/>
            <w:noWrap/>
            <w:vAlign w:val="bottom"/>
            <w:hideMark/>
          </w:tcPr>
          <w:p w:rsidR="004B4068" w:rsidRPr="00212872" w:rsidRDefault="004B4068" w:rsidP="00212872">
            <w:pPr>
              <w:jc w:val="right"/>
              <w:rPr>
                <w:sz w:val="20"/>
                <w:szCs w:val="20"/>
              </w:rPr>
            </w:pPr>
            <w:r w:rsidRPr="00212872">
              <w:rPr>
                <w:sz w:val="20"/>
                <w:szCs w:val="20"/>
              </w:rPr>
              <w:t>6,770</w:t>
            </w:r>
          </w:p>
        </w:tc>
        <w:tc>
          <w:tcPr>
            <w:tcW w:w="939" w:type="dxa"/>
            <w:tcBorders>
              <w:top w:val="nil"/>
              <w:left w:val="nil"/>
              <w:bottom w:val="nil"/>
              <w:right w:val="nil"/>
            </w:tcBorders>
            <w:shd w:val="clear" w:color="auto" w:fill="auto"/>
            <w:noWrap/>
            <w:vAlign w:val="bottom"/>
            <w:hideMark/>
          </w:tcPr>
          <w:p w:rsidR="004B4068" w:rsidRPr="00212872" w:rsidRDefault="004B4068" w:rsidP="00212872">
            <w:pPr>
              <w:jc w:val="right"/>
              <w:rPr>
                <w:sz w:val="20"/>
                <w:szCs w:val="20"/>
              </w:rPr>
            </w:pPr>
            <w:r w:rsidRPr="00212872">
              <w:rPr>
                <w:sz w:val="20"/>
                <w:szCs w:val="20"/>
              </w:rPr>
              <w:t>8,009</w:t>
            </w:r>
          </w:p>
        </w:tc>
        <w:tc>
          <w:tcPr>
            <w:tcW w:w="1071" w:type="dxa"/>
            <w:tcBorders>
              <w:top w:val="nil"/>
              <w:left w:val="nil"/>
              <w:bottom w:val="nil"/>
              <w:right w:val="nil"/>
            </w:tcBorders>
            <w:shd w:val="clear" w:color="auto" w:fill="auto"/>
            <w:noWrap/>
            <w:vAlign w:val="bottom"/>
            <w:hideMark/>
          </w:tcPr>
          <w:p w:rsidR="004B4068" w:rsidRPr="00212872" w:rsidRDefault="004B4068" w:rsidP="00212872">
            <w:pPr>
              <w:jc w:val="right"/>
              <w:rPr>
                <w:sz w:val="20"/>
                <w:szCs w:val="20"/>
              </w:rPr>
            </w:pPr>
            <w:r w:rsidRPr="00212872">
              <w:rPr>
                <w:sz w:val="20"/>
                <w:szCs w:val="20"/>
              </w:rPr>
              <w:t>14,943</w:t>
            </w:r>
          </w:p>
        </w:tc>
        <w:tc>
          <w:tcPr>
            <w:tcW w:w="1381" w:type="dxa"/>
            <w:tcBorders>
              <w:top w:val="nil"/>
              <w:left w:val="nil"/>
              <w:bottom w:val="nil"/>
              <w:right w:val="nil"/>
            </w:tcBorders>
            <w:shd w:val="clear" w:color="auto" w:fill="auto"/>
            <w:noWrap/>
            <w:vAlign w:val="bottom"/>
            <w:hideMark/>
          </w:tcPr>
          <w:p w:rsidR="004B4068" w:rsidRPr="00212872" w:rsidRDefault="004B4068" w:rsidP="00212872">
            <w:pPr>
              <w:jc w:val="right"/>
              <w:rPr>
                <w:sz w:val="20"/>
                <w:szCs w:val="20"/>
              </w:rPr>
            </w:pPr>
            <w:r w:rsidRPr="00212872">
              <w:rPr>
                <w:sz w:val="20"/>
                <w:szCs w:val="20"/>
              </w:rPr>
              <w:t>16,900</w:t>
            </w:r>
          </w:p>
        </w:tc>
      </w:tr>
      <w:tr w:rsidR="004B4068" w:rsidRPr="00212872" w:rsidTr="004B4068">
        <w:trPr>
          <w:trHeight w:val="228"/>
        </w:trPr>
        <w:tc>
          <w:tcPr>
            <w:tcW w:w="2508"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454" w:type="dxa"/>
            <w:tcBorders>
              <w:top w:val="nil"/>
              <w:left w:val="nil"/>
              <w:bottom w:val="single" w:sz="4" w:space="0" w:color="auto"/>
              <w:right w:val="nil"/>
            </w:tcBorders>
            <w:vAlign w:val="bottom"/>
          </w:tcPr>
          <w:p w:rsidR="004B4068" w:rsidRPr="00212872" w:rsidRDefault="004B4068" w:rsidP="00EE236C">
            <w:pPr>
              <w:rPr>
                <w:sz w:val="20"/>
                <w:szCs w:val="20"/>
              </w:rPr>
            </w:pPr>
            <w:r w:rsidRPr="00212872">
              <w:rPr>
                <w:sz w:val="20"/>
                <w:szCs w:val="20"/>
              </w:rPr>
              <w:t> </w:t>
            </w:r>
          </w:p>
        </w:tc>
        <w:tc>
          <w:tcPr>
            <w:tcW w:w="1642" w:type="dxa"/>
            <w:tcBorders>
              <w:top w:val="nil"/>
              <w:left w:val="nil"/>
              <w:bottom w:val="single" w:sz="4" w:space="0" w:color="auto"/>
              <w:right w:val="nil"/>
            </w:tcBorders>
            <w:shd w:val="clear" w:color="auto" w:fill="auto"/>
            <w:noWrap/>
            <w:vAlign w:val="bottom"/>
            <w:hideMark/>
          </w:tcPr>
          <w:p w:rsidR="004B4068" w:rsidRPr="00212872" w:rsidRDefault="004B4068" w:rsidP="00212872">
            <w:pPr>
              <w:rPr>
                <w:sz w:val="20"/>
                <w:szCs w:val="20"/>
              </w:rPr>
            </w:pPr>
            <w:r w:rsidRPr="00212872">
              <w:rPr>
                <w:sz w:val="20"/>
                <w:szCs w:val="20"/>
              </w:rPr>
              <w:t> </w:t>
            </w:r>
          </w:p>
        </w:tc>
        <w:tc>
          <w:tcPr>
            <w:tcW w:w="939" w:type="dxa"/>
            <w:tcBorders>
              <w:top w:val="nil"/>
              <w:left w:val="nil"/>
              <w:bottom w:val="single" w:sz="4" w:space="0" w:color="auto"/>
              <w:right w:val="nil"/>
            </w:tcBorders>
            <w:shd w:val="clear" w:color="auto" w:fill="auto"/>
            <w:noWrap/>
            <w:vAlign w:val="bottom"/>
            <w:hideMark/>
          </w:tcPr>
          <w:p w:rsidR="004B4068" w:rsidRPr="00212872" w:rsidRDefault="004B4068" w:rsidP="00212872">
            <w:pPr>
              <w:rPr>
                <w:sz w:val="20"/>
                <w:szCs w:val="20"/>
              </w:rPr>
            </w:pPr>
            <w:r w:rsidRPr="00212872">
              <w:rPr>
                <w:sz w:val="20"/>
                <w:szCs w:val="20"/>
              </w:rPr>
              <w:t> </w:t>
            </w:r>
          </w:p>
        </w:tc>
        <w:tc>
          <w:tcPr>
            <w:tcW w:w="1071" w:type="dxa"/>
            <w:tcBorders>
              <w:top w:val="nil"/>
              <w:left w:val="nil"/>
              <w:bottom w:val="single" w:sz="4" w:space="0" w:color="auto"/>
              <w:right w:val="nil"/>
            </w:tcBorders>
            <w:shd w:val="clear" w:color="auto" w:fill="auto"/>
            <w:noWrap/>
            <w:vAlign w:val="bottom"/>
            <w:hideMark/>
          </w:tcPr>
          <w:p w:rsidR="004B4068" w:rsidRPr="00212872" w:rsidRDefault="004B4068" w:rsidP="00212872">
            <w:pPr>
              <w:rPr>
                <w:sz w:val="20"/>
                <w:szCs w:val="20"/>
              </w:rPr>
            </w:pPr>
            <w:r w:rsidRPr="00212872">
              <w:rPr>
                <w:sz w:val="20"/>
                <w:szCs w:val="20"/>
              </w:rPr>
              <w:t> </w:t>
            </w:r>
          </w:p>
        </w:tc>
        <w:tc>
          <w:tcPr>
            <w:tcW w:w="1381" w:type="dxa"/>
            <w:tcBorders>
              <w:top w:val="nil"/>
              <w:left w:val="nil"/>
              <w:bottom w:val="single" w:sz="4" w:space="0" w:color="auto"/>
              <w:right w:val="nil"/>
            </w:tcBorders>
            <w:shd w:val="clear" w:color="auto" w:fill="auto"/>
            <w:noWrap/>
            <w:vAlign w:val="bottom"/>
            <w:hideMark/>
          </w:tcPr>
          <w:p w:rsidR="004B4068" w:rsidRPr="00212872" w:rsidRDefault="004B4068" w:rsidP="00212872">
            <w:pPr>
              <w:rPr>
                <w:sz w:val="20"/>
                <w:szCs w:val="20"/>
              </w:rPr>
            </w:pPr>
            <w:r w:rsidRPr="00212872">
              <w:rPr>
                <w:sz w:val="20"/>
                <w:szCs w:val="20"/>
              </w:rPr>
              <w:t> </w:t>
            </w:r>
          </w:p>
        </w:tc>
      </w:tr>
      <w:tr w:rsidR="004B4068" w:rsidRPr="00212872" w:rsidTr="004B4068">
        <w:trPr>
          <w:trHeight w:val="228"/>
        </w:trPr>
        <w:tc>
          <w:tcPr>
            <w:tcW w:w="2508"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454" w:type="dxa"/>
            <w:tcBorders>
              <w:top w:val="nil"/>
              <w:left w:val="nil"/>
              <w:bottom w:val="nil"/>
              <w:right w:val="nil"/>
            </w:tcBorders>
            <w:vAlign w:val="bottom"/>
          </w:tcPr>
          <w:p w:rsidR="004B4068" w:rsidRPr="00212872" w:rsidRDefault="004B4068" w:rsidP="00EE236C">
            <w:pPr>
              <w:rPr>
                <w:sz w:val="20"/>
                <w:szCs w:val="20"/>
              </w:rPr>
            </w:pPr>
          </w:p>
        </w:tc>
        <w:tc>
          <w:tcPr>
            <w:tcW w:w="1642"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939"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071"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381"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r>
      <w:tr w:rsidR="004B4068" w:rsidRPr="00212872" w:rsidTr="004B4068">
        <w:trPr>
          <w:trHeight w:val="228"/>
        </w:trPr>
        <w:tc>
          <w:tcPr>
            <w:tcW w:w="2508"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454" w:type="dxa"/>
            <w:tcBorders>
              <w:top w:val="nil"/>
              <w:left w:val="nil"/>
              <w:bottom w:val="nil"/>
              <w:right w:val="nil"/>
            </w:tcBorders>
            <w:vAlign w:val="bottom"/>
          </w:tcPr>
          <w:p w:rsidR="004B4068" w:rsidRPr="00212872" w:rsidRDefault="004B4068" w:rsidP="00EE236C">
            <w:pPr>
              <w:jc w:val="right"/>
              <w:rPr>
                <w:sz w:val="20"/>
                <w:szCs w:val="20"/>
              </w:rPr>
            </w:pPr>
            <w:r w:rsidRPr="00212872">
              <w:rPr>
                <w:sz w:val="20"/>
                <w:szCs w:val="20"/>
              </w:rPr>
              <w:t>6,357</w:t>
            </w:r>
          </w:p>
        </w:tc>
        <w:tc>
          <w:tcPr>
            <w:tcW w:w="1642" w:type="dxa"/>
            <w:tcBorders>
              <w:top w:val="nil"/>
              <w:left w:val="nil"/>
              <w:bottom w:val="nil"/>
              <w:right w:val="nil"/>
            </w:tcBorders>
            <w:shd w:val="clear" w:color="auto" w:fill="auto"/>
            <w:noWrap/>
            <w:vAlign w:val="bottom"/>
            <w:hideMark/>
          </w:tcPr>
          <w:p w:rsidR="004B4068" w:rsidRPr="00212872" w:rsidRDefault="004B4068" w:rsidP="00212872">
            <w:pPr>
              <w:jc w:val="right"/>
              <w:rPr>
                <w:sz w:val="20"/>
                <w:szCs w:val="20"/>
              </w:rPr>
            </w:pPr>
            <w:r w:rsidRPr="00212872">
              <w:rPr>
                <w:sz w:val="20"/>
                <w:szCs w:val="20"/>
              </w:rPr>
              <w:t>49,915</w:t>
            </w:r>
          </w:p>
        </w:tc>
        <w:tc>
          <w:tcPr>
            <w:tcW w:w="939" w:type="dxa"/>
            <w:tcBorders>
              <w:top w:val="nil"/>
              <w:left w:val="nil"/>
              <w:bottom w:val="nil"/>
              <w:right w:val="nil"/>
            </w:tcBorders>
            <w:shd w:val="clear" w:color="auto" w:fill="auto"/>
            <w:noWrap/>
            <w:vAlign w:val="bottom"/>
            <w:hideMark/>
          </w:tcPr>
          <w:p w:rsidR="004B4068" w:rsidRPr="00212872" w:rsidRDefault="004B4068" w:rsidP="00212872">
            <w:pPr>
              <w:jc w:val="right"/>
              <w:rPr>
                <w:sz w:val="20"/>
                <w:szCs w:val="20"/>
              </w:rPr>
            </w:pPr>
            <w:r w:rsidRPr="00212872">
              <w:rPr>
                <w:sz w:val="20"/>
                <w:szCs w:val="20"/>
              </w:rPr>
              <w:t>12,579</w:t>
            </w:r>
          </w:p>
        </w:tc>
        <w:tc>
          <w:tcPr>
            <w:tcW w:w="1071" w:type="dxa"/>
            <w:tcBorders>
              <w:top w:val="nil"/>
              <w:left w:val="nil"/>
              <w:bottom w:val="nil"/>
              <w:right w:val="nil"/>
            </w:tcBorders>
            <w:shd w:val="clear" w:color="auto" w:fill="auto"/>
            <w:noWrap/>
            <w:vAlign w:val="bottom"/>
            <w:hideMark/>
          </w:tcPr>
          <w:p w:rsidR="004B4068" w:rsidRPr="00212872" w:rsidRDefault="004B4068" w:rsidP="00212872">
            <w:pPr>
              <w:jc w:val="right"/>
              <w:rPr>
                <w:sz w:val="20"/>
                <w:szCs w:val="20"/>
              </w:rPr>
            </w:pPr>
            <w:r w:rsidRPr="00212872">
              <w:rPr>
                <w:sz w:val="20"/>
                <w:szCs w:val="20"/>
              </w:rPr>
              <w:t>68,851</w:t>
            </w:r>
          </w:p>
        </w:tc>
        <w:tc>
          <w:tcPr>
            <w:tcW w:w="1381" w:type="dxa"/>
            <w:tcBorders>
              <w:top w:val="nil"/>
              <w:left w:val="nil"/>
              <w:bottom w:val="nil"/>
              <w:right w:val="nil"/>
            </w:tcBorders>
            <w:shd w:val="clear" w:color="auto" w:fill="auto"/>
            <w:noWrap/>
            <w:vAlign w:val="bottom"/>
            <w:hideMark/>
          </w:tcPr>
          <w:p w:rsidR="004B4068" w:rsidRPr="00212872" w:rsidRDefault="004B4068" w:rsidP="00212872">
            <w:pPr>
              <w:jc w:val="right"/>
              <w:rPr>
                <w:sz w:val="20"/>
                <w:szCs w:val="20"/>
              </w:rPr>
            </w:pPr>
            <w:r w:rsidRPr="00212872">
              <w:rPr>
                <w:sz w:val="20"/>
                <w:szCs w:val="20"/>
              </w:rPr>
              <w:t>71,938</w:t>
            </w:r>
          </w:p>
        </w:tc>
      </w:tr>
      <w:tr w:rsidR="004B4068" w:rsidRPr="00212872" w:rsidTr="004B4068">
        <w:trPr>
          <w:trHeight w:val="228"/>
        </w:trPr>
        <w:tc>
          <w:tcPr>
            <w:tcW w:w="2508"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454" w:type="dxa"/>
            <w:tcBorders>
              <w:top w:val="nil"/>
              <w:left w:val="nil"/>
              <w:bottom w:val="nil"/>
              <w:right w:val="nil"/>
            </w:tcBorders>
            <w:vAlign w:val="bottom"/>
          </w:tcPr>
          <w:p w:rsidR="004B4068" w:rsidRPr="00212872" w:rsidRDefault="004B4068" w:rsidP="00EE236C">
            <w:pPr>
              <w:rPr>
                <w:sz w:val="20"/>
                <w:szCs w:val="20"/>
              </w:rPr>
            </w:pPr>
          </w:p>
        </w:tc>
        <w:tc>
          <w:tcPr>
            <w:tcW w:w="1642"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939"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071"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381"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r>
      <w:tr w:rsidR="004B4068" w:rsidRPr="00212872" w:rsidTr="004B4068">
        <w:trPr>
          <w:trHeight w:val="228"/>
        </w:trPr>
        <w:tc>
          <w:tcPr>
            <w:tcW w:w="2508"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r w:rsidRPr="00212872">
              <w:rPr>
                <w:sz w:val="20"/>
                <w:szCs w:val="20"/>
              </w:rPr>
              <w:t>Payments during the year</w:t>
            </w:r>
          </w:p>
        </w:tc>
        <w:tc>
          <w:tcPr>
            <w:tcW w:w="1454" w:type="dxa"/>
            <w:tcBorders>
              <w:top w:val="nil"/>
              <w:left w:val="nil"/>
              <w:bottom w:val="nil"/>
              <w:right w:val="nil"/>
            </w:tcBorders>
            <w:vAlign w:val="bottom"/>
          </w:tcPr>
          <w:p w:rsidR="004B4068" w:rsidRPr="00212872" w:rsidRDefault="00940BCE" w:rsidP="00EE236C">
            <w:pPr>
              <w:jc w:val="right"/>
              <w:rPr>
                <w:sz w:val="20"/>
                <w:szCs w:val="20"/>
              </w:rPr>
            </w:pPr>
            <w:r>
              <w:rPr>
                <w:sz w:val="20"/>
                <w:szCs w:val="20"/>
              </w:rPr>
              <w:t>-</w:t>
            </w:r>
          </w:p>
        </w:tc>
        <w:tc>
          <w:tcPr>
            <w:tcW w:w="1642" w:type="dxa"/>
            <w:tcBorders>
              <w:top w:val="nil"/>
              <w:left w:val="nil"/>
              <w:bottom w:val="nil"/>
              <w:right w:val="nil"/>
            </w:tcBorders>
            <w:shd w:val="clear" w:color="auto" w:fill="auto"/>
            <w:noWrap/>
            <w:vAlign w:val="bottom"/>
            <w:hideMark/>
          </w:tcPr>
          <w:p w:rsidR="004B4068" w:rsidRPr="00212872" w:rsidRDefault="004B4068" w:rsidP="00212872">
            <w:pPr>
              <w:jc w:val="right"/>
              <w:rPr>
                <w:sz w:val="20"/>
                <w:szCs w:val="20"/>
              </w:rPr>
            </w:pPr>
            <w:r w:rsidRPr="00212872">
              <w:rPr>
                <w:sz w:val="20"/>
                <w:szCs w:val="20"/>
              </w:rPr>
              <w:t>1,650</w:t>
            </w:r>
          </w:p>
        </w:tc>
        <w:tc>
          <w:tcPr>
            <w:tcW w:w="939" w:type="dxa"/>
            <w:tcBorders>
              <w:top w:val="nil"/>
              <w:left w:val="nil"/>
              <w:bottom w:val="nil"/>
              <w:right w:val="nil"/>
            </w:tcBorders>
            <w:shd w:val="clear" w:color="auto" w:fill="auto"/>
            <w:noWrap/>
            <w:vAlign w:val="bottom"/>
            <w:hideMark/>
          </w:tcPr>
          <w:p w:rsidR="004B4068" w:rsidRPr="00212872" w:rsidRDefault="004B4068" w:rsidP="00212872">
            <w:pPr>
              <w:jc w:val="right"/>
              <w:rPr>
                <w:sz w:val="20"/>
                <w:szCs w:val="20"/>
              </w:rPr>
            </w:pPr>
            <w:r w:rsidRPr="00212872">
              <w:rPr>
                <w:sz w:val="20"/>
                <w:szCs w:val="20"/>
              </w:rPr>
              <w:t>3,549</w:t>
            </w:r>
          </w:p>
        </w:tc>
        <w:tc>
          <w:tcPr>
            <w:tcW w:w="1071" w:type="dxa"/>
            <w:tcBorders>
              <w:top w:val="nil"/>
              <w:left w:val="nil"/>
              <w:bottom w:val="nil"/>
              <w:right w:val="nil"/>
            </w:tcBorders>
            <w:shd w:val="clear" w:color="auto" w:fill="auto"/>
            <w:noWrap/>
            <w:vAlign w:val="bottom"/>
            <w:hideMark/>
          </w:tcPr>
          <w:p w:rsidR="004B4068" w:rsidRPr="00212872" w:rsidRDefault="004B4068" w:rsidP="00212872">
            <w:pPr>
              <w:jc w:val="right"/>
              <w:rPr>
                <w:sz w:val="20"/>
                <w:szCs w:val="20"/>
              </w:rPr>
            </w:pPr>
            <w:r w:rsidRPr="00212872">
              <w:rPr>
                <w:sz w:val="20"/>
                <w:szCs w:val="20"/>
              </w:rPr>
              <w:t>5,199</w:t>
            </w:r>
          </w:p>
        </w:tc>
        <w:tc>
          <w:tcPr>
            <w:tcW w:w="1381" w:type="dxa"/>
            <w:tcBorders>
              <w:top w:val="nil"/>
              <w:left w:val="nil"/>
              <w:bottom w:val="nil"/>
              <w:right w:val="nil"/>
            </w:tcBorders>
            <w:shd w:val="clear" w:color="auto" w:fill="auto"/>
            <w:noWrap/>
            <w:vAlign w:val="bottom"/>
            <w:hideMark/>
          </w:tcPr>
          <w:p w:rsidR="004B4068" w:rsidRPr="00212872" w:rsidRDefault="004B4068" w:rsidP="00212872">
            <w:pPr>
              <w:jc w:val="right"/>
              <w:rPr>
                <w:sz w:val="20"/>
                <w:szCs w:val="20"/>
              </w:rPr>
            </w:pPr>
            <w:r w:rsidRPr="00212872">
              <w:rPr>
                <w:sz w:val="20"/>
                <w:szCs w:val="20"/>
              </w:rPr>
              <w:t>18,030</w:t>
            </w:r>
          </w:p>
        </w:tc>
      </w:tr>
      <w:tr w:rsidR="004B4068" w:rsidRPr="00212872" w:rsidTr="004B4068">
        <w:trPr>
          <w:trHeight w:val="228"/>
        </w:trPr>
        <w:tc>
          <w:tcPr>
            <w:tcW w:w="2508"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454" w:type="dxa"/>
            <w:tcBorders>
              <w:top w:val="nil"/>
              <w:left w:val="nil"/>
              <w:bottom w:val="single" w:sz="4" w:space="0" w:color="auto"/>
              <w:right w:val="nil"/>
            </w:tcBorders>
            <w:vAlign w:val="bottom"/>
          </w:tcPr>
          <w:p w:rsidR="004B4068" w:rsidRPr="00212872" w:rsidRDefault="004B4068" w:rsidP="00EE236C">
            <w:pPr>
              <w:rPr>
                <w:sz w:val="20"/>
                <w:szCs w:val="20"/>
              </w:rPr>
            </w:pPr>
            <w:r w:rsidRPr="00212872">
              <w:rPr>
                <w:sz w:val="20"/>
                <w:szCs w:val="20"/>
              </w:rPr>
              <w:t> </w:t>
            </w:r>
          </w:p>
        </w:tc>
        <w:tc>
          <w:tcPr>
            <w:tcW w:w="1642" w:type="dxa"/>
            <w:tcBorders>
              <w:top w:val="nil"/>
              <w:left w:val="nil"/>
              <w:bottom w:val="single" w:sz="4" w:space="0" w:color="auto"/>
              <w:right w:val="nil"/>
            </w:tcBorders>
            <w:shd w:val="clear" w:color="auto" w:fill="auto"/>
            <w:noWrap/>
            <w:vAlign w:val="bottom"/>
            <w:hideMark/>
          </w:tcPr>
          <w:p w:rsidR="004B4068" w:rsidRPr="00212872" w:rsidRDefault="004B4068" w:rsidP="00212872">
            <w:pPr>
              <w:rPr>
                <w:sz w:val="20"/>
                <w:szCs w:val="20"/>
              </w:rPr>
            </w:pPr>
            <w:r w:rsidRPr="00212872">
              <w:rPr>
                <w:sz w:val="20"/>
                <w:szCs w:val="20"/>
              </w:rPr>
              <w:t> </w:t>
            </w:r>
          </w:p>
        </w:tc>
        <w:tc>
          <w:tcPr>
            <w:tcW w:w="939" w:type="dxa"/>
            <w:tcBorders>
              <w:top w:val="nil"/>
              <w:left w:val="nil"/>
              <w:bottom w:val="single" w:sz="4" w:space="0" w:color="auto"/>
              <w:right w:val="nil"/>
            </w:tcBorders>
            <w:shd w:val="clear" w:color="auto" w:fill="auto"/>
            <w:noWrap/>
            <w:vAlign w:val="bottom"/>
            <w:hideMark/>
          </w:tcPr>
          <w:p w:rsidR="004B4068" w:rsidRPr="00212872" w:rsidRDefault="004B4068" w:rsidP="00212872">
            <w:pPr>
              <w:rPr>
                <w:sz w:val="20"/>
                <w:szCs w:val="20"/>
              </w:rPr>
            </w:pPr>
            <w:r w:rsidRPr="00212872">
              <w:rPr>
                <w:sz w:val="20"/>
                <w:szCs w:val="20"/>
              </w:rPr>
              <w:t> </w:t>
            </w:r>
          </w:p>
        </w:tc>
        <w:tc>
          <w:tcPr>
            <w:tcW w:w="1071" w:type="dxa"/>
            <w:tcBorders>
              <w:top w:val="nil"/>
              <w:left w:val="nil"/>
              <w:bottom w:val="single" w:sz="4" w:space="0" w:color="auto"/>
              <w:right w:val="nil"/>
            </w:tcBorders>
            <w:shd w:val="clear" w:color="auto" w:fill="auto"/>
            <w:noWrap/>
            <w:vAlign w:val="bottom"/>
            <w:hideMark/>
          </w:tcPr>
          <w:p w:rsidR="004B4068" w:rsidRPr="00212872" w:rsidRDefault="004B4068" w:rsidP="00212872">
            <w:pPr>
              <w:rPr>
                <w:sz w:val="20"/>
                <w:szCs w:val="20"/>
              </w:rPr>
            </w:pPr>
            <w:r w:rsidRPr="00212872">
              <w:rPr>
                <w:sz w:val="20"/>
                <w:szCs w:val="20"/>
              </w:rPr>
              <w:t> </w:t>
            </w:r>
          </w:p>
        </w:tc>
        <w:tc>
          <w:tcPr>
            <w:tcW w:w="1381" w:type="dxa"/>
            <w:tcBorders>
              <w:top w:val="nil"/>
              <w:left w:val="nil"/>
              <w:bottom w:val="single" w:sz="4" w:space="0" w:color="auto"/>
              <w:right w:val="nil"/>
            </w:tcBorders>
            <w:shd w:val="clear" w:color="auto" w:fill="auto"/>
            <w:noWrap/>
            <w:vAlign w:val="bottom"/>
            <w:hideMark/>
          </w:tcPr>
          <w:p w:rsidR="004B4068" w:rsidRPr="00212872" w:rsidRDefault="004B4068" w:rsidP="00212872">
            <w:pPr>
              <w:rPr>
                <w:sz w:val="20"/>
                <w:szCs w:val="20"/>
              </w:rPr>
            </w:pPr>
            <w:r w:rsidRPr="00212872">
              <w:rPr>
                <w:sz w:val="20"/>
                <w:szCs w:val="20"/>
              </w:rPr>
              <w:t> </w:t>
            </w:r>
          </w:p>
        </w:tc>
      </w:tr>
      <w:tr w:rsidR="004B4068" w:rsidRPr="00212872" w:rsidTr="004B4068">
        <w:trPr>
          <w:trHeight w:val="228"/>
        </w:trPr>
        <w:tc>
          <w:tcPr>
            <w:tcW w:w="2508"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454" w:type="dxa"/>
            <w:tcBorders>
              <w:top w:val="nil"/>
              <w:left w:val="nil"/>
              <w:bottom w:val="nil"/>
              <w:right w:val="nil"/>
            </w:tcBorders>
            <w:vAlign w:val="bottom"/>
          </w:tcPr>
          <w:p w:rsidR="004B4068" w:rsidRPr="00212872" w:rsidRDefault="004B4068" w:rsidP="00EE236C">
            <w:pPr>
              <w:rPr>
                <w:sz w:val="20"/>
                <w:szCs w:val="20"/>
              </w:rPr>
            </w:pPr>
          </w:p>
        </w:tc>
        <w:tc>
          <w:tcPr>
            <w:tcW w:w="1642"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939"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071"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381"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r>
      <w:tr w:rsidR="004B4068" w:rsidRPr="00212872" w:rsidTr="004B4068">
        <w:trPr>
          <w:trHeight w:val="228"/>
        </w:trPr>
        <w:tc>
          <w:tcPr>
            <w:tcW w:w="2508"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r w:rsidRPr="00212872">
              <w:rPr>
                <w:sz w:val="20"/>
                <w:szCs w:val="20"/>
              </w:rPr>
              <w:t>Balances at 31 March</w:t>
            </w:r>
          </w:p>
        </w:tc>
        <w:tc>
          <w:tcPr>
            <w:tcW w:w="1454" w:type="dxa"/>
            <w:tcBorders>
              <w:top w:val="nil"/>
              <w:left w:val="nil"/>
              <w:bottom w:val="nil"/>
              <w:right w:val="nil"/>
            </w:tcBorders>
            <w:vAlign w:val="bottom"/>
          </w:tcPr>
          <w:p w:rsidR="004B4068" w:rsidRPr="00212872" w:rsidRDefault="004B4068" w:rsidP="00EE236C">
            <w:pPr>
              <w:jc w:val="right"/>
              <w:rPr>
                <w:sz w:val="20"/>
                <w:szCs w:val="20"/>
              </w:rPr>
            </w:pPr>
            <w:r w:rsidRPr="00212872">
              <w:rPr>
                <w:sz w:val="20"/>
                <w:szCs w:val="20"/>
              </w:rPr>
              <w:t>6,357</w:t>
            </w:r>
          </w:p>
        </w:tc>
        <w:tc>
          <w:tcPr>
            <w:tcW w:w="1642" w:type="dxa"/>
            <w:tcBorders>
              <w:top w:val="nil"/>
              <w:left w:val="nil"/>
              <w:bottom w:val="nil"/>
              <w:right w:val="nil"/>
            </w:tcBorders>
            <w:shd w:val="clear" w:color="auto" w:fill="auto"/>
            <w:noWrap/>
            <w:vAlign w:val="bottom"/>
            <w:hideMark/>
          </w:tcPr>
          <w:p w:rsidR="004B4068" w:rsidRPr="00212872" w:rsidRDefault="004B4068" w:rsidP="00212872">
            <w:pPr>
              <w:jc w:val="right"/>
              <w:rPr>
                <w:sz w:val="20"/>
                <w:szCs w:val="20"/>
              </w:rPr>
            </w:pPr>
            <w:r w:rsidRPr="00212872">
              <w:rPr>
                <w:sz w:val="20"/>
                <w:szCs w:val="20"/>
              </w:rPr>
              <w:t>48,265</w:t>
            </w:r>
          </w:p>
        </w:tc>
        <w:tc>
          <w:tcPr>
            <w:tcW w:w="939" w:type="dxa"/>
            <w:tcBorders>
              <w:top w:val="nil"/>
              <w:left w:val="nil"/>
              <w:bottom w:val="nil"/>
              <w:right w:val="nil"/>
            </w:tcBorders>
            <w:shd w:val="clear" w:color="auto" w:fill="auto"/>
            <w:noWrap/>
            <w:vAlign w:val="bottom"/>
            <w:hideMark/>
          </w:tcPr>
          <w:p w:rsidR="004B4068" w:rsidRPr="00212872" w:rsidRDefault="004B4068" w:rsidP="00212872">
            <w:pPr>
              <w:jc w:val="right"/>
              <w:rPr>
                <w:sz w:val="20"/>
                <w:szCs w:val="20"/>
              </w:rPr>
            </w:pPr>
            <w:r w:rsidRPr="00212872">
              <w:rPr>
                <w:sz w:val="20"/>
                <w:szCs w:val="20"/>
              </w:rPr>
              <w:t>9,030</w:t>
            </w:r>
          </w:p>
        </w:tc>
        <w:tc>
          <w:tcPr>
            <w:tcW w:w="1071" w:type="dxa"/>
            <w:tcBorders>
              <w:top w:val="nil"/>
              <w:left w:val="nil"/>
              <w:bottom w:val="nil"/>
              <w:right w:val="nil"/>
            </w:tcBorders>
            <w:shd w:val="clear" w:color="auto" w:fill="auto"/>
            <w:noWrap/>
            <w:vAlign w:val="bottom"/>
            <w:hideMark/>
          </w:tcPr>
          <w:p w:rsidR="004B4068" w:rsidRPr="00212872" w:rsidRDefault="004B4068" w:rsidP="00212872">
            <w:pPr>
              <w:jc w:val="right"/>
              <w:rPr>
                <w:sz w:val="20"/>
                <w:szCs w:val="20"/>
              </w:rPr>
            </w:pPr>
            <w:r w:rsidRPr="00212872">
              <w:rPr>
                <w:sz w:val="20"/>
                <w:szCs w:val="20"/>
              </w:rPr>
              <w:t>63,652</w:t>
            </w:r>
          </w:p>
        </w:tc>
        <w:tc>
          <w:tcPr>
            <w:tcW w:w="1381" w:type="dxa"/>
            <w:tcBorders>
              <w:top w:val="nil"/>
              <w:left w:val="nil"/>
              <w:bottom w:val="nil"/>
              <w:right w:val="nil"/>
            </w:tcBorders>
            <w:shd w:val="clear" w:color="auto" w:fill="auto"/>
            <w:noWrap/>
            <w:vAlign w:val="bottom"/>
            <w:hideMark/>
          </w:tcPr>
          <w:p w:rsidR="004B4068" w:rsidRPr="00212872" w:rsidRDefault="004B4068" w:rsidP="00212872">
            <w:pPr>
              <w:jc w:val="right"/>
              <w:rPr>
                <w:sz w:val="20"/>
                <w:szCs w:val="20"/>
              </w:rPr>
            </w:pPr>
            <w:r w:rsidRPr="00212872">
              <w:rPr>
                <w:sz w:val="20"/>
                <w:szCs w:val="20"/>
              </w:rPr>
              <w:t>53,908</w:t>
            </w:r>
          </w:p>
        </w:tc>
      </w:tr>
      <w:tr w:rsidR="004B4068" w:rsidRPr="00212872" w:rsidTr="004B4068">
        <w:trPr>
          <w:trHeight w:val="242"/>
        </w:trPr>
        <w:tc>
          <w:tcPr>
            <w:tcW w:w="2508"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454" w:type="dxa"/>
            <w:tcBorders>
              <w:top w:val="nil"/>
              <w:left w:val="nil"/>
              <w:bottom w:val="double" w:sz="6" w:space="0" w:color="auto"/>
              <w:right w:val="nil"/>
            </w:tcBorders>
            <w:vAlign w:val="bottom"/>
          </w:tcPr>
          <w:p w:rsidR="004B4068" w:rsidRPr="00212872" w:rsidRDefault="004B4068" w:rsidP="00EE236C">
            <w:pPr>
              <w:rPr>
                <w:sz w:val="20"/>
                <w:szCs w:val="20"/>
              </w:rPr>
            </w:pPr>
            <w:r w:rsidRPr="00212872">
              <w:rPr>
                <w:sz w:val="20"/>
                <w:szCs w:val="20"/>
              </w:rPr>
              <w:t> </w:t>
            </w:r>
          </w:p>
        </w:tc>
        <w:tc>
          <w:tcPr>
            <w:tcW w:w="1642" w:type="dxa"/>
            <w:tcBorders>
              <w:top w:val="nil"/>
              <w:left w:val="nil"/>
              <w:bottom w:val="double" w:sz="6" w:space="0" w:color="auto"/>
              <w:right w:val="nil"/>
            </w:tcBorders>
            <w:shd w:val="clear" w:color="auto" w:fill="auto"/>
            <w:noWrap/>
            <w:vAlign w:val="bottom"/>
            <w:hideMark/>
          </w:tcPr>
          <w:p w:rsidR="004B4068" w:rsidRPr="00212872" w:rsidRDefault="004B4068" w:rsidP="00212872">
            <w:pPr>
              <w:rPr>
                <w:sz w:val="20"/>
                <w:szCs w:val="20"/>
              </w:rPr>
            </w:pPr>
            <w:r w:rsidRPr="00212872">
              <w:rPr>
                <w:sz w:val="20"/>
                <w:szCs w:val="20"/>
              </w:rPr>
              <w:t> </w:t>
            </w:r>
          </w:p>
        </w:tc>
        <w:tc>
          <w:tcPr>
            <w:tcW w:w="939" w:type="dxa"/>
            <w:tcBorders>
              <w:top w:val="nil"/>
              <w:left w:val="nil"/>
              <w:bottom w:val="double" w:sz="6" w:space="0" w:color="auto"/>
              <w:right w:val="nil"/>
            </w:tcBorders>
            <w:shd w:val="clear" w:color="auto" w:fill="auto"/>
            <w:noWrap/>
            <w:vAlign w:val="bottom"/>
            <w:hideMark/>
          </w:tcPr>
          <w:p w:rsidR="004B4068" w:rsidRPr="00212872" w:rsidRDefault="004B4068" w:rsidP="00212872">
            <w:pPr>
              <w:rPr>
                <w:sz w:val="20"/>
                <w:szCs w:val="20"/>
              </w:rPr>
            </w:pPr>
            <w:r w:rsidRPr="00212872">
              <w:rPr>
                <w:sz w:val="20"/>
                <w:szCs w:val="20"/>
              </w:rPr>
              <w:t> </w:t>
            </w:r>
          </w:p>
        </w:tc>
        <w:tc>
          <w:tcPr>
            <w:tcW w:w="1071" w:type="dxa"/>
            <w:tcBorders>
              <w:top w:val="nil"/>
              <w:left w:val="nil"/>
              <w:bottom w:val="double" w:sz="6" w:space="0" w:color="auto"/>
              <w:right w:val="nil"/>
            </w:tcBorders>
            <w:shd w:val="clear" w:color="auto" w:fill="auto"/>
            <w:noWrap/>
            <w:vAlign w:val="bottom"/>
            <w:hideMark/>
          </w:tcPr>
          <w:p w:rsidR="004B4068" w:rsidRPr="00212872" w:rsidRDefault="004B4068" w:rsidP="00212872">
            <w:pPr>
              <w:rPr>
                <w:sz w:val="20"/>
                <w:szCs w:val="20"/>
              </w:rPr>
            </w:pPr>
            <w:r w:rsidRPr="00212872">
              <w:rPr>
                <w:sz w:val="20"/>
                <w:szCs w:val="20"/>
              </w:rPr>
              <w:t> </w:t>
            </w:r>
          </w:p>
        </w:tc>
        <w:tc>
          <w:tcPr>
            <w:tcW w:w="1381" w:type="dxa"/>
            <w:tcBorders>
              <w:top w:val="nil"/>
              <w:left w:val="nil"/>
              <w:bottom w:val="double" w:sz="6" w:space="0" w:color="auto"/>
              <w:right w:val="nil"/>
            </w:tcBorders>
            <w:shd w:val="clear" w:color="auto" w:fill="auto"/>
            <w:noWrap/>
            <w:vAlign w:val="bottom"/>
            <w:hideMark/>
          </w:tcPr>
          <w:p w:rsidR="004B4068" w:rsidRPr="00212872" w:rsidRDefault="004B4068" w:rsidP="00212872">
            <w:pPr>
              <w:rPr>
                <w:sz w:val="20"/>
                <w:szCs w:val="20"/>
              </w:rPr>
            </w:pPr>
            <w:r w:rsidRPr="00212872">
              <w:rPr>
                <w:sz w:val="20"/>
                <w:szCs w:val="20"/>
              </w:rPr>
              <w:t> </w:t>
            </w:r>
          </w:p>
        </w:tc>
      </w:tr>
      <w:tr w:rsidR="004B4068" w:rsidRPr="00212872" w:rsidTr="004B4068">
        <w:trPr>
          <w:trHeight w:val="242"/>
        </w:trPr>
        <w:tc>
          <w:tcPr>
            <w:tcW w:w="2508"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454" w:type="dxa"/>
            <w:tcBorders>
              <w:top w:val="nil"/>
              <w:left w:val="nil"/>
              <w:bottom w:val="nil"/>
              <w:right w:val="nil"/>
            </w:tcBorders>
            <w:vAlign w:val="bottom"/>
          </w:tcPr>
          <w:p w:rsidR="004B4068" w:rsidRPr="00212872" w:rsidRDefault="004B4068" w:rsidP="00EE236C">
            <w:pPr>
              <w:rPr>
                <w:sz w:val="20"/>
                <w:szCs w:val="20"/>
              </w:rPr>
            </w:pPr>
          </w:p>
        </w:tc>
        <w:tc>
          <w:tcPr>
            <w:tcW w:w="1642"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939"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071"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381"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r>
      <w:tr w:rsidR="004B4068" w:rsidRPr="00212872" w:rsidTr="004B4068">
        <w:trPr>
          <w:trHeight w:val="228"/>
        </w:trPr>
        <w:tc>
          <w:tcPr>
            <w:tcW w:w="2508"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454" w:type="dxa"/>
            <w:tcBorders>
              <w:top w:val="nil"/>
              <w:left w:val="nil"/>
              <w:bottom w:val="nil"/>
              <w:right w:val="nil"/>
            </w:tcBorders>
            <w:vAlign w:val="bottom"/>
          </w:tcPr>
          <w:p w:rsidR="004B4068" w:rsidRPr="00212872" w:rsidRDefault="004B4068" w:rsidP="00EE236C">
            <w:pPr>
              <w:rPr>
                <w:sz w:val="20"/>
                <w:szCs w:val="20"/>
              </w:rPr>
            </w:pPr>
          </w:p>
        </w:tc>
        <w:tc>
          <w:tcPr>
            <w:tcW w:w="1642"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939"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071"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381"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r>
      <w:tr w:rsidR="004B4068" w:rsidRPr="00212872" w:rsidTr="004B4068">
        <w:trPr>
          <w:trHeight w:val="228"/>
        </w:trPr>
        <w:tc>
          <w:tcPr>
            <w:tcW w:w="2508"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r w:rsidRPr="00212872">
              <w:rPr>
                <w:sz w:val="20"/>
                <w:szCs w:val="20"/>
              </w:rPr>
              <w:t>AGGREGATE BALANCES</w:t>
            </w:r>
          </w:p>
        </w:tc>
        <w:tc>
          <w:tcPr>
            <w:tcW w:w="1454" w:type="dxa"/>
            <w:tcBorders>
              <w:top w:val="nil"/>
              <w:left w:val="nil"/>
              <w:bottom w:val="nil"/>
              <w:right w:val="nil"/>
            </w:tcBorders>
            <w:vAlign w:val="bottom"/>
          </w:tcPr>
          <w:p w:rsidR="004B4068" w:rsidRPr="00212872" w:rsidRDefault="004B4068" w:rsidP="00EE236C">
            <w:pPr>
              <w:jc w:val="right"/>
              <w:rPr>
                <w:sz w:val="20"/>
                <w:szCs w:val="20"/>
              </w:rPr>
            </w:pPr>
            <w:r w:rsidRPr="00212872">
              <w:rPr>
                <w:sz w:val="20"/>
                <w:szCs w:val="20"/>
              </w:rPr>
              <w:t>9,381</w:t>
            </w:r>
          </w:p>
        </w:tc>
        <w:tc>
          <w:tcPr>
            <w:tcW w:w="1642" w:type="dxa"/>
            <w:tcBorders>
              <w:top w:val="nil"/>
              <w:left w:val="nil"/>
              <w:bottom w:val="nil"/>
              <w:right w:val="nil"/>
            </w:tcBorders>
            <w:shd w:val="clear" w:color="auto" w:fill="auto"/>
            <w:noWrap/>
            <w:vAlign w:val="bottom"/>
            <w:hideMark/>
          </w:tcPr>
          <w:p w:rsidR="004B4068" w:rsidRPr="00212872" w:rsidRDefault="004B4068" w:rsidP="00212872">
            <w:pPr>
              <w:jc w:val="right"/>
              <w:rPr>
                <w:sz w:val="20"/>
                <w:szCs w:val="20"/>
              </w:rPr>
            </w:pPr>
            <w:r w:rsidRPr="00212872">
              <w:rPr>
                <w:sz w:val="20"/>
                <w:szCs w:val="20"/>
              </w:rPr>
              <w:t>223,276</w:t>
            </w:r>
          </w:p>
        </w:tc>
        <w:tc>
          <w:tcPr>
            <w:tcW w:w="939" w:type="dxa"/>
            <w:tcBorders>
              <w:top w:val="nil"/>
              <w:left w:val="nil"/>
              <w:bottom w:val="nil"/>
              <w:right w:val="nil"/>
            </w:tcBorders>
            <w:shd w:val="clear" w:color="auto" w:fill="auto"/>
            <w:noWrap/>
            <w:vAlign w:val="bottom"/>
            <w:hideMark/>
          </w:tcPr>
          <w:p w:rsidR="004B4068" w:rsidRPr="00212872" w:rsidRDefault="004B4068" w:rsidP="00212872">
            <w:pPr>
              <w:jc w:val="right"/>
              <w:rPr>
                <w:sz w:val="20"/>
                <w:szCs w:val="20"/>
              </w:rPr>
            </w:pPr>
            <w:r w:rsidRPr="00212872">
              <w:rPr>
                <w:sz w:val="20"/>
                <w:szCs w:val="20"/>
              </w:rPr>
              <w:t>9,843</w:t>
            </w:r>
          </w:p>
        </w:tc>
        <w:tc>
          <w:tcPr>
            <w:tcW w:w="1071" w:type="dxa"/>
            <w:tcBorders>
              <w:top w:val="nil"/>
              <w:left w:val="nil"/>
              <w:bottom w:val="nil"/>
              <w:right w:val="nil"/>
            </w:tcBorders>
            <w:shd w:val="clear" w:color="auto" w:fill="auto"/>
            <w:noWrap/>
            <w:vAlign w:val="bottom"/>
            <w:hideMark/>
          </w:tcPr>
          <w:p w:rsidR="004B4068" w:rsidRPr="00212872" w:rsidRDefault="004B4068" w:rsidP="00212872">
            <w:pPr>
              <w:jc w:val="right"/>
              <w:rPr>
                <w:sz w:val="20"/>
                <w:szCs w:val="20"/>
              </w:rPr>
            </w:pPr>
            <w:r w:rsidRPr="00212872">
              <w:rPr>
                <w:sz w:val="20"/>
                <w:szCs w:val="20"/>
              </w:rPr>
              <w:t>242,500</w:t>
            </w:r>
          </w:p>
        </w:tc>
        <w:tc>
          <w:tcPr>
            <w:tcW w:w="1381" w:type="dxa"/>
            <w:tcBorders>
              <w:top w:val="nil"/>
              <w:left w:val="nil"/>
              <w:bottom w:val="nil"/>
              <w:right w:val="nil"/>
            </w:tcBorders>
            <w:shd w:val="clear" w:color="auto" w:fill="auto"/>
            <w:noWrap/>
            <w:vAlign w:val="bottom"/>
            <w:hideMark/>
          </w:tcPr>
          <w:p w:rsidR="004B4068" w:rsidRPr="00212872" w:rsidRDefault="004B4068" w:rsidP="00212872">
            <w:pPr>
              <w:jc w:val="right"/>
              <w:rPr>
                <w:sz w:val="20"/>
                <w:szCs w:val="20"/>
              </w:rPr>
            </w:pPr>
            <w:r w:rsidRPr="00212872">
              <w:rPr>
                <w:sz w:val="20"/>
                <w:szCs w:val="20"/>
              </w:rPr>
              <w:t>233,164</w:t>
            </w:r>
          </w:p>
        </w:tc>
      </w:tr>
      <w:tr w:rsidR="004B4068" w:rsidRPr="00212872" w:rsidTr="004B4068">
        <w:trPr>
          <w:trHeight w:val="228"/>
        </w:trPr>
        <w:tc>
          <w:tcPr>
            <w:tcW w:w="2508"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r w:rsidRPr="00212872">
              <w:rPr>
                <w:sz w:val="20"/>
                <w:szCs w:val="20"/>
              </w:rPr>
              <w:t>at 31 March</w:t>
            </w:r>
          </w:p>
        </w:tc>
        <w:tc>
          <w:tcPr>
            <w:tcW w:w="1454" w:type="dxa"/>
            <w:tcBorders>
              <w:top w:val="nil"/>
              <w:left w:val="nil"/>
              <w:bottom w:val="nil"/>
              <w:right w:val="nil"/>
            </w:tcBorders>
            <w:vAlign w:val="bottom"/>
          </w:tcPr>
          <w:p w:rsidR="004B4068" w:rsidRPr="00212872" w:rsidRDefault="004B4068" w:rsidP="00EE236C">
            <w:pPr>
              <w:rPr>
                <w:sz w:val="20"/>
                <w:szCs w:val="20"/>
              </w:rPr>
            </w:pPr>
          </w:p>
        </w:tc>
        <w:tc>
          <w:tcPr>
            <w:tcW w:w="1642"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939"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071" w:type="dxa"/>
            <w:tcBorders>
              <w:top w:val="nil"/>
              <w:left w:val="nil"/>
              <w:bottom w:val="nil"/>
              <w:right w:val="nil"/>
            </w:tcBorders>
            <w:shd w:val="clear" w:color="auto" w:fill="auto"/>
            <w:noWrap/>
            <w:vAlign w:val="bottom"/>
            <w:hideMark/>
          </w:tcPr>
          <w:p w:rsidR="004B4068" w:rsidRPr="00212872" w:rsidRDefault="004B4068" w:rsidP="00212872">
            <w:pPr>
              <w:jc w:val="center"/>
              <w:rPr>
                <w:sz w:val="20"/>
                <w:szCs w:val="20"/>
              </w:rPr>
            </w:pPr>
          </w:p>
        </w:tc>
        <w:tc>
          <w:tcPr>
            <w:tcW w:w="1381"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r>
      <w:tr w:rsidR="004B4068" w:rsidRPr="00212872" w:rsidTr="004B4068">
        <w:trPr>
          <w:trHeight w:val="228"/>
        </w:trPr>
        <w:tc>
          <w:tcPr>
            <w:tcW w:w="2508"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r w:rsidRPr="00212872">
              <w:rPr>
                <w:sz w:val="20"/>
                <w:szCs w:val="20"/>
              </w:rPr>
              <w:t>( Capital and Revenue )</w:t>
            </w:r>
          </w:p>
        </w:tc>
        <w:tc>
          <w:tcPr>
            <w:tcW w:w="1454" w:type="dxa"/>
            <w:tcBorders>
              <w:top w:val="nil"/>
              <w:left w:val="nil"/>
              <w:bottom w:val="nil"/>
              <w:right w:val="nil"/>
            </w:tcBorders>
            <w:vAlign w:val="bottom"/>
          </w:tcPr>
          <w:p w:rsidR="004B4068" w:rsidRPr="00212872" w:rsidRDefault="004B4068" w:rsidP="00EE236C">
            <w:pPr>
              <w:rPr>
                <w:sz w:val="20"/>
                <w:szCs w:val="20"/>
              </w:rPr>
            </w:pPr>
          </w:p>
        </w:tc>
        <w:tc>
          <w:tcPr>
            <w:tcW w:w="1642"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939"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071"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c>
          <w:tcPr>
            <w:tcW w:w="1381" w:type="dxa"/>
            <w:tcBorders>
              <w:top w:val="nil"/>
              <w:left w:val="nil"/>
              <w:bottom w:val="nil"/>
              <w:right w:val="nil"/>
            </w:tcBorders>
            <w:shd w:val="clear" w:color="auto" w:fill="auto"/>
            <w:noWrap/>
            <w:vAlign w:val="bottom"/>
            <w:hideMark/>
          </w:tcPr>
          <w:p w:rsidR="004B4068" w:rsidRPr="00212872" w:rsidRDefault="004B4068" w:rsidP="00212872">
            <w:pPr>
              <w:rPr>
                <w:sz w:val="20"/>
                <w:szCs w:val="20"/>
              </w:rPr>
            </w:pPr>
          </w:p>
        </w:tc>
      </w:tr>
    </w:tbl>
    <w:p w:rsidR="00212872" w:rsidRPr="00212872" w:rsidRDefault="00212872" w:rsidP="00C23DCD">
      <w:pPr>
        <w:spacing w:after="240"/>
        <w:ind w:left="720"/>
        <w:jc w:val="both"/>
      </w:pPr>
    </w:p>
    <w:p w:rsidR="00A56AE5" w:rsidRPr="00286C0E" w:rsidRDefault="00A56AE5" w:rsidP="00A1169B">
      <w:pPr>
        <w:ind w:left="720"/>
        <w:rPr>
          <w:highlight w:val="yellow"/>
        </w:rPr>
      </w:pPr>
    </w:p>
    <w:tbl>
      <w:tblPr>
        <w:tblW w:w="5000" w:type="pct"/>
        <w:jc w:val="center"/>
        <w:tblLook w:val="04A0"/>
      </w:tblPr>
      <w:tblGrid>
        <w:gridCol w:w="10682"/>
      </w:tblGrid>
      <w:tr w:rsidR="0003279A" w:rsidRPr="00286C0E" w:rsidTr="00F30714">
        <w:trPr>
          <w:trHeight w:val="2880"/>
          <w:jc w:val="center"/>
        </w:trPr>
        <w:tc>
          <w:tcPr>
            <w:tcW w:w="5000" w:type="pct"/>
          </w:tcPr>
          <w:p w:rsidR="0003279A" w:rsidRPr="00286C0E" w:rsidRDefault="00CB42F3" w:rsidP="00F30714">
            <w:pPr>
              <w:pStyle w:val="NoSpacing"/>
              <w:jc w:val="center"/>
              <w:rPr>
                <w:rFonts w:ascii="Cambria" w:hAnsi="Cambria"/>
                <w:caps/>
                <w:highlight w:val="yellow"/>
              </w:rPr>
            </w:pPr>
            <w:r w:rsidRPr="00286C0E">
              <w:rPr>
                <w:highlight w:val="yellow"/>
              </w:rPr>
              <w:br w:type="page"/>
            </w:r>
          </w:p>
        </w:tc>
      </w:tr>
    </w:tbl>
    <w:p w:rsidR="00D40E86" w:rsidRDefault="00D40E86" w:rsidP="00D40E86">
      <w:bookmarkStart w:id="2" w:name="Glossary"/>
    </w:p>
    <w:p w:rsidR="00D40E86" w:rsidRDefault="00D40E86" w:rsidP="00D40E86">
      <w:pPr>
        <w:rPr>
          <w:rFonts w:ascii="Univers" w:eastAsiaTheme="majorEastAsia" w:hAnsi="Univers" w:cstheme="majorBidi"/>
          <w:sz w:val="48"/>
          <w:szCs w:val="48"/>
        </w:rPr>
      </w:pPr>
    </w:p>
    <w:p w:rsidR="00D40E86" w:rsidRPr="00646918" w:rsidRDefault="00D40E86" w:rsidP="00D40E86">
      <w:pPr>
        <w:jc w:val="center"/>
        <w:rPr>
          <w:rFonts w:ascii="Univers" w:eastAsiaTheme="majorEastAsia" w:hAnsi="Univers" w:cstheme="majorBidi"/>
          <w:sz w:val="52"/>
          <w:szCs w:val="52"/>
        </w:rPr>
      </w:pPr>
      <w:r w:rsidRPr="00646918">
        <w:rPr>
          <w:rFonts w:ascii="Univers" w:eastAsiaTheme="majorEastAsia" w:hAnsi="Univers" w:cstheme="majorBidi"/>
          <w:sz w:val="52"/>
          <w:szCs w:val="52"/>
        </w:rPr>
        <w:t>Lancashire County Pension Fund</w:t>
      </w:r>
    </w:p>
    <w:p w:rsidR="00D40E86" w:rsidRPr="00646918" w:rsidRDefault="00D40E86" w:rsidP="00D40E86">
      <w:pPr>
        <w:jc w:val="center"/>
        <w:rPr>
          <w:rFonts w:ascii="Univers" w:eastAsiaTheme="majorEastAsia" w:hAnsi="Univers" w:cstheme="majorBidi"/>
          <w:sz w:val="52"/>
          <w:szCs w:val="52"/>
        </w:rPr>
      </w:pPr>
    </w:p>
    <w:p w:rsidR="00D40E86" w:rsidRPr="00646918" w:rsidRDefault="00D40E86" w:rsidP="00D40E86">
      <w:pPr>
        <w:jc w:val="center"/>
        <w:rPr>
          <w:rFonts w:ascii="Univers" w:eastAsiaTheme="majorEastAsia" w:hAnsi="Univers" w:cstheme="majorBidi"/>
          <w:sz w:val="52"/>
          <w:szCs w:val="52"/>
        </w:rPr>
      </w:pPr>
    </w:p>
    <w:p w:rsidR="00D40E86" w:rsidRPr="00646918" w:rsidRDefault="00D40E86" w:rsidP="00D40E86">
      <w:pPr>
        <w:jc w:val="center"/>
        <w:rPr>
          <w:rFonts w:ascii="Univers" w:eastAsiaTheme="majorEastAsia" w:hAnsi="Univers" w:cstheme="majorBidi"/>
          <w:sz w:val="52"/>
          <w:szCs w:val="52"/>
        </w:rPr>
      </w:pPr>
    </w:p>
    <w:p w:rsidR="00D40E86" w:rsidRDefault="00D40E86" w:rsidP="00D40E86">
      <w:pPr>
        <w:jc w:val="center"/>
        <w:rPr>
          <w:rFonts w:ascii="Univers" w:eastAsiaTheme="majorEastAsia" w:hAnsi="Univers" w:cstheme="majorBidi"/>
          <w:sz w:val="52"/>
          <w:szCs w:val="52"/>
        </w:rPr>
      </w:pPr>
    </w:p>
    <w:p w:rsidR="00D40E86" w:rsidRDefault="00D40E86" w:rsidP="00D40E86">
      <w:pPr>
        <w:jc w:val="center"/>
        <w:rPr>
          <w:rFonts w:ascii="Univers" w:eastAsiaTheme="majorEastAsia" w:hAnsi="Univers" w:cstheme="majorBidi"/>
          <w:sz w:val="52"/>
          <w:szCs w:val="52"/>
        </w:rPr>
      </w:pPr>
    </w:p>
    <w:p w:rsidR="00D40E86" w:rsidRPr="00646918" w:rsidRDefault="00D40E86" w:rsidP="00D40E86">
      <w:pPr>
        <w:jc w:val="center"/>
        <w:rPr>
          <w:rFonts w:ascii="Univers" w:eastAsiaTheme="majorEastAsia" w:hAnsi="Univers" w:cstheme="majorBidi"/>
          <w:sz w:val="52"/>
          <w:szCs w:val="52"/>
        </w:rPr>
      </w:pPr>
    </w:p>
    <w:p w:rsidR="00D40E86" w:rsidRPr="00646918" w:rsidRDefault="00D40E86" w:rsidP="00D40E86">
      <w:pPr>
        <w:jc w:val="center"/>
        <w:rPr>
          <w:rFonts w:ascii="Univers" w:eastAsiaTheme="majorEastAsia" w:hAnsi="Univers" w:cstheme="majorBidi"/>
          <w:sz w:val="52"/>
          <w:szCs w:val="52"/>
        </w:rPr>
      </w:pPr>
    </w:p>
    <w:p w:rsidR="00D40E86" w:rsidRPr="00646918" w:rsidRDefault="00D40E86" w:rsidP="00D40E86">
      <w:pPr>
        <w:jc w:val="center"/>
        <w:rPr>
          <w:rFonts w:ascii="Univers" w:eastAsiaTheme="majorEastAsia" w:hAnsi="Univers" w:cstheme="majorBidi"/>
          <w:sz w:val="52"/>
          <w:szCs w:val="52"/>
        </w:rPr>
      </w:pPr>
      <w:r w:rsidRPr="00646918">
        <w:rPr>
          <w:rFonts w:ascii="Univers" w:eastAsiaTheme="majorEastAsia" w:hAnsi="Univers" w:cstheme="majorBidi"/>
          <w:sz w:val="52"/>
          <w:szCs w:val="52"/>
        </w:rPr>
        <w:t>Accounts</w:t>
      </w:r>
    </w:p>
    <w:p w:rsidR="00D40E86" w:rsidRPr="00646918" w:rsidRDefault="00D40E86" w:rsidP="00D40E86">
      <w:pPr>
        <w:jc w:val="center"/>
        <w:rPr>
          <w:rFonts w:ascii="Univers" w:eastAsiaTheme="majorEastAsia" w:hAnsi="Univers" w:cstheme="majorBidi"/>
          <w:sz w:val="52"/>
          <w:szCs w:val="52"/>
        </w:rPr>
      </w:pPr>
      <w:r w:rsidRPr="00646918">
        <w:rPr>
          <w:rFonts w:ascii="Univers" w:eastAsiaTheme="majorEastAsia" w:hAnsi="Univers" w:cstheme="majorBidi"/>
          <w:sz w:val="52"/>
          <w:szCs w:val="52"/>
        </w:rPr>
        <w:t>2011-2012</w:t>
      </w:r>
    </w:p>
    <w:p w:rsidR="00D40E86" w:rsidRPr="00646918" w:rsidRDefault="00D40E86" w:rsidP="00D40E86">
      <w:pPr>
        <w:jc w:val="center"/>
        <w:rPr>
          <w:rFonts w:ascii="Univers" w:eastAsiaTheme="majorEastAsia" w:hAnsi="Univers" w:cstheme="majorBidi"/>
          <w:sz w:val="52"/>
          <w:szCs w:val="52"/>
        </w:rPr>
      </w:pPr>
    </w:p>
    <w:p w:rsidR="00D40E86" w:rsidRDefault="00D40E86" w:rsidP="00D40E86"/>
    <w:p w:rsidR="00D40E86" w:rsidRDefault="00D40E86" w:rsidP="00D40E86"/>
    <w:p w:rsidR="00D40E86" w:rsidRDefault="00D40E86" w:rsidP="00D40E86"/>
    <w:p w:rsidR="00D40E86" w:rsidRDefault="00D40E86" w:rsidP="00D40E86">
      <w:pPr>
        <w:rPr>
          <w:b/>
          <w:sz w:val="28"/>
          <w:szCs w:val="28"/>
        </w:rPr>
      </w:pPr>
      <w:r>
        <w:rPr>
          <w:b/>
          <w:sz w:val="28"/>
          <w:szCs w:val="28"/>
        </w:rPr>
        <w:br w:type="page"/>
      </w:r>
    </w:p>
    <w:p w:rsidR="00D40E86" w:rsidRDefault="00D40E86" w:rsidP="00D40E86">
      <w:pPr>
        <w:rPr>
          <w:b/>
          <w:sz w:val="28"/>
          <w:szCs w:val="28"/>
        </w:rPr>
      </w:pPr>
    </w:p>
    <w:p w:rsidR="00A86593" w:rsidRPr="00B5731E" w:rsidRDefault="00A86593" w:rsidP="00A86593">
      <w:pPr>
        <w:rPr>
          <w:b/>
          <w:sz w:val="28"/>
          <w:szCs w:val="28"/>
        </w:rPr>
      </w:pPr>
      <w:r w:rsidRPr="00B5731E">
        <w:rPr>
          <w:b/>
          <w:sz w:val="28"/>
          <w:szCs w:val="28"/>
        </w:rPr>
        <w:t>A</w:t>
      </w:r>
      <w:r>
        <w:rPr>
          <w:b/>
          <w:sz w:val="28"/>
          <w:szCs w:val="28"/>
        </w:rPr>
        <w:t>ccounts of the Fund</w:t>
      </w:r>
    </w:p>
    <w:p w:rsidR="00A86593" w:rsidRPr="00166665" w:rsidRDefault="00A86593" w:rsidP="00A86593">
      <w:pPr>
        <w:rPr>
          <w:b/>
          <w:highlight w:val="yellow"/>
        </w:rPr>
      </w:pPr>
    </w:p>
    <w:p w:rsidR="00A86593" w:rsidRPr="00902AB8" w:rsidRDefault="00A86593" w:rsidP="00A86593">
      <w:pPr>
        <w:rPr>
          <w:b/>
        </w:rPr>
      </w:pPr>
      <w:r w:rsidRPr="00902AB8">
        <w:rPr>
          <w:b/>
        </w:rPr>
        <w:t>Responsibilities for the Statement of Accounts</w:t>
      </w:r>
    </w:p>
    <w:p w:rsidR="00A86593" w:rsidRPr="00902AB8" w:rsidRDefault="00A86593" w:rsidP="00A86593">
      <w:pPr>
        <w:pStyle w:val="Heading4"/>
        <w:rPr>
          <w:rFonts w:ascii="Arial" w:hAnsi="Arial" w:cs="Arial"/>
          <w:sz w:val="24"/>
          <w:szCs w:val="24"/>
        </w:rPr>
      </w:pPr>
      <w:r w:rsidRPr="00902AB8">
        <w:rPr>
          <w:rFonts w:ascii="Arial" w:hAnsi="Arial" w:cs="Arial"/>
          <w:sz w:val="24"/>
          <w:szCs w:val="24"/>
        </w:rPr>
        <w:t>The Responsibilities of the Administering Authority</w:t>
      </w:r>
    </w:p>
    <w:p w:rsidR="00A86593" w:rsidRPr="00902AB8" w:rsidRDefault="00A86593" w:rsidP="00A86593"/>
    <w:p w:rsidR="00A86593" w:rsidRPr="00902AB8" w:rsidRDefault="00A86593" w:rsidP="00A86593">
      <w:r w:rsidRPr="00902AB8">
        <w:t>The Administering Authority is required:</w:t>
      </w:r>
    </w:p>
    <w:p w:rsidR="00A86593" w:rsidRPr="00902AB8" w:rsidRDefault="00A86593" w:rsidP="00A86593"/>
    <w:p w:rsidR="00A86593" w:rsidRPr="00902AB8" w:rsidRDefault="00A86593" w:rsidP="00A86593">
      <w:pPr>
        <w:numPr>
          <w:ilvl w:val="0"/>
          <w:numId w:val="33"/>
        </w:numPr>
        <w:jc w:val="both"/>
      </w:pPr>
      <w:r w:rsidRPr="00902AB8">
        <w:t>To make arrangements for the proper administration of the financial affairs of the Lancashire County Pension Fund (Pension Fund), and to ensure that an officer has the responsibility for the administration of those affairs.  For Lancashire County Council, the respective officer is the County Treasurer, who is also the Treasurer to the Pension Fund;</w:t>
      </w:r>
    </w:p>
    <w:p w:rsidR="00A86593" w:rsidRPr="00902AB8" w:rsidRDefault="00A86593" w:rsidP="00A86593">
      <w:pPr>
        <w:jc w:val="both"/>
      </w:pPr>
    </w:p>
    <w:p w:rsidR="00A86593" w:rsidRPr="00902AB8" w:rsidRDefault="00A86593" w:rsidP="00A86593">
      <w:pPr>
        <w:numPr>
          <w:ilvl w:val="0"/>
          <w:numId w:val="33"/>
        </w:numPr>
        <w:jc w:val="both"/>
      </w:pPr>
      <w:r w:rsidRPr="00902AB8">
        <w:t>To manage its affairs to secure economic, efficient and effective use of resources, and to safeguard its assets.</w:t>
      </w:r>
    </w:p>
    <w:p w:rsidR="00A86593" w:rsidRPr="00902AB8" w:rsidRDefault="00A86593" w:rsidP="00A86593">
      <w:pPr>
        <w:rPr>
          <w:sz w:val="12"/>
          <w:szCs w:val="12"/>
        </w:rPr>
      </w:pPr>
    </w:p>
    <w:p w:rsidR="00A86593" w:rsidRPr="00902AB8" w:rsidRDefault="00A86593" w:rsidP="00A86593">
      <w:pPr>
        <w:pStyle w:val="Heading4"/>
        <w:rPr>
          <w:rFonts w:ascii="Arial" w:hAnsi="Arial" w:cs="Arial"/>
          <w:sz w:val="24"/>
          <w:szCs w:val="24"/>
        </w:rPr>
      </w:pPr>
      <w:r w:rsidRPr="00902AB8">
        <w:rPr>
          <w:rFonts w:ascii="Arial" w:hAnsi="Arial" w:cs="Arial"/>
          <w:sz w:val="24"/>
          <w:szCs w:val="24"/>
        </w:rPr>
        <w:t>The Responsibilities of the Treasurer to the Pension Fund</w:t>
      </w:r>
    </w:p>
    <w:p w:rsidR="00A86593" w:rsidRPr="00902AB8" w:rsidRDefault="00A86593" w:rsidP="00A86593">
      <w:pPr>
        <w:jc w:val="both"/>
      </w:pPr>
    </w:p>
    <w:p w:rsidR="00A86593" w:rsidRPr="00902AB8" w:rsidRDefault="00A86593" w:rsidP="00A86593">
      <w:pPr>
        <w:jc w:val="both"/>
      </w:pPr>
      <w:r w:rsidRPr="00902AB8">
        <w:t>The Treasurer to the Pension Fund is responsible for the preparation of the Pension Fund’s statement of accounts.  In accordance with the CIPFA Code of Practice on Local Authority Accounting in Great Britain (the Code), the statement is required to present fairly the financial position of the Pension Fund at the accounting date, and its income and expenditure for the year then ended.</w:t>
      </w:r>
    </w:p>
    <w:p w:rsidR="00A86593" w:rsidRPr="00902AB8" w:rsidRDefault="00A86593" w:rsidP="00A86593"/>
    <w:p w:rsidR="00A86593" w:rsidRPr="00902AB8" w:rsidRDefault="00A86593" w:rsidP="00A86593">
      <w:r w:rsidRPr="00902AB8">
        <w:t>In preparing this statement of accounts, the Treasurer to the Pension Fund has:</w:t>
      </w:r>
    </w:p>
    <w:p w:rsidR="00A86593" w:rsidRPr="00902AB8" w:rsidRDefault="00A86593" w:rsidP="00A86593"/>
    <w:p w:rsidR="00A86593" w:rsidRPr="00902AB8" w:rsidRDefault="00A86593" w:rsidP="00A86593">
      <w:pPr>
        <w:numPr>
          <w:ilvl w:val="0"/>
          <w:numId w:val="33"/>
        </w:numPr>
      </w:pPr>
      <w:r w:rsidRPr="00902AB8">
        <w:t>Selected suitable accounting policies and then applied them consistently;</w:t>
      </w:r>
      <w:r w:rsidRPr="00902AB8">
        <w:br/>
      </w:r>
    </w:p>
    <w:p w:rsidR="00A86593" w:rsidRPr="00902AB8" w:rsidRDefault="00A86593" w:rsidP="00A86593">
      <w:pPr>
        <w:numPr>
          <w:ilvl w:val="0"/>
          <w:numId w:val="33"/>
        </w:numPr>
      </w:pPr>
      <w:r w:rsidRPr="00902AB8">
        <w:t>Made judgements and estimates that were reasonable and prudent;</w:t>
      </w:r>
      <w:r w:rsidRPr="00902AB8">
        <w:br/>
      </w:r>
    </w:p>
    <w:p w:rsidR="00A86593" w:rsidRPr="00902AB8" w:rsidRDefault="00A86593" w:rsidP="00A86593">
      <w:pPr>
        <w:numPr>
          <w:ilvl w:val="0"/>
          <w:numId w:val="33"/>
        </w:numPr>
      </w:pPr>
      <w:r w:rsidRPr="00902AB8">
        <w:t>Complied with the Code.</w:t>
      </w:r>
    </w:p>
    <w:p w:rsidR="00A86593" w:rsidRPr="00902AB8" w:rsidRDefault="00A86593" w:rsidP="00A86593"/>
    <w:p w:rsidR="00A86593" w:rsidRPr="00902AB8" w:rsidRDefault="00A86593" w:rsidP="00A86593">
      <w:r w:rsidRPr="00902AB8">
        <w:t>In addition, the Treasurer to the Pension Fund has:</w:t>
      </w:r>
    </w:p>
    <w:p w:rsidR="00A86593" w:rsidRPr="00902AB8" w:rsidRDefault="00A86593" w:rsidP="00A86593"/>
    <w:p w:rsidR="00A86593" w:rsidRPr="00902AB8" w:rsidRDefault="00A86593" w:rsidP="00A86593">
      <w:pPr>
        <w:numPr>
          <w:ilvl w:val="0"/>
          <w:numId w:val="33"/>
        </w:numPr>
      </w:pPr>
      <w:r w:rsidRPr="00902AB8">
        <w:t>Kept proper accounting records which were up to date;</w:t>
      </w:r>
    </w:p>
    <w:p w:rsidR="00A86593" w:rsidRPr="00902AB8" w:rsidRDefault="00A86593" w:rsidP="00A86593">
      <w:pPr>
        <w:pStyle w:val="Header"/>
      </w:pPr>
    </w:p>
    <w:p w:rsidR="00A86593" w:rsidRPr="00902AB8" w:rsidRDefault="00A86593" w:rsidP="00A86593">
      <w:pPr>
        <w:numPr>
          <w:ilvl w:val="0"/>
          <w:numId w:val="33"/>
        </w:numPr>
      </w:pPr>
      <w:r w:rsidRPr="00902AB8">
        <w:t>Taken responsible steps for the prevention and detection of fraud and other irregularities.</w:t>
      </w:r>
    </w:p>
    <w:p w:rsidR="00A86593" w:rsidRPr="00902AB8" w:rsidRDefault="00A86593" w:rsidP="00A86593">
      <w:pPr>
        <w:pStyle w:val="Heading5"/>
        <w:spacing w:line="360" w:lineRule="auto"/>
        <w:jc w:val="center"/>
        <w:rPr>
          <w:sz w:val="8"/>
          <w:szCs w:val="8"/>
        </w:rPr>
      </w:pPr>
    </w:p>
    <w:p w:rsidR="00A86593" w:rsidRPr="00902AB8" w:rsidRDefault="00A86593" w:rsidP="00A86593">
      <w:r w:rsidRPr="00902AB8">
        <w:t>The Statement of Accounts relate to the financial year ended 31 March 2012 and include the Fund Account and the Statement of Net Assets which are prepared in accordance with standard accounting practice as outlined in the notes to the accounts of the Pension Fund.</w:t>
      </w:r>
    </w:p>
    <w:p w:rsidR="00A86593" w:rsidRPr="00902AB8" w:rsidRDefault="00A86593" w:rsidP="00A86593"/>
    <w:p w:rsidR="00A86593" w:rsidRPr="00902AB8" w:rsidRDefault="00A86593" w:rsidP="00A86593"/>
    <w:p w:rsidR="00A86593" w:rsidRPr="00902AB8" w:rsidRDefault="00A86593" w:rsidP="00A86593"/>
    <w:p w:rsidR="00A86593" w:rsidRPr="00902AB8" w:rsidRDefault="00A86593" w:rsidP="00A86593"/>
    <w:p w:rsidR="00A86593" w:rsidRPr="00902AB8" w:rsidRDefault="00A86593" w:rsidP="00A86593">
      <w:r w:rsidRPr="00902AB8">
        <w:t>Gill Kilpatrick CPFA</w:t>
      </w:r>
    </w:p>
    <w:p w:rsidR="00A86593" w:rsidRPr="00902AB8" w:rsidRDefault="00A86593" w:rsidP="00A86593">
      <w:r w:rsidRPr="00902AB8">
        <w:t>Treasurer to the Lancashire County Pension Fund</w:t>
      </w:r>
    </w:p>
    <w:p w:rsidR="00A86593" w:rsidRPr="00902AB8" w:rsidRDefault="00A86593" w:rsidP="00A86593">
      <w:r w:rsidRPr="00902AB8">
        <w:t xml:space="preserve"> 26 September 2012</w:t>
      </w:r>
    </w:p>
    <w:p w:rsidR="00A86593" w:rsidRPr="00166665" w:rsidRDefault="00A86593" w:rsidP="00A86593"/>
    <w:p w:rsidR="00A86593" w:rsidRDefault="00A86593" w:rsidP="00A86593">
      <w:pPr>
        <w:jc w:val="center"/>
        <w:rPr>
          <w:b/>
          <w:bCs/>
          <w:color w:val="000000"/>
          <w:sz w:val="22"/>
          <w:szCs w:val="22"/>
        </w:rPr>
      </w:pPr>
    </w:p>
    <w:p w:rsidR="00A86593" w:rsidRPr="005364C6" w:rsidRDefault="00A86593" w:rsidP="00A86593">
      <w:pPr>
        <w:jc w:val="center"/>
        <w:rPr>
          <w:b/>
          <w:bCs/>
          <w:color w:val="000000"/>
          <w:sz w:val="26"/>
          <w:szCs w:val="22"/>
        </w:rPr>
      </w:pPr>
      <w:r w:rsidRPr="005364C6">
        <w:rPr>
          <w:b/>
          <w:bCs/>
          <w:color w:val="000000"/>
          <w:sz w:val="26"/>
          <w:szCs w:val="22"/>
        </w:rPr>
        <w:t>Fund Account</w:t>
      </w:r>
    </w:p>
    <w:p w:rsidR="00A86593" w:rsidRDefault="00A86593" w:rsidP="00A86593">
      <w:pPr>
        <w:pStyle w:val="Heading5"/>
        <w:spacing w:line="360" w:lineRule="auto"/>
        <w:jc w:val="center"/>
        <w:rPr>
          <w:szCs w:val="24"/>
        </w:rPr>
      </w:pPr>
    </w:p>
    <w:p w:rsidR="00A86593" w:rsidRPr="00C142FC" w:rsidRDefault="00A86593" w:rsidP="00A86593"/>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08"/>
        <w:gridCol w:w="2126"/>
        <w:gridCol w:w="1559"/>
        <w:gridCol w:w="430"/>
        <w:gridCol w:w="1555"/>
      </w:tblGrid>
      <w:tr w:rsidR="00A86593" w:rsidTr="001C741C">
        <w:tc>
          <w:tcPr>
            <w:tcW w:w="4208" w:type="dxa"/>
          </w:tcPr>
          <w:p w:rsidR="00A86593" w:rsidRDefault="00A86593" w:rsidP="001C741C">
            <w:pPr>
              <w:rPr>
                <w:b/>
              </w:rPr>
            </w:pPr>
          </w:p>
          <w:p w:rsidR="00A86593" w:rsidRDefault="00A86593" w:rsidP="001C741C">
            <w:pPr>
              <w:jc w:val="right"/>
              <w:rPr>
                <w:b/>
              </w:rPr>
            </w:pPr>
          </w:p>
        </w:tc>
        <w:tc>
          <w:tcPr>
            <w:tcW w:w="2126" w:type="dxa"/>
          </w:tcPr>
          <w:p w:rsidR="00A86593" w:rsidRDefault="00A86593" w:rsidP="001C741C">
            <w:pPr>
              <w:rPr>
                <w:b/>
              </w:rPr>
            </w:pPr>
          </w:p>
          <w:p w:rsidR="00A86593" w:rsidRDefault="00A86593" w:rsidP="001C741C">
            <w:pPr>
              <w:jc w:val="center"/>
              <w:rPr>
                <w:b/>
              </w:rPr>
            </w:pPr>
            <w:r>
              <w:rPr>
                <w:b/>
              </w:rPr>
              <w:t>Note</w:t>
            </w:r>
          </w:p>
        </w:tc>
        <w:tc>
          <w:tcPr>
            <w:tcW w:w="1559" w:type="dxa"/>
          </w:tcPr>
          <w:p w:rsidR="00A86593" w:rsidRDefault="00A86593" w:rsidP="001C741C">
            <w:pPr>
              <w:jc w:val="right"/>
              <w:rPr>
                <w:b/>
              </w:rPr>
            </w:pPr>
            <w:r>
              <w:rPr>
                <w:b/>
              </w:rPr>
              <w:t>2011/12</w:t>
            </w:r>
          </w:p>
          <w:p w:rsidR="00A86593" w:rsidRDefault="00A86593" w:rsidP="001C741C">
            <w:pPr>
              <w:jc w:val="right"/>
              <w:rPr>
                <w:b/>
              </w:rPr>
            </w:pPr>
            <w:r>
              <w:rPr>
                <w:b/>
              </w:rPr>
              <w:t>£m</w:t>
            </w:r>
          </w:p>
        </w:tc>
        <w:tc>
          <w:tcPr>
            <w:tcW w:w="430" w:type="dxa"/>
            <w:tcBorders>
              <w:right w:val="single" w:sz="4" w:space="0" w:color="FFFFFF" w:themeColor="background1"/>
            </w:tcBorders>
          </w:tcPr>
          <w:p w:rsidR="00A86593" w:rsidRDefault="00A86593" w:rsidP="001C741C">
            <w:pPr>
              <w:jc w:val="right"/>
              <w:rPr>
                <w:b/>
              </w:rPr>
            </w:pPr>
          </w:p>
          <w:p w:rsidR="00A86593" w:rsidRDefault="00A86593" w:rsidP="001C741C">
            <w:pPr>
              <w:jc w:val="right"/>
              <w:rPr>
                <w:b/>
              </w:rPr>
            </w:pPr>
          </w:p>
        </w:tc>
        <w:tc>
          <w:tcPr>
            <w:tcW w:w="1555" w:type="dxa"/>
            <w:tcBorders>
              <w:left w:val="single" w:sz="4" w:space="0" w:color="FFFFFF" w:themeColor="background1"/>
            </w:tcBorders>
          </w:tcPr>
          <w:p w:rsidR="00A86593" w:rsidRDefault="00A86593" w:rsidP="001C741C">
            <w:pPr>
              <w:jc w:val="right"/>
              <w:rPr>
                <w:b/>
              </w:rPr>
            </w:pPr>
            <w:r>
              <w:rPr>
                <w:b/>
              </w:rPr>
              <w:t>2010/11</w:t>
            </w:r>
          </w:p>
          <w:p w:rsidR="00A86593" w:rsidRDefault="00A86593" w:rsidP="001C741C">
            <w:pPr>
              <w:jc w:val="right"/>
              <w:rPr>
                <w:b/>
              </w:rPr>
            </w:pPr>
            <w:r>
              <w:rPr>
                <w:b/>
              </w:rPr>
              <w:t>£m</w:t>
            </w:r>
          </w:p>
          <w:p w:rsidR="00A86593" w:rsidRDefault="00A86593" w:rsidP="001C741C">
            <w:pPr>
              <w:jc w:val="right"/>
              <w:rPr>
                <w:b/>
              </w:rPr>
            </w:pPr>
          </w:p>
        </w:tc>
      </w:tr>
      <w:tr w:rsidR="00A86593" w:rsidRPr="009643EB" w:rsidTr="001C741C">
        <w:tc>
          <w:tcPr>
            <w:tcW w:w="4208" w:type="dxa"/>
          </w:tcPr>
          <w:p w:rsidR="00A86593" w:rsidRDefault="00A86593" w:rsidP="001C741C">
            <w:pPr>
              <w:spacing w:after="120"/>
              <w:rPr>
                <w:b/>
              </w:rPr>
            </w:pPr>
            <w:r>
              <w:rPr>
                <w:b/>
              </w:rPr>
              <w:t>Dealing with members, employers and others directly involved in the fund</w:t>
            </w:r>
          </w:p>
        </w:tc>
        <w:tc>
          <w:tcPr>
            <w:tcW w:w="2126" w:type="dxa"/>
          </w:tcPr>
          <w:p w:rsidR="00A86593" w:rsidRPr="009643EB" w:rsidRDefault="00A86593" w:rsidP="001C741C">
            <w:pPr>
              <w:spacing w:after="120"/>
              <w:jc w:val="right"/>
            </w:pPr>
          </w:p>
        </w:tc>
        <w:tc>
          <w:tcPr>
            <w:tcW w:w="1559" w:type="dxa"/>
          </w:tcPr>
          <w:p w:rsidR="00A86593" w:rsidRPr="009643EB" w:rsidRDefault="00A86593" w:rsidP="001C741C">
            <w:pPr>
              <w:spacing w:after="120"/>
              <w:jc w:val="right"/>
            </w:pPr>
          </w:p>
        </w:tc>
        <w:tc>
          <w:tcPr>
            <w:tcW w:w="430" w:type="dxa"/>
            <w:tcBorders>
              <w:right w:val="single" w:sz="4" w:space="0" w:color="FFFFFF" w:themeColor="background1"/>
            </w:tcBorders>
          </w:tcPr>
          <w:p w:rsidR="00A86593" w:rsidRPr="009643EB" w:rsidRDefault="00A86593" w:rsidP="001C741C">
            <w:pPr>
              <w:spacing w:after="120"/>
              <w:jc w:val="right"/>
            </w:pPr>
          </w:p>
        </w:tc>
        <w:tc>
          <w:tcPr>
            <w:tcW w:w="1555" w:type="dxa"/>
            <w:tcBorders>
              <w:left w:val="single" w:sz="4" w:space="0" w:color="FFFFFF" w:themeColor="background1"/>
            </w:tcBorders>
          </w:tcPr>
          <w:p w:rsidR="00A86593" w:rsidRPr="009643EB" w:rsidRDefault="00A86593" w:rsidP="001C741C">
            <w:pPr>
              <w:spacing w:after="120"/>
              <w:jc w:val="right"/>
            </w:pPr>
          </w:p>
        </w:tc>
      </w:tr>
      <w:tr w:rsidR="00A86593" w:rsidRPr="009643EB" w:rsidTr="001C741C">
        <w:tc>
          <w:tcPr>
            <w:tcW w:w="4208" w:type="dxa"/>
          </w:tcPr>
          <w:p w:rsidR="00A86593" w:rsidRPr="009643EB" w:rsidRDefault="00A86593" w:rsidP="001C741C">
            <w:pPr>
              <w:spacing w:after="120"/>
            </w:pPr>
            <w:r>
              <w:t>Contributions</w:t>
            </w:r>
          </w:p>
        </w:tc>
        <w:tc>
          <w:tcPr>
            <w:tcW w:w="2126" w:type="dxa"/>
          </w:tcPr>
          <w:p w:rsidR="00A86593" w:rsidRPr="009643EB" w:rsidRDefault="00A86593" w:rsidP="001C741C">
            <w:pPr>
              <w:tabs>
                <w:tab w:val="left" w:pos="1026"/>
              </w:tabs>
              <w:spacing w:after="120"/>
              <w:jc w:val="center"/>
            </w:pPr>
            <w:r>
              <w:t>6</w:t>
            </w:r>
          </w:p>
        </w:tc>
        <w:tc>
          <w:tcPr>
            <w:tcW w:w="1559" w:type="dxa"/>
          </w:tcPr>
          <w:p w:rsidR="00A86593" w:rsidRPr="009643EB" w:rsidRDefault="00A86593" w:rsidP="001C741C">
            <w:pPr>
              <w:spacing w:after="120"/>
              <w:jc w:val="right"/>
            </w:pPr>
            <w:r>
              <w:t>209.3</w:t>
            </w:r>
          </w:p>
        </w:tc>
        <w:tc>
          <w:tcPr>
            <w:tcW w:w="430" w:type="dxa"/>
            <w:tcBorders>
              <w:right w:val="single" w:sz="4" w:space="0" w:color="FFFFFF" w:themeColor="background1"/>
            </w:tcBorders>
          </w:tcPr>
          <w:p w:rsidR="00A86593" w:rsidRPr="009643EB" w:rsidRDefault="00A86593" w:rsidP="001C741C">
            <w:pPr>
              <w:spacing w:after="120"/>
              <w:jc w:val="right"/>
            </w:pPr>
          </w:p>
        </w:tc>
        <w:tc>
          <w:tcPr>
            <w:tcW w:w="1555" w:type="dxa"/>
            <w:tcBorders>
              <w:left w:val="single" w:sz="4" w:space="0" w:color="FFFFFF" w:themeColor="background1"/>
            </w:tcBorders>
          </w:tcPr>
          <w:p w:rsidR="00A86593" w:rsidRPr="009643EB" w:rsidRDefault="00A86593" w:rsidP="001C741C">
            <w:pPr>
              <w:spacing w:after="120"/>
              <w:jc w:val="right"/>
            </w:pPr>
            <w:r>
              <w:t>227.2</w:t>
            </w:r>
          </w:p>
        </w:tc>
      </w:tr>
      <w:tr w:rsidR="00A86593" w:rsidRPr="009643EB" w:rsidTr="001C741C">
        <w:tc>
          <w:tcPr>
            <w:tcW w:w="4208" w:type="dxa"/>
          </w:tcPr>
          <w:p w:rsidR="00A86593" w:rsidRDefault="00A86593" w:rsidP="001C741C">
            <w:pPr>
              <w:spacing w:after="120"/>
            </w:pPr>
            <w:r>
              <w:t>Transfers in</w:t>
            </w:r>
          </w:p>
        </w:tc>
        <w:tc>
          <w:tcPr>
            <w:tcW w:w="2126" w:type="dxa"/>
          </w:tcPr>
          <w:p w:rsidR="00A86593" w:rsidRPr="009643EB" w:rsidRDefault="00A86593" w:rsidP="001C741C">
            <w:pPr>
              <w:tabs>
                <w:tab w:val="left" w:pos="1026"/>
              </w:tabs>
              <w:spacing w:after="120"/>
              <w:jc w:val="center"/>
            </w:pPr>
            <w:r>
              <w:t>7</w:t>
            </w:r>
          </w:p>
        </w:tc>
        <w:tc>
          <w:tcPr>
            <w:tcW w:w="1559" w:type="dxa"/>
            <w:tcBorders>
              <w:bottom w:val="single" w:sz="18" w:space="0" w:color="auto"/>
            </w:tcBorders>
          </w:tcPr>
          <w:p w:rsidR="00A86593" w:rsidRPr="009643EB" w:rsidRDefault="00A86593" w:rsidP="001C741C">
            <w:pPr>
              <w:spacing w:after="120"/>
              <w:jc w:val="right"/>
            </w:pPr>
            <w:r>
              <w:t>11.1</w:t>
            </w:r>
          </w:p>
        </w:tc>
        <w:tc>
          <w:tcPr>
            <w:tcW w:w="430" w:type="dxa"/>
            <w:tcBorders>
              <w:right w:val="single" w:sz="4" w:space="0" w:color="FFFFFF" w:themeColor="background1"/>
            </w:tcBorders>
          </w:tcPr>
          <w:p w:rsidR="00A86593" w:rsidRPr="009643EB" w:rsidRDefault="00A86593" w:rsidP="001C741C">
            <w:pPr>
              <w:spacing w:after="120"/>
              <w:jc w:val="right"/>
            </w:pPr>
          </w:p>
        </w:tc>
        <w:tc>
          <w:tcPr>
            <w:tcW w:w="1555" w:type="dxa"/>
            <w:tcBorders>
              <w:left w:val="single" w:sz="4" w:space="0" w:color="FFFFFF" w:themeColor="background1"/>
              <w:bottom w:val="single" w:sz="18" w:space="0" w:color="auto"/>
            </w:tcBorders>
          </w:tcPr>
          <w:p w:rsidR="00A86593" w:rsidRDefault="00A86593" w:rsidP="001C741C">
            <w:pPr>
              <w:spacing w:after="120"/>
              <w:jc w:val="right"/>
            </w:pPr>
            <w:r>
              <w:t>15.6</w:t>
            </w:r>
          </w:p>
        </w:tc>
      </w:tr>
      <w:tr w:rsidR="00A86593" w:rsidRPr="009643EB" w:rsidTr="001C741C">
        <w:tc>
          <w:tcPr>
            <w:tcW w:w="4208" w:type="dxa"/>
          </w:tcPr>
          <w:p w:rsidR="00A86593" w:rsidRDefault="00A86593" w:rsidP="001C741C">
            <w:pPr>
              <w:spacing w:after="120"/>
            </w:pPr>
          </w:p>
        </w:tc>
        <w:tc>
          <w:tcPr>
            <w:tcW w:w="2126" w:type="dxa"/>
          </w:tcPr>
          <w:p w:rsidR="00A86593" w:rsidRDefault="00A86593" w:rsidP="001C741C">
            <w:pPr>
              <w:spacing w:after="120"/>
              <w:jc w:val="right"/>
            </w:pPr>
          </w:p>
        </w:tc>
        <w:tc>
          <w:tcPr>
            <w:tcW w:w="1559" w:type="dxa"/>
            <w:tcBorders>
              <w:top w:val="single" w:sz="18" w:space="0" w:color="auto"/>
              <w:bottom w:val="single" w:sz="18" w:space="0" w:color="auto"/>
            </w:tcBorders>
          </w:tcPr>
          <w:p w:rsidR="00A86593" w:rsidRPr="009643EB" w:rsidRDefault="00A86593" w:rsidP="001C741C">
            <w:pPr>
              <w:spacing w:after="120"/>
              <w:jc w:val="right"/>
            </w:pPr>
            <w:r>
              <w:t>220.4</w:t>
            </w:r>
          </w:p>
        </w:tc>
        <w:tc>
          <w:tcPr>
            <w:tcW w:w="430" w:type="dxa"/>
            <w:tcBorders>
              <w:right w:val="single" w:sz="4" w:space="0" w:color="FFFFFF" w:themeColor="background1"/>
            </w:tcBorders>
          </w:tcPr>
          <w:p w:rsidR="00A86593" w:rsidRPr="009643EB" w:rsidRDefault="00A86593" w:rsidP="001C741C">
            <w:pPr>
              <w:spacing w:after="120"/>
              <w:jc w:val="right"/>
            </w:pPr>
          </w:p>
        </w:tc>
        <w:tc>
          <w:tcPr>
            <w:tcW w:w="1555" w:type="dxa"/>
            <w:tcBorders>
              <w:top w:val="single" w:sz="18" w:space="0" w:color="auto"/>
              <w:left w:val="single" w:sz="4" w:space="0" w:color="FFFFFF" w:themeColor="background1"/>
              <w:bottom w:val="single" w:sz="18" w:space="0" w:color="auto"/>
            </w:tcBorders>
          </w:tcPr>
          <w:p w:rsidR="00A86593" w:rsidRDefault="00A86593" w:rsidP="001C741C">
            <w:pPr>
              <w:spacing w:after="120"/>
              <w:jc w:val="right"/>
            </w:pPr>
            <w:r>
              <w:t>242.8</w:t>
            </w:r>
          </w:p>
        </w:tc>
      </w:tr>
      <w:tr w:rsidR="00A86593" w:rsidRPr="009643EB" w:rsidTr="001C741C">
        <w:tc>
          <w:tcPr>
            <w:tcW w:w="4208" w:type="dxa"/>
          </w:tcPr>
          <w:p w:rsidR="00A86593" w:rsidRDefault="00A86593" w:rsidP="001C741C">
            <w:pPr>
              <w:spacing w:after="120"/>
            </w:pPr>
            <w:r>
              <w:t>Benefits</w:t>
            </w:r>
          </w:p>
        </w:tc>
        <w:tc>
          <w:tcPr>
            <w:tcW w:w="2126" w:type="dxa"/>
          </w:tcPr>
          <w:p w:rsidR="00A86593" w:rsidRPr="009643EB" w:rsidRDefault="00A86593" w:rsidP="001C741C">
            <w:pPr>
              <w:tabs>
                <w:tab w:val="left" w:pos="1026"/>
              </w:tabs>
              <w:spacing w:after="120"/>
              <w:jc w:val="center"/>
            </w:pPr>
            <w:r>
              <w:t>8</w:t>
            </w:r>
          </w:p>
        </w:tc>
        <w:tc>
          <w:tcPr>
            <w:tcW w:w="1559" w:type="dxa"/>
            <w:tcBorders>
              <w:top w:val="single" w:sz="18" w:space="0" w:color="auto"/>
            </w:tcBorders>
          </w:tcPr>
          <w:p w:rsidR="00A86593" w:rsidRPr="009643EB" w:rsidRDefault="00A86593" w:rsidP="001C741C">
            <w:pPr>
              <w:spacing w:after="120"/>
              <w:jc w:val="right"/>
            </w:pPr>
            <w:r>
              <w:t>219.1</w:t>
            </w:r>
          </w:p>
        </w:tc>
        <w:tc>
          <w:tcPr>
            <w:tcW w:w="430" w:type="dxa"/>
            <w:tcBorders>
              <w:right w:val="single" w:sz="4" w:space="0" w:color="FFFFFF" w:themeColor="background1"/>
            </w:tcBorders>
          </w:tcPr>
          <w:p w:rsidR="00A86593" w:rsidRPr="009643EB" w:rsidRDefault="00A86593" w:rsidP="001C741C">
            <w:pPr>
              <w:spacing w:after="120"/>
              <w:jc w:val="right"/>
            </w:pPr>
          </w:p>
        </w:tc>
        <w:tc>
          <w:tcPr>
            <w:tcW w:w="1555" w:type="dxa"/>
            <w:tcBorders>
              <w:top w:val="single" w:sz="18" w:space="0" w:color="auto"/>
              <w:left w:val="single" w:sz="4" w:space="0" w:color="FFFFFF" w:themeColor="background1"/>
            </w:tcBorders>
          </w:tcPr>
          <w:p w:rsidR="00A86593" w:rsidRDefault="00A86593" w:rsidP="001C741C">
            <w:pPr>
              <w:spacing w:after="120"/>
              <w:jc w:val="right"/>
            </w:pPr>
            <w:r>
              <w:t>214.5</w:t>
            </w:r>
          </w:p>
        </w:tc>
      </w:tr>
      <w:tr w:rsidR="00A86593" w:rsidRPr="009643EB" w:rsidTr="001C741C">
        <w:tc>
          <w:tcPr>
            <w:tcW w:w="4208" w:type="dxa"/>
          </w:tcPr>
          <w:p w:rsidR="00A86593" w:rsidRDefault="00A86593" w:rsidP="001C741C">
            <w:pPr>
              <w:spacing w:after="120"/>
            </w:pPr>
            <w:r>
              <w:t>Payments to and on account of leavers</w:t>
            </w:r>
          </w:p>
          <w:p w:rsidR="00A86593" w:rsidRDefault="00A86593" w:rsidP="001C741C">
            <w:pPr>
              <w:spacing w:after="120"/>
            </w:pPr>
            <w:r>
              <w:t xml:space="preserve">Administrative expenses       </w:t>
            </w:r>
          </w:p>
          <w:p w:rsidR="00A86593" w:rsidRDefault="00A86593" w:rsidP="001C741C">
            <w:pPr>
              <w:spacing w:after="120"/>
            </w:pPr>
          </w:p>
        </w:tc>
        <w:tc>
          <w:tcPr>
            <w:tcW w:w="2126" w:type="dxa"/>
          </w:tcPr>
          <w:p w:rsidR="00A86593" w:rsidRDefault="00A86593" w:rsidP="001C741C">
            <w:pPr>
              <w:tabs>
                <w:tab w:val="left" w:pos="1026"/>
              </w:tabs>
              <w:spacing w:after="120"/>
              <w:jc w:val="center"/>
            </w:pPr>
            <w:r>
              <w:t>9</w:t>
            </w:r>
          </w:p>
          <w:p w:rsidR="00A86593" w:rsidRDefault="00A86593" w:rsidP="001C741C">
            <w:pPr>
              <w:tabs>
                <w:tab w:val="left" w:pos="1026"/>
              </w:tabs>
              <w:spacing w:after="120"/>
              <w:jc w:val="center"/>
            </w:pPr>
          </w:p>
          <w:p w:rsidR="00A86593" w:rsidRPr="009643EB" w:rsidRDefault="00A86593" w:rsidP="001C741C">
            <w:pPr>
              <w:tabs>
                <w:tab w:val="left" w:pos="1026"/>
              </w:tabs>
              <w:spacing w:after="120"/>
              <w:jc w:val="center"/>
            </w:pPr>
            <w:r>
              <w:t>10</w:t>
            </w:r>
          </w:p>
        </w:tc>
        <w:tc>
          <w:tcPr>
            <w:tcW w:w="1559" w:type="dxa"/>
            <w:tcBorders>
              <w:bottom w:val="single" w:sz="18" w:space="0" w:color="auto"/>
            </w:tcBorders>
          </w:tcPr>
          <w:p w:rsidR="00A86593" w:rsidRDefault="00A86593" w:rsidP="001C741C">
            <w:pPr>
              <w:jc w:val="right"/>
            </w:pPr>
            <w:r>
              <w:t>13.7</w:t>
            </w:r>
          </w:p>
          <w:p w:rsidR="00A86593" w:rsidRDefault="00A86593" w:rsidP="001C741C">
            <w:pPr>
              <w:jc w:val="right"/>
            </w:pPr>
          </w:p>
          <w:p w:rsidR="00A86593" w:rsidRDefault="00A86593" w:rsidP="001C741C">
            <w:pPr>
              <w:jc w:val="right"/>
            </w:pPr>
          </w:p>
          <w:p w:rsidR="00A86593" w:rsidRPr="009643EB" w:rsidRDefault="00A86593" w:rsidP="001C741C">
            <w:pPr>
              <w:jc w:val="right"/>
            </w:pPr>
            <w:r>
              <w:t>3.8</w:t>
            </w:r>
          </w:p>
        </w:tc>
        <w:tc>
          <w:tcPr>
            <w:tcW w:w="430" w:type="dxa"/>
            <w:tcBorders>
              <w:right w:val="single" w:sz="4" w:space="0" w:color="FFFFFF" w:themeColor="background1"/>
            </w:tcBorders>
          </w:tcPr>
          <w:p w:rsidR="00A86593" w:rsidRPr="009643EB" w:rsidRDefault="00A86593" w:rsidP="001C741C">
            <w:pPr>
              <w:spacing w:after="120"/>
              <w:jc w:val="right"/>
            </w:pPr>
          </w:p>
        </w:tc>
        <w:tc>
          <w:tcPr>
            <w:tcW w:w="1555" w:type="dxa"/>
            <w:tcBorders>
              <w:left w:val="single" w:sz="4" w:space="0" w:color="FFFFFF" w:themeColor="background1"/>
              <w:bottom w:val="single" w:sz="18" w:space="0" w:color="auto"/>
            </w:tcBorders>
          </w:tcPr>
          <w:p w:rsidR="00A86593" w:rsidRDefault="00A86593" w:rsidP="001C741C">
            <w:pPr>
              <w:jc w:val="right"/>
            </w:pPr>
            <w:r>
              <w:t>12.8</w:t>
            </w:r>
          </w:p>
          <w:p w:rsidR="00A86593" w:rsidRDefault="00A86593" w:rsidP="001C741C">
            <w:pPr>
              <w:jc w:val="right"/>
            </w:pPr>
          </w:p>
          <w:p w:rsidR="00A86593" w:rsidRDefault="00A86593" w:rsidP="001C741C">
            <w:pPr>
              <w:jc w:val="right"/>
            </w:pPr>
          </w:p>
          <w:p w:rsidR="00A86593" w:rsidRDefault="00A86593" w:rsidP="001C741C">
            <w:pPr>
              <w:jc w:val="right"/>
            </w:pPr>
            <w:r>
              <w:t>3.6</w:t>
            </w:r>
          </w:p>
        </w:tc>
      </w:tr>
      <w:tr w:rsidR="00A86593" w:rsidRPr="009643EB" w:rsidTr="001C741C">
        <w:tc>
          <w:tcPr>
            <w:tcW w:w="4208" w:type="dxa"/>
          </w:tcPr>
          <w:p w:rsidR="00A86593" w:rsidRDefault="00A86593" w:rsidP="001C741C">
            <w:pPr>
              <w:spacing w:after="120"/>
            </w:pPr>
          </w:p>
        </w:tc>
        <w:tc>
          <w:tcPr>
            <w:tcW w:w="2126" w:type="dxa"/>
          </w:tcPr>
          <w:p w:rsidR="00A86593" w:rsidRDefault="00A86593" w:rsidP="001C741C">
            <w:pPr>
              <w:spacing w:after="120"/>
              <w:jc w:val="right"/>
            </w:pPr>
          </w:p>
        </w:tc>
        <w:tc>
          <w:tcPr>
            <w:tcW w:w="1559" w:type="dxa"/>
            <w:tcBorders>
              <w:top w:val="single" w:sz="18" w:space="0" w:color="auto"/>
              <w:bottom w:val="single" w:sz="18" w:space="0" w:color="auto"/>
            </w:tcBorders>
          </w:tcPr>
          <w:p w:rsidR="00A86593" w:rsidRPr="009643EB" w:rsidRDefault="00A86593" w:rsidP="001C741C">
            <w:pPr>
              <w:spacing w:after="120"/>
              <w:jc w:val="right"/>
            </w:pPr>
            <w:r>
              <w:t>236.6</w:t>
            </w:r>
          </w:p>
        </w:tc>
        <w:tc>
          <w:tcPr>
            <w:tcW w:w="430" w:type="dxa"/>
            <w:tcBorders>
              <w:right w:val="single" w:sz="4" w:space="0" w:color="FFFFFF" w:themeColor="background1"/>
            </w:tcBorders>
          </w:tcPr>
          <w:p w:rsidR="00A86593" w:rsidRPr="009643EB" w:rsidRDefault="00A86593" w:rsidP="001C741C">
            <w:pPr>
              <w:spacing w:after="120"/>
              <w:jc w:val="right"/>
            </w:pPr>
          </w:p>
        </w:tc>
        <w:tc>
          <w:tcPr>
            <w:tcW w:w="1555" w:type="dxa"/>
            <w:tcBorders>
              <w:top w:val="single" w:sz="18" w:space="0" w:color="auto"/>
              <w:left w:val="single" w:sz="4" w:space="0" w:color="FFFFFF" w:themeColor="background1"/>
              <w:bottom w:val="single" w:sz="18" w:space="0" w:color="auto"/>
            </w:tcBorders>
          </w:tcPr>
          <w:p w:rsidR="00A86593" w:rsidRDefault="00A86593" w:rsidP="001C741C">
            <w:pPr>
              <w:spacing w:after="120"/>
              <w:jc w:val="right"/>
            </w:pPr>
            <w:r>
              <w:t>230.9</w:t>
            </w:r>
          </w:p>
        </w:tc>
      </w:tr>
      <w:tr w:rsidR="00A86593" w:rsidRPr="005364C6" w:rsidTr="001C741C">
        <w:tc>
          <w:tcPr>
            <w:tcW w:w="4208" w:type="dxa"/>
          </w:tcPr>
          <w:p w:rsidR="00A86593" w:rsidRPr="005364C6" w:rsidRDefault="00A86593" w:rsidP="001C741C">
            <w:pPr>
              <w:spacing w:before="120"/>
              <w:rPr>
                <w:b/>
              </w:rPr>
            </w:pPr>
            <w:r w:rsidRPr="005364C6">
              <w:rPr>
                <w:b/>
              </w:rPr>
              <w:t>Net additions from dealings with members</w:t>
            </w:r>
          </w:p>
        </w:tc>
        <w:tc>
          <w:tcPr>
            <w:tcW w:w="2126" w:type="dxa"/>
          </w:tcPr>
          <w:p w:rsidR="00A86593" w:rsidRPr="005364C6" w:rsidRDefault="00A86593" w:rsidP="001C741C">
            <w:pPr>
              <w:spacing w:before="120"/>
              <w:jc w:val="right"/>
              <w:rPr>
                <w:b/>
              </w:rPr>
            </w:pPr>
          </w:p>
        </w:tc>
        <w:tc>
          <w:tcPr>
            <w:tcW w:w="1559" w:type="dxa"/>
            <w:tcBorders>
              <w:top w:val="single" w:sz="18" w:space="0" w:color="auto"/>
              <w:bottom w:val="single" w:sz="18" w:space="0" w:color="auto"/>
            </w:tcBorders>
          </w:tcPr>
          <w:p w:rsidR="00A86593" w:rsidRPr="005364C6" w:rsidRDefault="00A86593" w:rsidP="001C741C">
            <w:pPr>
              <w:spacing w:before="120"/>
              <w:jc w:val="right"/>
              <w:rPr>
                <w:b/>
              </w:rPr>
            </w:pPr>
            <w:r>
              <w:rPr>
                <w:b/>
              </w:rPr>
              <w:t>(16.2)</w:t>
            </w:r>
          </w:p>
        </w:tc>
        <w:tc>
          <w:tcPr>
            <w:tcW w:w="430" w:type="dxa"/>
            <w:tcBorders>
              <w:right w:val="single" w:sz="4" w:space="0" w:color="FFFFFF" w:themeColor="background1"/>
            </w:tcBorders>
          </w:tcPr>
          <w:p w:rsidR="00A86593" w:rsidRPr="005364C6" w:rsidRDefault="00A86593" w:rsidP="001C741C">
            <w:pPr>
              <w:spacing w:before="120"/>
              <w:jc w:val="right"/>
              <w:rPr>
                <w:b/>
              </w:rPr>
            </w:pPr>
          </w:p>
        </w:tc>
        <w:tc>
          <w:tcPr>
            <w:tcW w:w="1555" w:type="dxa"/>
            <w:tcBorders>
              <w:top w:val="single" w:sz="18" w:space="0" w:color="auto"/>
              <w:left w:val="single" w:sz="4" w:space="0" w:color="FFFFFF" w:themeColor="background1"/>
              <w:bottom w:val="single" w:sz="18" w:space="0" w:color="auto"/>
            </w:tcBorders>
          </w:tcPr>
          <w:p w:rsidR="00A86593" w:rsidRPr="005364C6" w:rsidRDefault="00A86593" w:rsidP="001C741C">
            <w:pPr>
              <w:spacing w:before="120"/>
              <w:jc w:val="right"/>
              <w:rPr>
                <w:b/>
              </w:rPr>
            </w:pPr>
            <w:r w:rsidRPr="005364C6">
              <w:rPr>
                <w:b/>
              </w:rPr>
              <w:t>11.9</w:t>
            </w:r>
          </w:p>
        </w:tc>
      </w:tr>
    </w:tbl>
    <w:p w:rsidR="00A86593" w:rsidRDefault="00A86593" w:rsidP="00A86593"/>
    <w:p w:rsidR="00A86593" w:rsidRDefault="00A86593" w:rsidP="00A86593"/>
    <w:p w:rsidR="00A86593" w:rsidRDefault="00A86593" w:rsidP="00A86593"/>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08"/>
        <w:gridCol w:w="2126"/>
        <w:gridCol w:w="1559"/>
        <w:gridCol w:w="430"/>
        <w:gridCol w:w="1555"/>
      </w:tblGrid>
      <w:tr w:rsidR="00A86593" w:rsidRPr="009643EB" w:rsidTr="001C741C">
        <w:tc>
          <w:tcPr>
            <w:tcW w:w="4208" w:type="dxa"/>
          </w:tcPr>
          <w:p w:rsidR="00A86593" w:rsidRDefault="00A86593" w:rsidP="001C741C">
            <w:pPr>
              <w:spacing w:after="120"/>
              <w:rPr>
                <w:b/>
              </w:rPr>
            </w:pPr>
            <w:r>
              <w:rPr>
                <w:b/>
              </w:rPr>
              <w:t>Return on investments</w:t>
            </w:r>
          </w:p>
        </w:tc>
        <w:tc>
          <w:tcPr>
            <w:tcW w:w="2126" w:type="dxa"/>
          </w:tcPr>
          <w:p w:rsidR="00A86593" w:rsidRPr="009643EB" w:rsidRDefault="00A86593" w:rsidP="001C741C">
            <w:pPr>
              <w:spacing w:after="120"/>
              <w:jc w:val="right"/>
            </w:pPr>
          </w:p>
        </w:tc>
        <w:tc>
          <w:tcPr>
            <w:tcW w:w="1559" w:type="dxa"/>
          </w:tcPr>
          <w:p w:rsidR="00A86593" w:rsidRPr="009643EB" w:rsidRDefault="00A86593" w:rsidP="001C741C">
            <w:pPr>
              <w:spacing w:after="120"/>
              <w:jc w:val="right"/>
            </w:pPr>
          </w:p>
        </w:tc>
        <w:tc>
          <w:tcPr>
            <w:tcW w:w="430" w:type="dxa"/>
            <w:tcBorders>
              <w:right w:val="single" w:sz="4" w:space="0" w:color="FFFFFF" w:themeColor="background1"/>
            </w:tcBorders>
          </w:tcPr>
          <w:p w:rsidR="00A86593" w:rsidRPr="009643EB" w:rsidRDefault="00A86593" w:rsidP="001C741C">
            <w:pPr>
              <w:spacing w:after="120"/>
              <w:jc w:val="right"/>
            </w:pPr>
          </w:p>
        </w:tc>
        <w:tc>
          <w:tcPr>
            <w:tcW w:w="1555" w:type="dxa"/>
            <w:tcBorders>
              <w:left w:val="single" w:sz="4" w:space="0" w:color="FFFFFF" w:themeColor="background1"/>
            </w:tcBorders>
          </w:tcPr>
          <w:p w:rsidR="00A86593" w:rsidRPr="009643EB" w:rsidRDefault="00A86593" w:rsidP="001C741C">
            <w:pPr>
              <w:spacing w:after="120"/>
              <w:jc w:val="right"/>
            </w:pPr>
          </w:p>
        </w:tc>
      </w:tr>
      <w:tr w:rsidR="00A86593" w:rsidRPr="009643EB" w:rsidTr="001C741C">
        <w:tc>
          <w:tcPr>
            <w:tcW w:w="4208" w:type="dxa"/>
          </w:tcPr>
          <w:p w:rsidR="00A86593" w:rsidRPr="009643EB" w:rsidRDefault="00A86593" w:rsidP="001C741C">
            <w:pPr>
              <w:spacing w:after="120"/>
            </w:pPr>
            <w:r>
              <w:t>Investment income</w:t>
            </w:r>
          </w:p>
        </w:tc>
        <w:tc>
          <w:tcPr>
            <w:tcW w:w="2126" w:type="dxa"/>
          </w:tcPr>
          <w:p w:rsidR="00A86593" w:rsidRPr="009643EB" w:rsidRDefault="00A86593" w:rsidP="001C741C">
            <w:pPr>
              <w:tabs>
                <w:tab w:val="left" w:pos="1026"/>
              </w:tabs>
              <w:spacing w:after="120"/>
              <w:jc w:val="center"/>
            </w:pPr>
            <w:r>
              <w:t>11</w:t>
            </w:r>
          </w:p>
        </w:tc>
        <w:tc>
          <w:tcPr>
            <w:tcW w:w="1559" w:type="dxa"/>
          </w:tcPr>
          <w:p w:rsidR="00A86593" w:rsidRPr="009643EB" w:rsidRDefault="00A86593" w:rsidP="001C741C">
            <w:pPr>
              <w:spacing w:after="120"/>
              <w:jc w:val="right"/>
            </w:pPr>
            <w:r>
              <w:t>118.8</w:t>
            </w:r>
          </w:p>
        </w:tc>
        <w:tc>
          <w:tcPr>
            <w:tcW w:w="430" w:type="dxa"/>
            <w:tcBorders>
              <w:right w:val="single" w:sz="4" w:space="0" w:color="FFFFFF" w:themeColor="background1"/>
            </w:tcBorders>
          </w:tcPr>
          <w:p w:rsidR="00A86593" w:rsidRPr="009643EB" w:rsidRDefault="00A86593" w:rsidP="001C741C">
            <w:pPr>
              <w:spacing w:after="120"/>
              <w:jc w:val="right"/>
            </w:pPr>
          </w:p>
        </w:tc>
        <w:tc>
          <w:tcPr>
            <w:tcW w:w="1555" w:type="dxa"/>
            <w:tcBorders>
              <w:left w:val="single" w:sz="4" w:space="0" w:color="FFFFFF" w:themeColor="background1"/>
            </w:tcBorders>
          </w:tcPr>
          <w:p w:rsidR="00A86593" w:rsidRPr="009643EB" w:rsidRDefault="00A86593" w:rsidP="001C741C">
            <w:pPr>
              <w:spacing w:after="120"/>
              <w:jc w:val="right"/>
            </w:pPr>
            <w:r>
              <w:t>89.3</w:t>
            </w:r>
          </w:p>
        </w:tc>
      </w:tr>
      <w:tr w:rsidR="00A86593" w:rsidRPr="009643EB" w:rsidTr="001C741C">
        <w:tc>
          <w:tcPr>
            <w:tcW w:w="4208" w:type="dxa"/>
          </w:tcPr>
          <w:p w:rsidR="00A86593" w:rsidRDefault="00A86593" w:rsidP="001C741C">
            <w:pPr>
              <w:spacing w:after="120"/>
            </w:pPr>
            <w:r>
              <w:t>Profit and loss on disposal of investments and change in market value of investments</w:t>
            </w:r>
          </w:p>
        </w:tc>
        <w:tc>
          <w:tcPr>
            <w:tcW w:w="2126" w:type="dxa"/>
          </w:tcPr>
          <w:p w:rsidR="00A86593" w:rsidRPr="009643EB" w:rsidRDefault="00A86593" w:rsidP="001C741C">
            <w:pPr>
              <w:tabs>
                <w:tab w:val="left" w:pos="1026"/>
              </w:tabs>
              <w:spacing w:after="120"/>
              <w:jc w:val="center"/>
            </w:pPr>
            <w:r w:rsidRPr="00440AB3">
              <w:t>1</w:t>
            </w:r>
            <w:r>
              <w:t>4</w:t>
            </w:r>
          </w:p>
        </w:tc>
        <w:tc>
          <w:tcPr>
            <w:tcW w:w="1559" w:type="dxa"/>
          </w:tcPr>
          <w:p w:rsidR="00A86593" w:rsidRPr="009643EB" w:rsidRDefault="00A86593" w:rsidP="001C741C">
            <w:pPr>
              <w:spacing w:after="120"/>
              <w:jc w:val="right"/>
            </w:pPr>
            <w:r>
              <w:t>(7.9)</w:t>
            </w:r>
          </w:p>
        </w:tc>
        <w:tc>
          <w:tcPr>
            <w:tcW w:w="430" w:type="dxa"/>
            <w:tcBorders>
              <w:right w:val="single" w:sz="4" w:space="0" w:color="FFFFFF" w:themeColor="background1"/>
            </w:tcBorders>
          </w:tcPr>
          <w:p w:rsidR="00A86593" w:rsidRPr="009643EB" w:rsidRDefault="00A86593" w:rsidP="001C741C">
            <w:pPr>
              <w:spacing w:after="120"/>
              <w:jc w:val="right"/>
            </w:pPr>
          </w:p>
        </w:tc>
        <w:tc>
          <w:tcPr>
            <w:tcW w:w="1555" w:type="dxa"/>
            <w:tcBorders>
              <w:left w:val="single" w:sz="4" w:space="0" w:color="FFFFFF" w:themeColor="background1"/>
            </w:tcBorders>
          </w:tcPr>
          <w:p w:rsidR="00A86593" w:rsidRDefault="00A86593" w:rsidP="001C741C">
            <w:pPr>
              <w:spacing w:after="120"/>
              <w:jc w:val="right"/>
            </w:pPr>
            <w:r>
              <w:t>238.8</w:t>
            </w:r>
          </w:p>
        </w:tc>
      </w:tr>
      <w:tr w:rsidR="00A86593" w:rsidRPr="009643EB" w:rsidTr="001C741C">
        <w:tc>
          <w:tcPr>
            <w:tcW w:w="4208" w:type="dxa"/>
          </w:tcPr>
          <w:p w:rsidR="00A86593" w:rsidRDefault="00A86593" w:rsidP="001C741C">
            <w:pPr>
              <w:spacing w:after="120"/>
            </w:pPr>
            <w:r>
              <w:t>Investment management expenses</w:t>
            </w:r>
          </w:p>
        </w:tc>
        <w:tc>
          <w:tcPr>
            <w:tcW w:w="2126" w:type="dxa"/>
          </w:tcPr>
          <w:p w:rsidR="00A86593" w:rsidRPr="009643EB" w:rsidRDefault="00A86593" w:rsidP="001C741C">
            <w:pPr>
              <w:tabs>
                <w:tab w:val="left" w:pos="1026"/>
              </w:tabs>
              <w:spacing w:after="120"/>
              <w:jc w:val="center"/>
            </w:pPr>
            <w:r w:rsidRPr="00440AB3">
              <w:t>21</w:t>
            </w:r>
          </w:p>
        </w:tc>
        <w:tc>
          <w:tcPr>
            <w:tcW w:w="1559" w:type="dxa"/>
            <w:tcBorders>
              <w:bottom w:val="single" w:sz="18" w:space="0" w:color="auto"/>
            </w:tcBorders>
          </w:tcPr>
          <w:p w:rsidR="00A86593" w:rsidRPr="009643EB" w:rsidRDefault="00A86593" w:rsidP="001C741C">
            <w:pPr>
              <w:spacing w:after="120"/>
              <w:jc w:val="right"/>
            </w:pPr>
            <w:r>
              <w:t>(8.3)</w:t>
            </w:r>
          </w:p>
        </w:tc>
        <w:tc>
          <w:tcPr>
            <w:tcW w:w="430" w:type="dxa"/>
            <w:tcBorders>
              <w:right w:val="single" w:sz="4" w:space="0" w:color="FFFFFF" w:themeColor="background1"/>
            </w:tcBorders>
          </w:tcPr>
          <w:p w:rsidR="00A86593" w:rsidRPr="009643EB" w:rsidRDefault="00A86593" w:rsidP="001C741C">
            <w:pPr>
              <w:spacing w:after="120"/>
              <w:jc w:val="right"/>
            </w:pPr>
          </w:p>
        </w:tc>
        <w:tc>
          <w:tcPr>
            <w:tcW w:w="1555" w:type="dxa"/>
            <w:tcBorders>
              <w:left w:val="single" w:sz="4" w:space="0" w:color="FFFFFF" w:themeColor="background1"/>
              <w:bottom w:val="single" w:sz="18" w:space="0" w:color="auto"/>
            </w:tcBorders>
          </w:tcPr>
          <w:p w:rsidR="00A86593" w:rsidRDefault="00A86593" w:rsidP="001C741C">
            <w:pPr>
              <w:spacing w:after="120"/>
              <w:jc w:val="right"/>
            </w:pPr>
            <w:r>
              <w:t>(8.0)</w:t>
            </w:r>
          </w:p>
        </w:tc>
      </w:tr>
      <w:tr w:rsidR="00A86593" w:rsidRPr="009643EB" w:rsidTr="001C741C">
        <w:tc>
          <w:tcPr>
            <w:tcW w:w="4208" w:type="dxa"/>
          </w:tcPr>
          <w:p w:rsidR="00A86593" w:rsidRPr="0090717E" w:rsidRDefault="00A86593" w:rsidP="001C741C">
            <w:pPr>
              <w:spacing w:after="120"/>
              <w:rPr>
                <w:b/>
              </w:rPr>
            </w:pPr>
            <w:r w:rsidRPr="0090717E">
              <w:rPr>
                <w:b/>
              </w:rPr>
              <w:t>Net return on investments</w:t>
            </w:r>
          </w:p>
        </w:tc>
        <w:tc>
          <w:tcPr>
            <w:tcW w:w="2126" w:type="dxa"/>
          </w:tcPr>
          <w:p w:rsidR="00A86593" w:rsidRPr="0090717E" w:rsidRDefault="00A86593" w:rsidP="001C741C">
            <w:pPr>
              <w:spacing w:after="120"/>
              <w:jc w:val="right"/>
              <w:rPr>
                <w:b/>
              </w:rPr>
            </w:pPr>
          </w:p>
        </w:tc>
        <w:tc>
          <w:tcPr>
            <w:tcW w:w="1559" w:type="dxa"/>
            <w:tcBorders>
              <w:top w:val="single" w:sz="18" w:space="0" w:color="auto"/>
              <w:bottom w:val="single" w:sz="18" w:space="0" w:color="auto"/>
            </w:tcBorders>
          </w:tcPr>
          <w:p w:rsidR="00A86593" w:rsidRPr="0090717E" w:rsidRDefault="00A86593" w:rsidP="001C741C">
            <w:pPr>
              <w:spacing w:after="120"/>
              <w:jc w:val="right"/>
              <w:rPr>
                <w:b/>
              </w:rPr>
            </w:pPr>
            <w:r>
              <w:rPr>
                <w:b/>
              </w:rPr>
              <w:t>102.6</w:t>
            </w:r>
          </w:p>
        </w:tc>
        <w:tc>
          <w:tcPr>
            <w:tcW w:w="430" w:type="dxa"/>
            <w:tcBorders>
              <w:right w:val="single" w:sz="4" w:space="0" w:color="FFFFFF" w:themeColor="background1"/>
            </w:tcBorders>
          </w:tcPr>
          <w:p w:rsidR="00A86593" w:rsidRPr="0090717E" w:rsidRDefault="00A86593" w:rsidP="001C741C">
            <w:pPr>
              <w:spacing w:after="120"/>
              <w:jc w:val="right"/>
              <w:rPr>
                <w:b/>
              </w:rPr>
            </w:pPr>
          </w:p>
        </w:tc>
        <w:tc>
          <w:tcPr>
            <w:tcW w:w="1555" w:type="dxa"/>
            <w:tcBorders>
              <w:top w:val="single" w:sz="18" w:space="0" w:color="auto"/>
              <w:left w:val="single" w:sz="4" w:space="0" w:color="FFFFFF" w:themeColor="background1"/>
              <w:bottom w:val="single" w:sz="18" w:space="0" w:color="auto"/>
            </w:tcBorders>
          </w:tcPr>
          <w:p w:rsidR="00A86593" w:rsidRPr="0090717E" w:rsidRDefault="00A86593" w:rsidP="001C741C">
            <w:pPr>
              <w:spacing w:after="120"/>
              <w:jc w:val="right"/>
              <w:rPr>
                <w:b/>
              </w:rPr>
            </w:pPr>
            <w:r w:rsidRPr="0090717E">
              <w:rPr>
                <w:b/>
              </w:rPr>
              <w:t>320.</w:t>
            </w:r>
            <w:r>
              <w:rPr>
                <w:b/>
              </w:rPr>
              <w:t>1</w:t>
            </w:r>
          </w:p>
        </w:tc>
      </w:tr>
      <w:tr w:rsidR="00A86593" w:rsidRPr="009643EB" w:rsidTr="001C741C">
        <w:tc>
          <w:tcPr>
            <w:tcW w:w="4208" w:type="dxa"/>
          </w:tcPr>
          <w:p w:rsidR="00A86593" w:rsidRPr="0090717E" w:rsidRDefault="00A86593" w:rsidP="001C741C">
            <w:pPr>
              <w:spacing w:before="120"/>
              <w:rPr>
                <w:b/>
              </w:rPr>
            </w:pPr>
            <w:r w:rsidRPr="0090717E">
              <w:rPr>
                <w:b/>
              </w:rPr>
              <w:t>Net increase (decrease) in the fund during the year</w:t>
            </w:r>
          </w:p>
        </w:tc>
        <w:tc>
          <w:tcPr>
            <w:tcW w:w="2126" w:type="dxa"/>
          </w:tcPr>
          <w:p w:rsidR="00A86593" w:rsidRPr="0090717E" w:rsidRDefault="00A86593" w:rsidP="001C741C">
            <w:pPr>
              <w:spacing w:before="120"/>
              <w:jc w:val="right"/>
              <w:rPr>
                <w:b/>
              </w:rPr>
            </w:pPr>
          </w:p>
        </w:tc>
        <w:tc>
          <w:tcPr>
            <w:tcW w:w="1559" w:type="dxa"/>
            <w:tcBorders>
              <w:top w:val="single" w:sz="18" w:space="0" w:color="auto"/>
              <w:bottom w:val="double" w:sz="12" w:space="0" w:color="auto"/>
            </w:tcBorders>
          </w:tcPr>
          <w:p w:rsidR="00A86593" w:rsidRPr="0090717E" w:rsidRDefault="00A86593" w:rsidP="001C741C">
            <w:pPr>
              <w:spacing w:before="120"/>
              <w:jc w:val="right"/>
              <w:rPr>
                <w:b/>
              </w:rPr>
            </w:pPr>
            <w:r>
              <w:rPr>
                <w:b/>
              </w:rPr>
              <w:t>86.4</w:t>
            </w:r>
          </w:p>
        </w:tc>
        <w:tc>
          <w:tcPr>
            <w:tcW w:w="430" w:type="dxa"/>
            <w:tcBorders>
              <w:right w:val="single" w:sz="4" w:space="0" w:color="FFFFFF" w:themeColor="background1"/>
            </w:tcBorders>
          </w:tcPr>
          <w:p w:rsidR="00A86593" w:rsidRPr="0090717E" w:rsidRDefault="00A86593" w:rsidP="001C741C">
            <w:pPr>
              <w:spacing w:before="120"/>
              <w:jc w:val="right"/>
              <w:rPr>
                <w:b/>
              </w:rPr>
            </w:pPr>
          </w:p>
        </w:tc>
        <w:tc>
          <w:tcPr>
            <w:tcW w:w="1555" w:type="dxa"/>
            <w:tcBorders>
              <w:top w:val="single" w:sz="18" w:space="0" w:color="auto"/>
              <w:left w:val="single" w:sz="4" w:space="0" w:color="FFFFFF" w:themeColor="background1"/>
              <w:bottom w:val="double" w:sz="12" w:space="0" w:color="auto"/>
            </w:tcBorders>
          </w:tcPr>
          <w:p w:rsidR="00A86593" w:rsidRPr="0090717E" w:rsidRDefault="00A86593" w:rsidP="001C741C">
            <w:pPr>
              <w:spacing w:before="120"/>
              <w:jc w:val="right"/>
              <w:rPr>
                <w:b/>
              </w:rPr>
            </w:pPr>
            <w:r w:rsidRPr="0090717E">
              <w:rPr>
                <w:b/>
              </w:rPr>
              <w:t>332.</w:t>
            </w:r>
            <w:r>
              <w:rPr>
                <w:b/>
              </w:rPr>
              <w:t>0</w:t>
            </w:r>
          </w:p>
        </w:tc>
      </w:tr>
    </w:tbl>
    <w:p w:rsidR="00A86593" w:rsidRDefault="00A86593" w:rsidP="00A86593"/>
    <w:p w:rsidR="00A86593" w:rsidRDefault="00A86593" w:rsidP="00A86593">
      <w:r>
        <w:br w:type="page"/>
      </w:r>
    </w:p>
    <w:p w:rsidR="00A86593" w:rsidRDefault="00A86593" w:rsidP="00A86593"/>
    <w:p w:rsidR="00A86593" w:rsidRDefault="00A86593" w:rsidP="00A86593">
      <w:pPr>
        <w:pStyle w:val="Heading5"/>
        <w:spacing w:line="360" w:lineRule="auto"/>
        <w:jc w:val="center"/>
        <w:rPr>
          <w:szCs w:val="24"/>
        </w:rPr>
      </w:pPr>
    </w:p>
    <w:p w:rsidR="00A86593" w:rsidRDefault="00A86593" w:rsidP="00A86593">
      <w:pPr>
        <w:pStyle w:val="Heading5"/>
        <w:spacing w:line="360" w:lineRule="auto"/>
        <w:jc w:val="center"/>
        <w:rPr>
          <w:szCs w:val="24"/>
        </w:rPr>
      </w:pPr>
      <w:r w:rsidRPr="00942A4F">
        <w:rPr>
          <w:szCs w:val="24"/>
        </w:rPr>
        <w:t>Net Asset statement for the year ended 31 March 2012</w:t>
      </w:r>
    </w:p>
    <w:p w:rsidR="00A86593" w:rsidRDefault="00A86593" w:rsidP="00A86593"/>
    <w:p w:rsidR="00A86593" w:rsidRDefault="00A86593" w:rsidP="00A86593"/>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08"/>
        <w:gridCol w:w="2126"/>
        <w:gridCol w:w="1559"/>
        <w:gridCol w:w="430"/>
        <w:gridCol w:w="1555"/>
      </w:tblGrid>
      <w:tr w:rsidR="00A86593" w:rsidTr="001C741C">
        <w:tc>
          <w:tcPr>
            <w:tcW w:w="4208" w:type="dxa"/>
          </w:tcPr>
          <w:p w:rsidR="00A86593" w:rsidRDefault="00A86593" w:rsidP="001C741C">
            <w:pPr>
              <w:rPr>
                <w:b/>
              </w:rPr>
            </w:pPr>
          </w:p>
          <w:p w:rsidR="00A86593" w:rsidRDefault="00A86593" w:rsidP="001C741C">
            <w:pPr>
              <w:jc w:val="right"/>
              <w:rPr>
                <w:b/>
              </w:rPr>
            </w:pPr>
          </w:p>
        </w:tc>
        <w:tc>
          <w:tcPr>
            <w:tcW w:w="2126" w:type="dxa"/>
          </w:tcPr>
          <w:p w:rsidR="00A86593" w:rsidRDefault="00A86593" w:rsidP="001C741C">
            <w:pPr>
              <w:rPr>
                <w:b/>
              </w:rPr>
            </w:pPr>
          </w:p>
          <w:p w:rsidR="00A86593" w:rsidRDefault="00A86593" w:rsidP="001C741C">
            <w:pPr>
              <w:jc w:val="center"/>
              <w:rPr>
                <w:b/>
              </w:rPr>
            </w:pPr>
            <w:r>
              <w:rPr>
                <w:b/>
              </w:rPr>
              <w:t>Note</w:t>
            </w:r>
          </w:p>
        </w:tc>
        <w:tc>
          <w:tcPr>
            <w:tcW w:w="1559" w:type="dxa"/>
          </w:tcPr>
          <w:p w:rsidR="00A86593" w:rsidRDefault="00A86593" w:rsidP="001C741C">
            <w:pPr>
              <w:jc w:val="right"/>
              <w:rPr>
                <w:b/>
              </w:rPr>
            </w:pPr>
            <w:r>
              <w:rPr>
                <w:b/>
              </w:rPr>
              <w:t>2012</w:t>
            </w:r>
          </w:p>
          <w:p w:rsidR="00A86593" w:rsidRDefault="00A86593" w:rsidP="001C741C">
            <w:pPr>
              <w:jc w:val="right"/>
              <w:rPr>
                <w:b/>
              </w:rPr>
            </w:pPr>
            <w:r>
              <w:rPr>
                <w:b/>
              </w:rPr>
              <w:t>£m</w:t>
            </w:r>
          </w:p>
        </w:tc>
        <w:tc>
          <w:tcPr>
            <w:tcW w:w="430" w:type="dxa"/>
            <w:tcBorders>
              <w:right w:val="single" w:sz="4" w:space="0" w:color="FFFFFF" w:themeColor="background1"/>
            </w:tcBorders>
          </w:tcPr>
          <w:p w:rsidR="00A86593" w:rsidRDefault="00A86593" w:rsidP="001C741C">
            <w:pPr>
              <w:jc w:val="right"/>
              <w:rPr>
                <w:b/>
              </w:rPr>
            </w:pPr>
          </w:p>
          <w:p w:rsidR="00A86593" w:rsidRDefault="00A86593" w:rsidP="001C741C">
            <w:pPr>
              <w:jc w:val="right"/>
              <w:rPr>
                <w:b/>
              </w:rPr>
            </w:pPr>
          </w:p>
        </w:tc>
        <w:tc>
          <w:tcPr>
            <w:tcW w:w="1555" w:type="dxa"/>
            <w:tcBorders>
              <w:left w:val="single" w:sz="4" w:space="0" w:color="FFFFFF" w:themeColor="background1"/>
            </w:tcBorders>
          </w:tcPr>
          <w:p w:rsidR="00A86593" w:rsidRDefault="00A86593" w:rsidP="001C741C">
            <w:pPr>
              <w:jc w:val="right"/>
              <w:rPr>
                <w:b/>
              </w:rPr>
            </w:pPr>
            <w:r>
              <w:rPr>
                <w:b/>
              </w:rPr>
              <w:t>2011</w:t>
            </w:r>
          </w:p>
          <w:p w:rsidR="00A86593" w:rsidRDefault="00A86593" w:rsidP="001C741C">
            <w:pPr>
              <w:jc w:val="right"/>
              <w:rPr>
                <w:b/>
              </w:rPr>
            </w:pPr>
            <w:r>
              <w:rPr>
                <w:b/>
              </w:rPr>
              <w:t>£m</w:t>
            </w:r>
          </w:p>
          <w:p w:rsidR="00A86593" w:rsidRDefault="00A86593" w:rsidP="001C741C">
            <w:pPr>
              <w:jc w:val="right"/>
              <w:rPr>
                <w:b/>
              </w:rPr>
            </w:pPr>
          </w:p>
        </w:tc>
      </w:tr>
      <w:tr w:rsidR="00A86593" w:rsidRPr="009643EB" w:rsidTr="001C741C">
        <w:tc>
          <w:tcPr>
            <w:tcW w:w="4208" w:type="dxa"/>
          </w:tcPr>
          <w:p w:rsidR="00A86593" w:rsidRPr="00614617" w:rsidRDefault="00A86593" w:rsidP="001C741C">
            <w:pPr>
              <w:spacing w:after="120"/>
            </w:pPr>
            <w:r>
              <w:t>Investment assets</w:t>
            </w:r>
          </w:p>
        </w:tc>
        <w:tc>
          <w:tcPr>
            <w:tcW w:w="2126" w:type="dxa"/>
          </w:tcPr>
          <w:p w:rsidR="00A86593" w:rsidRPr="009643EB" w:rsidRDefault="00A86593" w:rsidP="001C741C">
            <w:pPr>
              <w:tabs>
                <w:tab w:val="left" w:pos="1026"/>
              </w:tabs>
              <w:spacing w:after="120"/>
              <w:jc w:val="center"/>
            </w:pPr>
            <w:r>
              <w:t>14</w:t>
            </w:r>
          </w:p>
        </w:tc>
        <w:tc>
          <w:tcPr>
            <w:tcW w:w="1559" w:type="dxa"/>
          </w:tcPr>
          <w:p w:rsidR="00A86593" w:rsidRPr="009643EB" w:rsidRDefault="00A86593" w:rsidP="001C741C">
            <w:pPr>
              <w:spacing w:after="120"/>
              <w:jc w:val="right"/>
            </w:pPr>
            <w:r>
              <w:t>4361.4</w:t>
            </w:r>
          </w:p>
        </w:tc>
        <w:tc>
          <w:tcPr>
            <w:tcW w:w="430" w:type="dxa"/>
            <w:tcBorders>
              <w:right w:val="single" w:sz="4" w:space="0" w:color="FFFFFF" w:themeColor="background1"/>
            </w:tcBorders>
          </w:tcPr>
          <w:p w:rsidR="00A86593" w:rsidRPr="009643EB" w:rsidRDefault="00A86593" w:rsidP="001C741C">
            <w:pPr>
              <w:spacing w:after="120"/>
              <w:jc w:val="right"/>
            </w:pPr>
          </w:p>
        </w:tc>
        <w:tc>
          <w:tcPr>
            <w:tcW w:w="1555" w:type="dxa"/>
            <w:tcBorders>
              <w:left w:val="single" w:sz="4" w:space="0" w:color="FFFFFF" w:themeColor="background1"/>
            </w:tcBorders>
          </w:tcPr>
          <w:p w:rsidR="00A86593" w:rsidRPr="009643EB" w:rsidRDefault="00A86593" w:rsidP="001C741C">
            <w:pPr>
              <w:spacing w:after="120"/>
              <w:jc w:val="right"/>
            </w:pPr>
            <w:r>
              <w:t>4,282.1</w:t>
            </w:r>
          </w:p>
        </w:tc>
      </w:tr>
      <w:tr w:rsidR="00A86593" w:rsidRPr="009643EB" w:rsidTr="001C741C">
        <w:tc>
          <w:tcPr>
            <w:tcW w:w="4208" w:type="dxa"/>
          </w:tcPr>
          <w:p w:rsidR="00A86593" w:rsidRPr="009643EB" w:rsidRDefault="00A86593" w:rsidP="001C741C">
            <w:pPr>
              <w:spacing w:after="120"/>
            </w:pPr>
            <w:r>
              <w:t>Investment liabilities</w:t>
            </w:r>
          </w:p>
        </w:tc>
        <w:tc>
          <w:tcPr>
            <w:tcW w:w="2126" w:type="dxa"/>
          </w:tcPr>
          <w:p w:rsidR="00A86593" w:rsidRPr="009643EB" w:rsidRDefault="00A86593" w:rsidP="001C741C">
            <w:pPr>
              <w:tabs>
                <w:tab w:val="left" w:pos="1026"/>
              </w:tabs>
              <w:spacing w:after="120"/>
              <w:jc w:val="center"/>
            </w:pPr>
            <w:r>
              <w:t>14</w:t>
            </w:r>
          </w:p>
        </w:tc>
        <w:tc>
          <w:tcPr>
            <w:tcW w:w="1559" w:type="dxa"/>
          </w:tcPr>
          <w:p w:rsidR="00A86593" w:rsidRPr="009643EB" w:rsidRDefault="00A86593" w:rsidP="001C741C">
            <w:pPr>
              <w:spacing w:after="120"/>
              <w:jc w:val="right"/>
            </w:pPr>
            <w:r>
              <w:t>(1.5</w:t>
            </w:r>
          </w:p>
        </w:tc>
        <w:tc>
          <w:tcPr>
            <w:tcW w:w="430" w:type="dxa"/>
            <w:tcBorders>
              <w:right w:val="single" w:sz="4" w:space="0" w:color="FFFFFF" w:themeColor="background1"/>
            </w:tcBorders>
          </w:tcPr>
          <w:p w:rsidR="00A86593" w:rsidRPr="009643EB" w:rsidRDefault="00A86593" w:rsidP="001C741C">
            <w:pPr>
              <w:spacing w:after="120"/>
              <w:jc w:val="right"/>
            </w:pPr>
          </w:p>
        </w:tc>
        <w:tc>
          <w:tcPr>
            <w:tcW w:w="1555" w:type="dxa"/>
            <w:tcBorders>
              <w:left w:val="single" w:sz="4" w:space="0" w:color="FFFFFF" w:themeColor="background1"/>
            </w:tcBorders>
          </w:tcPr>
          <w:p w:rsidR="00A86593" w:rsidRPr="009643EB" w:rsidRDefault="00A86593" w:rsidP="001C741C">
            <w:pPr>
              <w:spacing w:after="120"/>
              <w:jc w:val="right"/>
            </w:pPr>
            <w:r>
              <w:t>(0.9)</w:t>
            </w:r>
          </w:p>
        </w:tc>
      </w:tr>
      <w:tr w:rsidR="00A86593" w:rsidRPr="009643EB" w:rsidTr="001C741C">
        <w:tc>
          <w:tcPr>
            <w:tcW w:w="4208" w:type="dxa"/>
          </w:tcPr>
          <w:p w:rsidR="00A86593" w:rsidRDefault="00A86593" w:rsidP="001C741C">
            <w:pPr>
              <w:spacing w:after="120"/>
            </w:pPr>
            <w:r>
              <w:t>Current assets</w:t>
            </w:r>
          </w:p>
        </w:tc>
        <w:tc>
          <w:tcPr>
            <w:tcW w:w="2126" w:type="dxa"/>
          </w:tcPr>
          <w:p w:rsidR="00A86593" w:rsidRPr="00D63AC4" w:rsidRDefault="00A86593" w:rsidP="001C741C">
            <w:pPr>
              <w:tabs>
                <w:tab w:val="left" w:pos="1026"/>
              </w:tabs>
              <w:spacing w:after="120"/>
              <w:jc w:val="center"/>
              <w:rPr>
                <w:highlight w:val="yellow"/>
              </w:rPr>
            </w:pPr>
            <w:r w:rsidRPr="00440AB3">
              <w:t>22</w:t>
            </w:r>
          </w:p>
        </w:tc>
        <w:tc>
          <w:tcPr>
            <w:tcW w:w="1559" w:type="dxa"/>
          </w:tcPr>
          <w:p w:rsidR="00A86593" w:rsidRPr="009643EB" w:rsidRDefault="00A86593" w:rsidP="001C741C">
            <w:pPr>
              <w:spacing w:after="120"/>
              <w:jc w:val="right"/>
            </w:pPr>
            <w:r>
              <w:t>23.3</w:t>
            </w:r>
          </w:p>
        </w:tc>
        <w:tc>
          <w:tcPr>
            <w:tcW w:w="430" w:type="dxa"/>
            <w:tcBorders>
              <w:right w:val="single" w:sz="4" w:space="0" w:color="FFFFFF" w:themeColor="background1"/>
            </w:tcBorders>
          </w:tcPr>
          <w:p w:rsidR="00A86593" w:rsidRDefault="00A86593" w:rsidP="001C741C">
            <w:pPr>
              <w:spacing w:after="120"/>
              <w:jc w:val="right"/>
            </w:pPr>
          </w:p>
        </w:tc>
        <w:tc>
          <w:tcPr>
            <w:tcW w:w="1555" w:type="dxa"/>
            <w:tcBorders>
              <w:left w:val="single" w:sz="4" w:space="0" w:color="FFFFFF" w:themeColor="background1"/>
            </w:tcBorders>
          </w:tcPr>
          <w:p w:rsidR="00A86593" w:rsidRDefault="00A86593" w:rsidP="001C741C">
            <w:pPr>
              <w:spacing w:after="120"/>
              <w:jc w:val="right"/>
            </w:pPr>
            <w:r>
              <w:t>21.6</w:t>
            </w:r>
          </w:p>
        </w:tc>
      </w:tr>
      <w:tr w:rsidR="00A86593" w:rsidRPr="009643EB" w:rsidTr="001C741C">
        <w:tc>
          <w:tcPr>
            <w:tcW w:w="4208" w:type="dxa"/>
          </w:tcPr>
          <w:p w:rsidR="00A86593" w:rsidRDefault="00A86593" w:rsidP="001C741C">
            <w:pPr>
              <w:spacing w:after="120"/>
            </w:pPr>
            <w:r>
              <w:t>Current liabilities</w:t>
            </w:r>
          </w:p>
        </w:tc>
        <w:tc>
          <w:tcPr>
            <w:tcW w:w="2126" w:type="dxa"/>
          </w:tcPr>
          <w:p w:rsidR="00A86593" w:rsidRPr="00D63AC4" w:rsidRDefault="00A86593" w:rsidP="001C741C">
            <w:pPr>
              <w:tabs>
                <w:tab w:val="left" w:pos="1026"/>
              </w:tabs>
              <w:spacing w:after="120"/>
              <w:jc w:val="center"/>
              <w:rPr>
                <w:highlight w:val="yellow"/>
              </w:rPr>
            </w:pPr>
            <w:r w:rsidRPr="00440AB3">
              <w:t>2</w:t>
            </w:r>
            <w:r>
              <w:t>4</w:t>
            </w:r>
          </w:p>
        </w:tc>
        <w:tc>
          <w:tcPr>
            <w:tcW w:w="1559" w:type="dxa"/>
            <w:tcBorders>
              <w:bottom w:val="single" w:sz="18" w:space="0" w:color="auto"/>
            </w:tcBorders>
          </w:tcPr>
          <w:p w:rsidR="00A86593" w:rsidRPr="009643EB" w:rsidRDefault="00A86593" w:rsidP="001C741C">
            <w:pPr>
              <w:spacing w:after="120"/>
              <w:jc w:val="right"/>
            </w:pPr>
            <w:r>
              <w:t>(3.2)</w:t>
            </w:r>
          </w:p>
        </w:tc>
        <w:tc>
          <w:tcPr>
            <w:tcW w:w="430" w:type="dxa"/>
            <w:tcBorders>
              <w:right w:val="single" w:sz="4" w:space="0" w:color="FFFFFF" w:themeColor="background1"/>
            </w:tcBorders>
          </w:tcPr>
          <w:p w:rsidR="00A86593" w:rsidRDefault="00A86593" w:rsidP="001C741C">
            <w:pPr>
              <w:spacing w:after="120"/>
              <w:jc w:val="right"/>
            </w:pPr>
          </w:p>
        </w:tc>
        <w:tc>
          <w:tcPr>
            <w:tcW w:w="1555" w:type="dxa"/>
            <w:tcBorders>
              <w:left w:val="single" w:sz="4" w:space="0" w:color="FFFFFF" w:themeColor="background1"/>
              <w:bottom w:val="single" w:sz="18" w:space="0" w:color="auto"/>
            </w:tcBorders>
          </w:tcPr>
          <w:p w:rsidR="00A86593" w:rsidRDefault="00A86593" w:rsidP="001C741C">
            <w:pPr>
              <w:spacing w:after="120"/>
              <w:jc w:val="right"/>
            </w:pPr>
            <w:r>
              <w:t>(9.2)</w:t>
            </w:r>
          </w:p>
        </w:tc>
      </w:tr>
      <w:tr w:rsidR="00A86593" w:rsidRPr="009643EB" w:rsidTr="001C741C">
        <w:tc>
          <w:tcPr>
            <w:tcW w:w="4208" w:type="dxa"/>
          </w:tcPr>
          <w:p w:rsidR="00A86593" w:rsidRDefault="00A86593" w:rsidP="001C741C">
            <w:pPr>
              <w:spacing w:before="120"/>
            </w:pPr>
            <w:r>
              <w:t>Net assets of the fund available to fund benefits at the period end</w:t>
            </w:r>
          </w:p>
        </w:tc>
        <w:tc>
          <w:tcPr>
            <w:tcW w:w="2126" w:type="dxa"/>
          </w:tcPr>
          <w:p w:rsidR="00A86593" w:rsidRPr="009643EB" w:rsidRDefault="00A86593" w:rsidP="001C741C">
            <w:pPr>
              <w:spacing w:before="120" w:after="120"/>
              <w:jc w:val="right"/>
            </w:pPr>
          </w:p>
        </w:tc>
        <w:tc>
          <w:tcPr>
            <w:tcW w:w="1559" w:type="dxa"/>
            <w:tcBorders>
              <w:top w:val="single" w:sz="18" w:space="0" w:color="auto"/>
              <w:bottom w:val="single" w:sz="18" w:space="0" w:color="auto"/>
            </w:tcBorders>
          </w:tcPr>
          <w:p w:rsidR="00A86593" w:rsidRPr="009643EB" w:rsidRDefault="00A86593" w:rsidP="001C741C">
            <w:pPr>
              <w:spacing w:before="120" w:after="120"/>
              <w:jc w:val="right"/>
            </w:pPr>
            <w:r>
              <w:t>4,380</w:t>
            </w:r>
          </w:p>
        </w:tc>
        <w:tc>
          <w:tcPr>
            <w:tcW w:w="430" w:type="dxa"/>
            <w:tcBorders>
              <w:right w:val="single" w:sz="4" w:space="0" w:color="FFFFFF" w:themeColor="background1"/>
            </w:tcBorders>
          </w:tcPr>
          <w:p w:rsidR="00A86593" w:rsidRDefault="00A86593" w:rsidP="001C741C">
            <w:pPr>
              <w:spacing w:before="120" w:after="120"/>
            </w:pPr>
          </w:p>
        </w:tc>
        <w:tc>
          <w:tcPr>
            <w:tcW w:w="1555" w:type="dxa"/>
            <w:tcBorders>
              <w:top w:val="single" w:sz="18" w:space="0" w:color="auto"/>
              <w:left w:val="single" w:sz="4" w:space="0" w:color="FFFFFF" w:themeColor="background1"/>
              <w:bottom w:val="single" w:sz="18" w:space="0" w:color="auto"/>
            </w:tcBorders>
          </w:tcPr>
          <w:p w:rsidR="00A86593" w:rsidRDefault="00A86593" w:rsidP="001C741C">
            <w:pPr>
              <w:spacing w:before="120" w:after="120"/>
              <w:jc w:val="right"/>
            </w:pPr>
            <w:r>
              <w:t>4,293.6</w:t>
            </w:r>
          </w:p>
        </w:tc>
      </w:tr>
    </w:tbl>
    <w:p w:rsidR="00A86593" w:rsidRDefault="00A86593" w:rsidP="00A86593"/>
    <w:p w:rsidR="00A86593" w:rsidRPr="00614617" w:rsidRDefault="00A86593" w:rsidP="00A86593"/>
    <w:p w:rsidR="00A86593" w:rsidRPr="00166665" w:rsidRDefault="00A86593" w:rsidP="00A86593">
      <w:r w:rsidRPr="00166665">
        <w:t>The Pension Fund's financial statements do not take account of liabilities to pay pensions and other benefits after the period end.</w:t>
      </w:r>
    </w:p>
    <w:p w:rsidR="00A86593" w:rsidRPr="00166665" w:rsidRDefault="00A86593" w:rsidP="00A86593"/>
    <w:p w:rsidR="00A86593" w:rsidRPr="00166665" w:rsidRDefault="00A86593" w:rsidP="00A86593">
      <w:pPr>
        <w:pStyle w:val="Heading3"/>
        <w:rPr>
          <w:b w:val="0"/>
          <w:i w:val="0"/>
          <w:sz w:val="24"/>
        </w:rPr>
      </w:pPr>
      <w:r w:rsidRPr="00166665">
        <w:rPr>
          <w:b w:val="0"/>
          <w:i w:val="0"/>
          <w:sz w:val="24"/>
        </w:rPr>
        <w:t xml:space="preserve">This statement of accounts is that upon which the auditor should enter his certificate and opinion.  It presents fairly the position of the Lancashire County Pension Fund at 31 March </w:t>
      </w:r>
      <w:r>
        <w:rPr>
          <w:b w:val="0"/>
          <w:i w:val="0"/>
          <w:sz w:val="24"/>
        </w:rPr>
        <w:t>2012</w:t>
      </w:r>
      <w:r w:rsidRPr="00166665">
        <w:rPr>
          <w:b w:val="0"/>
          <w:i w:val="0"/>
          <w:sz w:val="24"/>
        </w:rPr>
        <w:t xml:space="preserve"> and its income and expenditure for the year then ended.</w:t>
      </w:r>
    </w:p>
    <w:p w:rsidR="00A86593" w:rsidRDefault="00A86593" w:rsidP="00A86593">
      <w:pPr>
        <w:rPr>
          <w:lang w:eastAsia="en-US"/>
        </w:rPr>
      </w:pPr>
    </w:p>
    <w:p w:rsidR="00A86593" w:rsidRDefault="00A86593" w:rsidP="00A86593">
      <w:pPr>
        <w:rPr>
          <w:lang w:eastAsia="en-US"/>
        </w:rPr>
      </w:pPr>
    </w:p>
    <w:p w:rsidR="00A86593" w:rsidRDefault="00A86593" w:rsidP="00A86593">
      <w:pPr>
        <w:rPr>
          <w:lang w:eastAsia="en-US"/>
        </w:rPr>
      </w:pPr>
    </w:p>
    <w:p w:rsidR="00A86593" w:rsidRPr="00166665" w:rsidRDefault="00A86593" w:rsidP="00A86593">
      <w:pPr>
        <w:rPr>
          <w:lang w:eastAsia="en-US"/>
        </w:rPr>
      </w:pPr>
    </w:p>
    <w:p w:rsidR="00A86593" w:rsidRPr="00166665" w:rsidRDefault="00A86593" w:rsidP="00A86593">
      <w:pPr>
        <w:rPr>
          <w:lang w:eastAsia="en-US"/>
        </w:rPr>
      </w:pPr>
    </w:p>
    <w:tbl>
      <w:tblPr>
        <w:tblW w:w="0" w:type="auto"/>
        <w:tblLook w:val="04A0"/>
      </w:tblPr>
      <w:tblGrid>
        <w:gridCol w:w="4926"/>
        <w:gridCol w:w="4927"/>
      </w:tblGrid>
      <w:tr w:rsidR="00A86593" w:rsidRPr="0017515A" w:rsidTr="001C741C">
        <w:tc>
          <w:tcPr>
            <w:tcW w:w="4926" w:type="dxa"/>
          </w:tcPr>
          <w:p w:rsidR="00A86593" w:rsidRPr="004B3393" w:rsidRDefault="00A86593" w:rsidP="001C741C">
            <w:pPr>
              <w:rPr>
                <w:b/>
                <w:lang w:eastAsia="en-US"/>
              </w:rPr>
            </w:pPr>
            <w:r w:rsidRPr="004B3393">
              <w:rPr>
                <w:b/>
                <w:lang w:eastAsia="en-US"/>
              </w:rPr>
              <w:t>Gill Kilpatrick CPFA</w:t>
            </w:r>
            <w:r w:rsidRPr="004B3393">
              <w:rPr>
                <w:b/>
                <w:lang w:eastAsia="en-US"/>
              </w:rPr>
              <w:tab/>
              <w:t xml:space="preserve"> </w:t>
            </w:r>
          </w:p>
        </w:tc>
        <w:tc>
          <w:tcPr>
            <w:tcW w:w="4927" w:type="dxa"/>
          </w:tcPr>
          <w:p w:rsidR="00A86593" w:rsidRPr="004B3393" w:rsidRDefault="00A86593" w:rsidP="001C741C">
            <w:pPr>
              <w:rPr>
                <w:b/>
                <w:lang w:eastAsia="en-US"/>
              </w:rPr>
            </w:pPr>
            <w:r w:rsidRPr="004B3393">
              <w:rPr>
                <w:b/>
                <w:lang w:eastAsia="en-US"/>
              </w:rPr>
              <w:t>County Councillor Sam Chapman</w:t>
            </w:r>
          </w:p>
        </w:tc>
      </w:tr>
      <w:tr w:rsidR="00A86593" w:rsidRPr="0017515A" w:rsidTr="001C741C">
        <w:tc>
          <w:tcPr>
            <w:tcW w:w="4926" w:type="dxa"/>
          </w:tcPr>
          <w:p w:rsidR="00A86593" w:rsidRPr="004B3393" w:rsidRDefault="00A86593" w:rsidP="001C741C">
            <w:pPr>
              <w:rPr>
                <w:b/>
                <w:lang w:eastAsia="en-US"/>
              </w:rPr>
            </w:pPr>
          </w:p>
        </w:tc>
        <w:tc>
          <w:tcPr>
            <w:tcW w:w="4927" w:type="dxa"/>
          </w:tcPr>
          <w:p w:rsidR="00A86593" w:rsidRPr="004B3393" w:rsidRDefault="00A86593" w:rsidP="001C741C">
            <w:pPr>
              <w:rPr>
                <w:b/>
                <w:lang w:eastAsia="en-US"/>
              </w:rPr>
            </w:pPr>
          </w:p>
        </w:tc>
      </w:tr>
      <w:tr w:rsidR="00A86593" w:rsidRPr="0017515A" w:rsidTr="001C741C">
        <w:tc>
          <w:tcPr>
            <w:tcW w:w="4926" w:type="dxa"/>
          </w:tcPr>
          <w:p w:rsidR="00A86593" w:rsidRPr="004B3393" w:rsidRDefault="00A86593" w:rsidP="001C741C">
            <w:pPr>
              <w:rPr>
                <w:b/>
                <w:lang w:eastAsia="en-US"/>
              </w:rPr>
            </w:pPr>
            <w:r w:rsidRPr="004B3393">
              <w:rPr>
                <w:b/>
                <w:lang w:eastAsia="en-US"/>
              </w:rPr>
              <w:t>Treasurer to the Lancashire</w:t>
            </w:r>
          </w:p>
          <w:p w:rsidR="00A86593" w:rsidRPr="004B3393" w:rsidRDefault="00A86593" w:rsidP="001C741C">
            <w:pPr>
              <w:rPr>
                <w:b/>
                <w:lang w:eastAsia="en-US"/>
              </w:rPr>
            </w:pPr>
            <w:r w:rsidRPr="004B3393">
              <w:rPr>
                <w:b/>
                <w:lang w:eastAsia="en-US"/>
              </w:rPr>
              <w:t>County Pension Fund</w:t>
            </w:r>
          </w:p>
        </w:tc>
        <w:tc>
          <w:tcPr>
            <w:tcW w:w="4927" w:type="dxa"/>
          </w:tcPr>
          <w:p w:rsidR="00A86593" w:rsidRPr="004B3393" w:rsidRDefault="00A86593" w:rsidP="001C741C">
            <w:pPr>
              <w:rPr>
                <w:b/>
                <w:lang w:eastAsia="en-US"/>
              </w:rPr>
            </w:pPr>
            <w:r w:rsidRPr="004B3393">
              <w:rPr>
                <w:b/>
                <w:lang w:eastAsia="en-US"/>
              </w:rPr>
              <w:t>Chairman of the Audit Committee</w:t>
            </w:r>
          </w:p>
        </w:tc>
      </w:tr>
      <w:tr w:rsidR="00A86593" w:rsidRPr="0017515A" w:rsidTr="001C741C">
        <w:tc>
          <w:tcPr>
            <w:tcW w:w="4926" w:type="dxa"/>
          </w:tcPr>
          <w:p w:rsidR="00A86593" w:rsidRPr="004B3393" w:rsidRDefault="00A86593" w:rsidP="001C741C">
            <w:pPr>
              <w:rPr>
                <w:b/>
                <w:lang w:eastAsia="en-US"/>
              </w:rPr>
            </w:pPr>
          </w:p>
        </w:tc>
        <w:tc>
          <w:tcPr>
            <w:tcW w:w="4927" w:type="dxa"/>
          </w:tcPr>
          <w:p w:rsidR="00A86593" w:rsidRPr="004B3393" w:rsidRDefault="00A86593" w:rsidP="001C741C">
            <w:pPr>
              <w:rPr>
                <w:b/>
                <w:lang w:eastAsia="en-US"/>
              </w:rPr>
            </w:pPr>
          </w:p>
        </w:tc>
      </w:tr>
    </w:tbl>
    <w:p w:rsidR="00A86593" w:rsidRPr="00166665" w:rsidRDefault="00A86593" w:rsidP="00A86593">
      <w:pPr>
        <w:rPr>
          <w:lang w:eastAsia="en-US"/>
        </w:rPr>
      </w:pPr>
      <w:r w:rsidRPr="00166665">
        <w:rPr>
          <w:lang w:eastAsia="en-US"/>
        </w:rPr>
        <w:br w:type="page"/>
      </w:r>
    </w:p>
    <w:p w:rsidR="00A86593" w:rsidRPr="00166665" w:rsidRDefault="00A86593" w:rsidP="00A86593">
      <w:pPr>
        <w:pStyle w:val="Heading3"/>
        <w:rPr>
          <w:i w:val="0"/>
          <w:sz w:val="24"/>
        </w:rPr>
      </w:pPr>
      <w:r w:rsidRPr="00166665">
        <w:rPr>
          <w:i w:val="0"/>
          <w:sz w:val="24"/>
        </w:rPr>
        <w:lastRenderedPageBreak/>
        <w:t>Notes to the Financial Statements</w:t>
      </w:r>
    </w:p>
    <w:p w:rsidR="00A86593" w:rsidRPr="00166665" w:rsidRDefault="00A86593" w:rsidP="00A86593"/>
    <w:p w:rsidR="00A86593" w:rsidRPr="00166665" w:rsidRDefault="00A86593" w:rsidP="00A86593">
      <w:pPr>
        <w:numPr>
          <w:ilvl w:val="0"/>
          <w:numId w:val="60"/>
        </w:numPr>
        <w:tabs>
          <w:tab w:val="clear" w:pos="720"/>
          <w:tab w:val="num" w:pos="567"/>
        </w:tabs>
        <w:spacing w:after="240"/>
        <w:jc w:val="both"/>
        <w:rPr>
          <w:b/>
        </w:rPr>
      </w:pPr>
      <w:r w:rsidRPr="00166665">
        <w:rPr>
          <w:b/>
        </w:rPr>
        <w:t xml:space="preserve">Pension Fund Operations and Membership </w:t>
      </w:r>
    </w:p>
    <w:p w:rsidR="00A86593" w:rsidRPr="00166665" w:rsidRDefault="00A86593" w:rsidP="00811649">
      <w:pPr>
        <w:ind w:left="567"/>
        <w:jc w:val="both"/>
      </w:pPr>
      <w:r w:rsidRPr="00166665">
        <w:t>The La</w:t>
      </w:r>
      <w:r>
        <w:t xml:space="preserve">ncashire County Pension Fund is part of the Local Government Pension Scheme and is </w:t>
      </w:r>
      <w:r w:rsidRPr="00166665">
        <w:t xml:space="preserve">administered by Lancashire County Council. </w:t>
      </w:r>
      <w:r>
        <w:t xml:space="preserve">The county council is the reporting entity for this pension fund. </w:t>
      </w:r>
      <w:r w:rsidRPr="00166665">
        <w:t xml:space="preserve"> With the exception of Teachers, to whom separate arrangements apply, membership of the Pension Fund is available to County and District Council employees within Lancashire, and to employees of organisations that have entered into Pension Fund Admission Agreements with the County Council.</w:t>
      </w:r>
    </w:p>
    <w:p w:rsidR="00A86593" w:rsidRPr="00166665" w:rsidRDefault="00A86593" w:rsidP="00811649">
      <w:pPr>
        <w:ind w:left="567"/>
        <w:jc w:val="both"/>
      </w:pPr>
    </w:p>
    <w:p w:rsidR="00A86593" w:rsidRPr="00166665" w:rsidRDefault="00A86593" w:rsidP="00811649">
      <w:pPr>
        <w:ind w:left="567"/>
        <w:jc w:val="both"/>
      </w:pPr>
      <w:r w:rsidRPr="00301C88">
        <w:t xml:space="preserve">The published accounts show that in </w:t>
      </w:r>
      <w:r w:rsidRPr="00301C88">
        <w:rPr>
          <w:caps/>
        </w:rPr>
        <w:t>2011/12</w:t>
      </w:r>
      <w:r w:rsidRPr="00301C88">
        <w:t xml:space="preserve"> cash inflows during the year consisted of £339.2 million and cash outflows were £24</w:t>
      </w:r>
      <w:r>
        <w:t>4</w:t>
      </w:r>
      <w:r w:rsidRPr="00301C88">
        <w:t>.</w:t>
      </w:r>
      <w:r>
        <w:t>9</w:t>
      </w:r>
      <w:r w:rsidRPr="00301C88">
        <w:t xml:space="preserve"> million, representing a net cash inflow of £94.</w:t>
      </w:r>
      <w:r>
        <w:t>3</w:t>
      </w:r>
      <w:r w:rsidRPr="00301C88">
        <w:t xml:space="preserve"> million (compared with an inflow of £93.2 million in the previous year).  Benefits payable amounted to £219.1 million and were partially offset by net investment income of £118.8 million (including £19.</w:t>
      </w:r>
      <w:r>
        <w:t>4</w:t>
      </w:r>
      <w:r w:rsidRPr="00301C88">
        <w:t xml:space="preserve"> million accrued dividends); contributions of £209.3 million and transfers in of £11.1 million produced the positive cash inflow.</w:t>
      </w:r>
    </w:p>
    <w:p w:rsidR="00A86593" w:rsidRPr="00166665" w:rsidRDefault="00A86593" w:rsidP="00811649">
      <w:pPr>
        <w:ind w:left="567"/>
        <w:jc w:val="both"/>
      </w:pPr>
    </w:p>
    <w:p w:rsidR="00A86593" w:rsidRDefault="00A86593" w:rsidP="00811649">
      <w:pPr>
        <w:ind w:left="567"/>
        <w:jc w:val="both"/>
      </w:pPr>
      <w:r w:rsidRPr="00166665">
        <w:t xml:space="preserve">The investments of the Pension Fund are managed by </w:t>
      </w:r>
      <w:r>
        <w:t>seven</w:t>
      </w:r>
      <w:r w:rsidRPr="00166665">
        <w:t xml:space="preserve"> external investment managers.  </w:t>
      </w:r>
      <w:r w:rsidRPr="001411AD">
        <w:t xml:space="preserve">The asset allocation and policy in respect of the investments of the Fund is determined by the Pension Fund Committee, which meets four times a year with the Investment Panel in attendance.  The Investment Panel </w:t>
      </w:r>
      <w:r>
        <w:t xml:space="preserve">meet at least quarterly, or otherwise as necessary.  The panel are responsible for making recommendations to the Pension Fund Committee in relation to the investment strategy of the fund as well as monitoring the activities and performance of the investment managers.  Full details of the Panel and Committees responsibilities are published in the Funds Statement of Investment Principles and are available from the Funds website at </w:t>
      </w:r>
      <w:hyperlink r:id="rId27" w:history="1">
        <w:r w:rsidRPr="00226A63">
          <w:rPr>
            <w:rStyle w:val="Hyperlink"/>
          </w:rPr>
          <w:t>http://www.yourpensionservice.org.uk</w:t>
        </w:r>
      </w:hyperlink>
    </w:p>
    <w:p w:rsidR="00A86593" w:rsidRPr="00166665" w:rsidRDefault="00A86593" w:rsidP="00811649">
      <w:pPr>
        <w:ind w:left="567"/>
        <w:jc w:val="both"/>
      </w:pPr>
    </w:p>
    <w:p w:rsidR="00A86593" w:rsidRPr="00166665" w:rsidRDefault="00A86593" w:rsidP="00811649">
      <w:pPr>
        <w:ind w:left="567"/>
        <w:jc w:val="both"/>
      </w:pPr>
      <w:r w:rsidRPr="00166665">
        <w:t>The participation in the Pension Fund is shown in the table</w:t>
      </w:r>
      <w:r>
        <w:t xml:space="preserve"> below</w:t>
      </w:r>
      <w:r w:rsidRPr="00166665">
        <w:t xml:space="preserve">, followed by the member organisations of the Pension Fund. </w:t>
      </w:r>
    </w:p>
    <w:p w:rsidR="00A86593" w:rsidRPr="00166665" w:rsidRDefault="00A86593" w:rsidP="00A86593">
      <w:pPr>
        <w:ind w:left="567"/>
      </w:pPr>
    </w:p>
    <w:p w:rsidR="00A86593" w:rsidRPr="001D5977" w:rsidRDefault="00A86593" w:rsidP="00A86593">
      <w:pPr>
        <w:pStyle w:val="Heading1"/>
        <w:spacing w:before="0" w:after="0"/>
        <w:ind w:left="567"/>
        <w:rPr>
          <w:snapToGrid w:val="0"/>
          <w:color w:val="000000"/>
          <w:kern w:val="0"/>
          <w:sz w:val="24"/>
          <w:szCs w:val="24"/>
          <w:lang w:eastAsia="en-US"/>
        </w:rPr>
      </w:pPr>
      <w:r w:rsidRPr="001D5977">
        <w:rPr>
          <w:snapToGrid w:val="0"/>
          <w:color w:val="000000"/>
          <w:kern w:val="0"/>
          <w:sz w:val="24"/>
          <w:szCs w:val="24"/>
          <w:lang w:eastAsia="en-US"/>
        </w:rPr>
        <w:t>Participation in the Pension Fund</w:t>
      </w:r>
    </w:p>
    <w:p w:rsidR="00A86593" w:rsidRPr="001D5977" w:rsidRDefault="00A86593" w:rsidP="00A86593">
      <w:pPr>
        <w:rPr>
          <w:lang w:eastAsia="en-US"/>
        </w:rPr>
      </w:pPr>
    </w:p>
    <w:tbl>
      <w:tblPr>
        <w:tblStyle w:val="TableGrid"/>
        <w:tblW w:w="0" w:type="auto"/>
        <w:tblInd w:w="817" w:type="dxa"/>
        <w:tblLook w:val="04A0"/>
      </w:tblPr>
      <w:tblGrid>
        <w:gridCol w:w="3969"/>
        <w:gridCol w:w="2154"/>
        <w:gridCol w:w="2126"/>
      </w:tblGrid>
      <w:tr w:rsidR="00A86593" w:rsidTr="001C741C">
        <w:tc>
          <w:tcPr>
            <w:tcW w:w="3969" w:type="dxa"/>
            <w:tcBorders>
              <w:top w:val="single" w:sz="18" w:space="0" w:color="auto"/>
              <w:left w:val="single" w:sz="18" w:space="0" w:color="auto"/>
              <w:bottom w:val="single" w:sz="18" w:space="0" w:color="auto"/>
              <w:right w:val="single" w:sz="18" w:space="0" w:color="auto"/>
            </w:tcBorders>
          </w:tcPr>
          <w:p w:rsidR="00A86593" w:rsidRDefault="00A86593" w:rsidP="001C741C">
            <w:pPr>
              <w:rPr>
                <w:lang w:eastAsia="en-US"/>
              </w:rPr>
            </w:pPr>
          </w:p>
        </w:tc>
        <w:tc>
          <w:tcPr>
            <w:tcW w:w="2154" w:type="dxa"/>
            <w:tcBorders>
              <w:top w:val="single" w:sz="18" w:space="0" w:color="auto"/>
              <w:left w:val="single" w:sz="18" w:space="0" w:color="auto"/>
              <w:bottom w:val="single" w:sz="18" w:space="0" w:color="auto"/>
              <w:right w:val="single" w:sz="18" w:space="0" w:color="auto"/>
            </w:tcBorders>
          </w:tcPr>
          <w:p w:rsidR="00A86593" w:rsidRPr="001D5977" w:rsidRDefault="00A86593" w:rsidP="001C741C">
            <w:pPr>
              <w:rPr>
                <w:b/>
                <w:lang w:eastAsia="en-US"/>
              </w:rPr>
            </w:pPr>
            <w:r w:rsidRPr="001D5977">
              <w:rPr>
                <w:b/>
                <w:lang w:eastAsia="en-US"/>
              </w:rPr>
              <w:t xml:space="preserve">Number at </w:t>
            </w:r>
          </w:p>
          <w:p w:rsidR="00A86593" w:rsidRPr="001D5977" w:rsidRDefault="00A86593" w:rsidP="001C741C">
            <w:pPr>
              <w:rPr>
                <w:b/>
                <w:lang w:eastAsia="en-US"/>
              </w:rPr>
            </w:pPr>
            <w:r w:rsidRPr="001D5977">
              <w:rPr>
                <w:b/>
                <w:lang w:eastAsia="en-US"/>
              </w:rPr>
              <w:t>31 March 2012</w:t>
            </w:r>
          </w:p>
        </w:tc>
        <w:tc>
          <w:tcPr>
            <w:tcW w:w="2126" w:type="dxa"/>
            <w:tcBorders>
              <w:top w:val="single" w:sz="18" w:space="0" w:color="auto"/>
              <w:left w:val="single" w:sz="18" w:space="0" w:color="auto"/>
              <w:bottom w:val="single" w:sz="18" w:space="0" w:color="auto"/>
              <w:right w:val="single" w:sz="18" w:space="0" w:color="auto"/>
            </w:tcBorders>
          </w:tcPr>
          <w:p w:rsidR="00A86593" w:rsidRPr="001D5977" w:rsidRDefault="00A86593" w:rsidP="001C741C">
            <w:pPr>
              <w:rPr>
                <w:b/>
                <w:lang w:eastAsia="en-US"/>
              </w:rPr>
            </w:pPr>
            <w:r w:rsidRPr="001D5977">
              <w:rPr>
                <w:b/>
                <w:lang w:eastAsia="en-US"/>
              </w:rPr>
              <w:t xml:space="preserve">Number at </w:t>
            </w:r>
          </w:p>
          <w:p w:rsidR="00A86593" w:rsidRPr="001D5977" w:rsidRDefault="00A86593" w:rsidP="001C741C">
            <w:pPr>
              <w:rPr>
                <w:b/>
                <w:lang w:eastAsia="en-US"/>
              </w:rPr>
            </w:pPr>
            <w:r w:rsidRPr="001D5977">
              <w:rPr>
                <w:b/>
                <w:lang w:eastAsia="en-US"/>
              </w:rPr>
              <w:t>31 March 2011</w:t>
            </w:r>
          </w:p>
        </w:tc>
      </w:tr>
      <w:tr w:rsidR="00A86593" w:rsidTr="001C741C">
        <w:tc>
          <w:tcPr>
            <w:tcW w:w="3969" w:type="dxa"/>
            <w:tcBorders>
              <w:top w:val="single" w:sz="18" w:space="0" w:color="auto"/>
              <w:left w:val="single" w:sz="18" w:space="0" w:color="auto"/>
              <w:bottom w:val="single" w:sz="18" w:space="0" w:color="FFFFFF" w:themeColor="background1"/>
              <w:right w:val="single" w:sz="18" w:space="0" w:color="auto"/>
            </w:tcBorders>
          </w:tcPr>
          <w:p w:rsidR="00A86593" w:rsidRDefault="00A86593" w:rsidP="00A86593">
            <w:pPr>
              <w:pStyle w:val="ListParagraph"/>
              <w:numPr>
                <w:ilvl w:val="0"/>
                <w:numId w:val="64"/>
              </w:numPr>
              <w:ind w:hanging="686"/>
              <w:contextualSpacing/>
              <w:rPr>
                <w:lang w:eastAsia="en-US"/>
              </w:rPr>
            </w:pPr>
            <w:r>
              <w:rPr>
                <w:lang w:eastAsia="en-US"/>
              </w:rPr>
              <w:t>Active Scheme Members</w:t>
            </w:r>
          </w:p>
          <w:p w:rsidR="00A86593" w:rsidRDefault="00A86593" w:rsidP="001C741C">
            <w:pPr>
              <w:pStyle w:val="ListParagraph"/>
              <w:rPr>
                <w:lang w:eastAsia="en-US"/>
              </w:rPr>
            </w:pPr>
          </w:p>
          <w:p w:rsidR="00A86593" w:rsidRDefault="00A86593" w:rsidP="001C741C">
            <w:pPr>
              <w:pStyle w:val="ListParagraph"/>
              <w:rPr>
                <w:lang w:eastAsia="en-US"/>
              </w:rPr>
            </w:pPr>
            <w:r>
              <w:rPr>
                <w:lang w:eastAsia="en-US"/>
              </w:rPr>
              <w:t>Scheduled Bodies</w:t>
            </w:r>
          </w:p>
        </w:tc>
        <w:tc>
          <w:tcPr>
            <w:tcW w:w="2154" w:type="dxa"/>
            <w:vMerge w:val="restart"/>
            <w:tcBorders>
              <w:top w:val="single" w:sz="18" w:space="0" w:color="auto"/>
              <w:left w:val="single" w:sz="18" w:space="0" w:color="auto"/>
              <w:right w:val="single" w:sz="18" w:space="0" w:color="auto"/>
            </w:tcBorders>
          </w:tcPr>
          <w:p w:rsidR="00A86593" w:rsidRDefault="00A86593" w:rsidP="001C741C">
            <w:pPr>
              <w:jc w:val="right"/>
              <w:rPr>
                <w:lang w:eastAsia="en-US"/>
              </w:rPr>
            </w:pPr>
          </w:p>
          <w:p w:rsidR="00A86593" w:rsidRDefault="00A86593" w:rsidP="001C741C">
            <w:pPr>
              <w:jc w:val="right"/>
              <w:rPr>
                <w:lang w:eastAsia="en-US"/>
              </w:rPr>
            </w:pPr>
          </w:p>
          <w:p w:rsidR="00A86593" w:rsidRDefault="00A86593" w:rsidP="001C741C">
            <w:pPr>
              <w:jc w:val="right"/>
              <w:rPr>
                <w:lang w:eastAsia="en-US"/>
              </w:rPr>
            </w:pPr>
            <w:r>
              <w:rPr>
                <w:lang w:eastAsia="en-US"/>
              </w:rPr>
              <w:t>46,422</w:t>
            </w:r>
          </w:p>
          <w:p w:rsidR="00A86593" w:rsidRDefault="00A86593" w:rsidP="001C741C">
            <w:pPr>
              <w:jc w:val="right"/>
              <w:rPr>
                <w:lang w:eastAsia="en-US"/>
              </w:rPr>
            </w:pPr>
            <w:r>
              <w:rPr>
                <w:lang w:eastAsia="en-US"/>
              </w:rPr>
              <w:t>3,716</w:t>
            </w:r>
          </w:p>
        </w:tc>
        <w:tc>
          <w:tcPr>
            <w:tcW w:w="2126" w:type="dxa"/>
            <w:vMerge w:val="restart"/>
            <w:tcBorders>
              <w:top w:val="single" w:sz="18" w:space="0" w:color="auto"/>
              <w:left w:val="single" w:sz="18" w:space="0" w:color="auto"/>
              <w:right w:val="single" w:sz="18" w:space="0" w:color="auto"/>
            </w:tcBorders>
          </w:tcPr>
          <w:p w:rsidR="00A86593" w:rsidRDefault="00A86593" w:rsidP="001C741C">
            <w:pPr>
              <w:jc w:val="right"/>
              <w:rPr>
                <w:lang w:eastAsia="en-US"/>
              </w:rPr>
            </w:pPr>
          </w:p>
          <w:p w:rsidR="00A86593" w:rsidRDefault="00A86593" w:rsidP="001C741C">
            <w:pPr>
              <w:jc w:val="right"/>
              <w:rPr>
                <w:lang w:eastAsia="en-US"/>
              </w:rPr>
            </w:pPr>
          </w:p>
          <w:p w:rsidR="00A86593" w:rsidRDefault="00A86593" w:rsidP="001C741C">
            <w:pPr>
              <w:jc w:val="right"/>
              <w:rPr>
                <w:lang w:eastAsia="en-US"/>
              </w:rPr>
            </w:pPr>
            <w:r>
              <w:rPr>
                <w:lang w:eastAsia="en-US"/>
              </w:rPr>
              <w:t>47,912</w:t>
            </w:r>
          </w:p>
          <w:p w:rsidR="00A86593" w:rsidRDefault="00A86593" w:rsidP="001C741C">
            <w:pPr>
              <w:jc w:val="right"/>
              <w:rPr>
                <w:lang w:eastAsia="en-US"/>
              </w:rPr>
            </w:pPr>
            <w:r>
              <w:rPr>
                <w:lang w:eastAsia="en-US"/>
              </w:rPr>
              <w:t>3,781</w:t>
            </w:r>
          </w:p>
        </w:tc>
      </w:tr>
      <w:tr w:rsidR="00A86593" w:rsidTr="001C741C">
        <w:tc>
          <w:tcPr>
            <w:tcW w:w="3969" w:type="dxa"/>
            <w:tcBorders>
              <w:top w:val="single" w:sz="18" w:space="0" w:color="FFFFFF" w:themeColor="background1"/>
              <w:left w:val="single" w:sz="18" w:space="0" w:color="auto"/>
              <w:bottom w:val="single" w:sz="18" w:space="0" w:color="FFFFFF" w:themeColor="background1"/>
              <w:right w:val="single" w:sz="18" w:space="0" w:color="auto"/>
            </w:tcBorders>
          </w:tcPr>
          <w:p w:rsidR="00A86593" w:rsidRDefault="00A86593" w:rsidP="001C741C">
            <w:pPr>
              <w:pStyle w:val="ListParagraph"/>
              <w:rPr>
                <w:lang w:eastAsia="en-US"/>
              </w:rPr>
            </w:pPr>
            <w:r>
              <w:rPr>
                <w:lang w:eastAsia="en-US"/>
              </w:rPr>
              <w:t>Admitted Bodies</w:t>
            </w:r>
          </w:p>
        </w:tc>
        <w:tc>
          <w:tcPr>
            <w:tcW w:w="2154" w:type="dxa"/>
            <w:vMerge/>
            <w:tcBorders>
              <w:left w:val="single" w:sz="18" w:space="0" w:color="auto"/>
              <w:bottom w:val="single" w:sz="18" w:space="0" w:color="auto"/>
              <w:right w:val="single" w:sz="18" w:space="0" w:color="auto"/>
            </w:tcBorders>
          </w:tcPr>
          <w:p w:rsidR="00A86593" w:rsidRDefault="00A86593" w:rsidP="001C741C">
            <w:pPr>
              <w:jc w:val="right"/>
              <w:rPr>
                <w:lang w:eastAsia="en-US"/>
              </w:rPr>
            </w:pPr>
          </w:p>
        </w:tc>
        <w:tc>
          <w:tcPr>
            <w:tcW w:w="2126" w:type="dxa"/>
            <w:vMerge/>
            <w:tcBorders>
              <w:left w:val="single" w:sz="18" w:space="0" w:color="auto"/>
              <w:bottom w:val="single" w:sz="18" w:space="0" w:color="auto"/>
              <w:right w:val="single" w:sz="18" w:space="0" w:color="auto"/>
            </w:tcBorders>
          </w:tcPr>
          <w:p w:rsidR="00A86593" w:rsidRDefault="00A86593" w:rsidP="001C741C">
            <w:pPr>
              <w:jc w:val="right"/>
              <w:rPr>
                <w:lang w:eastAsia="en-US"/>
              </w:rPr>
            </w:pPr>
          </w:p>
        </w:tc>
      </w:tr>
      <w:tr w:rsidR="00A86593" w:rsidTr="001C741C">
        <w:tc>
          <w:tcPr>
            <w:tcW w:w="3969" w:type="dxa"/>
            <w:tcBorders>
              <w:top w:val="single" w:sz="18" w:space="0" w:color="FFFFFF" w:themeColor="background1"/>
              <w:left w:val="single" w:sz="18" w:space="0" w:color="auto"/>
              <w:bottom w:val="single" w:sz="18" w:space="0" w:color="FFFFFF" w:themeColor="background1"/>
              <w:right w:val="single" w:sz="18" w:space="0" w:color="auto"/>
            </w:tcBorders>
          </w:tcPr>
          <w:p w:rsidR="00A86593" w:rsidRPr="001D5977" w:rsidRDefault="00A86593" w:rsidP="001C741C">
            <w:pPr>
              <w:pStyle w:val="ListParagraph"/>
              <w:rPr>
                <w:b/>
                <w:lang w:eastAsia="en-US"/>
              </w:rPr>
            </w:pPr>
            <w:r w:rsidRPr="001D5977">
              <w:rPr>
                <w:b/>
                <w:lang w:eastAsia="en-US"/>
              </w:rPr>
              <w:t>Total</w:t>
            </w:r>
          </w:p>
        </w:tc>
        <w:tc>
          <w:tcPr>
            <w:tcW w:w="2154" w:type="dxa"/>
            <w:tcBorders>
              <w:top w:val="single" w:sz="18" w:space="0" w:color="auto"/>
              <w:left w:val="single" w:sz="18" w:space="0" w:color="auto"/>
              <w:bottom w:val="single" w:sz="18" w:space="0" w:color="auto"/>
              <w:right w:val="single" w:sz="18" w:space="0" w:color="auto"/>
            </w:tcBorders>
          </w:tcPr>
          <w:p w:rsidR="00A86593" w:rsidRPr="001D5977" w:rsidRDefault="00A86593" w:rsidP="001C741C">
            <w:pPr>
              <w:jc w:val="right"/>
              <w:rPr>
                <w:b/>
                <w:lang w:eastAsia="en-US"/>
              </w:rPr>
            </w:pPr>
            <w:r>
              <w:rPr>
                <w:b/>
                <w:lang w:eastAsia="en-US"/>
              </w:rPr>
              <w:t>50,138</w:t>
            </w:r>
          </w:p>
        </w:tc>
        <w:tc>
          <w:tcPr>
            <w:tcW w:w="2126" w:type="dxa"/>
            <w:tcBorders>
              <w:top w:val="single" w:sz="18" w:space="0" w:color="auto"/>
              <w:left w:val="single" w:sz="18" w:space="0" w:color="auto"/>
              <w:bottom w:val="single" w:sz="18" w:space="0" w:color="auto"/>
              <w:right w:val="single" w:sz="18" w:space="0" w:color="auto"/>
            </w:tcBorders>
          </w:tcPr>
          <w:p w:rsidR="00A86593" w:rsidRPr="001D5977" w:rsidRDefault="00A86593" w:rsidP="001C741C">
            <w:pPr>
              <w:jc w:val="right"/>
              <w:rPr>
                <w:b/>
                <w:lang w:eastAsia="en-US"/>
              </w:rPr>
            </w:pPr>
            <w:r w:rsidRPr="001D5977">
              <w:rPr>
                <w:b/>
                <w:lang w:eastAsia="en-US"/>
              </w:rPr>
              <w:t>51,693</w:t>
            </w:r>
          </w:p>
        </w:tc>
      </w:tr>
      <w:tr w:rsidR="00A86593" w:rsidTr="001C741C">
        <w:tc>
          <w:tcPr>
            <w:tcW w:w="3969" w:type="dxa"/>
            <w:tcBorders>
              <w:top w:val="single" w:sz="18" w:space="0" w:color="FFFFFF" w:themeColor="background1"/>
              <w:left w:val="single" w:sz="18" w:space="0" w:color="auto"/>
              <w:bottom w:val="single" w:sz="18" w:space="0" w:color="FFFFFF" w:themeColor="background1"/>
              <w:right w:val="single" w:sz="18" w:space="0" w:color="auto"/>
            </w:tcBorders>
          </w:tcPr>
          <w:p w:rsidR="00A86593" w:rsidRDefault="00A86593" w:rsidP="00A86593">
            <w:pPr>
              <w:pStyle w:val="ListParagraph"/>
              <w:numPr>
                <w:ilvl w:val="0"/>
                <w:numId w:val="64"/>
              </w:numPr>
              <w:spacing w:before="240"/>
              <w:ind w:hanging="686"/>
              <w:contextualSpacing/>
              <w:rPr>
                <w:lang w:eastAsia="en-US"/>
              </w:rPr>
            </w:pPr>
            <w:r>
              <w:rPr>
                <w:lang w:eastAsia="en-US"/>
              </w:rPr>
              <w:t>Pensioners</w:t>
            </w:r>
          </w:p>
          <w:p w:rsidR="00A86593" w:rsidRDefault="00A86593" w:rsidP="001C741C">
            <w:pPr>
              <w:pStyle w:val="ListParagraph"/>
              <w:rPr>
                <w:lang w:eastAsia="en-US"/>
              </w:rPr>
            </w:pPr>
          </w:p>
          <w:p w:rsidR="00A86593" w:rsidRDefault="00A86593" w:rsidP="001C741C">
            <w:pPr>
              <w:pStyle w:val="ListParagraph"/>
              <w:rPr>
                <w:lang w:eastAsia="en-US"/>
              </w:rPr>
            </w:pPr>
            <w:r>
              <w:rPr>
                <w:lang w:eastAsia="en-US"/>
              </w:rPr>
              <w:t>Pensions in Payment</w:t>
            </w:r>
          </w:p>
        </w:tc>
        <w:tc>
          <w:tcPr>
            <w:tcW w:w="2154" w:type="dxa"/>
            <w:vMerge w:val="restart"/>
            <w:tcBorders>
              <w:top w:val="single" w:sz="18" w:space="0" w:color="FFFFFF" w:themeColor="background1"/>
              <w:left w:val="single" w:sz="18" w:space="0" w:color="auto"/>
              <w:right w:val="single" w:sz="18" w:space="0" w:color="auto"/>
            </w:tcBorders>
          </w:tcPr>
          <w:p w:rsidR="00A86593" w:rsidRDefault="00A86593" w:rsidP="001C741C">
            <w:pPr>
              <w:jc w:val="right"/>
              <w:rPr>
                <w:lang w:eastAsia="en-US"/>
              </w:rPr>
            </w:pPr>
          </w:p>
          <w:p w:rsidR="00A86593" w:rsidRDefault="00A86593" w:rsidP="001C741C">
            <w:pPr>
              <w:jc w:val="right"/>
              <w:rPr>
                <w:lang w:eastAsia="en-US"/>
              </w:rPr>
            </w:pPr>
          </w:p>
          <w:p w:rsidR="00A86593" w:rsidRDefault="00A86593" w:rsidP="001C741C">
            <w:pPr>
              <w:jc w:val="right"/>
              <w:rPr>
                <w:lang w:eastAsia="en-US"/>
              </w:rPr>
            </w:pPr>
          </w:p>
          <w:p w:rsidR="00A86593" w:rsidRDefault="00A86593" w:rsidP="001C741C">
            <w:pPr>
              <w:jc w:val="right"/>
              <w:rPr>
                <w:lang w:eastAsia="en-US"/>
              </w:rPr>
            </w:pPr>
            <w:r>
              <w:rPr>
                <w:lang w:eastAsia="en-US"/>
              </w:rPr>
              <w:t>39,933</w:t>
            </w:r>
          </w:p>
          <w:p w:rsidR="00A86593" w:rsidRDefault="00A86593" w:rsidP="001C741C">
            <w:pPr>
              <w:jc w:val="right"/>
              <w:rPr>
                <w:lang w:eastAsia="en-US"/>
              </w:rPr>
            </w:pPr>
            <w:r>
              <w:rPr>
                <w:lang w:eastAsia="en-US"/>
              </w:rPr>
              <w:t>47,526</w:t>
            </w:r>
          </w:p>
        </w:tc>
        <w:tc>
          <w:tcPr>
            <w:tcW w:w="2126" w:type="dxa"/>
            <w:vMerge w:val="restart"/>
            <w:tcBorders>
              <w:top w:val="single" w:sz="18" w:space="0" w:color="FFFFFF" w:themeColor="background1"/>
              <w:left w:val="single" w:sz="18" w:space="0" w:color="auto"/>
              <w:right w:val="single" w:sz="18" w:space="0" w:color="auto"/>
            </w:tcBorders>
          </w:tcPr>
          <w:p w:rsidR="00A86593" w:rsidRDefault="00A86593" w:rsidP="001C741C">
            <w:pPr>
              <w:jc w:val="right"/>
              <w:rPr>
                <w:lang w:eastAsia="en-US"/>
              </w:rPr>
            </w:pPr>
          </w:p>
          <w:p w:rsidR="00A86593" w:rsidRDefault="00A86593" w:rsidP="001C741C">
            <w:pPr>
              <w:jc w:val="right"/>
              <w:rPr>
                <w:lang w:eastAsia="en-US"/>
              </w:rPr>
            </w:pPr>
          </w:p>
          <w:p w:rsidR="00A86593" w:rsidRDefault="00A86593" w:rsidP="001C741C">
            <w:pPr>
              <w:jc w:val="right"/>
              <w:rPr>
                <w:lang w:eastAsia="en-US"/>
              </w:rPr>
            </w:pPr>
          </w:p>
          <w:p w:rsidR="00A86593" w:rsidRDefault="00A86593" w:rsidP="001C741C">
            <w:pPr>
              <w:jc w:val="right"/>
              <w:rPr>
                <w:lang w:eastAsia="en-US"/>
              </w:rPr>
            </w:pPr>
            <w:r>
              <w:rPr>
                <w:lang w:eastAsia="en-US"/>
              </w:rPr>
              <w:t>37,632</w:t>
            </w:r>
          </w:p>
          <w:p w:rsidR="00A86593" w:rsidRDefault="00A86593" w:rsidP="001C741C">
            <w:pPr>
              <w:jc w:val="right"/>
              <w:rPr>
                <w:lang w:eastAsia="en-US"/>
              </w:rPr>
            </w:pPr>
            <w:r>
              <w:rPr>
                <w:lang w:eastAsia="en-US"/>
              </w:rPr>
              <w:t>44,928</w:t>
            </w:r>
          </w:p>
        </w:tc>
      </w:tr>
      <w:tr w:rsidR="00A86593" w:rsidTr="001C741C">
        <w:tc>
          <w:tcPr>
            <w:tcW w:w="3969" w:type="dxa"/>
            <w:tcBorders>
              <w:top w:val="single" w:sz="18" w:space="0" w:color="FFFFFF" w:themeColor="background1"/>
              <w:left w:val="single" w:sz="18" w:space="0" w:color="auto"/>
              <w:bottom w:val="single" w:sz="18" w:space="0" w:color="FFFFFF" w:themeColor="background1"/>
              <w:right w:val="single" w:sz="18" w:space="0" w:color="auto"/>
            </w:tcBorders>
          </w:tcPr>
          <w:p w:rsidR="00A86593" w:rsidRDefault="00A86593" w:rsidP="001C741C">
            <w:pPr>
              <w:pStyle w:val="ListParagraph"/>
              <w:rPr>
                <w:lang w:eastAsia="en-US"/>
              </w:rPr>
            </w:pPr>
            <w:r>
              <w:rPr>
                <w:lang w:eastAsia="en-US"/>
              </w:rPr>
              <w:t>Preserved Pensions</w:t>
            </w:r>
          </w:p>
        </w:tc>
        <w:tc>
          <w:tcPr>
            <w:tcW w:w="2154" w:type="dxa"/>
            <w:vMerge/>
            <w:tcBorders>
              <w:left w:val="single" w:sz="18" w:space="0" w:color="auto"/>
              <w:bottom w:val="single" w:sz="18" w:space="0" w:color="auto"/>
              <w:right w:val="single" w:sz="18" w:space="0" w:color="auto"/>
            </w:tcBorders>
          </w:tcPr>
          <w:p w:rsidR="00A86593" w:rsidRDefault="00A86593" w:rsidP="001C741C">
            <w:pPr>
              <w:jc w:val="right"/>
              <w:rPr>
                <w:lang w:eastAsia="en-US"/>
              </w:rPr>
            </w:pPr>
          </w:p>
        </w:tc>
        <w:tc>
          <w:tcPr>
            <w:tcW w:w="2126" w:type="dxa"/>
            <w:vMerge/>
            <w:tcBorders>
              <w:left w:val="single" w:sz="18" w:space="0" w:color="auto"/>
              <w:bottom w:val="single" w:sz="18" w:space="0" w:color="auto"/>
              <w:right w:val="single" w:sz="18" w:space="0" w:color="auto"/>
            </w:tcBorders>
          </w:tcPr>
          <w:p w:rsidR="00A86593" w:rsidRDefault="00A86593" w:rsidP="001C741C">
            <w:pPr>
              <w:jc w:val="right"/>
              <w:rPr>
                <w:lang w:eastAsia="en-US"/>
              </w:rPr>
            </w:pPr>
          </w:p>
        </w:tc>
      </w:tr>
      <w:tr w:rsidR="00A86593" w:rsidRPr="001D5977" w:rsidTr="001C741C">
        <w:tc>
          <w:tcPr>
            <w:tcW w:w="3969" w:type="dxa"/>
            <w:tcBorders>
              <w:top w:val="single" w:sz="18" w:space="0" w:color="FFFFFF" w:themeColor="background1"/>
              <w:left w:val="single" w:sz="18" w:space="0" w:color="auto"/>
              <w:bottom w:val="single" w:sz="18" w:space="0" w:color="auto"/>
              <w:right w:val="single" w:sz="18" w:space="0" w:color="auto"/>
            </w:tcBorders>
          </w:tcPr>
          <w:p w:rsidR="00A86593" w:rsidRPr="001D5977" w:rsidRDefault="00A86593" w:rsidP="001C741C">
            <w:pPr>
              <w:pStyle w:val="ListParagraph"/>
              <w:rPr>
                <w:b/>
                <w:lang w:eastAsia="en-US"/>
              </w:rPr>
            </w:pPr>
            <w:r w:rsidRPr="001D5977">
              <w:rPr>
                <w:b/>
                <w:lang w:eastAsia="en-US"/>
              </w:rPr>
              <w:t>Total</w:t>
            </w:r>
          </w:p>
        </w:tc>
        <w:tc>
          <w:tcPr>
            <w:tcW w:w="2154" w:type="dxa"/>
            <w:tcBorders>
              <w:top w:val="single" w:sz="18" w:space="0" w:color="auto"/>
              <w:left w:val="single" w:sz="18" w:space="0" w:color="auto"/>
              <w:bottom w:val="single" w:sz="18" w:space="0" w:color="auto"/>
              <w:right w:val="single" w:sz="18" w:space="0" w:color="auto"/>
            </w:tcBorders>
          </w:tcPr>
          <w:p w:rsidR="00A86593" w:rsidRPr="001D5977" w:rsidRDefault="00A86593" w:rsidP="001C741C">
            <w:pPr>
              <w:jc w:val="right"/>
              <w:rPr>
                <w:b/>
                <w:lang w:eastAsia="en-US"/>
              </w:rPr>
            </w:pPr>
            <w:r>
              <w:rPr>
                <w:b/>
                <w:lang w:eastAsia="en-US"/>
              </w:rPr>
              <w:t>87,459</w:t>
            </w:r>
          </w:p>
        </w:tc>
        <w:tc>
          <w:tcPr>
            <w:tcW w:w="2126" w:type="dxa"/>
            <w:tcBorders>
              <w:top w:val="single" w:sz="18" w:space="0" w:color="auto"/>
              <w:left w:val="single" w:sz="18" w:space="0" w:color="auto"/>
              <w:bottom w:val="single" w:sz="18" w:space="0" w:color="auto"/>
              <w:right w:val="single" w:sz="18" w:space="0" w:color="auto"/>
            </w:tcBorders>
          </w:tcPr>
          <w:p w:rsidR="00A86593" w:rsidRPr="001D5977" w:rsidRDefault="00A86593" w:rsidP="001C741C">
            <w:pPr>
              <w:jc w:val="right"/>
              <w:rPr>
                <w:b/>
                <w:lang w:eastAsia="en-US"/>
              </w:rPr>
            </w:pPr>
            <w:r w:rsidRPr="001D5977">
              <w:rPr>
                <w:b/>
                <w:lang w:eastAsia="en-US"/>
              </w:rPr>
              <w:t>82,560</w:t>
            </w:r>
          </w:p>
        </w:tc>
      </w:tr>
    </w:tbl>
    <w:p w:rsidR="00A86593" w:rsidRPr="001D5977" w:rsidRDefault="00A86593" w:rsidP="00A86593">
      <w:pPr>
        <w:ind w:left="567"/>
        <w:rPr>
          <w:b/>
          <w:lang w:eastAsia="en-US"/>
        </w:rPr>
      </w:pPr>
    </w:p>
    <w:p w:rsidR="00A86593" w:rsidRDefault="00A86593" w:rsidP="00A86593">
      <w:pPr>
        <w:rPr>
          <w:lang w:eastAsia="en-US"/>
        </w:rPr>
      </w:pPr>
    </w:p>
    <w:p w:rsidR="00A86593" w:rsidRDefault="00A86593" w:rsidP="00A86593">
      <w:pPr>
        <w:rPr>
          <w:lang w:eastAsia="en-US"/>
        </w:rPr>
      </w:pPr>
    </w:p>
    <w:p w:rsidR="00A86593" w:rsidRPr="00F130FE" w:rsidRDefault="00A86593" w:rsidP="00A86593">
      <w:pPr>
        <w:pStyle w:val="Heading1"/>
        <w:rPr>
          <w:sz w:val="24"/>
          <w:szCs w:val="24"/>
        </w:rPr>
      </w:pPr>
      <w:r w:rsidRPr="00F130FE">
        <w:rPr>
          <w:sz w:val="24"/>
          <w:szCs w:val="24"/>
        </w:rPr>
        <w:lastRenderedPageBreak/>
        <w:t>Member Organisations</w:t>
      </w:r>
    </w:p>
    <w:tbl>
      <w:tblPr>
        <w:tblW w:w="11072" w:type="dxa"/>
        <w:tblInd w:w="93" w:type="dxa"/>
        <w:tblLook w:val="0000"/>
      </w:tblPr>
      <w:tblGrid>
        <w:gridCol w:w="4977"/>
        <w:gridCol w:w="6095"/>
      </w:tblGrid>
      <w:tr w:rsidR="00A86593" w:rsidRPr="00166665" w:rsidTr="001C741C">
        <w:trPr>
          <w:trHeight w:val="411"/>
        </w:trPr>
        <w:tc>
          <w:tcPr>
            <w:tcW w:w="4977" w:type="dxa"/>
            <w:tcBorders>
              <w:top w:val="nil"/>
              <w:left w:val="nil"/>
              <w:bottom w:val="nil"/>
              <w:right w:val="nil"/>
            </w:tcBorders>
            <w:shd w:val="clear" w:color="auto" w:fill="auto"/>
            <w:vAlign w:val="center"/>
          </w:tcPr>
          <w:p w:rsidR="00A86593" w:rsidRPr="00166665" w:rsidRDefault="00A86593" w:rsidP="001C741C">
            <w:pPr>
              <w:rPr>
                <w:b/>
                <w:bCs/>
                <w:sz w:val="20"/>
              </w:rPr>
            </w:pPr>
            <w:r w:rsidRPr="00166665">
              <w:rPr>
                <w:b/>
                <w:bCs/>
                <w:sz w:val="20"/>
              </w:rPr>
              <w:t>Scheduled Bodies</w:t>
            </w:r>
          </w:p>
        </w:tc>
        <w:tc>
          <w:tcPr>
            <w:tcW w:w="6095" w:type="dxa"/>
            <w:tcBorders>
              <w:top w:val="nil"/>
              <w:left w:val="nil"/>
              <w:bottom w:val="nil"/>
              <w:right w:val="nil"/>
            </w:tcBorders>
            <w:shd w:val="clear" w:color="auto" w:fill="auto"/>
            <w:vAlign w:val="center"/>
          </w:tcPr>
          <w:p w:rsidR="00A86593" w:rsidRPr="00166665" w:rsidRDefault="00A86593" w:rsidP="001C741C">
            <w:pPr>
              <w:rPr>
                <w:b/>
                <w:bCs/>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Accrington Academy</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Ribble Valley Borough Council</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Accrington &amp; Rossendale College</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Ripley St Thomas CE (Academy)</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All Saints CE Primary School Academy</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Rossendale Borough Council</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Barnoldswick Town Council</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Runshaw College</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091E8D">
              <w:rPr>
                <w:sz w:val="20"/>
              </w:rPr>
              <w:t>Belthorn Primary (Academy)</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South Ribble Borough Council</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091E8D">
              <w:rPr>
                <w:sz w:val="20"/>
              </w:rPr>
              <w:t>Bishop Rawstorne High Academy</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St Annes on Sea Town Council</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Blackburn College</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6311CE">
              <w:rPr>
                <w:sz w:val="20"/>
              </w:rPr>
              <w:t>St Christopher's CE (Academy</w:t>
            </w:r>
            <w:r>
              <w:rPr>
                <w:sz w:val="20"/>
              </w:rPr>
              <w:t>)</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Blackburn with Darwen Borough Council</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St Mary's College, Blackburn</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Blackpool &amp; Fylde College</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6311CE">
              <w:rPr>
                <w:sz w:val="20"/>
              </w:rPr>
              <w:t>St Michael's CE High (Academy)</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 xml:space="preserve">Blackpool Borough Council </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6311CE">
              <w:rPr>
                <w:sz w:val="20"/>
              </w:rPr>
              <w:t>St Wilfrid's CE Academy</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Blackpool Coastal Housing</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6311CE">
              <w:rPr>
                <w:sz w:val="20"/>
              </w:rPr>
              <w:t>Tarleton Academy</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Blackpool Sixth Form College</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University of Central Lancs</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091E8D">
              <w:rPr>
                <w:sz w:val="20"/>
              </w:rPr>
              <w:t>Bowland High Academy Trust</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West Lancs District Council</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Burnley Borough Council</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6311CE">
              <w:rPr>
                <w:sz w:val="20"/>
              </w:rPr>
              <w:t>Westcliff Primary Academy</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Burnley College</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Whitworth Town Council</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Cardinal Newman College</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Wyre Borough Council</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Catterall Parish Council</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Chorley Borough Council</w:t>
            </w:r>
          </w:p>
        </w:tc>
        <w:tc>
          <w:tcPr>
            <w:tcW w:w="6095" w:type="dxa"/>
            <w:tcBorders>
              <w:top w:val="nil"/>
              <w:left w:val="nil"/>
              <w:bottom w:val="nil"/>
              <w:right w:val="nil"/>
            </w:tcBorders>
            <w:shd w:val="clear" w:color="auto" w:fill="auto"/>
            <w:vAlign w:val="center"/>
          </w:tcPr>
          <w:p w:rsidR="00A86593" w:rsidRPr="00166665" w:rsidRDefault="00A86593" w:rsidP="001C741C">
            <w:pPr>
              <w:rPr>
                <w:b/>
                <w:bCs/>
                <w:sz w:val="20"/>
              </w:rPr>
            </w:pPr>
            <w:r w:rsidRPr="00166665">
              <w:rPr>
                <w:b/>
                <w:bCs/>
                <w:sz w:val="20"/>
              </w:rPr>
              <w:t>Admitted Bodies</w:t>
            </w:r>
          </w:p>
        </w:tc>
      </w:tr>
      <w:tr w:rsidR="00A86593" w:rsidRPr="00166665" w:rsidTr="001C741C">
        <w:trPr>
          <w:trHeight w:val="128"/>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Clitheroe Royal Grammar School (Academy)</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ABM Catering Ltd</w:t>
            </w:r>
          </w:p>
        </w:tc>
      </w:tr>
      <w:tr w:rsidR="00A86593" w:rsidRPr="00166665" w:rsidTr="001C741C">
        <w:trPr>
          <w:trHeight w:val="330"/>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Darwen Aldridge Community Academy</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Alternative Futures</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 xml:space="preserve">Edge Hill University </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Alzheimers Society</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Fulwood Academy</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Andron Contract Services Ltd (</w:t>
            </w:r>
            <w:r>
              <w:rPr>
                <w:sz w:val="20"/>
              </w:rPr>
              <w:t>City of Preston</w:t>
            </w:r>
            <w:r w:rsidRPr="00166665">
              <w:rPr>
                <w:sz w:val="20"/>
              </w:rPr>
              <w:t>)</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Fylde Borough Council</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F468BC">
              <w:rPr>
                <w:sz w:val="20"/>
              </w:rPr>
              <w:t>Andron Contract Services Ltd (former solar contracts)</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091E8D">
              <w:rPr>
                <w:sz w:val="20"/>
              </w:rPr>
              <w:t>Garstang Community Academy</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Andron Contract Services Ltd (</w:t>
            </w:r>
            <w:r>
              <w:rPr>
                <w:sz w:val="20"/>
              </w:rPr>
              <w:t>Glenburn</w:t>
            </w:r>
            <w:r w:rsidRPr="00166665">
              <w:rPr>
                <w:sz w:val="20"/>
              </w:rPr>
              <w:t>)</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Garstang Town Council</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Andron Contract Services Ltd (Kennington)</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Default="00A86593" w:rsidP="001C741C">
            <w:pPr>
              <w:rPr>
                <w:sz w:val="20"/>
              </w:rPr>
            </w:pPr>
            <w:r>
              <w:rPr>
                <w:sz w:val="20"/>
              </w:rPr>
              <w:t>Hambleton Primary Academy</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Andron Contract Services Ltd (Ribblesdale)</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091E8D">
              <w:rPr>
                <w:sz w:val="20"/>
              </w:rPr>
              <w:t>Hodgson Academy</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Andron Contract Services Ltd (Southlands)</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Hyndburn Borough Council</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Arnold Schools Ltd</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Kirkland Parish Council</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Beaufort Avenue Day Care Centre</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Lancashire County Council</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Blackburn Diocesan Adoption Agency</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Lancashire Fire &amp; Rescue Service</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Blackburn NHS (PCT)</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Lancashire Police Authority</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Blackpool &amp; Fylde MIND Association</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 xml:space="preserve">Lancashire Probation </w:t>
            </w:r>
            <w:r>
              <w:rPr>
                <w:sz w:val="20"/>
              </w:rPr>
              <w:t>Trust</w:t>
            </w:r>
            <w:r w:rsidRPr="00166665">
              <w:rPr>
                <w:sz w:val="20"/>
              </w:rPr>
              <w:t xml:space="preserve"> </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Blackpool &amp; Fylde Society for the Blind</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Lancashire Sports Partnership</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Blackpool Airport Ltd (post 05/07/2004)</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Lancashire Valuation Tribunal</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Blackpool Town Centre Business Improvement District Ltd</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091E8D">
              <w:rPr>
                <w:sz w:val="20"/>
              </w:rPr>
              <w:t>Lancashire Workforce Development Partnership</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Blackpool Zoo (Grant Leisure)</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Lancaster &amp; Morec</w:t>
            </w:r>
            <w:r>
              <w:rPr>
                <w:sz w:val="20"/>
              </w:rPr>
              <w:t>a</w:t>
            </w:r>
            <w:r w:rsidRPr="00166665">
              <w:rPr>
                <w:sz w:val="20"/>
              </w:rPr>
              <w:t>mbe College</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Bootstrap Enterprises Ltd</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Lancaster City Council</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Bulloughs Contract Services Ltd (St Stephens)</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Default="00A86593" w:rsidP="001C741C">
            <w:pPr>
              <w:rPr>
                <w:sz w:val="20"/>
              </w:rPr>
            </w:pPr>
            <w:r>
              <w:rPr>
                <w:sz w:val="20"/>
              </w:rPr>
              <w:t>Lancaster Girls Grammar School (Academy)</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Bulloughs Contract Services Ltd (St James)</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Default="00A86593" w:rsidP="001C741C">
            <w:pPr>
              <w:rPr>
                <w:sz w:val="20"/>
              </w:rPr>
            </w:pPr>
            <w:r w:rsidRPr="006311CE">
              <w:rPr>
                <w:sz w:val="20"/>
              </w:rPr>
              <w:t>Lancaster RGS (Academy)</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Bulloughs Contract Services Ltd (Whalley)</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6311CE">
              <w:rPr>
                <w:sz w:val="20"/>
              </w:rPr>
              <w:t>Lostock Hall Academy Trust</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Bulloughs Contract Services Ltd (Our Lady)</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Myerscough College</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Bulloughs Contract Services Ltd (St Marys)</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Nelson &amp; Colne College</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Bulloughs Contract Services Ltd (St Augustine)</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6311CE">
              <w:rPr>
                <w:sz w:val="20"/>
              </w:rPr>
              <w:t>Parbold Douglas CE Academy</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Bulloughs Contract Services Ltd (Highfield)</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Pendle Borough Council</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Calico Housing Ltd</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Penwortham Town Council</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Capita Business Services (Blackburn)</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 xml:space="preserve">Pilling Parish Council </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Capita Business Services (Rossendale)</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Preston City Council</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Caritas Care Ltd</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Preston College</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Chorley Community Housing Ltd</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Preston Vision Ltd</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Church Road Day Care Unit</w:t>
            </w:r>
          </w:p>
        </w:tc>
      </w:tr>
      <w:tr w:rsidR="00A86593" w:rsidRPr="00166665" w:rsidTr="001C741C">
        <w:trPr>
          <w:trHeight w:val="561"/>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b/>
                <w:bCs/>
                <w:sz w:val="20"/>
              </w:rPr>
              <w:t xml:space="preserve">Admitted Bodies </w:t>
            </w:r>
          </w:p>
        </w:tc>
        <w:tc>
          <w:tcPr>
            <w:tcW w:w="6095" w:type="dxa"/>
            <w:tcBorders>
              <w:top w:val="nil"/>
              <w:left w:val="nil"/>
              <w:bottom w:val="nil"/>
              <w:right w:val="nil"/>
            </w:tcBorders>
            <w:shd w:val="clear" w:color="auto" w:fill="auto"/>
            <w:vAlign w:val="center"/>
          </w:tcPr>
          <w:p w:rsidR="00A86593" w:rsidRDefault="00A86593" w:rsidP="001C741C">
            <w:pPr>
              <w:rPr>
                <w:b/>
                <w:bCs/>
                <w:sz w:val="20"/>
              </w:rPr>
            </w:pPr>
            <w:r>
              <w:rPr>
                <w:b/>
                <w:bCs/>
                <w:sz w:val="20"/>
              </w:rPr>
              <w:t xml:space="preserve">Admitted Bodies </w:t>
            </w:r>
          </w:p>
          <w:p w:rsidR="00A86593" w:rsidRPr="00166665" w:rsidRDefault="00A86593" w:rsidP="001C741C">
            <w:pPr>
              <w:rPr>
                <w:b/>
                <w:bCs/>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lastRenderedPageBreak/>
              <w:t>Commission for Education &amp; Formation</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Rossendale Leisure Trust</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Community and Business Partners CIC</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Signpost MARC Ltd</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Community Council of Lancashire</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 xml:space="preserve">South Ribble Community Leisure Ltd </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Community Gateway Association</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 xml:space="preserve">Sunguard Vivista Ltd </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CX Ltd</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Surestart Hyndburn</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Contour Housing Group</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 xml:space="preserve">Twin Valley Homes Ltd </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Consultant Caterers Ltd</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University of Cumbria</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Creative Support Ltd</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Vita Lend Lease</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F468BC">
              <w:rPr>
                <w:sz w:val="20"/>
              </w:rPr>
              <w:t>Creative Support Ltd (Midway)</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West Lancs Community Leisure Ltd</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CSB Contract Services Ltd</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 xml:space="preserve">Wyre Housing Association </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Danfo UK Ltd</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Enterprise Managed Services Ltd</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b/>
                <w:sz w:val="20"/>
              </w:rPr>
              <w:t>Former Employees</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E ON UK Plc</w:t>
            </w:r>
          </w:p>
        </w:tc>
        <w:tc>
          <w:tcPr>
            <w:tcW w:w="6095" w:type="dxa"/>
            <w:tcBorders>
              <w:top w:val="nil"/>
              <w:left w:val="nil"/>
              <w:bottom w:val="nil"/>
              <w:right w:val="nil"/>
            </w:tcBorders>
            <w:shd w:val="clear" w:color="auto" w:fill="auto"/>
            <w:vAlign w:val="center"/>
          </w:tcPr>
          <w:p w:rsidR="00A86593" w:rsidRPr="00A91627" w:rsidRDefault="00A86593" w:rsidP="001C741C">
            <w:pPr>
              <w:rPr>
                <w:bCs/>
                <w:sz w:val="20"/>
              </w:rPr>
            </w:pPr>
            <w:r>
              <w:rPr>
                <w:bCs/>
                <w:sz w:val="20"/>
              </w:rPr>
              <w:t>Andron Contract Services Ltd (Worden Sports College)</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Eric Wright Commercial Ltd</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Blackpool Airport Ltd (pre 05/07/2004)</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Fylde Coast YMCA (Fylde)</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Blackpool and Fylde Society for the Deaf</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Fylde Community Link</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 xml:space="preserve">Blackburn Borough Transport Ltd </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Galloway Society For The Blind</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Blackpool Challenge Partnership</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166665">
              <w:rPr>
                <w:sz w:val="20"/>
              </w:rPr>
              <w:t>Housing Pendle Ltd</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 xml:space="preserve">Blackpool Council for Voluntary Services </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 xml:space="preserve">Hyndburn Homes Ltd </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Bulloughs Contract Services Ltd (St Albans)</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I Care</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Bulloughs Contract Services Ltd (Glenburn)</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Jewson Ltd</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 xml:space="preserve">Burnley &amp; Pendle Development Association </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Kirkham Grammar School (Independent)</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Burnley and Pendle Joint Transport Committee</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 xml:space="preserve">Lancashire and Blackpool Tourist Board </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 xml:space="preserve">Burnley and Pendle Transport Company Ltd </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Lancashire Branch of Unison</w:t>
            </w:r>
          </w:p>
        </w:tc>
        <w:tc>
          <w:tcPr>
            <w:tcW w:w="6095" w:type="dxa"/>
            <w:tcBorders>
              <w:top w:val="nil"/>
              <w:left w:val="nil"/>
              <w:bottom w:val="nil"/>
              <w:right w:val="nil"/>
            </w:tcBorders>
            <w:shd w:val="clear" w:color="auto" w:fill="auto"/>
            <w:vAlign w:val="center"/>
          </w:tcPr>
          <w:p w:rsidR="00A86593" w:rsidRPr="00A91627" w:rsidRDefault="00A86593" w:rsidP="001C741C">
            <w:pPr>
              <w:rPr>
                <w:sz w:val="20"/>
              </w:rPr>
            </w:pPr>
            <w:r w:rsidRPr="00A91627">
              <w:rPr>
                <w:sz w:val="20"/>
              </w:rPr>
              <w:t xml:space="preserve">Burnley District Citizens Advice Service </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Lancaster University</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Burton Manor Residential College</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 xml:space="preserve">Leisure in Hyndburn </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Carden Croft and Co Ltd</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 xml:space="preserve">Liberata UK Ltd (Chorley </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 xml:space="preserve">Central Lancashire Development Corporation </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Liberata UK Ltd (Pendle)</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 xml:space="preserve">Clitheroe Town Council </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Lytham School Foundation</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Connaught Environmental Ltd (Blackpool BC)</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 xml:space="preserve">Mack Trading Ltd </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Connaught Enviromental Ltd (Blackpool Coastal)</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Mellors Catering Services Ltd (Bishop Rawsthorne)</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 xml:space="preserve">Department of Transport </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Mellors Catering Services Ltd (Hambleton Primary)</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Dignity Funerals Ltd</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Mellors Catering Services Ltd(Worden Sports College)</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Elm House Management Committee</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Mellors Catering Services Ltd (Wyre)</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Enterprise</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 xml:space="preserve">NIC Services Group Ltd NSL Ltd (Lancaster) </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Ex National Water Council</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NSL Ltd</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Ex NHS</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New Directions</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 xml:space="preserve">Fylde Borough Transport Ltd </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 xml:space="preserve">New Fylde Housing </w:t>
            </w:r>
          </w:p>
        </w:tc>
        <w:tc>
          <w:tcPr>
            <w:tcW w:w="6095" w:type="dxa"/>
            <w:tcBorders>
              <w:top w:val="nil"/>
              <w:left w:val="nil"/>
              <w:bottom w:val="nil"/>
              <w:right w:val="nil"/>
            </w:tcBorders>
            <w:shd w:val="clear" w:color="auto" w:fill="auto"/>
            <w:vAlign w:val="center"/>
          </w:tcPr>
          <w:p w:rsidR="00A86593" w:rsidRPr="00D93EB2" w:rsidRDefault="00A86593" w:rsidP="001C741C">
            <w:pPr>
              <w:rPr>
                <w:sz w:val="20"/>
              </w:rPr>
            </w:pPr>
            <w:r>
              <w:rPr>
                <w:sz w:val="20"/>
              </w:rPr>
              <w:t>F</w:t>
            </w:r>
            <w:r w:rsidRPr="00D93EB2">
              <w:rPr>
                <w:sz w:val="20"/>
              </w:rPr>
              <w:t>y</w:t>
            </w:r>
            <w:r>
              <w:rPr>
                <w:sz w:val="20"/>
              </w:rPr>
              <w:t>l</w:t>
            </w:r>
            <w:r w:rsidRPr="00D93EB2">
              <w:rPr>
                <w:sz w:val="20"/>
              </w:rPr>
              <w:t>de Coast Development Associations</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 xml:space="preserve">New Progress Housing Association </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Fylde Coast YMCA (Wyre)</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 xml:space="preserve">Northgate Managed Services Ltd </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Greater Deepdale Community Association</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North West &amp; North Wales Sea Fisheries Committee</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Hyndburn Homewise</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 xml:space="preserve">Ormerod Home Trust Ltd </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Hyndburn Transport</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 xml:space="preserve">Pendle Leisure Trust Ltd </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Kirkham Grammar School (Boarding)</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Places for People Ind Supp Ltd</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 xml:space="preserve">Lancashire County Enterprise </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 xml:space="preserve">Preston Care and Repair </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Lancashire Economic Partnership</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 xml:space="preserve">Preston Council for Voluntary Services </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Lancashire Federation of Young Farmers Clubs</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 xml:space="preserve">Progress Housing Association </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Lancashire Magistrates Courts Committee</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Progress Housing Group</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 xml:space="preserve">Lancashire Waste Services Ltd </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 xml:space="preserve">Progress Recruitment (SE) Ltd </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Lancashire West Partnership</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 xml:space="preserve">Queen Elizabeth Grammar School </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 xml:space="preserve">Lancaster City Transport Ltd </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 xml:space="preserve">Ribble Valley Homes </w:t>
            </w:r>
          </w:p>
        </w:tc>
        <w:tc>
          <w:tcPr>
            <w:tcW w:w="6095" w:type="dxa"/>
            <w:tcBorders>
              <w:top w:val="nil"/>
              <w:left w:val="nil"/>
              <w:bottom w:val="nil"/>
              <w:right w:val="nil"/>
            </w:tcBorders>
            <w:shd w:val="clear" w:color="auto" w:fill="auto"/>
            <w:vAlign w:val="center"/>
          </w:tcPr>
          <w:p w:rsidR="00A86593" w:rsidRPr="00EE3887" w:rsidRDefault="00A86593" w:rsidP="001C741C">
            <w:pPr>
              <w:rPr>
                <w:sz w:val="20"/>
              </w:rPr>
            </w:pPr>
            <w:r>
              <w:rPr>
                <w:sz w:val="20"/>
              </w:rPr>
              <w:t>Lancashire On-Line Learning</w:t>
            </w: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Lancaster Royal Grammar School (boarding)</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Lancs South East Probation Committee</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Lancs South West Probation Committee</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lastRenderedPageBreak/>
              <w:t>Mellors Catering Services Ltd (Cardinal Newman)</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Merseyside Valuation &amp; CCT</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NSL Ltd (Wyre)</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 xml:space="preserve">Pilling &amp; Winmarleigh Internal Drainage Board </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 xml:space="preserve">Preston Borough Transport Ltd </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Preston Education Action Zone</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Redstone Managed Services Ltd</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sz w:val="20"/>
              </w:rPr>
              <w:t>Samlesbury &amp; Cuerdale Parish Council</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933F1A">
              <w:rPr>
                <w:bCs/>
                <w:sz w:val="20"/>
              </w:rPr>
              <w:t>Skelmersdale College</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bCs/>
                <w:sz w:val="20"/>
              </w:rPr>
              <w:t>Skelmersdale Day Centre</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bCs/>
                <w:sz w:val="20"/>
              </w:rPr>
              <w:t>Skelmersdale Development Corporation</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bCs/>
                <w:sz w:val="20"/>
              </w:rPr>
              <w:t>Solar Facilities Management Ltd (Bishop Rawsthorne)</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AC3CAB">
              <w:rPr>
                <w:bCs/>
                <w:sz w:val="20"/>
              </w:rPr>
              <w:t>Solar Facilities Management Ltd (Tarleton)</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AC3CAB">
              <w:rPr>
                <w:bCs/>
                <w:sz w:val="20"/>
              </w:rPr>
              <w:t>Solar Facilities Management Ltd</w:t>
            </w:r>
            <w:r>
              <w:rPr>
                <w:bCs/>
                <w:sz w:val="20"/>
              </w:rPr>
              <w:t xml:space="preserve"> (Ripley)</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AC3CAB">
              <w:rPr>
                <w:bCs/>
                <w:sz w:val="20"/>
              </w:rPr>
              <w:t>Solar Facilities Management Ltd</w:t>
            </w:r>
            <w:r>
              <w:rPr>
                <w:bCs/>
                <w:sz w:val="20"/>
              </w:rPr>
              <w:t xml:space="preserve"> (Seven Stars)</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AC3CAB">
              <w:rPr>
                <w:bCs/>
                <w:sz w:val="20"/>
              </w:rPr>
              <w:t>Solar Facilities Management Ltd</w:t>
            </w:r>
            <w:r>
              <w:rPr>
                <w:bCs/>
                <w:sz w:val="20"/>
              </w:rPr>
              <w:t xml:space="preserve"> (St Peters)</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bCs/>
                <w:sz w:val="20"/>
              </w:rPr>
              <w:t>Spastics Society</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bCs/>
                <w:sz w:val="20"/>
              </w:rPr>
              <w:t>The Community Alliance (Burnley and Padiham) Ltd</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bCs/>
                <w:sz w:val="20"/>
              </w:rPr>
              <w:t>Wigan &amp; District M&amp;T College</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sidRPr="00933F1A">
              <w:rPr>
                <w:b/>
                <w:bCs/>
                <w:sz w:val="20"/>
              </w:rPr>
              <w:t>Other</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bCs/>
                <w:sz w:val="20"/>
              </w:rPr>
              <w:t>Rossendale Transport Ltd</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bCs/>
                <w:sz w:val="20"/>
              </w:rPr>
              <w:t>Blackpool Transport Services Ltd</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r>
              <w:rPr>
                <w:bCs/>
                <w:sz w:val="20"/>
              </w:rPr>
              <w:t>Membership restricted to employees "deemed" at deregulation in 1986)</w:t>
            </w: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A86593" w:rsidRPr="00166665" w:rsidTr="001C741C">
        <w:trPr>
          <w:trHeight w:val="254"/>
        </w:trPr>
        <w:tc>
          <w:tcPr>
            <w:tcW w:w="4977" w:type="dxa"/>
            <w:tcBorders>
              <w:top w:val="nil"/>
              <w:left w:val="nil"/>
              <w:bottom w:val="nil"/>
              <w:right w:val="nil"/>
            </w:tcBorders>
            <w:shd w:val="clear" w:color="auto" w:fill="auto"/>
            <w:vAlign w:val="center"/>
          </w:tcPr>
          <w:p w:rsidR="00A86593" w:rsidRPr="00166665" w:rsidRDefault="00A86593" w:rsidP="001C741C">
            <w:pPr>
              <w:rPr>
                <w:sz w:val="20"/>
              </w:rPr>
            </w:pPr>
          </w:p>
        </w:tc>
        <w:tc>
          <w:tcPr>
            <w:tcW w:w="6095" w:type="dxa"/>
            <w:tcBorders>
              <w:top w:val="nil"/>
              <w:left w:val="nil"/>
              <w:bottom w:val="nil"/>
              <w:right w:val="nil"/>
            </w:tcBorders>
            <w:shd w:val="clear" w:color="auto" w:fill="auto"/>
            <w:vAlign w:val="center"/>
          </w:tcPr>
          <w:p w:rsidR="00A86593" w:rsidRPr="00166665" w:rsidRDefault="00A86593" w:rsidP="001C741C">
            <w:pPr>
              <w:rPr>
                <w:sz w:val="20"/>
              </w:rPr>
            </w:pPr>
          </w:p>
        </w:tc>
      </w:tr>
      <w:tr w:rsidR="003B314A" w:rsidRPr="00166665" w:rsidTr="001C741C">
        <w:trPr>
          <w:trHeight w:val="254"/>
        </w:trPr>
        <w:tc>
          <w:tcPr>
            <w:tcW w:w="4977" w:type="dxa"/>
            <w:tcBorders>
              <w:top w:val="nil"/>
              <w:left w:val="nil"/>
              <w:bottom w:val="nil"/>
              <w:right w:val="nil"/>
            </w:tcBorders>
            <w:shd w:val="clear" w:color="auto" w:fill="auto"/>
            <w:vAlign w:val="center"/>
          </w:tcPr>
          <w:p w:rsidR="003B314A" w:rsidRPr="00166665" w:rsidRDefault="003B314A" w:rsidP="001C741C">
            <w:pPr>
              <w:rPr>
                <w:sz w:val="20"/>
              </w:rPr>
            </w:pPr>
          </w:p>
        </w:tc>
        <w:tc>
          <w:tcPr>
            <w:tcW w:w="6095" w:type="dxa"/>
            <w:tcBorders>
              <w:top w:val="nil"/>
              <w:left w:val="nil"/>
              <w:bottom w:val="nil"/>
              <w:right w:val="nil"/>
            </w:tcBorders>
            <w:shd w:val="clear" w:color="auto" w:fill="auto"/>
            <w:vAlign w:val="center"/>
          </w:tcPr>
          <w:p w:rsidR="003B314A" w:rsidRPr="00166665" w:rsidRDefault="003B314A" w:rsidP="001C741C">
            <w:pPr>
              <w:rPr>
                <w:sz w:val="20"/>
              </w:rPr>
            </w:pPr>
          </w:p>
        </w:tc>
      </w:tr>
      <w:tr w:rsidR="003B314A" w:rsidRPr="00166665" w:rsidTr="001C741C">
        <w:trPr>
          <w:trHeight w:val="254"/>
        </w:trPr>
        <w:tc>
          <w:tcPr>
            <w:tcW w:w="4977" w:type="dxa"/>
            <w:tcBorders>
              <w:top w:val="nil"/>
              <w:left w:val="nil"/>
              <w:bottom w:val="nil"/>
              <w:right w:val="nil"/>
            </w:tcBorders>
            <w:shd w:val="clear" w:color="auto" w:fill="auto"/>
            <w:vAlign w:val="center"/>
          </w:tcPr>
          <w:p w:rsidR="003B314A" w:rsidRPr="00166665" w:rsidRDefault="003B314A" w:rsidP="001C741C">
            <w:pPr>
              <w:rPr>
                <w:sz w:val="20"/>
              </w:rPr>
            </w:pPr>
          </w:p>
        </w:tc>
        <w:tc>
          <w:tcPr>
            <w:tcW w:w="6095" w:type="dxa"/>
            <w:tcBorders>
              <w:top w:val="nil"/>
              <w:left w:val="nil"/>
              <w:bottom w:val="nil"/>
              <w:right w:val="nil"/>
            </w:tcBorders>
            <w:shd w:val="clear" w:color="auto" w:fill="auto"/>
            <w:vAlign w:val="center"/>
          </w:tcPr>
          <w:p w:rsidR="003B314A" w:rsidRPr="00166665" w:rsidRDefault="003B314A" w:rsidP="001C741C">
            <w:pPr>
              <w:rPr>
                <w:sz w:val="20"/>
              </w:rPr>
            </w:pPr>
          </w:p>
        </w:tc>
      </w:tr>
      <w:tr w:rsidR="003B314A" w:rsidRPr="00166665" w:rsidTr="001C741C">
        <w:trPr>
          <w:trHeight w:val="254"/>
        </w:trPr>
        <w:tc>
          <w:tcPr>
            <w:tcW w:w="4977" w:type="dxa"/>
            <w:tcBorders>
              <w:top w:val="nil"/>
              <w:left w:val="nil"/>
              <w:bottom w:val="nil"/>
              <w:right w:val="nil"/>
            </w:tcBorders>
            <w:shd w:val="clear" w:color="auto" w:fill="auto"/>
            <w:vAlign w:val="center"/>
          </w:tcPr>
          <w:p w:rsidR="003B314A" w:rsidRPr="00166665" w:rsidRDefault="003B314A" w:rsidP="001C741C">
            <w:pPr>
              <w:rPr>
                <w:sz w:val="20"/>
              </w:rPr>
            </w:pPr>
          </w:p>
        </w:tc>
        <w:tc>
          <w:tcPr>
            <w:tcW w:w="6095" w:type="dxa"/>
            <w:tcBorders>
              <w:top w:val="nil"/>
              <w:left w:val="nil"/>
              <w:bottom w:val="nil"/>
              <w:right w:val="nil"/>
            </w:tcBorders>
            <w:shd w:val="clear" w:color="auto" w:fill="auto"/>
            <w:vAlign w:val="center"/>
          </w:tcPr>
          <w:p w:rsidR="003B314A" w:rsidRPr="00166665" w:rsidRDefault="003B314A" w:rsidP="001C741C">
            <w:pPr>
              <w:rPr>
                <w:sz w:val="20"/>
              </w:rPr>
            </w:pPr>
          </w:p>
        </w:tc>
      </w:tr>
    </w:tbl>
    <w:p w:rsidR="00A86593" w:rsidRPr="00646918" w:rsidRDefault="00A86593" w:rsidP="00A86593">
      <w:pPr>
        <w:pStyle w:val="ListParagraph"/>
        <w:numPr>
          <w:ilvl w:val="0"/>
          <w:numId w:val="60"/>
        </w:numPr>
        <w:tabs>
          <w:tab w:val="left" w:pos="567"/>
        </w:tabs>
        <w:contextualSpacing/>
        <w:jc w:val="both"/>
        <w:rPr>
          <w:b/>
        </w:rPr>
      </w:pPr>
      <w:r w:rsidRPr="00646918">
        <w:rPr>
          <w:b/>
        </w:rPr>
        <w:lastRenderedPageBreak/>
        <w:t xml:space="preserve">Basis of Preparation </w:t>
      </w:r>
    </w:p>
    <w:p w:rsidR="00A86593" w:rsidRPr="005E107A" w:rsidRDefault="00A86593" w:rsidP="00A86593">
      <w:pPr>
        <w:tabs>
          <w:tab w:val="left" w:pos="567"/>
        </w:tabs>
        <w:jc w:val="both"/>
        <w:rPr>
          <w:b/>
        </w:rPr>
      </w:pPr>
    </w:p>
    <w:p w:rsidR="00A86593" w:rsidRDefault="00A86593" w:rsidP="00A86593">
      <w:pPr>
        <w:pStyle w:val="BodyTextIndent"/>
        <w:spacing w:after="0"/>
        <w:ind w:left="567"/>
        <w:rPr>
          <w:szCs w:val="24"/>
        </w:rPr>
      </w:pPr>
      <w:r>
        <w:rPr>
          <w:szCs w:val="24"/>
        </w:rPr>
        <w:t>The Statement of Accounts summarises the fund's transactions for the 2011/12 financial year and its position at year-end as at 31 March 2012.  The accounts</w:t>
      </w:r>
      <w:r w:rsidRPr="00E869DD">
        <w:rPr>
          <w:szCs w:val="24"/>
        </w:rPr>
        <w:t xml:space="preserve"> have been prepared in accordance </w:t>
      </w:r>
      <w:r>
        <w:rPr>
          <w:szCs w:val="24"/>
        </w:rPr>
        <w:t>with the Code of Practice on Local Authority Accounting in United Kingdom 2011/12 which is based on International Financial Reporting Standards (IFRS), as amended for the UK public sector.</w:t>
      </w:r>
    </w:p>
    <w:p w:rsidR="00A86593" w:rsidRPr="00166665" w:rsidRDefault="00A86593" w:rsidP="00A86593">
      <w:pPr>
        <w:pStyle w:val="BodyTextIndent"/>
        <w:spacing w:after="0"/>
        <w:ind w:left="567"/>
        <w:rPr>
          <w:szCs w:val="24"/>
        </w:rPr>
      </w:pPr>
    </w:p>
    <w:p w:rsidR="00A86593" w:rsidRDefault="00A86593" w:rsidP="00A86593">
      <w:pPr>
        <w:ind w:left="567"/>
        <w:jc w:val="both"/>
      </w:pPr>
      <w:r>
        <w:t>The accounts</w:t>
      </w:r>
      <w:r w:rsidRPr="00166665">
        <w:t xml:space="preserve"> summarise the transactions</w:t>
      </w:r>
      <w:r>
        <w:t xml:space="preserve"> of the fund</w:t>
      </w:r>
      <w:r w:rsidRPr="00166665">
        <w:t xml:space="preserve"> and</w:t>
      </w:r>
      <w:r>
        <w:t xml:space="preserve"> report the net assets available to pay pension benefits.</w:t>
      </w:r>
      <w:r w:rsidRPr="00166665">
        <w:t xml:space="preserve"> They do not take account of obligations to pay pensions and benefits which fall due after the end </w:t>
      </w:r>
      <w:r>
        <w:t xml:space="preserve">of the financial year. </w:t>
      </w:r>
      <w:r w:rsidRPr="00AD17B7">
        <w:t>The actuarial present value of promised retirement benefits, value on an International Accounting Standard (IAS) 19 basis, is disclosed in note 31 of these accounts.</w:t>
      </w:r>
    </w:p>
    <w:p w:rsidR="00A86593" w:rsidRPr="00166665" w:rsidRDefault="00A86593" w:rsidP="00A86593">
      <w:pPr>
        <w:ind w:left="567"/>
        <w:jc w:val="both"/>
      </w:pPr>
    </w:p>
    <w:p w:rsidR="00A86593" w:rsidRDefault="00A86593" w:rsidP="00A86593">
      <w:pPr>
        <w:pStyle w:val="BodyTextIndent"/>
        <w:numPr>
          <w:ilvl w:val="0"/>
          <w:numId w:val="60"/>
        </w:numPr>
        <w:tabs>
          <w:tab w:val="clear" w:pos="720"/>
          <w:tab w:val="num" w:pos="567"/>
        </w:tabs>
        <w:spacing w:after="0"/>
        <w:ind w:left="567" w:hanging="567"/>
        <w:rPr>
          <w:b/>
          <w:szCs w:val="24"/>
        </w:rPr>
      </w:pPr>
      <w:r w:rsidRPr="00166665">
        <w:rPr>
          <w:b/>
          <w:szCs w:val="24"/>
        </w:rPr>
        <w:t>Accounting Policies</w:t>
      </w:r>
    </w:p>
    <w:p w:rsidR="00A86593" w:rsidRPr="00166665" w:rsidRDefault="00A86593" w:rsidP="00A86593">
      <w:pPr>
        <w:pStyle w:val="BodyTextIndent"/>
        <w:spacing w:after="0"/>
        <w:ind w:left="567"/>
        <w:rPr>
          <w:b/>
          <w:szCs w:val="24"/>
        </w:rPr>
      </w:pPr>
    </w:p>
    <w:p w:rsidR="00A86593" w:rsidRDefault="00A86593" w:rsidP="00A86593">
      <w:pPr>
        <w:ind w:left="567"/>
        <w:rPr>
          <w:b/>
        </w:rPr>
      </w:pPr>
      <w:r>
        <w:rPr>
          <w:b/>
        </w:rPr>
        <w:t>Fund Account revenue recognition</w:t>
      </w:r>
    </w:p>
    <w:p w:rsidR="00A86593" w:rsidRPr="003B5697" w:rsidRDefault="00A86593" w:rsidP="00A86593">
      <w:pPr>
        <w:rPr>
          <w:b/>
        </w:rPr>
      </w:pPr>
    </w:p>
    <w:p w:rsidR="00A86593" w:rsidRDefault="00A86593" w:rsidP="00A86593">
      <w:pPr>
        <w:numPr>
          <w:ilvl w:val="0"/>
          <w:numId w:val="61"/>
        </w:numPr>
        <w:tabs>
          <w:tab w:val="num" w:pos="851"/>
        </w:tabs>
        <w:ind w:left="1113" w:hanging="546"/>
        <w:rPr>
          <w:b/>
        </w:rPr>
      </w:pPr>
      <w:r w:rsidRPr="003B5697">
        <w:rPr>
          <w:b/>
        </w:rPr>
        <w:t>Contribution income</w:t>
      </w:r>
    </w:p>
    <w:p w:rsidR="00A86593" w:rsidRPr="003B5697" w:rsidRDefault="00A86593" w:rsidP="00A86593">
      <w:pPr>
        <w:ind w:left="1113"/>
        <w:rPr>
          <w:b/>
        </w:rPr>
      </w:pPr>
    </w:p>
    <w:p w:rsidR="00A86593" w:rsidRDefault="00A86593" w:rsidP="00A86593">
      <w:pPr>
        <w:pStyle w:val="BodyTextIndent2"/>
        <w:tabs>
          <w:tab w:val="left" w:pos="851"/>
        </w:tabs>
        <w:spacing w:after="0"/>
        <w:ind w:left="851"/>
        <w:rPr>
          <w:szCs w:val="24"/>
        </w:rPr>
      </w:pPr>
      <w:r>
        <w:rPr>
          <w:szCs w:val="24"/>
        </w:rPr>
        <w:t>Normal contributions both from members and from the employer, are accounted for on an accruals basis at the percentage rate recommended by the fund actuary in the payroll period to which they relate.</w:t>
      </w:r>
    </w:p>
    <w:p w:rsidR="00A86593" w:rsidRDefault="00A86593" w:rsidP="00A86593">
      <w:pPr>
        <w:pStyle w:val="BodyTextIndent2"/>
        <w:tabs>
          <w:tab w:val="left" w:pos="851"/>
        </w:tabs>
        <w:spacing w:after="0"/>
        <w:ind w:left="851"/>
        <w:rPr>
          <w:szCs w:val="24"/>
        </w:rPr>
      </w:pPr>
    </w:p>
    <w:p w:rsidR="00A86593" w:rsidRDefault="00A86593" w:rsidP="00A86593">
      <w:pPr>
        <w:ind w:left="851"/>
        <w:rPr>
          <w:b/>
        </w:rPr>
      </w:pPr>
      <w:r>
        <w:t>Employers' augmentation contributions and pensions strain contributions are accounted for</w:t>
      </w:r>
      <w:r>
        <w:rPr>
          <w:b/>
        </w:rPr>
        <w:t xml:space="preserve"> </w:t>
      </w:r>
      <w:r w:rsidRPr="00260A3F">
        <w:t>the period in which the liability arises.  Any amount due in the year but unpaid will be classed as a current financial asset.  Amounts not due until future years are classed as long term financial assets.</w:t>
      </w:r>
      <w:r w:rsidRPr="00260A3F">
        <w:rPr>
          <w:b/>
        </w:rPr>
        <w:t xml:space="preserve"> </w:t>
      </w:r>
    </w:p>
    <w:p w:rsidR="00A86593" w:rsidRPr="00260A3F" w:rsidRDefault="00A86593" w:rsidP="00A86593">
      <w:pPr>
        <w:ind w:left="851"/>
        <w:rPr>
          <w:b/>
        </w:rPr>
      </w:pPr>
    </w:p>
    <w:p w:rsidR="00A86593" w:rsidRDefault="00A86593" w:rsidP="00A86593">
      <w:pPr>
        <w:numPr>
          <w:ilvl w:val="0"/>
          <w:numId w:val="61"/>
        </w:numPr>
        <w:tabs>
          <w:tab w:val="num" w:pos="851"/>
        </w:tabs>
        <w:ind w:left="1113" w:hanging="546"/>
        <w:rPr>
          <w:b/>
        </w:rPr>
      </w:pPr>
      <w:r>
        <w:rPr>
          <w:b/>
        </w:rPr>
        <w:t>T</w:t>
      </w:r>
      <w:r w:rsidRPr="003B5697">
        <w:rPr>
          <w:b/>
        </w:rPr>
        <w:t>ransfers</w:t>
      </w:r>
    </w:p>
    <w:p w:rsidR="00A86593" w:rsidRPr="003B5697" w:rsidRDefault="00A86593" w:rsidP="00A86593">
      <w:pPr>
        <w:ind w:left="1113"/>
        <w:rPr>
          <w:b/>
        </w:rPr>
      </w:pPr>
    </w:p>
    <w:p w:rsidR="00A86593" w:rsidRPr="00260A3F" w:rsidRDefault="00A86593" w:rsidP="00A86593">
      <w:pPr>
        <w:pStyle w:val="BodyTextIndent2"/>
        <w:tabs>
          <w:tab w:val="left" w:pos="851"/>
        </w:tabs>
        <w:spacing w:after="0"/>
        <w:ind w:left="851"/>
        <w:rPr>
          <w:szCs w:val="24"/>
          <w:highlight w:val="yellow"/>
        </w:rPr>
      </w:pPr>
      <w:r>
        <w:rPr>
          <w:szCs w:val="24"/>
        </w:rPr>
        <w:t xml:space="preserve">Transfer values represent amounts received and paid during the period for individual </w:t>
      </w:r>
      <w:r w:rsidRPr="00664DB9">
        <w:rPr>
          <w:szCs w:val="24"/>
        </w:rPr>
        <w:t>members who have either joined or left the fund during the financial year and are calculated in accordance with Local Governance Pension Scheme Regulations.</w:t>
      </w:r>
    </w:p>
    <w:p w:rsidR="00A86593" w:rsidRPr="00260A3F" w:rsidRDefault="00A86593" w:rsidP="00A86593">
      <w:pPr>
        <w:pStyle w:val="BodyTextIndent2"/>
        <w:tabs>
          <w:tab w:val="left" w:pos="851"/>
        </w:tabs>
        <w:spacing w:after="0"/>
        <w:ind w:left="851"/>
        <w:rPr>
          <w:szCs w:val="24"/>
          <w:highlight w:val="yellow"/>
        </w:rPr>
      </w:pPr>
    </w:p>
    <w:p w:rsidR="00A86593" w:rsidRPr="00664DB9" w:rsidRDefault="00A86593" w:rsidP="00A86593">
      <w:pPr>
        <w:pStyle w:val="BodyTextIndent2"/>
        <w:tabs>
          <w:tab w:val="left" w:pos="851"/>
        </w:tabs>
        <w:spacing w:after="0"/>
        <w:ind w:left="851"/>
        <w:rPr>
          <w:szCs w:val="24"/>
        </w:rPr>
      </w:pPr>
      <w:r w:rsidRPr="00664DB9">
        <w:rPr>
          <w:szCs w:val="24"/>
        </w:rPr>
        <w:t>Individual transfers in/out are accounted for when received/paid, which is normally when the member liability is accepted or discharged.</w:t>
      </w:r>
    </w:p>
    <w:p w:rsidR="00A86593" w:rsidRPr="00260A3F" w:rsidRDefault="00A86593" w:rsidP="00A86593">
      <w:pPr>
        <w:pStyle w:val="BodyTextIndent2"/>
        <w:tabs>
          <w:tab w:val="left" w:pos="851"/>
        </w:tabs>
        <w:spacing w:after="0"/>
        <w:ind w:left="851"/>
        <w:rPr>
          <w:szCs w:val="24"/>
          <w:highlight w:val="yellow"/>
        </w:rPr>
      </w:pPr>
    </w:p>
    <w:p w:rsidR="00A86593" w:rsidRDefault="00A86593" w:rsidP="00A86593">
      <w:pPr>
        <w:pStyle w:val="BodyTextIndent2"/>
        <w:tabs>
          <w:tab w:val="left" w:pos="851"/>
        </w:tabs>
        <w:spacing w:after="0"/>
        <w:ind w:left="851"/>
        <w:rPr>
          <w:szCs w:val="24"/>
        </w:rPr>
      </w:pPr>
      <w:r w:rsidRPr="00664DB9">
        <w:rPr>
          <w:szCs w:val="24"/>
        </w:rPr>
        <w:t>Transfers in from members wishing to use the proceeds of their additional voluntary contributions to purchase scheme benefits are accounted for on a receipts basis and are included in transfers in. Bulk (group) transfers are accounted for on an accruals basis in accordance with the terms of the transfer agreement.</w:t>
      </w:r>
    </w:p>
    <w:p w:rsidR="00A86593" w:rsidRDefault="00A86593" w:rsidP="00A86593">
      <w:pPr>
        <w:pStyle w:val="BodyTextIndent2"/>
        <w:tabs>
          <w:tab w:val="left" w:pos="851"/>
        </w:tabs>
        <w:spacing w:after="0"/>
        <w:ind w:left="851"/>
        <w:rPr>
          <w:szCs w:val="24"/>
        </w:rPr>
      </w:pPr>
    </w:p>
    <w:p w:rsidR="00A86593" w:rsidRPr="00DE0905" w:rsidRDefault="00A86593" w:rsidP="00A86593">
      <w:pPr>
        <w:pStyle w:val="BodyTextIndent2"/>
        <w:numPr>
          <w:ilvl w:val="0"/>
          <w:numId w:val="61"/>
        </w:numPr>
        <w:tabs>
          <w:tab w:val="clear" w:pos="1080"/>
          <w:tab w:val="num" w:pos="825"/>
          <w:tab w:val="left" w:pos="851"/>
        </w:tabs>
        <w:spacing w:after="0"/>
        <w:ind w:left="825" w:hanging="393"/>
        <w:rPr>
          <w:szCs w:val="24"/>
        </w:rPr>
      </w:pPr>
      <w:r w:rsidRPr="00DE0905">
        <w:rPr>
          <w:b/>
          <w:szCs w:val="24"/>
        </w:rPr>
        <w:t>Investment Income</w:t>
      </w:r>
    </w:p>
    <w:p w:rsidR="00A86593" w:rsidRPr="00DE0905" w:rsidRDefault="00A86593" w:rsidP="00A86593">
      <w:pPr>
        <w:pStyle w:val="BodyTextIndent2"/>
        <w:tabs>
          <w:tab w:val="left" w:pos="851"/>
        </w:tabs>
        <w:spacing w:after="0"/>
        <w:ind w:left="927"/>
        <w:rPr>
          <w:szCs w:val="24"/>
        </w:rPr>
      </w:pPr>
    </w:p>
    <w:p w:rsidR="00A86593" w:rsidRDefault="00A86593" w:rsidP="00A86593">
      <w:pPr>
        <w:pStyle w:val="BodyTextIndent2"/>
        <w:numPr>
          <w:ilvl w:val="0"/>
          <w:numId w:val="63"/>
        </w:numPr>
        <w:tabs>
          <w:tab w:val="clear" w:pos="1080"/>
          <w:tab w:val="left" w:pos="851"/>
        </w:tabs>
        <w:spacing w:after="0"/>
        <w:rPr>
          <w:szCs w:val="24"/>
        </w:rPr>
      </w:pPr>
      <w:r w:rsidRPr="00DE0905">
        <w:rPr>
          <w:szCs w:val="24"/>
        </w:rPr>
        <w:t>Interest income</w:t>
      </w:r>
    </w:p>
    <w:p w:rsidR="00A86593" w:rsidRDefault="00A86593" w:rsidP="00A86593">
      <w:pPr>
        <w:pStyle w:val="ListParagraph"/>
      </w:pPr>
    </w:p>
    <w:p w:rsidR="00A86593" w:rsidRDefault="00A86593" w:rsidP="00A86593">
      <w:pPr>
        <w:pStyle w:val="BodyTextIndent2"/>
        <w:tabs>
          <w:tab w:val="left" w:pos="851"/>
        </w:tabs>
        <w:spacing w:after="0"/>
        <w:ind w:left="851"/>
        <w:rPr>
          <w:szCs w:val="24"/>
        </w:rPr>
      </w:pPr>
      <w:r>
        <w:rPr>
          <w:szCs w:val="24"/>
        </w:rPr>
        <w:t xml:space="preserve">Interest income is recognised in the fund account as it accrues, using the effective interest rate of the financial instrument as at the date of acquisition or origination.  Income includes the amortisation of any discount or premium, transaction costs or other differences </w:t>
      </w:r>
      <w:r>
        <w:rPr>
          <w:szCs w:val="24"/>
        </w:rPr>
        <w:lastRenderedPageBreak/>
        <w:t>between the initial carrying amount of the instrument and its amount at maturity calculated on an effective interest rate basis.</w:t>
      </w:r>
    </w:p>
    <w:p w:rsidR="00A86593" w:rsidRDefault="00A86593" w:rsidP="00A86593">
      <w:pPr>
        <w:pStyle w:val="BodyTextIndent2"/>
        <w:tabs>
          <w:tab w:val="left" w:pos="851"/>
        </w:tabs>
        <w:spacing w:after="0"/>
        <w:ind w:left="851"/>
        <w:rPr>
          <w:szCs w:val="24"/>
        </w:rPr>
      </w:pPr>
    </w:p>
    <w:p w:rsidR="00A86593" w:rsidRDefault="00A86593" w:rsidP="00A86593">
      <w:pPr>
        <w:pStyle w:val="BodyTextIndent2"/>
        <w:numPr>
          <w:ilvl w:val="0"/>
          <w:numId w:val="63"/>
        </w:numPr>
        <w:tabs>
          <w:tab w:val="clear" w:pos="1080"/>
          <w:tab w:val="left" w:pos="851"/>
        </w:tabs>
        <w:spacing w:after="0"/>
        <w:rPr>
          <w:szCs w:val="24"/>
        </w:rPr>
      </w:pPr>
      <w:r>
        <w:rPr>
          <w:szCs w:val="24"/>
        </w:rPr>
        <w:t>Dividend income</w:t>
      </w:r>
    </w:p>
    <w:p w:rsidR="00A86593" w:rsidRDefault="00A86593" w:rsidP="00A86593">
      <w:pPr>
        <w:pStyle w:val="BodyTextIndent2"/>
        <w:tabs>
          <w:tab w:val="left" w:pos="851"/>
        </w:tabs>
        <w:spacing w:after="0"/>
        <w:ind w:left="927"/>
        <w:rPr>
          <w:szCs w:val="24"/>
        </w:rPr>
      </w:pPr>
    </w:p>
    <w:p w:rsidR="00A86593" w:rsidRDefault="00A86593" w:rsidP="00A86593">
      <w:pPr>
        <w:pStyle w:val="BodyTextIndent2"/>
        <w:tabs>
          <w:tab w:val="left" w:pos="851"/>
        </w:tabs>
        <w:spacing w:after="0"/>
        <w:ind w:left="851"/>
        <w:rPr>
          <w:szCs w:val="24"/>
        </w:rPr>
      </w:pPr>
      <w:r>
        <w:rPr>
          <w:szCs w:val="24"/>
        </w:rPr>
        <w:t>Dividend income is recognised on the date the shares are quoted ex-dividend.  Any amount not received by end of the reporting period is disclosed in the net asset statement as a current financial asset.</w:t>
      </w:r>
    </w:p>
    <w:p w:rsidR="00A86593" w:rsidRDefault="00A86593" w:rsidP="00A86593">
      <w:pPr>
        <w:pStyle w:val="BodyTextIndent2"/>
        <w:tabs>
          <w:tab w:val="left" w:pos="851"/>
        </w:tabs>
        <w:spacing w:after="0"/>
        <w:ind w:left="927"/>
        <w:rPr>
          <w:szCs w:val="24"/>
        </w:rPr>
      </w:pPr>
    </w:p>
    <w:p w:rsidR="00A86593" w:rsidRDefault="00A86593" w:rsidP="00A86593">
      <w:pPr>
        <w:pStyle w:val="BodyTextIndent2"/>
        <w:numPr>
          <w:ilvl w:val="0"/>
          <w:numId w:val="63"/>
        </w:numPr>
        <w:tabs>
          <w:tab w:val="clear" w:pos="1080"/>
          <w:tab w:val="left" w:pos="851"/>
        </w:tabs>
        <w:spacing w:after="0"/>
        <w:rPr>
          <w:szCs w:val="24"/>
        </w:rPr>
      </w:pPr>
      <w:r>
        <w:rPr>
          <w:szCs w:val="24"/>
        </w:rPr>
        <w:t>Distribution from pooled funds</w:t>
      </w:r>
    </w:p>
    <w:p w:rsidR="00A86593" w:rsidRDefault="00A86593" w:rsidP="00A86593">
      <w:pPr>
        <w:pStyle w:val="BodyTextIndent2"/>
        <w:tabs>
          <w:tab w:val="left" w:pos="851"/>
        </w:tabs>
        <w:spacing w:after="0"/>
        <w:ind w:left="927"/>
        <w:rPr>
          <w:szCs w:val="24"/>
        </w:rPr>
      </w:pPr>
    </w:p>
    <w:p w:rsidR="00A86593" w:rsidRDefault="00A86593" w:rsidP="00A86593">
      <w:pPr>
        <w:pStyle w:val="BodyTextIndent2"/>
        <w:tabs>
          <w:tab w:val="left" w:pos="851"/>
        </w:tabs>
        <w:spacing w:after="0"/>
        <w:ind w:left="851"/>
        <w:rPr>
          <w:szCs w:val="24"/>
        </w:rPr>
      </w:pPr>
      <w:r>
        <w:rPr>
          <w:szCs w:val="24"/>
        </w:rPr>
        <w:t>Distributions from pooled funds are recognised at the date of issue.  Any amount not received by the end of the reporting period is disclosed in the net asset statement as a current financial asset.</w:t>
      </w:r>
    </w:p>
    <w:p w:rsidR="00A86593" w:rsidRDefault="00A86593" w:rsidP="00A86593">
      <w:pPr>
        <w:pStyle w:val="BodyTextIndent2"/>
        <w:tabs>
          <w:tab w:val="left" w:pos="851"/>
        </w:tabs>
        <w:spacing w:after="0"/>
        <w:ind w:left="927"/>
        <w:rPr>
          <w:szCs w:val="24"/>
        </w:rPr>
      </w:pPr>
    </w:p>
    <w:p w:rsidR="00A86593" w:rsidRDefault="00A86593" w:rsidP="00A86593">
      <w:pPr>
        <w:pStyle w:val="BodyTextIndent2"/>
        <w:numPr>
          <w:ilvl w:val="0"/>
          <w:numId w:val="63"/>
        </w:numPr>
        <w:tabs>
          <w:tab w:val="clear" w:pos="1080"/>
          <w:tab w:val="left" w:pos="851"/>
        </w:tabs>
        <w:spacing w:after="0"/>
        <w:rPr>
          <w:szCs w:val="24"/>
        </w:rPr>
      </w:pPr>
      <w:r>
        <w:rPr>
          <w:szCs w:val="24"/>
        </w:rPr>
        <w:t>Rental income</w:t>
      </w:r>
    </w:p>
    <w:p w:rsidR="00A86593" w:rsidRDefault="00A86593" w:rsidP="00A86593">
      <w:pPr>
        <w:pStyle w:val="BodyTextIndent2"/>
        <w:tabs>
          <w:tab w:val="left" w:pos="851"/>
        </w:tabs>
        <w:spacing w:after="0"/>
        <w:ind w:left="927"/>
        <w:rPr>
          <w:szCs w:val="24"/>
        </w:rPr>
      </w:pPr>
    </w:p>
    <w:p w:rsidR="00A86593" w:rsidRDefault="00A86593" w:rsidP="00A86593">
      <w:pPr>
        <w:pStyle w:val="BodyTextIndent2"/>
        <w:tabs>
          <w:tab w:val="left" w:pos="851"/>
        </w:tabs>
        <w:spacing w:after="0"/>
        <w:ind w:left="851"/>
        <w:rPr>
          <w:szCs w:val="24"/>
        </w:rPr>
      </w:pPr>
      <w:r>
        <w:rPr>
          <w:szCs w:val="24"/>
        </w:rPr>
        <w:t>Rental income from operating leases on properties owned by the fund is recognised on a straight line basis over the term of the lease.  Any lease incentives granted are recognised as an integral part of the total rental income, over the term of the lease.  Contingent rents are only recognised when contractually due.</w:t>
      </w:r>
    </w:p>
    <w:p w:rsidR="00A86593" w:rsidRPr="00116B9E" w:rsidRDefault="00A86593" w:rsidP="00A86593">
      <w:pPr>
        <w:pStyle w:val="BodyTextIndent2"/>
        <w:tabs>
          <w:tab w:val="left" w:pos="851"/>
        </w:tabs>
        <w:spacing w:after="0"/>
        <w:ind w:left="927"/>
        <w:rPr>
          <w:szCs w:val="24"/>
        </w:rPr>
      </w:pPr>
    </w:p>
    <w:p w:rsidR="00A86593" w:rsidRDefault="00A86593" w:rsidP="00A86593">
      <w:pPr>
        <w:ind w:left="426"/>
        <w:rPr>
          <w:b/>
        </w:rPr>
      </w:pPr>
      <w:r>
        <w:rPr>
          <w:b/>
        </w:rPr>
        <w:t>Fund Account –expense items</w:t>
      </w:r>
    </w:p>
    <w:p w:rsidR="00A86593" w:rsidRDefault="00A86593" w:rsidP="00A86593">
      <w:pPr>
        <w:rPr>
          <w:b/>
        </w:rPr>
      </w:pPr>
    </w:p>
    <w:p w:rsidR="00A86593" w:rsidRDefault="00A86593" w:rsidP="00A86593">
      <w:pPr>
        <w:numPr>
          <w:ilvl w:val="0"/>
          <w:numId w:val="61"/>
        </w:numPr>
        <w:tabs>
          <w:tab w:val="num" w:pos="851"/>
        </w:tabs>
        <w:ind w:left="1113" w:hanging="546"/>
        <w:rPr>
          <w:b/>
        </w:rPr>
      </w:pPr>
      <w:r>
        <w:rPr>
          <w:b/>
        </w:rPr>
        <w:t>Benefits payable</w:t>
      </w:r>
    </w:p>
    <w:p w:rsidR="00A86593" w:rsidRDefault="00A86593" w:rsidP="00A86593">
      <w:pPr>
        <w:ind w:left="1113"/>
        <w:rPr>
          <w:b/>
        </w:rPr>
      </w:pPr>
    </w:p>
    <w:p w:rsidR="00A86593" w:rsidRDefault="00A86593" w:rsidP="00A86593">
      <w:pPr>
        <w:tabs>
          <w:tab w:val="left" w:pos="851"/>
        </w:tabs>
        <w:ind w:left="851"/>
        <w:jc w:val="both"/>
      </w:pPr>
      <w:r>
        <w:t>Pensions and lump sum benefits payable included all amounts known to be due as at the end of the financial year.  Any amounts due but unpaid are disclosed on the net asset statement as current liabilities.</w:t>
      </w:r>
    </w:p>
    <w:p w:rsidR="00A86593" w:rsidRDefault="00A86593" w:rsidP="00A86593">
      <w:pPr>
        <w:tabs>
          <w:tab w:val="left" w:pos="851"/>
        </w:tabs>
        <w:ind w:left="851"/>
        <w:jc w:val="both"/>
      </w:pPr>
    </w:p>
    <w:p w:rsidR="00A86593" w:rsidRDefault="00A86593" w:rsidP="00A86593">
      <w:pPr>
        <w:numPr>
          <w:ilvl w:val="0"/>
          <w:numId w:val="61"/>
        </w:numPr>
        <w:tabs>
          <w:tab w:val="num" w:pos="851"/>
        </w:tabs>
        <w:ind w:left="1113" w:hanging="546"/>
        <w:rPr>
          <w:b/>
        </w:rPr>
      </w:pPr>
      <w:r w:rsidRPr="007E6060">
        <w:rPr>
          <w:b/>
        </w:rPr>
        <w:t>Taxation</w:t>
      </w:r>
    </w:p>
    <w:p w:rsidR="00A86593" w:rsidRDefault="00A86593" w:rsidP="00A86593">
      <w:pPr>
        <w:ind w:left="1113"/>
        <w:rPr>
          <w:b/>
        </w:rPr>
      </w:pPr>
    </w:p>
    <w:p w:rsidR="00A86593" w:rsidRDefault="00A86593" w:rsidP="00A86593">
      <w:pPr>
        <w:tabs>
          <w:tab w:val="left" w:pos="851"/>
        </w:tabs>
        <w:ind w:left="851"/>
        <w:jc w:val="both"/>
      </w:pPr>
      <w:r>
        <w:t>The fund is a registered public service scheme under section 1(1) of Schedule 36 of the Finance Act 2004 and as such is exempt from UK income tax on interest received and from capital gains tax on the proceeds of investments sold.  Income from overseas investments suffers withholding tax in the country of origin, unless exemption is permitted.  Irrecoverable tax is accounted for as a fund expense as it arises.</w:t>
      </w:r>
    </w:p>
    <w:p w:rsidR="00A86593" w:rsidRDefault="00A86593" w:rsidP="00A86593">
      <w:pPr>
        <w:tabs>
          <w:tab w:val="left" w:pos="851"/>
        </w:tabs>
        <w:ind w:left="851"/>
        <w:jc w:val="both"/>
      </w:pPr>
    </w:p>
    <w:p w:rsidR="00A86593" w:rsidRPr="009504F6" w:rsidRDefault="00A86593" w:rsidP="00A86593">
      <w:pPr>
        <w:numPr>
          <w:ilvl w:val="0"/>
          <w:numId w:val="61"/>
        </w:numPr>
        <w:tabs>
          <w:tab w:val="num" w:pos="851"/>
        </w:tabs>
        <w:ind w:left="1113" w:hanging="546"/>
      </w:pPr>
      <w:r w:rsidRPr="00C44323">
        <w:rPr>
          <w:b/>
        </w:rPr>
        <w:t>Administrative</w:t>
      </w:r>
      <w:r w:rsidRPr="00C44323">
        <w:t xml:space="preserve"> </w:t>
      </w:r>
      <w:r w:rsidRPr="00C44323">
        <w:rPr>
          <w:b/>
        </w:rPr>
        <w:t>expenses</w:t>
      </w:r>
    </w:p>
    <w:p w:rsidR="00A86593" w:rsidRPr="00C44323" w:rsidRDefault="00A86593" w:rsidP="00A86593">
      <w:pPr>
        <w:ind w:left="1113"/>
      </w:pPr>
    </w:p>
    <w:p w:rsidR="00A86593" w:rsidRDefault="00A86593" w:rsidP="00A86593">
      <w:pPr>
        <w:tabs>
          <w:tab w:val="left" w:pos="851"/>
        </w:tabs>
        <w:ind w:left="851"/>
        <w:jc w:val="both"/>
      </w:pPr>
      <w:r w:rsidRPr="00C44323">
        <w:t>All administrative expenses are accounted for on an accruals basis.</w:t>
      </w:r>
      <w:r>
        <w:t xml:space="preserve"> </w:t>
      </w:r>
      <w:r w:rsidRPr="00166665">
        <w:t>All other costs of administration are borne by the employer.  The administration and processing expenses are a proportion of relevant officers' salaries in respect of the time allocated to pension administration and investment issues.</w:t>
      </w:r>
    </w:p>
    <w:p w:rsidR="00A86593" w:rsidRDefault="00A86593" w:rsidP="00A86593">
      <w:pPr>
        <w:tabs>
          <w:tab w:val="left" w:pos="851"/>
        </w:tabs>
        <w:ind w:left="851"/>
        <w:jc w:val="both"/>
      </w:pPr>
    </w:p>
    <w:p w:rsidR="00A86593" w:rsidRDefault="00A86593" w:rsidP="00A86593">
      <w:pPr>
        <w:tabs>
          <w:tab w:val="left" w:pos="851"/>
        </w:tabs>
        <w:ind w:left="851"/>
        <w:jc w:val="both"/>
      </w:pPr>
    </w:p>
    <w:p w:rsidR="00A86593" w:rsidRDefault="00A86593" w:rsidP="00A86593">
      <w:pPr>
        <w:tabs>
          <w:tab w:val="left" w:pos="851"/>
        </w:tabs>
        <w:ind w:left="851"/>
        <w:jc w:val="both"/>
      </w:pPr>
    </w:p>
    <w:p w:rsidR="00A86593" w:rsidRDefault="00A86593" w:rsidP="00A86593">
      <w:pPr>
        <w:tabs>
          <w:tab w:val="left" w:pos="851"/>
        </w:tabs>
        <w:ind w:left="851"/>
        <w:jc w:val="both"/>
      </w:pPr>
    </w:p>
    <w:p w:rsidR="00811649" w:rsidRDefault="00811649">
      <w:r>
        <w:br w:type="page"/>
      </w:r>
    </w:p>
    <w:p w:rsidR="00A86593" w:rsidRPr="007E6060" w:rsidRDefault="00A86593" w:rsidP="00A86593">
      <w:pPr>
        <w:tabs>
          <w:tab w:val="left" w:pos="851"/>
        </w:tabs>
        <w:ind w:left="851"/>
        <w:jc w:val="both"/>
      </w:pPr>
    </w:p>
    <w:p w:rsidR="00A86593" w:rsidRDefault="00A86593" w:rsidP="00A86593">
      <w:pPr>
        <w:numPr>
          <w:ilvl w:val="0"/>
          <w:numId w:val="61"/>
        </w:numPr>
        <w:tabs>
          <w:tab w:val="num" w:pos="851"/>
        </w:tabs>
        <w:ind w:left="1113" w:hanging="546"/>
        <w:rPr>
          <w:b/>
        </w:rPr>
      </w:pPr>
      <w:r>
        <w:rPr>
          <w:b/>
        </w:rPr>
        <w:t>Investment Manager expenses</w:t>
      </w:r>
    </w:p>
    <w:p w:rsidR="00A86593" w:rsidRDefault="00A86593" w:rsidP="00A86593">
      <w:pPr>
        <w:ind w:left="1113"/>
        <w:rPr>
          <w:b/>
        </w:rPr>
      </w:pPr>
    </w:p>
    <w:p w:rsidR="00A86593" w:rsidRDefault="00A86593" w:rsidP="00A86593">
      <w:pPr>
        <w:tabs>
          <w:tab w:val="left" w:pos="851"/>
        </w:tabs>
        <w:ind w:left="851"/>
        <w:jc w:val="both"/>
      </w:pPr>
      <w:r w:rsidRPr="007E4386">
        <w:t>Investment</w:t>
      </w:r>
      <w:r w:rsidRPr="007E4386">
        <w:rPr>
          <w:b/>
        </w:rPr>
        <w:t xml:space="preserve"> </w:t>
      </w:r>
      <w:r w:rsidRPr="007E4386">
        <w:t>management expenses</w:t>
      </w:r>
      <w:r>
        <w:t xml:space="preserve"> are accounted for on an accruals basis.  They </w:t>
      </w:r>
      <w:r w:rsidRPr="007E4386">
        <w:t>include the fees paid and due to the fund managers</w:t>
      </w:r>
      <w:r>
        <w:t xml:space="preserve">, custodian, actuarial fees and </w:t>
      </w:r>
      <w:r w:rsidRPr="007E4386">
        <w:t xml:space="preserve">performance measurement and investment consultant fees. </w:t>
      </w:r>
    </w:p>
    <w:p w:rsidR="00A86593" w:rsidRDefault="00A86593" w:rsidP="00A86593">
      <w:pPr>
        <w:tabs>
          <w:tab w:val="left" w:pos="851"/>
        </w:tabs>
        <w:ind w:left="851"/>
        <w:jc w:val="both"/>
      </w:pPr>
    </w:p>
    <w:p w:rsidR="00A86593" w:rsidRDefault="00A86593" w:rsidP="00A86593">
      <w:pPr>
        <w:tabs>
          <w:tab w:val="left" w:pos="851"/>
        </w:tabs>
        <w:ind w:left="851"/>
        <w:jc w:val="both"/>
      </w:pPr>
      <w:r>
        <w:t>Fees of the external investment managers and custodian are agreed in the respective mandates governing their appointments.  Broadly, these are based on the market value of investments under their management and therefore increase or reduce as the value of these investments change.</w:t>
      </w:r>
    </w:p>
    <w:p w:rsidR="00A86593" w:rsidRDefault="00A86593" w:rsidP="00A86593">
      <w:pPr>
        <w:tabs>
          <w:tab w:val="left" w:pos="851"/>
        </w:tabs>
        <w:ind w:left="851"/>
        <w:jc w:val="both"/>
      </w:pPr>
    </w:p>
    <w:p w:rsidR="00A86593" w:rsidRDefault="00A86593" w:rsidP="00A86593">
      <w:pPr>
        <w:tabs>
          <w:tab w:val="left" w:pos="851"/>
        </w:tabs>
        <w:ind w:left="851"/>
        <w:jc w:val="both"/>
      </w:pPr>
      <w:r w:rsidRPr="00B2040B">
        <w:t>The fund does not currently pay performance related fees to its investment managers.</w:t>
      </w:r>
    </w:p>
    <w:p w:rsidR="00A86593" w:rsidRPr="007E4386" w:rsidRDefault="00A86593" w:rsidP="00A86593">
      <w:pPr>
        <w:tabs>
          <w:tab w:val="left" w:pos="851"/>
        </w:tabs>
        <w:ind w:left="851"/>
        <w:jc w:val="both"/>
        <w:rPr>
          <w:b/>
        </w:rPr>
      </w:pPr>
      <w:r>
        <w:t>When an investment manager's fee note has not been received by the net asset statement date, an estimate based on market value of their mandate as at year end is used for the inclusion in the fund account</w:t>
      </w:r>
      <w:r w:rsidRPr="00824B09">
        <w:t>.  In 2011/12 £1,262,317.80 of fees is based on such estimates (2010/11 £1,294,239.45).</w:t>
      </w:r>
    </w:p>
    <w:p w:rsidR="00A86593" w:rsidRPr="003B5697" w:rsidRDefault="00A86593" w:rsidP="00A86593">
      <w:pPr>
        <w:rPr>
          <w:b/>
        </w:rPr>
      </w:pPr>
    </w:p>
    <w:p w:rsidR="00A86593" w:rsidRDefault="00A86593" w:rsidP="00A86593">
      <w:pPr>
        <w:ind w:left="426"/>
        <w:rPr>
          <w:b/>
        </w:rPr>
      </w:pPr>
      <w:r>
        <w:rPr>
          <w:b/>
        </w:rPr>
        <w:t>Net asset statement</w:t>
      </w:r>
    </w:p>
    <w:p w:rsidR="00A86593" w:rsidRPr="00326069" w:rsidRDefault="00A86593" w:rsidP="00A86593">
      <w:pPr>
        <w:rPr>
          <w:b/>
        </w:rPr>
      </w:pPr>
    </w:p>
    <w:p w:rsidR="00A86593" w:rsidRDefault="00A86593" w:rsidP="00A86593">
      <w:pPr>
        <w:numPr>
          <w:ilvl w:val="0"/>
          <w:numId w:val="61"/>
        </w:numPr>
        <w:tabs>
          <w:tab w:val="num" w:pos="851"/>
        </w:tabs>
        <w:ind w:left="1113" w:hanging="546"/>
        <w:rPr>
          <w:b/>
        </w:rPr>
      </w:pPr>
      <w:r>
        <w:rPr>
          <w:b/>
        </w:rPr>
        <w:t xml:space="preserve">Financial Instruments </w:t>
      </w:r>
    </w:p>
    <w:p w:rsidR="00A86593" w:rsidRDefault="00A86593" w:rsidP="00A86593">
      <w:pPr>
        <w:ind w:left="1113"/>
        <w:rPr>
          <w:b/>
        </w:rPr>
      </w:pPr>
    </w:p>
    <w:p w:rsidR="00A86593" w:rsidRDefault="00A86593" w:rsidP="00A86593">
      <w:pPr>
        <w:pStyle w:val="BodyTextIndent2"/>
        <w:tabs>
          <w:tab w:val="left" w:pos="851"/>
        </w:tabs>
        <w:spacing w:after="0"/>
        <w:ind w:left="851"/>
        <w:rPr>
          <w:szCs w:val="24"/>
        </w:rPr>
      </w:pPr>
      <w:r>
        <w:rPr>
          <w:szCs w:val="24"/>
        </w:rPr>
        <w:t>Financial assets are included in the net asset statement on a fair value basis as at the reporting date.  A financial asset is recognised in the net asset statement on the date the fund becomes party to the contractual acquisition of the asset.  From this date any gains or losses arising from changes in the fair value of the asset are recognised by the fund.</w:t>
      </w:r>
    </w:p>
    <w:p w:rsidR="00A86593" w:rsidRDefault="00A86593" w:rsidP="00A86593">
      <w:pPr>
        <w:pStyle w:val="BodyTextIndent2"/>
        <w:tabs>
          <w:tab w:val="left" w:pos="851"/>
        </w:tabs>
        <w:spacing w:after="0"/>
        <w:ind w:left="851"/>
        <w:rPr>
          <w:szCs w:val="24"/>
        </w:rPr>
      </w:pPr>
    </w:p>
    <w:p w:rsidR="00A86593" w:rsidRDefault="00A86593" w:rsidP="00A86593">
      <w:pPr>
        <w:pStyle w:val="BodyTextIndent2"/>
        <w:tabs>
          <w:tab w:val="left" w:pos="851"/>
        </w:tabs>
        <w:spacing w:after="0"/>
        <w:ind w:left="851"/>
        <w:rPr>
          <w:szCs w:val="24"/>
        </w:rPr>
      </w:pPr>
      <w:r w:rsidRPr="000A78DD">
        <w:rPr>
          <w:szCs w:val="24"/>
        </w:rPr>
        <w:t xml:space="preserve">On initial recognition the Fund </w:t>
      </w:r>
      <w:r>
        <w:rPr>
          <w:szCs w:val="24"/>
        </w:rPr>
        <w:t>is required to classify financial assets and liabilities into held to maturity investments, available for sale financial assets, held for trading, designated at fair value through profit and loss or loans and receivables.</w:t>
      </w:r>
    </w:p>
    <w:p w:rsidR="00A86593" w:rsidRDefault="00A86593" w:rsidP="00A86593">
      <w:pPr>
        <w:pStyle w:val="BodyTextIndent2"/>
        <w:tabs>
          <w:tab w:val="left" w:pos="851"/>
        </w:tabs>
        <w:spacing w:after="0"/>
        <w:ind w:left="851"/>
        <w:rPr>
          <w:szCs w:val="24"/>
        </w:rPr>
      </w:pPr>
    </w:p>
    <w:p w:rsidR="00A86593" w:rsidRDefault="00A86593" w:rsidP="00A86593">
      <w:pPr>
        <w:pStyle w:val="BodyTextIndent2"/>
        <w:tabs>
          <w:tab w:val="left" w:pos="851"/>
        </w:tabs>
        <w:spacing w:after="0"/>
        <w:ind w:left="851"/>
        <w:rPr>
          <w:szCs w:val="24"/>
        </w:rPr>
      </w:pPr>
      <w:r>
        <w:rPr>
          <w:szCs w:val="24"/>
        </w:rPr>
        <w:t>The assets and liabilities held by Lancashire County Pension Fund are classified as designated at fair value through profit and loss, loans and receivables and liabilities at amortised cost.</w:t>
      </w:r>
    </w:p>
    <w:p w:rsidR="00A86593" w:rsidRPr="00384C6F" w:rsidRDefault="00A86593" w:rsidP="00A86593">
      <w:pPr>
        <w:pStyle w:val="BodyTextIndent2"/>
        <w:tabs>
          <w:tab w:val="left" w:pos="851"/>
        </w:tabs>
        <w:spacing w:after="0"/>
        <w:ind w:left="851"/>
        <w:rPr>
          <w:b/>
          <w:szCs w:val="24"/>
        </w:rPr>
      </w:pPr>
    </w:p>
    <w:p w:rsidR="00A86593" w:rsidRDefault="00A86593" w:rsidP="00A86593">
      <w:pPr>
        <w:pStyle w:val="BodyTextIndent2"/>
        <w:tabs>
          <w:tab w:val="left" w:pos="851"/>
        </w:tabs>
        <w:spacing w:after="0"/>
        <w:ind w:left="851"/>
        <w:rPr>
          <w:b/>
          <w:szCs w:val="24"/>
        </w:rPr>
      </w:pPr>
      <w:r w:rsidRPr="00384C6F">
        <w:rPr>
          <w:b/>
          <w:szCs w:val="24"/>
        </w:rPr>
        <w:t>Financial instruments at fair value through profit or loss</w:t>
      </w:r>
    </w:p>
    <w:p w:rsidR="00A86593" w:rsidRDefault="00A86593" w:rsidP="00A86593">
      <w:pPr>
        <w:pStyle w:val="BodyTextIndent2"/>
        <w:tabs>
          <w:tab w:val="left" w:pos="851"/>
        </w:tabs>
        <w:spacing w:after="0"/>
        <w:ind w:left="851"/>
        <w:rPr>
          <w:b/>
          <w:szCs w:val="24"/>
        </w:rPr>
      </w:pPr>
    </w:p>
    <w:p w:rsidR="00A86593" w:rsidRDefault="00A86593" w:rsidP="00A86593">
      <w:pPr>
        <w:pStyle w:val="BodyTextIndent2"/>
        <w:tabs>
          <w:tab w:val="left" w:pos="851"/>
        </w:tabs>
        <w:spacing w:after="0"/>
        <w:ind w:left="851"/>
        <w:rPr>
          <w:szCs w:val="24"/>
        </w:rPr>
      </w:pPr>
      <w:r>
        <w:rPr>
          <w:szCs w:val="24"/>
        </w:rPr>
        <w:t xml:space="preserve">Financial assets may be designated as at fair value through profit or loss only if such designation (a) eliminates or significantly reduces a measurement or recognition inconsistency; or (b) applies to a group of financial assets, financial liabilities or both that the fund manages and evaluates on a fair value basis; or (c) relates to an instrument that contains an embedded derivative which is not evidently closely related to the host contract.  </w:t>
      </w:r>
    </w:p>
    <w:p w:rsidR="00A86593" w:rsidRDefault="00A86593" w:rsidP="00A86593">
      <w:pPr>
        <w:pStyle w:val="BodyTextIndent2"/>
        <w:tabs>
          <w:tab w:val="left" w:pos="851"/>
        </w:tabs>
        <w:spacing w:after="0"/>
        <w:ind w:left="851"/>
        <w:rPr>
          <w:szCs w:val="24"/>
        </w:rPr>
      </w:pPr>
    </w:p>
    <w:p w:rsidR="00A86593" w:rsidRDefault="00A86593" w:rsidP="00A86593">
      <w:pPr>
        <w:pStyle w:val="BodyTextIndent2"/>
        <w:tabs>
          <w:tab w:val="left" w:pos="851"/>
        </w:tabs>
        <w:spacing w:after="0"/>
        <w:ind w:left="851"/>
        <w:rPr>
          <w:b/>
          <w:szCs w:val="24"/>
        </w:rPr>
      </w:pPr>
      <w:r w:rsidRPr="00384C6F">
        <w:rPr>
          <w:b/>
          <w:szCs w:val="24"/>
        </w:rPr>
        <w:t>Loans and receivables</w:t>
      </w:r>
    </w:p>
    <w:p w:rsidR="00A86593" w:rsidRDefault="00A86593" w:rsidP="00A86593">
      <w:pPr>
        <w:pStyle w:val="BodyTextIndent2"/>
        <w:tabs>
          <w:tab w:val="left" w:pos="851"/>
        </w:tabs>
        <w:spacing w:after="0"/>
        <w:ind w:left="851"/>
        <w:rPr>
          <w:b/>
          <w:szCs w:val="24"/>
        </w:rPr>
      </w:pPr>
    </w:p>
    <w:p w:rsidR="00A86593" w:rsidRDefault="00A86593" w:rsidP="00A86593">
      <w:pPr>
        <w:pStyle w:val="BodyTextIndent2"/>
        <w:tabs>
          <w:tab w:val="left" w:pos="851"/>
        </w:tabs>
        <w:spacing w:after="0"/>
        <w:ind w:left="851"/>
        <w:rPr>
          <w:szCs w:val="24"/>
        </w:rPr>
      </w:pPr>
      <w:r>
        <w:rPr>
          <w:szCs w:val="24"/>
        </w:rPr>
        <w:t>Loans and receivables are non derivative financial assets with fixed or determinable payments that are not quoted in an active market.</w:t>
      </w:r>
    </w:p>
    <w:p w:rsidR="00A86593" w:rsidRDefault="00A86593" w:rsidP="00A86593">
      <w:pPr>
        <w:pStyle w:val="BodyTextIndent2"/>
        <w:tabs>
          <w:tab w:val="left" w:pos="851"/>
        </w:tabs>
        <w:spacing w:after="0"/>
        <w:ind w:left="851"/>
        <w:rPr>
          <w:szCs w:val="24"/>
        </w:rPr>
      </w:pPr>
    </w:p>
    <w:p w:rsidR="00A86593" w:rsidRDefault="00A86593" w:rsidP="00A86593">
      <w:pPr>
        <w:pStyle w:val="BodyTextIndent2"/>
        <w:tabs>
          <w:tab w:val="left" w:pos="851"/>
        </w:tabs>
        <w:spacing w:after="0"/>
        <w:ind w:left="851"/>
        <w:rPr>
          <w:szCs w:val="24"/>
        </w:rPr>
      </w:pPr>
      <w:r>
        <w:rPr>
          <w:szCs w:val="24"/>
        </w:rPr>
        <w:t>The fund's loans and receivables comprise of trade and other receivables and cash deposits.</w:t>
      </w:r>
    </w:p>
    <w:p w:rsidR="00A86593" w:rsidRDefault="00A86593" w:rsidP="00A86593">
      <w:pPr>
        <w:pStyle w:val="BodyTextIndent2"/>
        <w:tabs>
          <w:tab w:val="left" w:pos="851"/>
        </w:tabs>
        <w:spacing w:after="0"/>
        <w:ind w:left="851"/>
        <w:rPr>
          <w:b/>
          <w:szCs w:val="24"/>
        </w:rPr>
      </w:pPr>
    </w:p>
    <w:p w:rsidR="00A86593" w:rsidRDefault="00A86593" w:rsidP="00A86593">
      <w:pPr>
        <w:pStyle w:val="BodyTextIndent2"/>
        <w:tabs>
          <w:tab w:val="left" w:pos="851"/>
        </w:tabs>
        <w:spacing w:after="0"/>
        <w:ind w:left="851"/>
        <w:rPr>
          <w:b/>
          <w:szCs w:val="24"/>
        </w:rPr>
      </w:pPr>
      <w:r w:rsidRPr="009C228D">
        <w:rPr>
          <w:b/>
          <w:szCs w:val="24"/>
        </w:rPr>
        <w:t>Financial liabilities at amortised cost</w:t>
      </w:r>
    </w:p>
    <w:p w:rsidR="00A86593" w:rsidRDefault="00A86593" w:rsidP="00A86593">
      <w:pPr>
        <w:pStyle w:val="BodyTextIndent2"/>
        <w:tabs>
          <w:tab w:val="left" w:pos="851"/>
        </w:tabs>
        <w:spacing w:after="0"/>
        <w:ind w:left="851"/>
        <w:rPr>
          <w:b/>
          <w:szCs w:val="24"/>
        </w:rPr>
      </w:pPr>
    </w:p>
    <w:p w:rsidR="00A86593" w:rsidRDefault="00A86593" w:rsidP="00A86593">
      <w:pPr>
        <w:pStyle w:val="BodyTextIndent2"/>
        <w:tabs>
          <w:tab w:val="left" w:pos="851"/>
        </w:tabs>
        <w:spacing w:after="0"/>
        <w:ind w:left="851"/>
        <w:rPr>
          <w:szCs w:val="24"/>
        </w:rPr>
      </w:pPr>
      <w:r w:rsidRPr="009C228D">
        <w:rPr>
          <w:szCs w:val="24"/>
        </w:rPr>
        <w:t>Financial liabilities at amortised cost are the default category for financial instruments that do not meet the definition of financial liabilities at fair value through profit and loss.</w:t>
      </w:r>
    </w:p>
    <w:p w:rsidR="00A86593" w:rsidRDefault="00A86593" w:rsidP="00A86593">
      <w:pPr>
        <w:pStyle w:val="BodyTextIndent2"/>
        <w:tabs>
          <w:tab w:val="left" w:pos="851"/>
        </w:tabs>
        <w:spacing w:after="0"/>
        <w:ind w:left="851"/>
        <w:rPr>
          <w:szCs w:val="24"/>
        </w:rPr>
      </w:pPr>
    </w:p>
    <w:p w:rsidR="00A86593" w:rsidRPr="009C228D" w:rsidRDefault="00A86593" w:rsidP="00A86593">
      <w:pPr>
        <w:pStyle w:val="BodyTextIndent2"/>
        <w:tabs>
          <w:tab w:val="left" w:pos="851"/>
        </w:tabs>
        <w:spacing w:after="0"/>
        <w:ind w:left="851"/>
        <w:rPr>
          <w:szCs w:val="24"/>
        </w:rPr>
      </w:pPr>
    </w:p>
    <w:p w:rsidR="00A86593" w:rsidRPr="00DE0905" w:rsidRDefault="00A86593" w:rsidP="00A86593">
      <w:pPr>
        <w:numPr>
          <w:ilvl w:val="0"/>
          <w:numId w:val="61"/>
        </w:numPr>
        <w:tabs>
          <w:tab w:val="num" w:pos="851"/>
        </w:tabs>
        <w:ind w:left="1113" w:hanging="546"/>
      </w:pPr>
      <w:r>
        <w:rPr>
          <w:b/>
        </w:rPr>
        <w:t>Valuation of Investments</w:t>
      </w:r>
    </w:p>
    <w:p w:rsidR="00A86593" w:rsidRPr="00166665" w:rsidRDefault="00A86593" w:rsidP="00A86593">
      <w:pPr>
        <w:ind w:left="1113"/>
      </w:pPr>
    </w:p>
    <w:p w:rsidR="00A86593" w:rsidRDefault="00A86593" w:rsidP="00A86593">
      <w:pPr>
        <w:pStyle w:val="BodyTextIndent2"/>
        <w:tabs>
          <w:tab w:val="left" w:pos="851"/>
        </w:tabs>
        <w:spacing w:after="0"/>
        <w:ind w:left="851"/>
        <w:rPr>
          <w:szCs w:val="24"/>
        </w:rPr>
      </w:pPr>
      <w:r w:rsidRPr="00166665">
        <w:rPr>
          <w:szCs w:val="24"/>
        </w:rPr>
        <w:t>Investments are shown at their fair value as at 31 March 201</w:t>
      </w:r>
      <w:r>
        <w:rPr>
          <w:szCs w:val="24"/>
        </w:rPr>
        <w:t>2</w:t>
      </w:r>
      <w:r w:rsidRPr="00166665">
        <w:rPr>
          <w:szCs w:val="24"/>
        </w:rPr>
        <w:t>.  The fair value is the current bid price for quoted securities and unitised securities.</w:t>
      </w:r>
    </w:p>
    <w:p w:rsidR="00A86593" w:rsidRPr="00166665" w:rsidRDefault="00A86593" w:rsidP="00A86593">
      <w:pPr>
        <w:pStyle w:val="BodyTextIndent2"/>
        <w:tabs>
          <w:tab w:val="left" w:pos="851"/>
        </w:tabs>
        <w:spacing w:after="0"/>
        <w:ind w:left="851"/>
        <w:rPr>
          <w:szCs w:val="24"/>
        </w:rPr>
      </w:pPr>
    </w:p>
    <w:p w:rsidR="00A86593" w:rsidRDefault="00A86593" w:rsidP="00A86593">
      <w:pPr>
        <w:ind w:left="851"/>
        <w:jc w:val="both"/>
      </w:pPr>
      <w:r w:rsidRPr="00166665">
        <w:t>Transaction costs are included</w:t>
      </w:r>
      <w:r>
        <w:t xml:space="preserve"> in carrying value of investments</w:t>
      </w:r>
      <w:r w:rsidRPr="00166665">
        <w:t xml:space="preserve">.  Transaction costs include costs charged directly to the Pension Fund, such as fees, commissions paid to agents, brokers and dealers, levies by regulatory agencies and securities exchanges and transfer taxes and duties.  </w:t>
      </w:r>
    </w:p>
    <w:p w:rsidR="00A86593" w:rsidRPr="00166665" w:rsidRDefault="00A86593" w:rsidP="00A86593">
      <w:pPr>
        <w:ind w:left="851"/>
        <w:jc w:val="both"/>
      </w:pPr>
    </w:p>
    <w:p w:rsidR="00A86593" w:rsidRDefault="00A86593" w:rsidP="00A86593">
      <w:pPr>
        <w:tabs>
          <w:tab w:val="left" w:pos="851"/>
        </w:tabs>
        <w:ind w:left="851"/>
        <w:jc w:val="both"/>
      </w:pPr>
      <w:r w:rsidRPr="00166665">
        <w:t>Investments in Private Equity are valued at fair value in accordance with the guidelines issued by the British Venture Capital Association, or equivalent.</w:t>
      </w:r>
    </w:p>
    <w:p w:rsidR="00A86593" w:rsidRPr="00166665" w:rsidRDefault="00A86593" w:rsidP="00A86593">
      <w:pPr>
        <w:tabs>
          <w:tab w:val="left" w:pos="851"/>
        </w:tabs>
        <w:ind w:left="851"/>
        <w:jc w:val="both"/>
      </w:pPr>
    </w:p>
    <w:p w:rsidR="00A86593" w:rsidRDefault="00A86593" w:rsidP="00A86593">
      <w:pPr>
        <w:tabs>
          <w:tab w:val="left" w:pos="851"/>
        </w:tabs>
        <w:ind w:left="851"/>
        <w:jc w:val="both"/>
      </w:pPr>
      <w:r w:rsidRPr="00166665">
        <w:t>Investments in the Hedge Fund of Funds portfolio are valued at fair value on the basis of the closing market valuation provided by the administrator of each underlying fund.</w:t>
      </w:r>
    </w:p>
    <w:p w:rsidR="00A86593" w:rsidRDefault="00A86593" w:rsidP="00A86593">
      <w:pPr>
        <w:tabs>
          <w:tab w:val="left" w:pos="851"/>
        </w:tabs>
        <w:ind w:left="851"/>
        <w:jc w:val="both"/>
      </w:pPr>
    </w:p>
    <w:p w:rsidR="00A86593" w:rsidRDefault="00A86593" w:rsidP="00A86593">
      <w:pPr>
        <w:tabs>
          <w:tab w:val="left" w:pos="851"/>
        </w:tabs>
        <w:ind w:left="851"/>
        <w:jc w:val="both"/>
      </w:pPr>
      <w:r>
        <w:t xml:space="preserve">The methodologies adopted in valuing financial instruments are explained in greater detail in </w:t>
      </w:r>
      <w:r w:rsidRPr="00030B7C">
        <w:t>note 1</w:t>
      </w:r>
      <w:r>
        <w:t>8</w:t>
      </w:r>
      <w:r w:rsidRPr="00030B7C">
        <w:t>.</w:t>
      </w:r>
    </w:p>
    <w:p w:rsidR="00A86593" w:rsidRDefault="00A86593" w:rsidP="00A86593">
      <w:pPr>
        <w:tabs>
          <w:tab w:val="left" w:pos="851"/>
        </w:tabs>
        <w:ind w:left="851"/>
        <w:jc w:val="both"/>
      </w:pPr>
    </w:p>
    <w:p w:rsidR="00A86593" w:rsidRPr="00DE0905" w:rsidRDefault="00A86593" w:rsidP="00A86593">
      <w:pPr>
        <w:numPr>
          <w:ilvl w:val="0"/>
          <w:numId w:val="61"/>
        </w:numPr>
        <w:tabs>
          <w:tab w:val="num" w:pos="851"/>
        </w:tabs>
        <w:ind w:left="1113" w:hanging="546"/>
      </w:pPr>
      <w:r>
        <w:rPr>
          <w:b/>
        </w:rPr>
        <w:t>Currency Translation</w:t>
      </w:r>
    </w:p>
    <w:p w:rsidR="00A86593" w:rsidRPr="000F6432" w:rsidRDefault="00A86593" w:rsidP="00A86593">
      <w:pPr>
        <w:ind w:left="1113"/>
      </w:pPr>
    </w:p>
    <w:p w:rsidR="00A86593" w:rsidRDefault="00A86593" w:rsidP="00A86593">
      <w:pPr>
        <w:pStyle w:val="BodyTextIndent2"/>
        <w:tabs>
          <w:tab w:val="left" w:pos="851"/>
        </w:tabs>
        <w:spacing w:after="0"/>
        <w:ind w:left="851"/>
        <w:rPr>
          <w:szCs w:val="24"/>
        </w:rPr>
      </w:pPr>
      <w:r>
        <w:rPr>
          <w:szCs w:val="24"/>
        </w:rPr>
        <w:t>Assets and liabilities</w:t>
      </w:r>
      <w:r w:rsidRPr="00166665">
        <w:rPr>
          <w:szCs w:val="24"/>
        </w:rPr>
        <w:t xml:space="preserve"> denominated in foreign currency are stated in the accounts by the application of the appropriate closing rate of exchange ruling at 31 March 201</w:t>
      </w:r>
      <w:r>
        <w:rPr>
          <w:szCs w:val="24"/>
        </w:rPr>
        <w:t>2.  Any gains or losses are treated as part of a change in market value of investments.</w:t>
      </w:r>
    </w:p>
    <w:p w:rsidR="00A86593" w:rsidRPr="008B2220" w:rsidRDefault="00A86593" w:rsidP="00A86593">
      <w:pPr>
        <w:pStyle w:val="BodyTextIndent2"/>
        <w:tabs>
          <w:tab w:val="left" w:pos="851"/>
        </w:tabs>
        <w:spacing w:after="0"/>
        <w:ind w:left="851"/>
        <w:rPr>
          <w:szCs w:val="24"/>
        </w:rPr>
      </w:pPr>
    </w:p>
    <w:p w:rsidR="00A86593" w:rsidRDefault="00A86593" w:rsidP="00A86593">
      <w:pPr>
        <w:numPr>
          <w:ilvl w:val="0"/>
          <w:numId w:val="61"/>
        </w:numPr>
        <w:tabs>
          <w:tab w:val="num" w:pos="851"/>
        </w:tabs>
        <w:ind w:left="1113" w:hanging="546"/>
        <w:rPr>
          <w:b/>
        </w:rPr>
      </w:pPr>
      <w:r>
        <w:rPr>
          <w:b/>
        </w:rPr>
        <w:t>Acquisition costs of Investments</w:t>
      </w:r>
    </w:p>
    <w:p w:rsidR="00A86593" w:rsidRDefault="00A86593" w:rsidP="00A86593">
      <w:pPr>
        <w:ind w:left="1113"/>
        <w:rPr>
          <w:b/>
        </w:rPr>
      </w:pPr>
    </w:p>
    <w:p w:rsidR="00A86593" w:rsidRDefault="00A86593" w:rsidP="00A86593">
      <w:pPr>
        <w:pStyle w:val="BodyTextIndent2"/>
        <w:tabs>
          <w:tab w:val="left" w:pos="851"/>
        </w:tabs>
        <w:spacing w:after="0"/>
        <w:ind w:left="0"/>
        <w:rPr>
          <w:szCs w:val="24"/>
        </w:rPr>
      </w:pPr>
      <w:r>
        <w:rPr>
          <w:szCs w:val="24"/>
        </w:rPr>
        <w:tab/>
        <w:t xml:space="preserve"> T</w:t>
      </w:r>
      <w:r w:rsidRPr="00D37FEA">
        <w:rPr>
          <w:szCs w:val="24"/>
        </w:rPr>
        <w:t xml:space="preserve">he </w:t>
      </w:r>
      <w:r>
        <w:rPr>
          <w:szCs w:val="24"/>
        </w:rPr>
        <w:t>Acquisition costs of investments are included within the purchase price.</w:t>
      </w:r>
    </w:p>
    <w:p w:rsidR="00A86593" w:rsidRDefault="00A86593" w:rsidP="00A86593">
      <w:pPr>
        <w:pStyle w:val="BodyTextIndent2"/>
        <w:tabs>
          <w:tab w:val="left" w:pos="851"/>
        </w:tabs>
        <w:spacing w:after="0"/>
        <w:rPr>
          <w:szCs w:val="24"/>
        </w:rPr>
      </w:pPr>
    </w:p>
    <w:p w:rsidR="00A86593" w:rsidRDefault="00A86593" w:rsidP="00A86593">
      <w:pPr>
        <w:numPr>
          <w:ilvl w:val="0"/>
          <w:numId w:val="61"/>
        </w:numPr>
        <w:tabs>
          <w:tab w:val="num" w:pos="851"/>
        </w:tabs>
        <w:ind w:left="1113" w:hanging="546"/>
        <w:rPr>
          <w:b/>
        </w:rPr>
      </w:pPr>
      <w:r w:rsidRPr="008B2220">
        <w:rPr>
          <w:b/>
        </w:rPr>
        <w:t xml:space="preserve"> </w:t>
      </w:r>
      <w:r>
        <w:rPr>
          <w:b/>
        </w:rPr>
        <w:t>Property</w:t>
      </w:r>
    </w:p>
    <w:p w:rsidR="00A86593" w:rsidRPr="008B2220" w:rsidRDefault="00A86593" w:rsidP="00A86593">
      <w:pPr>
        <w:ind w:left="1113"/>
        <w:rPr>
          <w:b/>
        </w:rPr>
      </w:pPr>
    </w:p>
    <w:p w:rsidR="00A86593" w:rsidRDefault="00A86593" w:rsidP="00A86593">
      <w:pPr>
        <w:tabs>
          <w:tab w:val="left" w:pos="851"/>
        </w:tabs>
        <w:ind w:left="851"/>
        <w:jc w:val="both"/>
      </w:pPr>
      <w:r>
        <w:t>The fund's freehold and leasehold properties were valued on 31 March 2012 by Cushman &amp; Wakefield, acting as External Valuer.  The valuations were in accordance with the requirements of the RICS Valuation standards and the International Valuation Standards.  The valuation of each property was on the basis of Market Value, assuming that the property would be sold subject to any existing leases.  The valuer's opinion of Market Value and Existing Use Value was primarily derived using comparable recent market transactions on arm's length terms.</w:t>
      </w:r>
    </w:p>
    <w:p w:rsidR="00A86593" w:rsidRDefault="00A86593" w:rsidP="00A86593">
      <w:pPr>
        <w:tabs>
          <w:tab w:val="left" w:pos="851"/>
        </w:tabs>
        <w:ind w:left="851"/>
        <w:jc w:val="both"/>
      </w:pPr>
    </w:p>
    <w:p w:rsidR="00A86593" w:rsidRDefault="00A86593" w:rsidP="00A86593">
      <w:pPr>
        <w:numPr>
          <w:ilvl w:val="0"/>
          <w:numId w:val="61"/>
        </w:numPr>
        <w:tabs>
          <w:tab w:val="num" w:pos="851"/>
        </w:tabs>
        <w:ind w:left="1113" w:hanging="546"/>
        <w:rPr>
          <w:b/>
        </w:rPr>
      </w:pPr>
      <w:r>
        <w:rPr>
          <w:b/>
        </w:rPr>
        <w:t>Derivatives</w:t>
      </w:r>
    </w:p>
    <w:p w:rsidR="00A86593" w:rsidRDefault="00A86593" w:rsidP="00A86593">
      <w:pPr>
        <w:ind w:left="1113"/>
        <w:rPr>
          <w:b/>
        </w:rPr>
      </w:pPr>
    </w:p>
    <w:p w:rsidR="00A86593" w:rsidRDefault="00A86593" w:rsidP="00A86593">
      <w:pPr>
        <w:pStyle w:val="BodyTextIndent2"/>
        <w:tabs>
          <w:tab w:val="left" w:pos="851"/>
        </w:tabs>
        <w:spacing w:after="0"/>
        <w:ind w:left="851"/>
        <w:rPr>
          <w:szCs w:val="24"/>
        </w:rPr>
      </w:pPr>
      <w:r>
        <w:rPr>
          <w:szCs w:val="24"/>
        </w:rPr>
        <w:t>The fund uses derivative financial instruments to manage its exposure to specific risks arising from its investment activities.  The fund does not hold derivatives for speculative purposes.</w:t>
      </w:r>
    </w:p>
    <w:p w:rsidR="00A86593" w:rsidRDefault="00A86593" w:rsidP="00A86593">
      <w:pPr>
        <w:pStyle w:val="BodyTextIndent2"/>
        <w:tabs>
          <w:tab w:val="left" w:pos="851"/>
        </w:tabs>
        <w:spacing w:after="0"/>
        <w:ind w:left="851"/>
        <w:rPr>
          <w:szCs w:val="24"/>
        </w:rPr>
      </w:pPr>
      <w:r>
        <w:rPr>
          <w:szCs w:val="24"/>
        </w:rPr>
        <w:lastRenderedPageBreak/>
        <w:t>Derivative contract assets are fair valued at bid prices and liabilities are fair valued at offer prices.  Changes in fair value of derivative contracts are included in change in market value.</w:t>
      </w:r>
    </w:p>
    <w:p w:rsidR="00A86593" w:rsidRDefault="00A86593" w:rsidP="00A86593">
      <w:pPr>
        <w:pStyle w:val="BodyTextIndent2"/>
        <w:tabs>
          <w:tab w:val="left" w:pos="851"/>
        </w:tabs>
        <w:spacing w:after="0"/>
        <w:ind w:left="851"/>
        <w:rPr>
          <w:szCs w:val="24"/>
        </w:rPr>
      </w:pPr>
      <w:r>
        <w:rPr>
          <w:szCs w:val="24"/>
        </w:rPr>
        <w:t>Future contracts</w:t>
      </w:r>
      <w:r w:rsidRPr="00166665">
        <w:rPr>
          <w:szCs w:val="24"/>
        </w:rPr>
        <w:t xml:space="preserve"> are exchange traded and fair value is determined using exchange prices at their reporting date. </w:t>
      </w:r>
      <w:r>
        <w:rPr>
          <w:szCs w:val="24"/>
        </w:rPr>
        <w:t>Amounts due or owed to the broker are amounts outstanding in respect of initial margin and variation margin.</w:t>
      </w:r>
    </w:p>
    <w:p w:rsidR="00A86593" w:rsidRPr="00166665" w:rsidRDefault="00A86593" w:rsidP="00A86593">
      <w:pPr>
        <w:pStyle w:val="BodyTextIndent2"/>
        <w:tabs>
          <w:tab w:val="left" w:pos="851"/>
        </w:tabs>
        <w:spacing w:after="0"/>
        <w:ind w:left="851"/>
        <w:rPr>
          <w:szCs w:val="24"/>
        </w:rPr>
      </w:pPr>
    </w:p>
    <w:p w:rsidR="00A86593" w:rsidRDefault="00A86593" w:rsidP="00A86593">
      <w:pPr>
        <w:pStyle w:val="BodyTextIndent2"/>
        <w:tabs>
          <w:tab w:val="left" w:pos="851"/>
        </w:tabs>
        <w:spacing w:after="0"/>
        <w:ind w:left="851"/>
        <w:rPr>
          <w:szCs w:val="24"/>
        </w:rPr>
      </w:pPr>
      <w:r w:rsidRPr="00166665">
        <w:rPr>
          <w:szCs w:val="24"/>
        </w:rPr>
        <w:t>Forward foreign exchange contracts, are over the counter contracts and are valued by determining the gain or loss that arise from closing out the contract at the reporting date, by entering into an equal and opposite contract at that date</w:t>
      </w:r>
      <w:r>
        <w:rPr>
          <w:szCs w:val="24"/>
        </w:rPr>
        <w:t>.</w:t>
      </w:r>
    </w:p>
    <w:p w:rsidR="00A86593" w:rsidRDefault="00A86593" w:rsidP="00A86593">
      <w:pPr>
        <w:pStyle w:val="BodyTextIndent2"/>
        <w:tabs>
          <w:tab w:val="left" w:pos="851"/>
        </w:tabs>
        <w:spacing w:after="0"/>
        <w:ind w:left="851"/>
        <w:rPr>
          <w:szCs w:val="24"/>
        </w:rPr>
      </w:pPr>
    </w:p>
    <w:p w:rsidR="00A86593" w:rsidRDefault="00A86593" w:rsidP="00A86593">
      <w:pPr>
        <w:numPr>
          <w:ilvl w:val="0"/>
          <w:numId w:val="61"/>
        </w:numPr>
        <w:tabs>
          <w:tab w:val="num" w:pos="851"/>
        </w:tabs>
        <w:ind w:left="1113" w:hanging="546"/>
        <w:rPr>
          <w:b/>
        </w:rPr>
      </w:pPr>
      <w:r>
        <w:rPr>
          <w:b/>
        </w:rPr>
        <w:t>Cash and cash equivalents</w:t>
      </w:r>
    </w:p>
    <w:p w:rsidR="00A86593" w:rsidRDefault="00A86593" w:rsidP="00A86593">
      <w:pPr>
        <w:ind w:left="1113"/>
        <w:rPr>
          <w:b/>
        </w:rPr>
      </w:pPr>
    </w:p>
    <w:p w:rsidR="00A86593" w:rsidRDefault="00A86593" w:rsidP="00A86593">
      <w:pPr>
        <w:pStyle w:val="BodyTextIndent2"/>
        <w:tabs>
          <w:tab w:val="left" w:pos="851"/>
        </w:tabs>
        <w:spacing w:after="0"/>
        <w:ind w:left="851"/>
        <w:rPr>
          <w:szCs w:val="24"/>
        </w:rPr>
      </w:pPr>
      <w:r>
        <w:rPr>
          <w:szCs w:val="24"/>
        </w:rPr>
        <w:t>Cash comprises of cash in hand and demand deposits.</w:t>
      </w:r>
    </w:p>
    <w:p w:rsidR="00A86593" w:rsidRDefault="00A86593" w:rsidP="00A86593">
      <w:pPr>
        <w:pStyle w:val="BodyTextIndent2"/>
        <w:tabs>
          <w:tab w:val="left" w:pos="851"/>
        </w:tabs>
        <w:spacing w:after="0"/>
        <w:ind w:left="851"/>
        <w:rPr>
          <w:szCs w:val="24"/>
        </w:rPr>
      </w:pPr>
    </w:p>
    <w:p w:rsidR="00A86593" w:rsidRDefault="00A86593" w:rsidP="00A86593">
      <w:pPr>
        <w:pStyle w:val="BodyTextIndent2"/>
        <w:tabs>
          <w:tab w:val="left" w:pos="851"/>
        </w:tabs>
        <w:spacing w:after="0"/>
        <w:ind w:left="851"/>
        <w:rPr>
          <w:szCs w:val="24"/>
        </w:rPr>
      </w:pPr>
      <w:r>
        <w:rPr>
          <w:szCs w:val="24"/>
        </w:rPr>
        <w:t>Cash equivalents are short-term, highly liquid investments that are readily convertible to known amounts of cash and that are subject to minimal risk of changes in value.</w:t>
      </w:r>
    </w:p>
    <w:p w:rsidR="00A86593" w:rsidRDefault="00A86593" w:rsidP="00A86593">
      <w:pPr>
        <w:pStyle w:val="BodyTextIndent2"/>
        <w:tabs>
          <w:tab w:val="left" w:pos="851"/>
        </w:tabs>
        <w:spacing w:after="0"/>
        <w:ind w:left="851"/>
        <w:rPr>
          <w:szCs w:val="24"/>
        </w:rPr>
      </w:pPr>
    </w:p>
    <w:p w:rsidR="00A86593" w:rsidRDefault="00A86593" w:rsidP="00A86593">
      <w:pPr>
        <w:numPr>
          <w:ilvl w:val="0"/>
          <w:numId w:val="61"/>
        </w:numPr>
        <w:tabs>
          <w:tab w:val="num" w:pos="851"/>
        </w:tabs>
        <w:ind w:left="1113" w:hanging="546"/>
        <w:rPr>
          <w:b/>
        </w:rPr>
      </w:pPr>
      <w:r>
        <w:rPr>
          <w:b/>
        </w:rPr>
        <w:t>Financial liabilities</w:t>
      </w:r>
    </w:p>
    <w:p w:rsidR="00A86593" w:rsidRDefault="00A86593" w:rsidP="00A86593">
      <w:pPr>
        <w:ind w:left="1113"/>
        <w:rPr>
          <w:b/>
        </w:rPr>
      </w:pPr>
    </w:p>
    <w:p w:rsidR="00A86593" w:rsidRDefault="00A86593" w:rsidP="00A86593">
      <w:pPr>
        <w:pStyle w:val="BodyTextIndent2"/>
        <w:tabs>
          <w:tab w:val="left" w:pos="851"/>
        </w:tabs>
        <w:spacing w:after="0"/>
        <w:ind w:left="851"/>
        <w:rPr>
          <w:szCs w:val="24"/>
        </w:rPr>
      </w:pPr>
      <w:r>
        <w:rPr>
          <w:szCs w:val="24"/>
        </w:rPr>
        <w:t>The fund recognises financial liabilities at fair value at the reporting date. A financial liability is recognised in the net asset statement on the date the fund becomes party to a liability.  From this date any gains or losses arising from changes in the fair value of the liability are recognised by the fund.</w:t>
      </w:r>
    </w:p>
    <w:p w:rsidR="00A86593" w:rsidRDefault="00A86593" w:rsidP="00A86593">
      <w:pPr>
        <w:pStyle w:val="BodyTextIndent2"/>
        <w:tabs>
          <w:tab w:val="left" w:pos="851"/>
        </w:tabs>
        <w:spacing w:after="0"/>
        <w:ind w:left="851"/>
        <w:rPr>
          <w:szCs w:val="24"/>
        </w:rPr>
      </w:pPr>
    </w:p>
    <w:p w:rsidR="00A86593" w:rsidRDefault="00A86593" w:rsidP="00A86593">
      <w:pPr>
        <w:numPr>
          <w:ilvl w:val="0"/>
          <w:numId w:val="61"/>
        </w:numPr>
        <w:tabs>
          <w:tab w:val="num" w:pos="851"/>
        </w:tabs>
        <w:ind w:left="1113" w:hanging="546"/>
        <w:rPr>
          <w:b/>
        </w:rPr>
      </w:pPr>
      <w:r>
        <w:rPr>
          <w:b/>
        </w:rPr>
        <w:t>Actuarial present value of promised retirement benefits</w:t>
      </w:r>
    </w:p>
    <w:p w:rsidR="00A86593" w:rsidRDefault="00A86593" w:rsidP="00A86593">
      <w:pPr>
        <w:ind w:left="1113"/>
        <w:rPr>
          <w:b/>
        </w:rPr>
      </w:pPr>
    </w:p>
    <w:p w:rsidR="00A86593" w:rsidRDefault="00A86593" w:rsidP="00A86593">
      <w:pPr>
        <w:pStyle w:val="BodyTextIndent2"/>
        <w:tabs>
          <w:tab w:val="left" w:pos="851"/>
        </w:tabs>
        <w:spacing w:after="0"/>
        <w:ind w:left="851"/>
        <w:rPr>
          <w:szCs w:val="24"/>
        </w:rPr>
      </w:pPr>
      <w:r>
        <w:rPr>
          <w:szCs w:val="24"/>
        </w:rPr>
        <w:t>The actuarial present value of promised retirement benefits is assessed on a triennial basis by the scheme actuary in accordance with the requirements of IAS19 and relevant actuarial standards.</w:t>
      </w:r>
    </w:p>
    <w:p w:rsidR="00A86593" w:rsidRDefault="00A86593" w:rsidP="00A86593">
      <w:pPr>
        <w:pStyle w:val="BodyTextIndent2"/>
        <w:tabs>
          <w:tab w:val="left" w:pos="851"/>
        </w:tabs>
        <w:spacing w:after="0"/>
        <w:ind w:left="851"/>
        <w:rPr>
          <w:szCs w:val="24"/>
        </w:rPr>
      </w:pPr>
    </w:p>
    <w:p w:rsidR="00A86593" w:rsidRDefault="00A86593" w:rsidP="00A86593">
      <w:pPr>
        <w:pStyle w:val="BodyTextIndent2"/>
        <w:tabs>
          <w:tab w:val="left" w:pos="851"/>
        </w:tabs>
        <w:spacing w:after="0"/>
        <w:ind w:left="851"/>
        <w:rPr>
          <w:szCs w:val="24"/>
        </w:rPr>
      </w:pPr>
      <w:r w:rsidRPr="00AD17B7">
        <w:rPr>
          <w:szCs w:val="24"/>
        </w:rPr>
        <w:t>As permitted under IAS 26 the fund has opted to disclose the actuarial present value of promised retirement benefits by way of a note to the net asset statement (Note 3</w:t>
      </w:r>
      <w:r>
        <w:rPr>
          <w:szCs w:val="24"/>
        </w:rPr>
        <w:t>1</w:t>
      </w:r>
      <w:r w:rsidRPr="00AD17B7">
        <w:rPr>
          <w:szCs w:val="24"/>
        </w:rPr>
        <w:t>).</w:t>
      </w:r>
    </w:p>
    <w:p w:rsidR="00A86593" w:rsidRPr="00B853EB" w:rsidRDefault="00A86593" w:rsidP="00A86593">
      <w:pPr>
        <w:pStyle w:val="BodyTextIndent2"/>
        <w:tabs>
          <w:tab w:val="left" w:pos="851"/>
        </w:tabs>
        <w:spacing w:after="0"/>
        <w:ind w:left="851"/>
        <w:rPr>
          <w:szCs w:val="24"/>
        </w:rPr>
      </w:pPr>
    </w:p>
    <w:p w:rsidR="00A86593" w:rsidRDefault="00A86593" w:rsidP="00A86593">
      <w:pPr>
        <w:numPr>
          <w:ilvl w:val="0"/>
          <w:numId w:val="61"/>
        </w:numPr>
        <w:tabs>
          <w:tab w:val="num" w:pos="851"/>
        </w:tabs>
        <w:ind w:left="1113" w:hanging="546"/>
        <w:rPr>
          <w:b/>
        </w:rPr>
      </w:pPr>
      <w:r>
        <w:rPr>
          <w:b/>
        </w:rPr>
        <w:t>Additional voluntary contributions</w:t>
      </w:r>
    </w:p>
    <w:p w:rsidR="00A86593" w:rsidRPr="00B853EB" w:rsidRDefault="00A86593" w:rsidP="00A86593">
      <w:pPr>
        <w:ind w:left="1113"/>
        <w:rPr>
          <w:b/>
        </w:rPr>
      </w:pPr>
    </w:p>
    <w:p w:rsidR="00A86593" w:rsidRDefault="00A86593" w:rsidP="00A86593">
      <w:pPr>
        <w:pStyle w:val="BodyTextIndent2"/>
        <w:tabs>
          <w:tab w:val="left" w:pos="851"/>
        </w:tabs>
        <w:spacing w:after="0"/>
        <w:ind w:left="851"/>
        <w:rPr>
          <w:szCs w:val="24"/>
        </w:rPr>
      </w:pPr>
      <w:r w:rsidRPr="00166665">
        <w:rPr>
          <w:szCs w:val="24"/>
        </w:rPr>
        <w:t xml:space="preserve">The </w:t>
      </w:r>
      <w:smartTag w:uri="urn:schemas-microsoft-com:office:smarttags" w:element="stockticker">
        <w:r w:rsidRPr="00166665">
          <w:rPr>
            <w:szCs w:val="24"/>
          </w:rPr>
          <w:t>AVC</w:t>
        </w:r>
      </w:smartTag>
      <w:r w:rsidRPr="00166665">
        <w:rPr>
          <w:szCs w:val="24"/>
        </w:rPr>
        <w:t xml:space="preserve"> providers to the Pension Fund are Equitable Life and Prudential.  The </w:t>
      </w:r>
      <w:smartTag w:uri="urn:schemas-microsoft-com:office:smarttags" w:element="stockticker">
        <w:r w:rsidRPr="00166665">
          <w:rPr>
            <w:szCs w:val="24"/>
          </w:rPr>
          <w:t>AVC</w:t>
        </w:r>
      </w:smartTag>
      <w:r w:rsidRPr="00166665">
        <w:rPr>
          <w:szCs w:val="24"/>
        </w:rPr>
        <w:t xml:space="preserve">’s are invested separately from the Pension Fund’s main assets and used to acquire additional money purchase benefits.  These are not included in the Pension Fund accounts in accordance with regulation 5(2) (C) of the Local Government Pension Scheme (Management and Investment of Funds) Regulations 1998 (SI 1998 No 1831). Members participating in these </w:t>
      </w:r>
      <w:smartTag w:uri="urn:schemas-microsoft-com:office:smarttags" w:element="stockticker">
        <w:r w:rsidRPr="00166665">
          <w:rPr>
            <w:szCs w:val="24"/>
          </w:rPr>
          <w:t>AVC</w:t>
        </w:r>
      </w:smartTag>
      <w:r w:rsidRPr="00166665">
        <w:rPr>
          <w:szCs w:val="24"/>
        </w:rPr>
        <w:t xml:space="preserve"> arrangements each receive an annual statement confirming the amounts held in their account and the movements during the year.   A summary of the information provided by Equitable Life and Prude</w:t>
      </w:r>
      <w:r>
        <w:rPr>
          <w:szCs w:val="24"/>
        </w:rPr>
        <w:t>ntial is shown in n</w:t>
      </w:r>
      <w:r w:rsidRPr="00433269">
        <w:rPr>
          <w:szCs w:val="24"/>
        </w:rPr>
        <w:t xml:space="preserve">ote </w:t>
      </w:r>
      <w:r>
        <w:rPr>
          <w:szCs w:val="24"/>
        </w:rPr>
        <w:t>20.</w:t>
      </w:r>
    </w:p>
    <w:p w:rsidR="00A86593" w:rsidRDefault="00A86593" w:rsidP="00A86593">
      <w:pPr>
        <w:pStyle w:val="BodyTextIndent2"/>
        <w:tabs>
          <w:tab w:val="left" w:pos="851"/>
        </w:tabs>
        <w:spacing w:after="0"/>
        <w:ind w:left="851"/>
        <w:rPr>
          <w:szCs w:val="24"/>
        </w:rPr>
      </w:pPr>
    </w:p>
    <w:p w:rsidR="00A86593" w:rsidRDefault="00A86593" w:rsidP="00A86593">
      <w:pPr>
        <w:ind w:firstLine="851"/>
        <w:rPr>
          <w:b/>
        </w:rPr>
      </w:pPr>
      <w:r w:rsidRPr="009B45C4">
        <w:rPr>
          <w:b/>
        </w:rPr>
        <w:t>Securities Lending</w:t>
      </w:r>
    </w:p>
    <w:p w:rsidR="00A86593" w:rsidRDefault="00A86593" w:rsidP="00A86593">
      <w:pPr>
        <w:ind w:firstLine="851"/>
        <w:rPr>
          <w:b/>
        </w:rPr>
      </w:pPr>
    </w:p>
    <w:p w:rsidR="00A86593" w:rsidRDefault="00A86593" w:rsidP="00A86593">
      <w:pPr>
        <w:ind w:left="851"/>
      </w:pPr>
      <w:r>
        <w:t>Investments lent under securities lending arrangements continue to be recognised in the net asset statement to reflect the scheme's continuing economic interest in the securities and are measured in accordance with the accounting policy for assets 'At fair value through income statement' or 'Available for sale' as appropriate.</w:t>
      </w:r>
    </w:p>
    <w:p w:rsidR="00A86593" w:rsidRDefault="00A86593" w:rsidP="00A86593">
      <w:pPr>
        <w:ind w:left="851"/>
      </w:pPr>
      <w:r w:rsidRPr="00B6433E">
        <w:lastRenderedPageBreak/>
        <w:t>Collateral is marked to market, and adjusted daily. As the Fund has no obligation to return the collateral to the borrowers, collateral is excluded from the Fund valuation</w:t>
      </w:r>
    </w:p>
    <w:p w:rsidR="00A86593" w:rsidRDefault="00A86593" w:rsidP="00A86593">
      <w:pPr>
        <w:ind w:left="851"/>
      </w:pPr>
    </w:p>
    <w:p w:rsidR="00A86593" w:rsidRDefault="00A86593" w:rsidP="00A86593"/>
    <w:p w:rsidR="00A86593" w:rsidRDefault="00A86593" w:rsidP="00A86593">
      <w:pPr>
        <w:pStyle w:val="NormalWeb"/>
        <w:ind w:left="851"/>
        <w:rPr>
          <w:rFonts w:ascii="Arial" w:eastAsiaTheme="minorHAnsi" w:hAnsi="Arial" w:cstheme="minorBidi"/>
          <w:b/>
          <w:bCs/>
          <w:szCs w:val="22"/>
          <w:lang w:eastAsia="en-US"/>
        </w:rPr>
      </w:pPr>
      <w:r w:rsidRPr="00EE30FE">
        <w:rPr>
          <w:rFonts w:ascii="Arial" w:eastAsiaTheme="minorHAnsi" w:hAnsi="Arial" w:cstheme="minorBidi"/>
          <w:b/>
          <w:bCs/>
          <w:szCs w:val="22"/>
          <w:lang w:eastAsia="en-US"/>
        </w:rPr>
        <w:t>Contingent liabilities and contingent assets   </w:t>
      </w:r>
    </w:p>
    <w:p w:rsidR="00A86593" w:rsidRDefault="00A86593" w:rsidP="00A86593">
      <w:pPr>
        <w:pStyle w:val="NormalWeb"/>
        <w:ind w:left="851"/>
        <w:jc w:val="both"/>
        <w:rPr>
          <w:rFonts w:ascii="Arial" w:eastAsiaTheme="minorHAnsi" w:hAnsi="Arial" w:cstheme="minorBidi"/>
          <w:szCs w:val="22"/>
          <w:lang w:eastAsia="en-US"/>
        </w:rPr>
      </w:pPr>
    </w:p>
    <w:p w:rsidR="00A86593" w:rsidRPr="00EE30FE" w:rsidRDefault="00A86593" w:rsidP="00A86593">
      <w:pPr>
        <w:pStyle w:val="NormalWeb"/>
        <w:ind w:left="851"/>
        <w:jc w:val="both"/>
        <w:rPr>
          <w:rFonts w:ascii="Arial" w:eastAsiaTheme="minorHAnsi" w:hAnsi="Arial" w:cstheme="minorBidi"/>
          <w:szCs w:val="22"/>
          <w:lang w:eastAsia="en-US"/>
        </w:rPr>
      </w:pPr>
      <w:r w:rsidRPr="00EE30FE">
        <w:rPr>
          <w:rFonts w:ascii="Arial" w:eastAsiaTheme="minorHAnsi" w:hAnsi="Arial" w:cstheme="minorBidi"/>
          <w:szCs w:val="22"/>
          <w:lang w:eastAsia="en-US"/>
        </w:rPr>
        <w:t xml:space="preserve">A contingent liability is a possible obligation that arises from past events whose existence will be confirmed by the occurrence or non-occurrence of one or more uncertain future events beyond the control of the </w:t>
      </w:r>
      <w:r>
        <w:rPr>
          <w:rFonts w:ascii="Arial" w:eastAsiaTheme="minorHAnsi" w:hAnsi="Arial" w:cstheme="minorBidi"/>
          <w:szCs w:val="22"/>
          <w:lang w:eastAsia="en-US"/>
        </w:rPr>
        <w:t>Fund</w:t>
      </w:r>
      <w:r w:rsidRPr="00EE30FE">
        <w:rPr>
          <w:rFonts w:ascii="Arial" w:eastAsiaTheme="minorHAnsi" w:hAnsi="Arial" w:cstheme="minorBidi"/>
          <w:szCs w:val="22"/>
          <w:lang w:eastAsia="en-US"/>
        </w:rPr>
        <w:t xml:space="preserve"> or a present obligation that is not recognised because it is not probable that an outflow of resources will be required to settle the obligation. A contingent liability also arises in extremely rare cases where there is a liability that cannot be recognised because it cannot be measured reliably. The </w:t>
      </w:r>
      <w:r>
        <w:rPr>
          <w:rFonts w:ascii="Arial" w:eastAsiaTheme="minorHAnsi" w:hAnsi="Arial" w:cstheme="minorBidi"/>
          <w:szCs w:val="22"/>
          <w:lang w:eastAsia="en-US"/>
        </w:rPr>
        <w:t>Fund</w:t>
      </w:r>
      <w:r w:rsidRPr="00EE30FE">
        <w:rPr>
          <w:rFonts w:ascii="Arial" w:eastAsiaTheme="minorHAnsi" w:hAnsi="Arial" w:cstheme="minorBidi"/>
          <w:szCs w:val="22"/>
          <w:lang w:eastAsia="en-US"/>
        </w:rPr>
        <w:t xml:space="preserve"> does not recognise a contingent liability but discloses its existence in the financial statements.</w:t>
      </w:r>
    </w:p>
    <w:p w:rsidR="00A86593" w:rsidRPr="00EE30FE" w:rsidRDefault="00A86593" w:rsidP="00A86593">
      <w:pPr>
        <w:pStyle w:val="NormalWeb"/>
        <w:ind w:left="851"/>
        <w:jc w:val="both"/>
        <w:rPr>
          <w:rFonts w:ascii="Arial" w:eastAsiaTheme="minorHAnsi" w:hAnsi="Arial" w:cstheme="minorBidi"/>
          <w:szCs w:val="22"/>
          <w:lang w:eastAsia="en-US"/>
        </w:rPr>
      </w:pPr>
      <w:r w:rsidRPr="00EE30FE">
        <w:rPr>
          <w:rFonts w:ascii="Arial" w:eastAsiaTheme="minorHAnsi" w:hAnsi="Arial" w:cstheme="minorBidi"/>
          <w:szCs w:val="22"/>
          <w:lang w:eastAsia="en-US"/>
        </w:rPr>
        <w:t xml:space="preserve">A contingent asset is a possible asset that arises from past events whose existence will be confirmed by the occurrence or non-occurrence of one or more uncertain future events beyond the control of the </w:t>
      </w:r>
      <w:r>
        <w:rPr>
          <w:rFonts w:ascii="Arial" w:eastAsiaTheme="minorHAnsi" w:hAnsi="Arial" w:cstheme="minorBidi"/>
          <w:szCs w:val="22"/>
          <w:lang w:eastAsia="en-US"/>
        </w:rPr>
        <w:t>Fund</w:t>
      </w:r>
      <w:r w:rsidRPr="00EE30FE">
        <w:rPr>
          <w:rFonts w:ascii="Arial" w:eastAsiaTheme="minorHAnsi" w:hAnsi="Arial" w:cstheme="minorBidi"/>
          <w:szCs w:val="22"/>
          <w:lang w:eastAsia="en-US"/>
        </w:rPr>
        <w:t xml:space="preserve">. The </w:t>
      </w:r>
      <w:r>
        <w:rPr>
          <w:rFonts w:ascii="Arial" w:eastAsiaTheme="minorHAnsi" w:hAnsi="Arial" w:cstheme="minorBidi"/>
          <w:szCs w:val="22"/>
          <w:lang w:eastAsia="en-US"/>
        </w:rPr>
        <w:t>Fund</w:t>
      </w:r>
      <w:r w:rsidRPr="00EE30FE">
        <w:rPr>
          <w:rFonts w:ascii="Arial" w:eastAsiaTheme="minorHAnsi" w:hAnsi="Arial" w:cstheme="minorBidi"/>
          <w:szCs w:val="22"/>
          <w:lang w:eastAsia="en-US"/>
        </w:rPr>
        <w:t xml:space="preserve"> does not recognise contingent assets but discloses its existence where inflows of economic benefits are probable, but not virtually certain.</w:t>
      </w:r>
    </w:p>
    <w:p w:rsidR="00A86593" w:rsidRPr="00B853EB" w:rsidRDefault="00A86593" w:rsidP="00A86593">
      <w:pPr>
        <w:pStyle w:val="BodyTextIndent2"/>
        <w:tabs>
          <w:tab w:val="left" w:pos="851"/>
        </w:tabs>
        <w:spacing w:after="0"/>
        <w:ind w:left="851"/>
        <w:rPr>
          <w:szCs w:val="24"/>
        </w:rPr>
      </w:pPr>
    </w:p>
    <w:p w:rsidR="00A86593" w:rsidRDefault="00A86593" w:rsidP="00A86593">
      <w:pPr>
        <w:pStyle w:val="BodyTextIndent2"/>
        <w:tabs>
          <w:tab w:val="left" w:pos="851"/>
        </w:tabs>
        <w:spacing w:after="0"/>
        <w:ind w:left="0"/>
        <w:rPr>
          <w:szCs w:val="24"/>
        </w:rPr>
      </w:pPr>
    </w:p>
    <w:p w:rsidR="00A86593" w:rsidRPr="00B853EB" w:rsidRDefault="00A86593" w:rsidP="00A86593">
      <w:pPr>
        <w:pStyle w:val="BodyTextIndent2"/>
        <w:numPr>
          <w:ilvl w:val="0"/>
          <w:numId w:val="60"/>
        </w:numPr>
        <w:tabs>
          <w:tab w:val="clear" w:pos="720"/>
          <w:tab w:val="clear" w:pos="1080"/>
          <w:tab w:val="num" w:pos="567"/>
        </w:tabs>
        <w:spacing w:after="0"/>
        <w:ind w:left="567" w:hanging="567"/>
        <w:rPr>
          <w:b/>
          <w:szCs w:val="24"/>
        </w:rPr>
      </w:pPr>
      <w:r w:rsidRPr="00B853EB">
        <w:rPr>
          <w:b/>
          <w:szCs w:val="24"/>
        </w:rPr>
        <w:t>Critical Judgements in applying accounting policies</w:t>
      </w:r>
    </w:p>
    <w:p w:rsidR="00A86593" w:rsidRDefault="00A86593" w:rsidP="00A86593">
      <w:pPr>
        <w:pStyle w:val="BodyTextIndent2"/>
        <w:tabs>
          <w:tab w:val="left" w:pos="851"/>
        </w:tabs>
        <w:spacing w:after="0"/>
        <w:rPr>
          <w:szCs w:val="24"/>
        </w:rPr>
      </w:pPr>
    </w:p>
    <w:p w:rsidR="00A86593" w:rsidRDefault="00A86593" w:rsidP="00A86593">
      <w:pPr>
        <w:tabs>
          <w:tab w:val="left" w:pos="567"/>
        </w:tabs>
        <w:ind w:left="567"/>
        <w:rPr>
          <w:b/>
        </w:rPr>
      </w:pPr>
      <w:r>
        <w:rPr>
          <w:b/>
        </w:rPr>
        <w:t>Unquoted private equity investments</w:t>
      </w:r>
    </w:p>
    <w:p w:rsidR="00A86593" w:rsidRDefault="00A86593" w:rsidP="00A86593">
      <w:pPr>
        <w:tabs>
          <w:tab w:val="left" w:pos="567"/>
        </w:tabs>
        <w:ind w:left="567"/>
        <w:rPr>
          <w:b/>
        </w:rPr>
      </w:pPr>
    </w:p>
    <w:p w:rsidR="00A86593" w:rsidRPr="00B853EB" w:rsidRDefault="00A86593" w:rsidP="00811649">
      <w:pPr>
        <w:tabs>
          <w:tab w:val="left" w:pos="567"/>
        </w:tabs>
        <w:ind w:left="567"/>
        <w:jc w:val="both"/>
      </w:pPr>
      <w:r>
        <w:t xml:space="preserve">It is important to recognise the highly subjective nature of determining the fair value of private equity investments. They are inherently based on forward-looking estimates and judgements involving many factors.  Unquoted private equities are valued by the investment managers using guidelines set out by the British Venture Capital Association.  The value of unquoted private equities at 31 March 2012 was </w:t>
      </w:r>
      <w:r w:rsidRPr="00E17E21">
        <w:t>£287.</w:t>
      </w:r>
      <w:r>
        <w:t>5</w:t>
      </w:r>
      <w:r w:rsidRPr="00E17E21">
        <w:t xml:space="preserve"> million (£</w:t>
      </w:r>
      <w:r>
        <w:t>201.8</w:t>
      </w:r>
      <w:r w:rsidRPr="00E17E21">
        <w:t xml:space="preserve"> million at 31 March 2011).</w:t>
      </w:r>
    </w:p>
    <w:p w:rsidR="00A86593" w:rsidRDefault="00A86593" w:rsidP="00811649">
      <w:pPr>
        <w:pStyle w:val="BodyTextIndent2"/>
        <w:tabs>
          <w:tab w:val="left" w:pos="567"/>
        </w:tabs>
        <w:spacing w:after="0"/>
        <w:ind w:left="567"/>
        <w:rPr>
          <w:szCs w:val="24"/>
        </w:rPr>
      </w:pPr>
    </w:p>
    <w:p w:rsidR="00A86593" w:rsidRDefault="00A86593" w:rsidP="00811649">
      <w:pPr>
        <w:tabs>
          <w:tab w:val="left" w:pos="567"/>
        </w:tabs>
        <w:ind w:left="567"/>
        <w:jc w:val="both"/>
        <w:rPr>
          <w:b/>
        </w:rPr>
      </w:pPr>
      <w:r>
        <w:rPr>
          <w:b/>
        </w:rPr>
        <w:t>Pension Fund Liability</w:t>
      </w:r>
    </w:p>
    <w:p w:rsidR="00A86593" w:rsidRDefault="00A86593" w:rsidP="00811649">
      <w:pPr>
        <w:tabs>
          <w:tab w:val="left" w:pos="567"/>
        </w:tabs>
        <w:ind w:left="567"/>
        <w:jc w:val="both"/>
        <w:rPr>
          <w:b/>
        </w:rPr>
      </w:pPr>
    </w:p>
    <w:p w:rsidR="00A86593" w:rsidRPr="00C44323" w:rsidRDefault="00A86593" w:rsidP="00811649">
      <w:pPr>
        <w:tabs>
          <w:tab w:val="left" w:pos="567"/>
        </w:tabs>
        <w:ind w:left="567"/>
        <w:jc w:val="both"/>
      </w:pPr>
      <w:r>
        <w:t xml:space="preserve">The pension fund liability is calculated every three years by an appointed actuary, with annual updates in intervening years.  The methodology used is in line with accepted guidelines and in accordance with IAS 19.  Assumptions underpinning the valuations are agreed with actuary and are summarised in </w:t>
      </w:r>
      <w:r w:rsidRPr="00433269">
        <w:t xml:space="preserve">note </w:t>
      </w:r>
      <w:r>
        <w:t>31. This estimate is subject to significant variances based on change to the underlying assumptions.</w:t>
      </w:r>
    </w:p>
    <w:p w:rsidR="00A86593" w:rsidRDefault="00A86593" w:rsidP="00A86593">
      <w:pPr>
        <w:pStyle w:val="BodyTextIndent2"/>
        <w:tabs>
          <w:tab w:val="left" w:pos="851"/>
        </w:tabs>
        <w:spacing w:after="0"/>
        <w:ind w:left="0"/>
        <w:rPr>
          <w:szCs w:val="24"/>
        </w:rPr>
      </w:pPr>
    </w:p>
    <w:p w:rsidR="00A86593" w:rsidRPr="00636AC9" w:rsidRDefault="00A86593" w:rsidP="00A86593">
      <w:pPr>
        <w:pStyle w:val="BodyTextIndent"/>
        <w:numPr>
          <w:ilvl w:val="0"/>
          <w:numId w:val="60"/>
        </w:numPr>
        <w:tabs>
          <w:tab w:val="clear" w:pos="720"/>
          <w:tab w:val="num" w:pos="567"/>
        </w:tabs>
        <w:spacing w:after="0"/>
        <w:ind w:left="567" w:hanging="567"/>
        <w:rPr>
          <w:b/>
          <w:szCs w:val="24"/>
        </w:rPr>
      </w:pPr>
      <w:r w:rsidRPr="00D37FEA">
        <w:rPr>
          <w:b/>
          <w:szCs w:val="24"/>
        </w:rPr>
        <w:t xml:space="preserve">Assumptions </w:t>
      </w:r>
      <w:r w:rsidRPr="00D37FEA">
        <w:rPr>
          <w:b/>
        </w:rPr>
        <w:t>made about the future and other major sources of estimated uncertainty</w:t>
      </w:r>
    </w:p>
    <w:p w:rsidR="00A86593" w:rsidRPr="00D37FEA" w:rsidRDefault="00A86593" w:rsidP="00A86593">
      <w:pPr>
        <w:pStyle w:val="BodyTextIndent"/>
        <w:spacing w:after="0"/>
        <w:ind w:left="709"/>
        <w:rPr>
          <w:b/>
          <w:szCs w:val="24"/>
        </w:rPr>
      </w:pPr>
    </w:p>
    <w:p w:rsidR="00A86593" w:rsidRDefault="00A86593" w:rsidP="00A86593">
      <w:pPr>
        <w:pStyle w:val="BodyTextIndent2"/>
        <w:tabs>
          <w:tab w:val="left" w:pos="709"/>
        </w:tabs>
        <w:spacing w:after="0"/>
        <w:ind w:left="567"/>
        <w:rPr>
          <w:szCs w:val="24"/>
        </w:rPr>
      </w:pPr>
      <w:r>
        <w:rPr>
          <w:szCs w:val="24"/>
        </w:rPr>
        <w:t xml:space="preserve">The Statement of Accounts </w:t>
      </w:r>
      <w:r w:rsidRPr="00D37FEA">
        <w:rPr>
          <w:szCs w:val="24"/>
        </w:rPr>
        <w:t>contain estimated figures that are based on</w:t>
      </w:r>
      <w:r>
        <w:rPr>
          <w:szCs w:val="24"/>
        </w:rPr>
        <w:t xml:space="preserve"> assumptions made by</w:t>
      </w:r>
      <w:r w:rsidRPr="00D37FEA">
        <w:rPr>
          <w:szCs w:val="24"/>
        </w:rPr>
        <w:t xml:space="preserve"> the Pension Fund about the future or that are otherwise uncertain.  Estimates are made taking into account historical experience, current trends and other relevant factors.  However, because balances cannot be determined with certainty, actual results could be materially different from the assumptions and estimates.</w:t>
      </w:r>
    </w:p>
    <w:p w:rsidR="00A86593" w:rsidRPr="00D37FEA" w:rsidRDefault="00A86593" w:rsidP="00A86593">
      <w:pPr>
        <w:pStyle w:val="BodyTextIndent2"/>
        <w:tabs>
          <w:tab w:val="left" w:pos="851"/>
        </w:tabs>
        <w:spacing w:after="0"/>
        <w:ind w:left="0"/>
        <w:rPr>
          <w:szCs w:val="24"/>
        </w:rPr>
      </w:pPr>
    </w:p>
    <w:p w:rsidR="00A86593" w:rsidRPr="00D37FEA" w:rsidRDefault="00A86593" w:rsidP="00A86593">
      <w:pPr>
        <w:pStyle w:val="BodyTextIndent2"/>
        <w:tabs>
          <w:tab w:val="left" w:pos="851"/>
        </w:tabs>
        <w:spacing w:after="0"/>
        <w:ind w:left="567"/>
        <w:rPr>
          <w:szCs w:val="24"/>
        </w:rPr>
      </w:pPr>
      <w:r w:rsidRPr="00D37FEA">
        <w:rPr>
          <w:szCs w:val="24"/>
        </w:rPr>
        <w:t>The items in the Pension Fund's net asset statement at 31 March 201</w:t>
      </w:r>
      <w:r>
        <w:rPr>
          <w:szCs w:val="24"/>
        </w:rPr>
        <w:t>2</w:t>
      </w:r>
      <w:r w:rsidRPr="00D37FEA">
        <w:rPr>
          <w:szCs w:val="24"/>
        </w:rPr>
        <w:t xml:space="preserve"> for which there is a significant risk of material adjustment in the forthcoming year are as follows:</w:t>
      </w:r>
    </w:p>
    <w:p w:rsidR="00A86593" w:rsidRDefault="00A86593" w:rsidP="00A86593"/>
    <w:p w:rsidR="00A86593" w:rsidRDefault="00A86593" w:rsidP="00A86593"/>
    <w:tbl>
      <w:tblPr>
        <w:tblW w:w="0" w:type="auto"/>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0"/>
        <w:gridCol w:w="4210"/>
        <w:gridCol w:w="4135"/>
      </w:tblGrid>
      <w:tr w:rsidR="00A86593" w:rsidTr="001C741C">
        <w:tc>
          <w:tcPr>
            <w:tcW w:w="0" w:type="auto"/>
          </w:tcPr>
          <w:p w:rsidR="00A86593" w:rsidRPr="00834B94" w:rsidRDefault="00A86593" w:rsidP="001C741C">
            <w:pPr>
              <w:rPr>
                <w:sz w:val="22"/>
                <w:szCs w:val="22"/>
              </w:rPr>
            </w:pPr>
            <w:r w:rsidRPr="00834B94">
              <w:rPr>
                <w:sz w:val="22"/>
                <w:szCs w:val="22"/>
              </w:rPr>
              <w:t>Item</w:t>
            </w:r>
          </w:p>
        </w:tc>
        <w:tc>
          <w:tcPr>
            <w:tcW w:w="0" w:type="auto"/>
          </w:tcPr>
          <w:p w:rsidR="00A86593" w:rsidRPr="00834B94" w:rsidRDefault="00A86593" w:rsidP="001C741C">
            <w:pPr>
              <w:rPr>
                <w:sz w:val="22"/>
                <w:szCs w:val="22"/>
              </w:rPr>
            </w:pPr>
            <w:r w:rsidRPr="00834B94">
              <w:rPr>
                <w:sz w:val="22"/>
                <w:szCs w:val="22"/>
              </w:rPr>
              <w:t>Uncertainties</w:t>
            </w:r>
          </w:p>
        </w:tc>
        <w:tc>
          <w:tcPr>
            <w:tcW w:w="0" w:type="auto"/>
          </w:tcPr>
          <w:p w:rsidR="00A86593" w:rsidRPr="00834B94" w:rsidRDefault="00A86593" w:rsidP="001C741C">
            <w:pPr>
              <w:rPr>
                <w:sz w:val="22"/>
                <w:szCs w:val="22"/>
              </w:rPr>
            </w:pPr>
            <w:r w:rsidRPr="00834B94">
              <w:rPr>
                <w:sz w:val="22"/>
                <w:szCs w:val="22"/>
              </w:rPr>
              <w:t>Impact if actual results differ from assumptions</w:t>
            </w:r>
          </w:p>
        </w:tc>
      </w:tr>
      <w:tr w:rsidR="00A86593" w:rsidTr="001C741C">
        <w:tc>
          <w:tcPr>
            <w:tcW w:w="0" w:type="auto"/>
          </w:tcPr>
          <w:p w:rsidR="00A86593" w:rsidRPr="00834B94" w:rsidRDefault="00A86593" w:rsidP="001C741C">
            <w:pPr>
              <w:rPr>
                <w:sz w:val="22"/>
                <w:szCs w:val="22"/>
              </w:rPr>
            </w:pPr>
            <w:r w:rsidRPr="00834B94">
              <w:rPr>
                <w:sz w:val="22"/>
                <w:szCs w:val="22"/>
              </w:rPr>
              <w:t>Private Equity</w:t>
            </w:r>
          </w:p>
        </w:tc>
        <w:tc>
          <w:tcPr>
            <w:tcW w:w="0" w:type="auto"/>
          </w:tcPr>
          <w:p w:rsidR="00A86593" w:rsidRPr="00834B94" w:rsidRDefault="00A86593" w:rsidP="001C741C">
            <w:pPr>
              <w:rPr>
                <w:sz w:val="22"/>
                <w:szCs w:val="22"/>
              </w:rPr>
            </w:pPr>
            <w:r w:rsidRPr="00834B94">
              <w:rPr>
                <w:sz w:val="22"/>
                <w:szCs w:val="22"/>
              </w:rPr>
              <w:t>Private Equity investments are valued at fair value in accordance with BVCA guidelines.  These investments are not publicly listed and as such there is a degree of estimation involved in the valuation.</w:t>
            </w:r>
          </w:p>
        </w:tc>
        <w:tc>
          <w:tcPr>
            <w:tcW w:w="0" w:type="auto"/>
          </w:tcPr>
          <w:p w:rsidR="00A86593" w:rsidRPr="00834B94" w:rsidRDefault="00A86593" w:rsidP="001C741C">
            <w:pPr>
              <w:rPr>
                <w:sz w:val="22"/>
                <w:szCs w:val="22"/>
              </w:rPr>
            </w:pPr>
            <w:r w:rsidRPr="009A36EC">
              <w:rPr>
                <w:sz w:val="22"/>
                <w:szCs w:val="22"/>
              </w:rPr>
              <w:t>The total Private Equity investments in the financial statements are £287.</w:t>
            </w:r>
            <w:r>
              <w:rPr>
                <w:sz w:val="22"/>
                <w:szCs w:val="22"/>
              </w:rPr>
              <w:t>5</w:t>
            </w:r>
            <w:r w:rsidRPr="009A36EC">
              <w:rPr>
                <w:sz w:val="22"/>
                <w:szCs w:val="22"/>
              </w:rPr>
              <w:t>m.  There is a risk that this investment may be under or overstated in the accounts.</w:t>
            </w:r>
          </w:p>
        </w:tc>
      </w:tr>
      <w:tr w:rsidR="00A86593" w:rsidTr="001C741C">
        <w:trPr>
          <w:trHeight w:val="3359"/>
        </w:trPr>
        <w:tc>
          <w:tcPr>
            <w:tcW w:w="0" w:type="auto"/>
          </w:tcPr>
          <w:p w:rsidR="00A86593" w:rsidRPr="00834B94" w:rsidRDefault="00A86593" w:rsidP="001C741C">
            <w:pPr>
              <w:pStyle w:val="Default"/>
              <w:rPr>
                <w:sz w:val="22"/>
                <w:szCs w:val="22"/>
              </w:rPr>
            </w:pPr>
            <w:r w:rsidRPr="00834B94">
              <w:rPr>
                <w:sz w:val="22"/>
                <w:szCs w:val="22"/>
              </w:rPr>
              <w:t>Pensions Liability</w:t>
            </w:r>
          </w:p>
        </w:tc>
        <w:tc>
          <w:tcPr>
            <w:tcW w:w="0" w:type="auto"/>
          </w:tcPr>
          <w:tbl>
            <w:tblPr>
              <w:tblW w:w="0" w:type="auto"/>
              <w:tblBorders>
                <w:top w:val="nil"/>
                <w:left w:val="nil"/>
                <w:bottom w:val="nil"/>
                <w:right w:val="nil"/>
              </w:tblBorders>
              <w:tblLook w:val="0000"/>
            </w:tblPr>
            <w:tblGrid>
              <w:gridCol w:w="3994"/>
            </w:tblGrid>
            <w:tr w:rsidR="00A86593" w:rsidRPr="00834B94" w:rsidTr="001C741C">
              <w:trPr>
                <w:trHeight w:val="3077"/>
              </w:trPr>
              <w:tc>
                <w:tcPr>
                  <w:tcW w:w="0" w:type="auto"/>
                </w:tcPr>
                <w:p w:rsidR="00A86593" w:rsidRPr="00834B94" w:rsidRDefault="00A86593" w:rsidP="001C741C">
                  <w:pPr>
                    <w:pStyle w:val="Default"/>
                    <w:rPr>
                      <w:sz w:val="22"/>
                      <w:szCs w:val="22"/>
                    </w:rPr>
                  </w:pPr>
                  <w:r w:rsidRPr="00834B94">
                    <w:rPr>
                      <w:sz w:val="22"/>
                      <w:szCs w:val="22"/>
                    </w:rPr>
                    <w:t>Estimation of the net liability to pay pensions depends on a number of complex judgements relating to the discount rate used, the rate at which salaries are projected to increase, changes in retirement ages, mortality rates and expected returns on pension fund assets. A firm of consulting actuaries (Mercers) is engaged to provide the authority with expert advice about the assumptions to be applied.</w:t>
                  </w:r>
                </w:p>
              </w:tc>
            </w:tr>
          </w:tbl>
          <w:p w:rsidR="00A86593" w:rsidRPr="00834B94" w:rsidRDefault="00A86593" w:rsidP="001C741C">
            <w:pPr>
              <w:jc w:val="center"/>
              <w:rPr>
                <w:sz w:val="22"/>
                <w:szCs w:val="22"/>
              </w:rPr>
            </w:pPr>
          </w:p>
        </w:tc>
        <w:tc>
          <w:tcPr>
            <w:tcW w:w="0" w:type="auto"/>
          </w:tcPr>
          <w:p w:rsidR="00A86593" w:rsidRPr="00834B94" w:rsidRDefault="00A86593" w:rsidP="001C741C">
            <w:pPr>
              <w:pStyle w:val="Default"/>
              <w:rPr>
                <w:sz w:val="22"/>
                <w:szCs w:val="22"/>
              </w:rPr>
            </w:pPr>
            <w:r w:rsidRPr="00756E2F">
              <w:rPr>
                <w:sz w:val="22"/>
                <w:szCs w:val="22"/>
              </w:rPr>
              <w:t xml:space="preserve">The effects on the net pension liability of changes in individual assumptions can be measured. For instance, a 0.5% increase in the discount rate assumption would reduce the value of the liabilities by approximately </w:t>
            </w:r>
            <w:r w:rsidRPr="00756E2F">
              <w:rPr>
                <w:color w:val="auto"/>
                <w:sz w:val="22"/>
                <w:szCs w:val="22"/>
              </w:rPr>
              <w:t>£580 million.</w:t>
            </w:r>
            <w:r w:rsidRPr="00756E2F">
              <w:rPr>
                <w:sz w:val="22"/>
                <w:szCs w:val="22"/>
              </w:rPr>
              <w:t xml:space="preserve">  A 0.25% increase in assumed earnings inflation would increase the value of the liabilities by approximately £90m and a 1 year increase in assumed life expectancy would increase the liabilities by approximately £130m.</w:t>
            </w:r>
          </w:p>
        </w:tc>
      </w:tr>
    </w:tbl>
    <w:p w:rsidR="00A86593" w:rsidRDefault="00A86593" w:rsidP="00A86593">
      <w:pPr>
        <w:rPr>
          <w:b/>
        </w:rPr>
      </w:pPr>
    </w:p>
    <w:p w:rsidR="00A86593" w:rsidRDefault="00A86593" w:rsidP="00A86593">
      <w:r>
        <w:br w:type="page"/>
      </w:r>
    </w:p>
    <w:p w:rsidR="00A86593" w:rsidRPr="00EB31B3" w:rsidRDefault="00A86593" w:rsidP="00A86593"/>
    <w:p w:rsidR="00A86593" w:rsidRPr="00636AC9" w:rsidRDefault="00A86593" w:rsidP="00A86593">
      <w:pPr>
        <w:numPr>
          <w:ilvl w:val="0"/>
          <w:numId w:val="60"/>
        </w:numPr>
      </w:pPr>
      <w:r w:rsidRPr="00166665">
        <w:rPr>
          <w:b/>
        </w:rPr>
        <w:t>Contributions receivable</w:t>
      </w:r>
    </w:p>
    <w:p w:rsidR="00A86593" w:rsidRDefault="00A86593" w:rsidP="00A86593">
      <w:pPr>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1559"/>
        <w:gridCol w:w="430"/>
        <w:gridCol w:w="1696"/>
      </w:tblGrid>
      <w:tr w:rsidR="00A86593" w:rsidTr="001C741C">
        <w:tc>
          <w:tcPr>
            <w:tcW w:w="5058" w:type="dxa"/>
          </w:tcPr>
          <w:p w:rsidR="00A86593" w:rsidRDefault="00A86593" w:rsidP="001C741C">
            <w:pPr>
              <w:rPr>
                <w:b/>
              </w:rPr>
            </w:pPr>
          </w:p>
        </w:tc>
        <w:tc>
          <w:tcPr>
            <w:tcW w:w="1559" w:type="dxa"/>
          </w:tcPr>
          <w:p w:rsidR="00A86593" w:rsidRDefault="00A86593" w:rsidP="001C741C">
            <w:pPr>
              <w:jc w:val="right"/>
              <w:rPr>
                <w:b/>
              </w:rPr>
            </w:pPr>
            <w:r>
              <w:rPr>
                <w:b/>
              </w:rPr>
              <w:t>2011/12</w:t>
            </w:r>
          </w:p>
          <w:p w:rsidR="00A86593" w:rsidRDefault="00A86593" w:rsidP="001C741C">
            <w:pPr>
              <w:jc w:val="right"/>
              <w:rPr>
                <w:b/>
              </w:rPr>
            </w:pPr>
            <w:r>
              <w:rPr>
                <w:b/>
              </w:rPr>
              <w:t>£m</w:t>
            </w:r>
          </w:p>
        </w:tc>
        <w:tc>
          <w:tcPr>
            <w:tcW w:w="430" w:type="dxa"/>
            <w:tcBorders>
              <w:right w:val="single" w:sz="4" w:space="0" w:color="FFFFFF" w:themeColor="background1"/>
            </w:tcBorders>
          </w:tcPr>
          <w:p w:rsidR="00A86593" w:rsidRDefault="00A86593" w:rsidP="001C741C">
            <w:pPr>
              <w:jc w:val="right"/>
              <w:rPr>
                <w:b/>
              </w:rPr>
            </w:pPr>
          </w:p>
          <w:p w:rsidR="00A86593" w:rsidRDefault="00A86593" w:rsidP="001C741C">
            <w:pPr>
              <w:jc w:val="right"/>
              <w:rPr>
                <w:b/>
              </w:rPr>
            </w:pPr>
          </w:p>
        </w:tc>
        <w:tc>
          <w:tcPr>
            <w:tcW w:w="1696" w:type="dxa"/>
            <w:tcBorders>
              <w:left w:val="single" w:sz="4" w:space="0" w:color="FFFFFF" w:themeColor="background1"/>
            </w:tcBorders>
          </w:tcPr>
          <w:p w:rsidR="00A86593" w:rsidRDefault="00A86593" w:rsidP="001C741C">
            <w:pPr>
              <w:jc w:val="right"/>
              <w:rPr>
                <w:b/>
              </w:rPr>
            </w:pPr>
            <w:r>
              <w:rPr>
                <w:b/>
              </w:rPr>
              <w:t>2010/11</w:t>
            </w:r>
          </w:p>
          <w:p w:rsidR="00A86593" w:rsidRDefault="00A86593" w:rsidP="001C741C">
            <w:pPr>
              <w:jc w:val="right"/>
              <w:rPr>
                <w:b/>
              </w:rPr>
            </w:pPr>
            <w:r>
              <w:rPr>
                <w:b/>
              </w:rPr>
              <w:t>£m</w:t>
            </w:r>
          </w:p>
          <w:p w:rsidR="00A86593" w:rsidRDefault="00A86593" w:rsidP="001C741C">
            <w:pPr>
              <w:jc w:val="right"/>
              <w:rPr>
                <w:b/>
              </w:rPr>
            </w:pPr>
          </w:p>
        </w:tc>
      </w:tr>
      <w:tr w:rsidR="00A86593" w:rsidTr="001C741C">
        <w:tc>
          <w:tcPr>
            <w:tcW w:w="5058" w:type="dxa"/>
          </w:tcPr>
          <w:p w:rsidR="00A86593" w:rsidRDefault="00A86593" w:rsidP="001C741C">
            <w:pPr>
              <w:rPr>
                <w:b/>
              </w:rPr>
            </w:pPr>
            <w:r>
              <w:rPr>
                <w:b/>
              </w:rPr>
              <w:t>Employers' contributions</w:t>
            </w:r>
          </w:p>
        </w:tc>
        <w:tc>
          <w:tcPr>
            <w:tcW w:w="1559" w:type="dxa"/>
          </w:tcPr>
          <w:p w:rsidR="00A86593" w:rsidRPr="009643EB" w:rsidRDefault="00A86593" w:rsidP="001C741C">
            <w:pPr>
              <w:jc w:val="right"/>
            </w:pPr>
          </w:p>
        </w:tc>
        <w:tc>
          <w:tcPr>
            <w:tcW w:w="430" w:type="dxa"/>
            <w:tcBorders>
              <w:right w:val="single" w:sz="4" w:space="0" w:color="FFFFFF" w:themeColor="background1"/>
            </w:tcBorders>
          </w:tcPr>
          <w:p w:rsidR="00A86593" w:rsidRPr="009643EB" w:rsidRDefault="00A86593" w:rsidP="001C741C">
            <w:pPr>
              <w:jc w:val="right"/>
            </w:pPr>
          </w:p>
        </w:tc>
        <w:tc>
          <w:tcPr>
            <w:tcW w:w="1696" w:type="dxa"/>
            <w:tcBorders>
              <w:left w:val="single" w:sz="4" w:space="0" w:color="FFFFFF" w:themeColor="background1"/>
            </w:tcBorders>
          </w:tcPr>
          <w:p w:rsidR="00A86593" w:rsidRPr="009643EB" w:rsidRDefault="00A86593" w:rsidP="001C741C">
            <w:pPr>
              <w:jc w:val="right"/>
            </w:pPr>
          </w:p>
        </w:tc>
      </w:tr>
      <w:tr w:rsidR="00A86593" w:rsidTr="001C741C">
        <w:tc>
          <w:tcPr>
            <w:tcW w:w="5058" w:type="dxa"/>
          </w:tcPr>
          <w:p w:rsidR="00A86593" w:rsidRPr="009643EB" w:rsidRDefault="00A86593" w:rsidP="001C741C">
            <w:r>
              <w:t>County Council</w:t>
            </w:r>
          </w:p>
        </w:tc>
        <w:tc>
          <w:tcPr>
            <w:tcW w:w="1559" w:type="dxa"/>
          </w:tcPr>
          <w:p w:rsidR="00A86593" w:rsidRPr="009643EB" w:rsidRDefault="00A86593" w:rsidP="001C741C">
            <w:pPr>
              <w:jc w:val="right"/>
            </w:pPr>
            <w:r>
              <w:t>68.5</w:t>
            </w:r>
          </w:p>
        </w:tc>
        <w:tc>
          <w:tcPr>
            <w:tcW w:w="430" w:type="dxa"/>
            <w:tcBorders>
              <w:right w:val="single" w:sz="4" w:space="0" w:color="FFFFFF" w:themeColor="background1"/>
            </w:tcBorders>
          </w:tcPr>
          <w:p w:rsidR="00A86593" w:rsidRPr="009643EB" w:rsidRDefault="00A86593" w:rsidP="001C741C">
            <w:pPr>
              <w:jc w:val="right"/>
            </w:pPr>
          </w:p>
        </w:tc>
        <w:tc>
          <w:tcPr>
            <w:tcW w:w="1696" w:type="dxa"/>
            <w:tcBorders>
              <w:left w:val="single" w:sz="4" w:space="0" w:color="FFFFFF" w:themeColor="background1"/>
            </w:tcBorders>
          </w:tcPr>
          <w:p w:rsidR="00A86593" w:rsidRPr="009643EB" w:rsidRDefault="00A86593" w:rsidP="001C741C">
            <w:pPr>
              <w:jc w:val="right"/>
            </w:pPr>
            <w:r w:rsidRPr="009643EB">
              <w:t>7</w:t>
            </w:r>
            <w:r>
              <w:t>0.9</w:t>
            </w:r>
          </w:p>
        </w:tc>
      </w:tr>
      <w:tr w:rsidR="00A86593" w:rsidTr="001C741C">
        <w:tc>
          <w:tcPr>
            <w:tcW w:w="5058" w:type="dxa"/>
          </w:tcPr>
          <w:p w:rsidR="00A86593" w:rsidRDefault="00A86593" w:rsidP="001C741C">
            <w:r>
              <w:t>Scheduled Bodies</w:t>
            </w:r>
          </w:p>
        </w:tc>
        <w:tc>
          <w:tcPr>
            <w:tcW w:w="1559" w:type="dxa"/>
          </w:tcPr>
          <w:p w:rsidR="00A86593" w:rsidRPr="009643EB" w:rsidRDefault="00A86593" w:rsidP="001C741C">
            <w:pPr>
              <w:jc w:val="right"/>
            </w:pPr>
            <w:r>
              <w:t>75.7</w:t>
            </w:r>
          </w:p>
        </w:tc>
        <w:tc>
          <w:tcPr>
            <w:tcW w:w="430" w:type="dxa"/>
            <w:tcBorders>
              <w:right w:val="single" w:sz="4" w:space="0" w:color="FFFFFF" w:themeColor="background1"/>
            </w:tcBorders>
          </w:tcPr>
          <w:p w:rsidR="00A86593" w:rsidRPr="009643EB" w:rsidRDefault="00A86593" w:rsidP="001C741C">
            <w:pPr>
              <w:jc w:val="right"/>
            </w:pPr>
          </w:p>
        </w:tc>
        <w:tc>
          <w:tcPr>
            <w:tcW w:w="1696" w:type="dxa"/>
            <w:tcBorders>
              <w:left w:val="single" w:sz="4" w:space="0" w:color="FFFFFF" w:themeColor="background1"/>
            </w:tcBorders>
          </w:tcPr>
          <w:p w:rsidR="00A86593" w:rsidRPr="009643EB" w:rsidRDefault="00A86593" w:rsidP="001C741C">
            <w:pPr>
              <w:jc w:val="right"/>
            </w:pPr>
            <w:r>
              <w:t>85.6</w:t>
            </w:r>
          </w:p>
        </w:tc>
      </w:tr>
      <w:tr w:rsidR="00A86593" w:rsidTr="001C741C">
        <w:tc>
          <w:tcPr>
            <w:tcW w:w="5058" w:type="dxa"/>
          </w:tcPr>
          <w:p w:rsidR="00A86593" w:rsidRDefault="00A86593" w:rsidP="001C741C">
            <w:r>
              <w:t>Admitted</w:t>
            </w:r>
          </w:p>
        </w:tc>
        <w:tc>
          <w:tcPr>
            <w:tcW w:w="1559" w:type="dxa"/>
            <w:tcBorders>
              <w:bottom w:val="single" w:sz="18" w:space="0" w:color="auto"/>
            </w:tcBorders>
          </w:tcPr>
          <w:p w:rsidR="00A86593" w:rsidRPr="009643EB" w:rsidRDefault="00A86593" w:rsidP="001C741C">
            <w:pPr>
              <w:jc w:val="right"/>
            </w:pPr>
            <w:r>
              <w:t>12.9</w:t>
            </w:r>
          </w:p>
        </w:tc>
        <w:tc>
          <w:tcPr>
            <w:tcW w:w="430" w:type="dxa"/>
            <w:tcBorders>
              <w:right w:val="single" w:sz="4" w:space="0" w:color="FFFFFF" w:themeColor="background1"/>
            </w:tcBorders>
          </w:tcPr>
          <w:p w:rsidR="00A86593" w:rsidRDefault="00A86593" w:rsidP="001C741C">
            <w:pPr>
              <w:jc w:val="right"/>
            </w:pPr>
          </w:p>
        </w:tc>
        <w:tc>
          <w:tcPr>
            <w:tcW w:w="1696" w:type="dxa"/>
            <w:tcBorders>
              <w:left w:val="single" w:sz="4" w:space="0" w:color="FFFFFF" w:themeColor="background1"/>
              <w:bottom w:val="single" w:sz="18" w:space="0" w:color="auto"/>
            </w:tcBorders>
          </w:tcPr>
          <w:p w:rsidR="00A86593" w:rsidRDefault="00A86593" w:rsidP="001C741C">
            <w:pPr>
              <w:jc w:val="right"/>
            </w:pPr>
            <w:r>
              <w:t>14.3</w:t>
            </w:r>
          </w:p>
        </w:tc>
      </w:tr>
      <w:tr w:rsidR="00A86593" w:rsidTr="001C741C">
        <w:tc>
          <w:tcPr>
            <w:tcW w:w="5058" w:type="dxa"/>
          </w:tcPr>
          <w:p w:rsidR="00A86593" w:rsidRDefault="00A86593" w:rsidP="001C741C"/>
        </w:tc>
        <w:tc>
          <w:tcPr>
            <w:tcW w:w="1559" w:type="dxa"/>
            <w:tcBorders>
              <w:top w:val="single" w:sz="18" w:space="0" w:color="auto"/>
            </w:tcBorders>
          </w:tcPr>
          <w:p w:rsidR="00A86593" w:rsidRPr="009643EB" w:rsidRDefault="00A86593" w:rsidP="001C741C">
            <w:pPr>
              <w:jc w:val="right"/>
            </w:pPr>
            <w:r>
              <w:t>157.1</w:t>
            </w:r>
          </w:p>
        </w:tc>
        <w:tc>
          <w:tcPr>
            <w:tcW w:w="430" w:type="dxa"/>
            <w:tcBorders>
              <w:right w:val="single" w:sz="4" w:space="0" w:color="FFFFFF" w:themeColor="background1"/>
            </w:tcBorders>
          </w:tcPr>
          <w:p w:rsidR="00A86593" w:rsidRDefault="00A86593" w:rsidP="001C741C">
            <w:pPr>
              <w:jc w:val="right"/>
            </w:pPr>
          </w:p>
        </w:tc>
        <w:tc>
          <w:tcPr>
            <w:tcW w:w="1696" w:type="dxa"/>
            <w:tcBorders>
              <w:top w:val="single" w:sz="18" w:space="0" w:color="auto"/>
              <w:left w:val="single" w:sz="4" w:space="0" w:color="FFFFFF" w:themeColor="background1"/>
            </w:tcBorders>
          </w:tcPr>
          <w:p w:rsidR="00A86593" w:rsidRDefault="00A86593" w:rsidP="001C741C">
            <w:pPr>
              <w:jc w:val="right"/>
            </w:pPr>
            <w:r>
              <w:t>170.8</w:t>
            </w:r>
          </w:p>
        </w:tc>
      </w:tr>
      <w:tr w:rsidR="00A86593" w:rsidTr="001C741C">
        <w:tc>
          <w:tcPr>
            <w:tcW w:w="5058" w:type="dxa"/>
          </w:tcPr>
          <w:p w:rsidR="00A86593" w:rsidRDefault="00A86593" w:rsidP="001C741C"/>
          <w:p w:rsidR="00A86593" w:rsidRPr="00CB2E58" w:rsidRDefault="00A86593" w:rsidP="001C741C">
            <w:pPr>
              <w:rPr>
                <w:b/>
              </w:rPr>
            </w:pPr>
            <w:r w:rsidRPr="00CB2E58">
              <w:rPr>
                <w:b/>
              </w:rPr>
              <w:t>Employees' contributions</w:t>
            </w:r>
          </w:p>
        </w:tc>
        <w:tc>
          <w:tcPr>
            <w:tcW w:w="1559" w:type="dxa"/>
          </w:tcPr>
          <w:p w:rsidR="00A86593" w:rsidRDefault="00A86593" w:rsidP="001C741C">
            <w:pPr>
              <w:jc w:val="right"/>
            </w:pPr>
          </w:p>
        </w:tc>
        <w:tc>
          <w:tcPr>
            <w:tcW w:w="430" w:type="dxa"/>
          </w:tcPr>
          <w:p w:rsidR="00A86593" w:rsidRDefault="00A86593" w:rsidP="001C741C">
            <w:pPr>
              <w:jc w:val="right"/>
            </w:pPr>
          </w:p>
        </w:tc>
        <w:tc>
          <w:tcPr>
            <w:tcW w:w="1696" w:type="dxa"/>
          </w:tcPr>
          <w:p w:rsidR="00A86593" w:rsidRDefault="00A86593" w:rsidP="001C741C">
            <w:pPr>
              <w:jc w:val="right"/>
            </w:pPr>
          </w:p>
        </w:tc>
      </w:tr>
      <w:tr w:rsidR="00A86593" w:rsidTr="001C741C">
        <w:tc>
          <w:tcPr>
            <w:tcW w:w="5058" w:type="dxa"/>
          </w:tcPr>
          <w:p w:rsidR="00A86593" w:rsidRDefault="00A86593" w:rsidP="001C741C">
            <w:r>
              <w:t>County Council</w:t>
            </w:r>
          </w:p>
        </w:tc>
        <w:tc>
          <w:tcPr>
            <w:tcW w:w="1559" w:type="dxa"/>
          </w:tcPr>
          <w:p w:rsidR="00A86593" w:rsidRDefault="00A86593" w:rsidP="001C741C">
            <w:pPr>
              <w:jc w:val="right"/>
            </w:pPr>
            <w:r>
              <w:t>20.5</w:t>
            </w:r>
          </w:p>
        </w:tc>
        <w:tc>
          <w:tcPr>
            <w:tcW w:w="430" w:type="dxa"/>
          </w:tcPr>
          <w:p w:rsidR="00A86593" w:rsidRDefault="00A86593" w:rsidP="001C741C">
            <w:pPr>
              <w:jc w:val="right"/>
            </w:pPr>
          </w:p>
        </w:tc>
        <w:tc>
          <w:tcPr>
            <w:tcW w:w="1696" w:type="dxa"/>
          </w:tcPr>
          <w:p w:rsidR="00A86593" w:rsidRDefault="00A86593" w:rsidP="001C741C">
            <w:pPr>
              <w:jc w:val="right"/>
            </w:pPr>
            <w:r>
              <w:t>22.5</w:t>
            </w:r>
          </w:p>
        </w:tc>
      </w:tr>
      <w:tr w:rsidR="00A86593" w:rsidTr="001C741C">
        <w:tc>
          <w:tcPr>
            <w:tcW w:w="5058" w:type="dxa"/>
          </w:tcPr>
          <w:p w:rsidR="00A86593" w:rsidRDefault="00A86593" w:rsidP="001C741C">
            <w:r>
              <w:t>Scheduled Bodies</w:t>
            </w:r>
          </w:p>
        </w:tc>
        <w:tc>
          <w:tcPr>
            <w:tcW w:w="1559" w:type="dxa"/>
          </w:tcPr>
          <w:p w:rsidR="00A86593" w:rsidRDefault="00A86593" w:rsidP="001C741C">
            <w:pPr>
              <w:jc w:val="right"/>
            </w:pPr>
            <w:r>
              <w:t>26.8</w:t>
            </w:r>
          </w:p>
        </w:tc>
        <w:tc>
          <w:tcPr>
            <w:tcW w:w="430" w:type="dxa"/>
            <w:tcBorders>
              <w:right w:val="single" w:sz="4" w:space="0" w:color="FFFFFF" w:themeColor="background1"/>
            </w:tcBorders>
          </w:tcPr>
          <w:p w:rsidR="00A86593" w:rsidRDefault="00A86593" w:rsidP="001C741C">
            <w:pPr>
              <w:jc w:val="right"/>
            </w:pPr>
          </w:p>
        </w:tc>
        <w:tc>
          <w:tcPr>
            <w:tcW w:w="1696" w:type="dxa"/>
            <w:tcBorders>
              <w:left w:val="single" w:sz="4" w:space="0" w:color="FFFFFF" w:themeColor="background1"/>
            </w:tcBorders>
          </w:tcPr>
          <w:p w:rsidR="00A86593" w:rsidRDefault="00A86593" w:rsidP="001C741C">
            <w:pPr>
              <w:jc w:val="right"/>
            </w:pPr>
            <w:r>
              <w:t>28.8</w:t>
            </w:r>
          </w:p>
        </w:tc>
      </w:tr>
      <w:tr w:rsidR="00A86593" w:rsidTr="001C741C">
        <w:tc>
          <w:tcPr>
            <w:tcW w:w="5058" w:type="dxa"/>
          </w:tcPr>
          <w:p w:rsidR="00A86593" w:rsidRDefault="00A86593" w:rsidP="001C741C">
            <w:r>
              <w:t>Admitted</w:t>
            </w:r>
          </w:p>
        </w:tc>
        <w:tc>
          <w:tcPr>
            <w:tcW w:w="1559" w:type="dxa"/>
            <w:tcBorders>
              <w:bottom w:val="single" w:sz="18" w:space="0" w:color="auto"/>
            </w:tcBorders>
          </w:tcPr>
          <w:p w:rsidR="00A86593" w:rsidRDefault="00A86593" w:rsidP="001C741C">
            <w:pPr>
              <w:jc w:val="right"/>
            </w:pPr>
            <w:r>
              <w:t>4.9</w:t>
            </w:r>
          </w:p>
        </w:tc>
        <w:tc>
          <w:tcPr>
            <w:tcW w:w="430" w:type="dxa"/>
            <w:tcBorders>
              <w:right w:val="single" w:sz="4" w:space="0" w:color="FFFFFF" w:themeColor="background1"/>
            </w:tcBorders>
          </w:tcPr>
          <w:p w:rsidR="00A86593" w:rsidRDefault="00A86593" w:rsidP="001C741C">
            <w:pPr>
              <w:jc w:val="right"/>
            </w:pPr>
          </w:p>
        </w:tc>
        <w:tc>
          <w:tcPr>
            <w:tcW w:w="1696" w:type="dxa"/>
            <w:tcBorders>
              <w:left w:val="single" w:sz="4" w:space="0" w:color="FFFFFF" w:themeColor="background1"/>
              <w:bottom w:val="single" w:sz="18" w:space="0" w:color="auto"/>
            </w:tcBorders>
          </w:tcPr>
          <w:p w:rsidR="00A86593" w:rsidRDefault="00A86593" w:rsidP="001C741C">
            <w:pPr>
              <w:jc w:val="right"/>
            </w:pPr>
            <w:r>
              <w:t>5.1</w:t>
            </w:r>
          </w:p>
        </w:tc>
      </w:tr>
      <w:tr w:rsidR="00A86593" w:rsidTr="001C741C">
        <w:tc>
          <w:tcPr>
            <w:tcW w:w="5058" w:type="dxa"/>
          </w:tcPr>
          <w:p w:rsidR="00A86593" w:rsidRDefault="00A86593" w:rsidP="001C741C"/>
        </w:tc>
        <w:tc>
          <w:tcPr>
            <w:tcW w:w="1559" w:type="dxa"/>
            <w:tcBorders>
              <w:top w:val="single" w:sz="18" w:space="0" w:color="auto"/>
              <w:bottom w:val="single" w:sz="18" w:space="0" w:color="auto"/>
            </w:tcBorders>
          </w:tcPr>
          <w:p w:rsidR="00A86593" w:rsidRDefault="00A86593" w:rsidP="001C741C">
            <w:pPr>
              <w:jc w:val="right"/>
            </w:pPr>
            <w:r>
              <w:t>52.2</w:t>
            </w:r>
          </w:p>
        </w:tc>
        <w:tc>
          <w:tcPr>
            <w:tcW w:w="430" w:type="dxa"/>
            <w:tcBorders>
              <w:right w:val="single" w:sz="4" w:space="0" w:color="FFFFFF" w:themeColor="background1"/>
            </w:tcBorders>
          </w:tcPr>
          <w:p w:rsidR="00A86593" w:rsidRDefault="00A86593" w:rsidP="001C741C">
            <w:pPr>
              <w:jc w:val="right"/>
            </w:pPr>
          </w:p>
        </w:tc>
        <w:tc>
          <w:tcPr>
            <w:tcW w:w="1696" w:type="dxa"/>
            <w:tcBorders>
              <w:top w:val="single" w:sz="18" w:space="0" w:color="auto"/>
              <w:left w:val="single" w:sz="4" w:space="0" w:color="FFFFFF" w:themeColor="background1"/>
              <w:bottom w:val="single" w:sz="18" w:space="0" w:color="auto"/>
            </w:tcBorders>
          </w:tcPr>
          <w:p w:rsidR="00A86593" w:rsidRDefault="00A86593" w:rsidP="001C741C">
            <w:pPr>
              <w:jc w:val="right"/>
            </w:pPr>
            <w:r>
              <w:t>56.4</w:t>
            </w:r>
          </w:p>
        </w:tc>
      </w:tr>
      <w:tr w:rsidR="00A86593" w:rsidTr="001C741C">
        <w:tc>
          <w:tcPr>
            <w:tcW w:w="5058" w:type="dxa"/>
          </w:tcPr>
          <w:p w:rsidR="00A86593" w:rsidRDefault="00A86593" w:rsidP="001C741C">
            <w:r>
              <w:t>Total contributions</w:t>
            </w:r>
          </w:p>
        </w:tc>
        <w:tc>
          <w:tcPr>
            <w:tcW w:w="1559" w:type="dxa"/>
            <w:tcBorders>
              <w:top w:val="single" w:sz="18" w:space="0" w:color="auto"/>
              <w:bottom w:val="single" w:sz="18" w:space="0" w:color="auto"/>
            </w:tcBorders>
          </w:tcPr>
          <w:p w:rsidR="00A86593" w:rsidRDefault="00A86593" w:rsidP="001C741C">
            <w:pPr>
              <w:jc w:val="right"/>
            </w:pPr>
            <w:r>
              <w:t>209.3</w:t>
            </w:r>
          </w:p>
        </w:tc>
        <w:tc>
          <w:tcPr>
            <w:tcW w:w="430" w:type="dxa"/>
            <w:tcBorders>
              <w:right w:val="single" w:sz="4" w:space="0" w:color="FFFFFF" w:themeColor="background1"/>
            </w:tcBorders>
          </w:tcPr>
          <w:p w:rsidR="00A86593" w:rsidRDefault="00A86593" w:rsidP="001C741C">
            <w:pPr>
              <w:jc w:val="right"/>
            </w:pPr>
          </w:p>
        </w:tc>
        <w:tc>
          <w:tcPr>
            <w:tcW w:w="1696" w:type="dxa"/>
            <w:tcBorders>
              <w:top w:val="single" w:sz="18" w:space="0" w:color="auto"/>
              <w:left w:val="single" w:sz="4" w:space="0" w:color="FFFFFF" w:themeColor="background1"/>
              <w:bottom w:val="single" w:sz="18" w:space="0" w:color="auto"/>
            </w:tcBorders>
          </w:tcPr>
          <w:p w:rsidR="00A86593" w:rsidRDefault="00A86593" w:rsidP="001C741C">
            <w:pPr>
              <w:jc w:val="right"/>
            </w:pPr>
            <w:r>
              <w:t>227.2</w:t>
            </w:r>
          </w:p>
        </w:tc>
      </w:tr>
    </w:tbl>
    <w:p w:rsidR="00A86593" w:rsidRDefault="00A86593" w:rsidP="00A86593">
      <w:pPr>
        <w:rPr>
          <w:b/>
        </w:rPr>
      </w:pPr>
    </w:p>
    <w:p w:rsidR="00A86593" w:rsidRDefault="00A86593" w:rsidP="00A86593">
      <w:pPr>
        <w:ind w:left="720"/>
        <w:rPr>
          <w:b/>
        </w:rPr>
      </w:pPr>
      <w:r w:rsidRPr="00166665">
        <w:t>Within the employee contributions figure for 20</w:t>
      </w:r>
      <w:r>
        <w:t>11</w:t>
      </w:r>
      <w:r w:rsidRPr="00166665">
        <w:t>/1</w:t>
      </w:r>
      <w:r>
        <w:t>2</w:t>
      </w:r>
      <w:r w:rsidRPr="00166665">
        <w:t xml:space="preserve">, </w:t>
      </w:r>
      <w:r w:rsidRPr="00CC30FE">
        <w:t>£242</w:t>
      </w:r>
      <w:r>
        <w:t>,830.87</w:t>
      </w:r>
      <w:r w:rsidRPr="00166665">
        <w:t xml:space="preserve"> is voluntary and additional regular contributions.  All </w:t>
      </w:r>
      <w:r w:rsidRPr="00DF129C">
        <w:t>employer</w:t>
      </w:r>
      <w:r w:rsidRPr="00166665">
        <w:t xml:space="preserve"> contributions are normal contributions.  </w:t>
      </w:r>
    </w:p>
    <w:p w:rsidR="00A86593" w:rsidRDefault="00A86593" w:rsidP="00A86593">
      <w:pPr>
        <w:rPr>
          <w:b/>
        </w:rPr>
      </w:pPr>
    </w:p>
    <w:p w:rsidR="00A86593" w:rsidRDefault="00A86593" w:rsidP="00A86593">
      <w:pPr>
        <w:rPr>
          <w:b/>
        </w:rPr>
      </w:pPr>
    </w:p>
    <w:p w:rsidR="00A86593" w:rsidRPr="00636AC9" w:rsidRDefault="00A86593" w:rsidP="00A86593">
      <w:pPr>
        <w:pStyle w:val="ListParagraph"/>
        <w:numPr>
          <w:ilvl w:val="0"/>
          <w:numId w:val="60"/>
        </w:numPr>
        <w:contextualSpacing/>
        <w:rPr>
          <w:b/>
        </w:rPr>
      </w:pPr>
      <w:r>
        <w:rPr>
          <w:b/>
        </w:rPr>
        <w:t>Transfers in</w:t>
      </w:r>
    </w:p>
    <w:p w:rsidR="00A86593" w:rsidRDefault="00A86593" w:rsidP="00A86593">
      <w:pPr>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1559"/>
        <w:gridCol w:w="430"/>
        <w:gridCol w:w="1696"/>
      </w:tblGrid>
      <w:tr w:rsidR="00A86593" w:rsidTr="001C741C">
        <w:tc>
          <w:tcPr>
            <w:tcW w:w="5058" w:type="dxa"/>
          </w:tcPr>
          <w:p w:rsidR="00A86593" w:rsidRDefault="00A86593" w:rsidP="001C741C">
            <w:pPr>
              <w:rPr>
                <w:b/>
              </w:rPr>
            </w:pPr>
          </w:p>
        </w:tc>
        <w:tc>
          <w:tcPr>
            <w:tcW w:w="1559" w:type="dxa"/>
          </w:tcPr>
          <w:p w:rsidR="00A86593" w:rsidRDefault="00A86593" w:rsidP="001C741C">
            <w:pPr>
              <w:jc w:val="right"/>
              <w:rPr>
                <w:b/>
              </w:rPr>
            </w:pPr>
            <w:r>
              <w:rPr>
                <w:b/>
              </w:rPr>
              <w:t>2011/12</w:t>
            </w:r>
          </w:p>
          <w:p w:rsidR="00A86593" w:rsidRDefault="00A86593" w:rsidP="001C741C">
            <w:pPr>
              <w:jc w:val="right"/>
              <w:rPr>
                <w:b/>
              </w:rPr>
            </w:pPr>
            <w:r>
              <w:rPr>
                <w:b/>
              </w:rPr>
              <w:t>£m</w:t>
            </w:r>
          </w:p>
        </w:tc>
        <w:tc>
          <w:tcPr>
            <w:tcW w:w="430" w:type="dxa"/>
            <w:tcBorders>
              <w:right w:val="single" w:sz="4" w:space="0" w:color="FFFFFF" w:themeColor="background1"/>
            </w:tcBorders>
          </w:tcPr>
          <w:p w:rsidR="00A86593" w:rsidRDefault="00A86593" w:rsidP="001C741C">
            <w:pPr>
              <w:jc w:val="right"/>
              <w:rPr>
                <w:b/>
              </w:rPr>
            </w:pPr>
          </w:p>
          <w:p w:rsidR="00A86593" w:rsidRDefault="00A86593" w:rsidP="001C741C">
            <w:pPr>
              <w:jc w:val="right"/>
              <w:rPr>
                <w:b/>
              </w:rPr>
            </w:pPr>
          </w:p>
        </w:tc>
        <w:tc>
          <w:tcPr>
            <w:tcW w:w="1696" w:type="dxa"/>
            <w:tcBorders>
              <w:left w:val="single" w:sz="4" w:space="0" w:color="FFFFFF" w:themeColor="background1"/>
            </w:tcBorders>
          </w:tcPr>
          <w:p w:rsidR="00A86593" w:rsidRDefault="00A86593" w:rsidP="001C741C">
            <w:pPr>
              <w:jc w:val="right"/>
              <w:rPr>
                <w:b/>
              </w:rPr>
            </w:pPr>
            <w:r>
              <w:rPr>
                <w:b/>
              </w:rPr>
              <w:t>2010/11</w:t>
            </w:r>
          </w:p>
          <w:p w:rsidR="00A86593" w:rsidRDefault="00A86593" w:rsidP="001C741C">
            <w:pPr>
              <w:jc w:val="right"/>
              <w:rPr>
                <w:b/>
              </w:rPr>
            </w:pPr>
            <w:r>
              <w:rPr>
                <w:b/>
              </w:rPr>
              <w:t>£m</w:t>
            </w:r>
          </w:p>
          <w:p w:rsidR="00A86593" w:rsidRDefault="00A86593" w:rsidP="001C741C">
            <w:pPr>
              <w:jc w:val="right"/>
              <w:rPr>
                <w:b/>
              </w:rPr>
            </w:pPr>
          </w:p>
        </w:tc>
      </w:tr>
      <w:tr w:rsidR="00A86593" w:rsidRPr="007A07AD" w:rsidTr="001C741C">
        <w:tc>
          <w:tcPr>
            <w:tcW w:w="5058" w:type="dxa"/>
          </w:tcPr>
          <w:p w:rsidR="00A86593" w:rsidRPr="007A07AD" w:rsidRDefault="00A86593" w:rsidP="001C741C">
            <w:r>
              <w:t>Individual transfers in from other schemes</w:t>
            </w:r>
          </w:p>
        </w:tc>
        <w:tc>
          <w:tcPr>
            <w:tcW w:w="1559" w:type="dxa"/>
          </w:tcPr>
          <w:p w:rsidR="00A86593" w:rsidRPr="007A07AD" w:rsidRDefault="00A86593" w:rsidP="001C741C">
            <w:pPr>
              <w:jc w:val="right"/>
            </w:pPr>
            <w:r>
              <w:t>11.1</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r>
              <w:t>15.6</w:t>
            </w:r>
          </w:p>
        </w:tc>
      </w:tr>
      <w:tr w:rsidR="00A86593" w:rsidRPr="007A07AD" w:rsidTr="001C741C">
        <w:tc>
          <w:tcPr>
            <w:tcW w:w="5058" w:type="dxa"/>
          </w:tcPr>
          <w:p w:rsidR="00A86593" w:rsidRDefault="00A86593" w:rsidP="001C741C">
            <w:r>
              <w:t>Bulk transfers in from other schemes</w:t>
            </w:r>
          </w:p>
        </w:tc>
        <w:tc>
          <w:tcPr>
            <w:tcW w:w="1559" w:type="dxa"/>
            <w:tcBorders>
              <w:bottom w:val="single" w:sz="18" w:space="0" w:color="auto"/>
            </w:tcBorders>
          </w:tcPr>
          <w:p w:rsidR="00A86593" w:rsidRPr="007A07AD" w:rsidRDefault="00A86593" w:rsidP="001C741C">
            <w:pPr>
              <w:jc w:val="right"/>
            </w:pPr>
            <w:r>
              <w:t>-</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bottom w:val="single" w:sz="18" w:space="0" w:color="auto"/>
            </w:tcBorders>
          </w:tcPr>
          <w:p w:rsidR="00A86593" w:rsidRDefault="00A86593" w:rsidP="001C741C">
            <w:pPr>
              <w:jc w:val="right"/>
            </w:pPr>
            <w:r>
              <w:t>-</w:t>
            </w:r>
          </w:p>
        </w:tc>
      </w:tr>
      <w:tr w:rsidR="00A86593" w:rsidRPr="007A07AD" w:rsidTr="001C741C">
        <w:tc>
          <w:tcPr>
            <w:tcW w:w="5058" w:type="dxa"/>
          </w:tcPr>
          <w:p w:rsidR="00A86593" w:rsidRDefault="00A86593" w:rsidP="001C741C"/>
        </w:tc>
        <w:tc>
          <w:tcPr>
            <w:tcW w:w="1559" w:type="dxa"/>
            <w:tcBorders>
              <w:top w:val="single" w:sz="18" w:space="0" w:color="auto"/>
              <w:bottom w:val="single" w:sz="18" w:space="0" w:color="auto"/>
            </w:tcBorders>
          </w:tcPr>
          <w:p w:rsidR="00A86593" w:rsidRPr="007A07AD" w:rsidRDefault="00A86593" w:rsidP="001C741C">
            <w:pPr>
              <w:jc w:val="right"/>
            </w:pPr>
            <w:r>
              <w:t>11.1</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top w:val="single" w:sz="18" w:space="0" w:color="auto"/>
              <w:left w:val="single" w:sz="4" w:space="0" w:color="FFFFFF" w:themeColor="background1"/>
              <w:bottom w:val="single" w:sz="18" w:space="0" w:color="auto"/>
            </w:tcBorders>
          </w:tcPr>
          <w:p w:rsidR="00A86593" w:rsidRDefault="00A86593" w:rsidP="001C741C">
            <w:pPr>
              <w:jc w:val="right"/>
            </w:pPr>
            <w:r>
              <w:t>15.6</w:t>
            </w:r>
          </w:p>
        </w:tc>
      </w:tr>
    </w:tbl>
    <w:p w:rsidR="00A86593" w:rsidRDefault="00A86593" w:rsidP="00A86593">
      <w:pPr>
        <w:pStyle w:val="BodyTextIndent"/>
        <w:tabs>
          <w:tab w:val="left" w:pos="709"/>
        </w:tabs>
        <w:spacing w:after="0"/>
        <w:ind w:left="709"/>
        <w:rPr>
          <w:szCs w:val="24"/>
        </w:rPr>
      </w:pPr>
      <w:r w:rsidRPr="00166665">
        <w:rPr>
          <w:szCs w:val="24"/>
        </w:rPr>
        <w:t xml:space="preserve"> </w:t>
      </w:r>
    </w:p>
    <w:p w:rsidR="00A86593" w:rsidRDefault="00A86593" w:rsidP="00A86593">
      <w:pPr>
        <w:pStyle w:val="Header"/>
      </w:pPr>
    </w:p>
    <w:p w:rsidR="00A86593" w:rsidRPr="007A07AD" w:rsidRDefault="00A86593" w:rsidP="00A86593">
      <w:pPr>
        <w:numPr>
          <w:ilvl w:val="0"/>
          <w:numId w:val="60"/>
        </w:numPr>
      </w:pPr>
      <w:r w:rsidRPr="00166665">
        <w:rPr>
          <w:b/>
        </w:rPr>
        <w:t>Benefits</w:t>
      </w:r>
    </w:p>
    <w:p w:rsidR="00A86593" w:rsidRPr="007A07AD" w:rsidRDefault="00A86593" w:rsidP="00A86593">
      <w:pPr>
        <w:ind w:left="72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1559"/>
        <w:gridCol w:w="430"/>
        <w:gridCol w:w="1696"/>
      </w:tblGrid>
      <w:tr w:rsidR="00A86593" w:rsidTr="001C741C">
        <w:tc>
          <w:tcPr>
            <w:tcW w:w="5058" w:type="dxa"/>
          </w:tcPr>
          <w:p w:rsidR="00A86593" w:rsidRDefault="00A86593" w:rsidP="001C741C">
            <w:pPr>
              <w:rPr>
                <w:b/>
              </w:rPr>
            </w:pPr>
          </w:p>
        </w:tc>
        <w:tc>
          <w:tcPr>
            <w:tcW w:w="1559" w:type="dxa"/>
          </w:tcPr>
          <w:p w:rsidR="00A86593" w:rsidRDefault="00A86593" w:rsidP="001C741C">
            <w:pPr>
              <w:jc w:val="right"/>
              <w:rPr>
                <w:b/>
              </w:rPr>
            </w:pPr>
            <w:r>
              <w:rPr>
                <w:b/>
              </w:rPr>
              <w:t>2011/12</w:t>
            </w:r>
          </w:p>
          <w:p w:rsidR="00A86593" w:rsidRDefault="00A86593" w:rsidP="001C741C">
            <w:pPr>
              <w:jc w:val="right"/>
              <w:rPr>
                <w:b/>
              </w:rPr>
            </w:pPr>
            <w:r>
              <w:rPr>
                <w:b/>
              </w:rPr>
              <w:t>£m</w:t>
            </w:r>
          </w:p>
        </w:tc>
        <w:tc>
          <w:tcPr>
            <w:tcW w:w="430" w:type="dxa"/>
            <w:tcBorders>
              <w:right w:val="single" w:sz="4" w:space="0" w:color="FFFFFF" w:themeColor="background1"/>
            </w:tcBorders>
          </w:tcPr>
          <w:p w:rsidR="00A86593" w:rsidRDefault="00A86593" w:rsidP="001C741C">
            <w:pPr>
              <w:jc w:val="right"/>
              <w:rPr>
                <w:b/>
              </w:rPr>
            </w:pPr>
          </w:p>
          <w:p w:rsidR="00A86593" w:rsidRDefault="00A86593" w:rsidP="001C741C">
            <w:pPr>
              <w:jc w:val="right"/>
              <w:rPr>
                <w:b/>
              </w:rPr>
            </w:pPr>
          </w:p>
        </w:tc>
        <w:tc>
          <w:tcPr>
            <w:tcW w:w="1696" w:type="dxa"/>
            <w:tcBorders>
              <w:left w:val="single" w:sz="4" w:space="0" w:color="FFFFFF" w:themeColor="background1"/>
            </w:tcBorders>
          </w:tcPr>
          <w:p w:rsidR="00A86593" w:rsidRDefault="00A86593" w:rsidP="001C741C">
            <w:pPr>
              <w:jc w:val="right"/>
              <w:rPr>
                <w:b/>
              </w:rPr>
            </w:pPr>
            <w:r>
              <w:rPr>
                <w:b/>
              </w:rPr>
              <w:t>2010/11</w:t>
            </w:r>
          </w:p>
          <w:p w:rsidR="00A86593" w:rsidRDefault="00A86593" w:rsidP="001C741C">
            <w:pPr>
              <w:jc w:val="right"/>
              <w:rPr>
                <w:b/>
              </w:rPr>
            </w:pPr>
            <w:r>
              <w:rPr>
                <w:b/>
              </w:rPr>
              <w:t>£m</w:t>
            </w:r>
          </w:p>
          <w:p w:rsidR="00A86593" w:rsidRDefault="00A86593" w:rsidP="001C741C">
            <w:pPr>
              <w:jc w:val="right"/>
              <w:rPr>
                <w:b/>
              </w:rPr>
            </w:pPr>
          </w:p>
        </w:tc>
      </w:tr>
      <w:tr w:rsidR="00A86593" w:rsidRPr="007A07AD" w:rsidTr="001C741C">
        <w:tc>
          <w:tcPr>
            <w:tcW w:w="5058" w:type="dxa"/>
          </w:tcPr>
          <w:p w:rsidR="00A86593" w:rsidRPr="007A07AD" w:rsidRDefault="00A86593" w:rsidP="001C741C">
            <w:r>
              <w:t>Pensions</w:t>
            </w:r>
          </w:p>
        </w:tc>
        <w:tc>
          <w:tcPr>
            <w:tcW w:w="1559" w:type="dxa"/>
          </w:tcPr>
          <w:p w:rsidR="00A86593" w:rsidRPr="007A07AD" w:rsidRDefault="00A86593" w:rsidP="001C741C">
            <w:pPr>
              <w:jc w:val="right"/>
            </w:pPr>
            <w:r>
              <w:t>163.6</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r>
              <w:t>149.2</w:t>
            </w:r>
          </w:p>
        </w:tc>
      </w:tr>
      <w:tr w:rsidR="00A86593" w:rsidRPr="007A07AD" w:rsidTr="001C741C">
        <w:tc>
          <w:tcPr>
            <w:tcW w:w="5058" w:type="dxa"/>
          </w:tcPr>
          <w:p w:rsidR="00A86593" w:rsidRDefault="00A86593" w:rsidP="001C741C">
            <w:r>
              <w:t>Lump sum retirement benefits</w:t>
            </w:r>
          </w:p>
        </w:tc>
        <w:tc>
          <w:tcPr>
            <w:tcW w:w="1559" w:type="dxa"/>
          </w:tcPr>
          <w:p w:rsidR="00A86593" w:rsidRPr="007A07AD" w:rsidRDefault="00A86593" w:rsidP="001C741C">
            <w:pPr>
              <w:jc w:val="right"/>
            </w:pPr>
            <w:r>
              <w:t>51.0</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Default="00A86593" w:rsidP="001C741C">
            <w:pPr>
              <w:jc w:val="right"/>
            </w:pPr>
            <w:r>
              <w:t>60.9</w:t>
            </w:r>
          </w:p>
        </w:tc>
      </w:tr>
      <w:tr w:rsidR="00A86593" w:rsidRPr="007A07AD" w:rsidTr="001C741C">
        <w:tc>
          <w:tcPr>
            <w:tcW w:w="5058" w:type="dxa"/>
          </w:tcPr>
          <w:p w:rsidR="00A86593" w:rsidRDefault="00A86593" w:rsidP="001C741C">
            <w:r>
              <w:t>Lump Sum death benefits</w:t>
            </w:r>
          </w:p>
        </w:tc>
        <w:tc>
          <w:tcPr>
            <w:tcW w:w="1559" w:type="dxa"/>
            <w:tcBorders>
              <w:bottom w:val="single" w:sz="18" w:space="0" w:color="auto"/>
            </w:tcBorders>
          </w:tcPr>
          <w:p w:rsidR="00A86593" w:rsidRPr="007A07AD" w:rsidRDefault="00A86593" w:rsidP="001C741C">
            <w:pPr>
              <w:jc w:val="right"/>
            </w:pPr>
            <w:r>
              <w:t>4.5</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bottom w:val="single" w:sz="18" w:space="0" w:color="auto"/>
            </w:tcBorders>
          </w:tcPr>
          <w:p w:rsidR="00A86593" w:rsidRDefault="00A86593" w:rsidP="001C741C">
            <w:pPr>
              <w:jc w:val="right"/>
            </w:pPr>
            <w:r>
              <w:t>4.4</w:t>
            </w:r>
          </w:p>
        </w:tc>
      </w:tr>
      <w:tr w:rsidR="00A86593" w:rsidRPr="007A07AD" w:rsidTr="001C741C">
        <w:tc>
          <w:tcPr>
            <w:tcW w:w="5058" w:type="dxa"/>
          </w:tcPr>
          <w:p w:rsidR="00A86593" w:rsidRDefault="00A86593" w:rsidP="001C741C"/>
        </w:tc>
        <w:tc>
          <w:tcPr>
            <w:tcW w:w="1559" w:type="dxa"/>
            <w:tcBorders>
              <w:top w:val="single" w:sz="18" w:space="0" w:color="auto"/>
              <w:bottom w:val="single" w:sz="18" w:space="0" w:color="auto"/>
            </w:tcBorders>
          </w:tcPr>
          <w:p w:rsidR="00A86593" w:rsidRPr="007A07AD" w:rsidRDefault="00A86593" w:rsidP="001C741C">
            <w:pPr>
              <w:jc w:val="right"/>
            </w:pPr>
            <w:r>
              <w:t>219.1</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top w:val="single" w:sz="18" w:space="0" w:color="auto"/>
              <w:left w:val="single" w:sz="4" w:space="0" w:color="FFFFFF" w:themeColor="background1"/>
              <w:bottom w:val="single" w:sz="18" w:space="0" w:color="auto"/>
            </w:tcBorders>
          </w:tcPr>
          <w:p w:rsidR="00A86593" w:rsidRDefault="00A86593" w:rsidP="001C741C">
            <w:pPr>
              <w:jc w:val="right"/>
            </w:pPr>
            <w:r>
              <w:t>214.5</w:t>
            </w:r>
          </w:p>
        </w:tc>
      </w:tr>
    </w:tbl>
    <w:p w:rsidR="00A86593" w:rsidRPr="007A07AD" w:rsidRDefault="00A86593" w:rsidP="00A86593">
      <w:pPr>
        <w:ind w:left="720"/>
      </w:pPr>
    </w:p>
    <w:p w:rsidR="00A86593" w:rsidRDefault="00A86593" w:rsidP="00A86593">
      <w:r>
        <w:br w:type="page"/>
      </w:r>
    </w:p>
    <w:p w:rsidR="00A86593" w:rsidRPr="00C31405" w:rsidRDefault="00A86593" w:rsidP="00A86593"/>
    <w:p w:rsidR="00A86593" w:rsidRPr="00A81E09" w:rsidRDefault="00A86593" w:rsidP="00A86593">
      <w:pPr>
        <w:numPr>
          <w:ilvl w:val="0"/>
          <w:numId w:val="60"/>
        </w:numPr>
      </w:pPr>
      <w:r w:rsidRPr="00166665">
        <w:rPr>
          <w:b/>
        </w:rPr>
        <w:t>Payments to and on account of leavers</w:t>
      </w:r>
    </w:p>
    <w:p w:rsidR="00A86593" w:rsidRDefault="00A86593" w:rsidP="00A86593">
      <w:pPr>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1559"/>
        <w:gridCol w:w="430"/>
        <w:gridCol w:w="1696"/>
      </w:tblGrid>
      <w:tr w:rsidR="00A86593" w:rsidTr="001C741C">
        <w:tc>
          <w:tcPr>
            <w:tcW w:w="5058" w:type="dxa"/>
          </w:tcPr>
          <w:p w:rsidR="00A86593" w:rsidRDefault="00A86593" w:rsidP="001C741C">
            <w:pPr>
              <w:rPr>
                <w:b/>
              </w:rPr>
            </w:pPr>
          </w:p>
        </w:tc>
        <w:tc>
          <w:tcPr>
            <w:tcW w:w="1559" w:type="dxa"/>
          </w:tcPr>
          <w:p w:rsidR="00A86593" w:rsidRDefault="00A86593" w:rsidP="001C741C">
            <w:pPr>
              <w:jc w:val="right"/>
              <w:rPr>
                <w:b/>
              </w:rPr>
            </w:pPr>
            <w:r>
              <w:rPr>
                <w:b/>
              </w:rPr>
              <w:t>2011/12</w:t>
            </w:r>
          </w:p>
          <w:p w:rsidR="00A86593" w:rsidRDefault="00A86593" w:rsidP="001C741C">
            <w:pPr>
              <w:jc w:val="right"/>
              <w:rPr>
                <w:b/>
              </w:rPr>
            </w:pPr>
            <w:r>
              <w:rPr>
                <w:b/>
              </w:rPr>
              <w:t>£m</w:t>
            </w:r>
          </w:p>
        </w:tc>
        <w:tc>
          <w:tcPr>
            <w:tcW w:w="430" w:type="dxa"/>
            <w:tcBorders>
              <w:right w:val="single" w:sz="4" w:space="0" w:color="FFFFFF" w:themeColor="background1"/>
            </w:tcBorders>
          </w:tcPr>
          <w:p w:rsidR="00A86593" w:rsidRDefault="00A86593" w:rsidP="001C741C">
            <w:pPr>
              <w:jc w:val="right"/>
              <w:rPr>
                <w:b/>
              </w:rPr>
            </w:pPr>
          </w:p>
          <w:p w:rsidR="00A86593" w:rsidRDefault="00A86593" w:rsidP="001C741C">
            <w:pPr>
              <w:jc w:val="right"/>
              <w:rPr>
                <w:b/>
              </w:rPr>
            </w:pPr>
          </w:p>
        </w:tc>
        <w:tc>
          <w:tcPr>
            <w:tcW w:w="1696" w:type="dxa"/>
            <w:tcBorders>
              <w:left w:val="single" w:sz="4" w:space="0" w:color="FFFFFF" w:themeColor="background1"/>
            </w:tcBorders>
          </w:tcPr>
          <w:p w:rsidR="00A86593" w:rsidRDefault="00A86593" w:rsidP="001C741C">
            <w:pPr>
              <w:jc w:val="right"/>
              <w:rPr>
                <w:b/>
              </w:rPr>
            </w:pPr>
            <w:r>
              <w:rPr>
                <w:b/>
              </w:rPr>
              <w:t>2010/11</w:t>
            </w:r>
          </w:p>
          <w:p w:rsidR="00A86593" w:rsidRDefault="00A86593" w:rsidP="001C741C">
            <w:pPr>
              <w:jc w:val="right"/>
              <w:rPr>
                <w:b/>
              </w:rPr>
            </w:pPr>
            <w:r>
              <w:rPr>
                <w:b/>
              </w:rPr>
              <w:t>£m</w:t>
            </w:r>
          </w:p>
          <w:p w:rsidR="00A86593" w:rsidRDefault="00A86593" w:rsidP="001C741C">
            <w:pPr>
              <w:jc w:val="right"/>
              <w:rPr>
                <w:b/>
              </w:rPr>
            </w:pPr>
          </w:p>
        </w:tc>
      </w:tr>
      <w:tr w:rsidR="00A86593" w:rsidRPr="007A07AD" w:rsidTr="001C741C">
        <w:tc>
          <w:tcPr>
            <w:tcW w:w="5058" w:type="dxa"/>
          </w:tcPr>
          <w:p w:rsidR="00A86593" w:rsidRPr="007A07AD" w:rsidRDefault="00A86593" w:rsidP="001C741C">
            <w:r>
              <w:t>Refunds to members leaving service</w:t>
            </w:r>
          </w:p>
        </w:tc>
        <w:tc>
          <w:tcPr>
            <w:tcW w:w="1559" w:type="dxa"/>
          </w:tcPr>
          <w:p w:rsidR="00A86593" w:rsidRPr="007A07AD" w:rsidRDefault="00A86593" w:rsidP="001C741C">
            <w:pPr>
              <w:jc w:val="right"/>
            </w:pPr>
            <w:r>
              <w:t>0.1</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r>
              <w:t>0.1</w:t>
            </w:r>
          </w:p>
        </w:tc>
      </w:tr>
      <w:tr w:rsidR="00A86593" w:rsidRPr="007A07AD" w:rsidTr="001C741C">
        <w:tc>
          <w:tcPr>
            <w:tcW w:w="5058" w:type="dxa"/>
          </w:tcPr>
          <w:p w:rsidR="00A86593" w:rsidRDefault="00A86593" w:rsidP="001C741C">
            <w:r>
              <w:t>Contributions equivalent premium</w:t>
            </w:r>
          </w:p>
        </w:tc>
        <w:tc>
          <w:tcPr>
            <w:tcW w:w="1559" w:type="dxa"/>
          </w:tcPr>
          <w:p w:rsidR="00A86593" w:rsidRPr="007A07AD" w:rsidRDefault="00A86593" w:rsidP="001C741C">
            <w:pPr>
              <w:jc w:val="right"/>
            </w:pPr>
            <w:r>
              <w:t>(0.1)</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Default="00A86593" w:rsidP="001C741C">
            <w:pPr>
              <w:jc w:val="right"/>
            </w:pPr>
            <w:r>
              <w:t>(0.0)</w:t>
            </w:r>
          </w:p>
        </w:tc>
      </w:tr>
      <w:tr w:rsidR="00A86593" w:rsidRPr="007A07AD" w:rsidTr="001C741C">
        <w:tc>
          <w:tcPr>
            <w:tcW w:w="5058" w:type="dxa"/>
          </w:tcPr>
          <w:p w:rsidR="00A86593" w:rsidRDefault="00A86593" w:rsidP="001C741C">
            <w:r>
              <w:t>Individual transfers to other schemes</w:t>
            </w:r>
          </w:p>
        </w:tc>
        <w:tc>
          <w:tcPr>
            <w:tcW w:w="1559" w:type="dxa"/>
            <w:tcBorders>
              <w:bottom w:val="single" w:sz="18" w:space="0" w:color="auto"/>
            </w:tcBorders>
          </w:tcPr>
          <w:p w:rsidR="00A86593" w:rsidRPr="007A07AD" w:rsidRDefault="00A86593" w:rsidP="001C741C">
            <w:pPr>
              <w:jc w:val="right"/>
            </w:pPr>
            <w:r>
              <w:t>13.7</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bottom w:val="single" w:sz="18" w:space="0" w:color="auto"/>
            </w:tcBorders>
          </w:tcPr>
          <w:p w:rsidR="00A86593" w:rsidRDefault="00A86593" w:rsidP="001C741C">
            <w:pPr>
              <w:jc w:val="right"/>
            </w:pPr>
            <w:r>
              <w:t>12.7</w:t>
            </w:r>
          </w:p>
        </w:tc>
      </w:tr>
      <w:tr w:rsidR="00A86593" w:rsidRPr="007A07AD" w:rsidTr="001C741C">
        <w:tc>
          <w:tcPr>
            <w:tcW w:w="5058" w:type="dxa"/>
          </w:tcPr>
          <w:p w:rsidR="00A86593" w:rsidRDefault="00A86593" w:rsidP="001C741C"/>
        </w:tc>
        <w:tc>
          <w:tcPr>
            <w:tcW w:w="1559" w:type="dxa"/>
            <w:tcBorders>
              <w:top w:val="single" w:sz="18" w:space="0" w:color="auto"/>
              <w:bottom w:val="single" w:sz="18" w:space="0" w:color="auto"/>
            </w:tcBorders>
          </w:tcPr>
          <w:p w:rsidR="00A86593" w:rsidRPr="007A07AD" w:rsidRDefault="00A86593" w:rsidP="001C741C">
            <w:pPr>
              <w:jc w:val="right"/>
            </w:pPr>
            <w:r>
              <w:t>13.7</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top w:val="single" w:sz="18" w:space="0" w:color="auto"/>
              <w:left w:val="single" w:sz="4" w:space="0" w:color="FFFFFF" w:themeColor="background1"/>
              <w:bottom w:val="single" w:sz="18" w:space="0" w:color="auto"/>
            </w:tcBorders>
          </w:tcPr>
          <w:p w:rsidR="00A86593" w:rsidRDefault="00A86593" w:rsidP="001C741C">
            <w:pPr>
              <w:jc w:val="right"/>
            </w:pPr>
            <w:r>
              <w:t>12.8</w:t>
            </w:r>
          </w:p>
        </w:tc>
      </w:tr>
    </w:tbl>
    <w:p w:rsidR="00A86593" w:rsidRDefault="00A86593" w:rsidP="00A86593">
      <w:pPr>
        <w:rPr>
          <w:b/>
        </w:rPr>
      </w:pPr>
    </w:p>
    <w:p w:rsidR="00A86593" w:rsidRPr="00166665" w:rsidRDefault="00A86593" w:rsidP="00A86593"/>
    <w:p w:rsidR="00A86593" w:rsidRPr="00DD01DF" w:rsidRDefault="00A86593" w:rsidP="00A86593">
      <w:pPr>
        <w:numPr>
          <w:ilvl w:val="0"/>
          <w:numId w:val="60"/>
        </w:numPr>
      </w:pPr>
      <w:r w:rsidRPr="00166665">
        <w:rPr>
          <w:b/>
        </w:rPr>
        <w:t>Administrative expenses</w:t>
      </w:r>
    </w:p>
    <w:p w:rsidR="00A86593" w:rsidRDefault="00A86593" w:rsidP="00A86593">
      <w:pPr>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1559"/>
        <w:gridCol w:w="430"/>
        <w:gridCol w:w="1696"/>
      </w:tblGrid>
      <w:tr w:rsidR="00A86593" w:rsidTr="001C741C">
        <w:tc>
          <w:tcPr>
            <w:tcW w:w="5058" w:type="dxa"/>
          </w:tcPr>
          <w:p w:rsidR="00A86593" w:rsidRDefault="00A86593" w:rsidP="001C741C">
            <w:pPr>
              <w:rPr>
                <w:b/>
              </w:rPr>
            </w:pPr>
          </w:p>
        </w:tc>
        <w:tc>
          <w:tcPr>
            <w:tcW w:w="1559" w:type="dxa"/>
          </w:tcPr>
          <w:p w:rsidR="00A86593" w:rsidRDefault="00A86593" w:rsidP="001C741C">
            <w:pPr>
              <w:jc w:val="right"/>
              <w:rPr>
                <w:b/>
              </w:rPr>
            </w:pPr>
            <w:r>
              <w:rPr>
                <w:b/>
              </w:rPr>
              <w:t>2011/12</w:t>
            </w:r>
          </w:p>
          <w:p w:rsidR="00A86593" w:rsidRDefault="00A86593" w:rsidP="001C741C">
            <w:pPr>
              <w:jc w:val="right"/>
              <w:rPr>
                <w:b/>
              </w:rPr>
            </w:pPr>
            <w:r>
              <w:rPr>
                <w:b/>
              </w:rPr>
              <w:t>£m</w:t>
            </w:r>
          </w:p>
        </w:tc>
        <w:tc>
          <w:tcPr>
            <w:tcW w:w="430" w:type="dxa"/>
            <w:tcBorders>
              <w:right w:val="single" w:sz="4" w:space="0" w:color="FFFFFF" w:themeColor="background1"/>
            </w:tcBorders>
          </w:tcPr>
          <w:p w:rsidR="00A86593" w:rsidRDefault="00A86593" w:rsidP="001C741C">
            <w:pPr>
              <w:jc w:val="right"/>
              <w:rPr>
                <w:b/>
              </w:rPr>
            </w:pPr>
          </w:p>
          <w:p w:rsidR="00A86593" w:rsidRDefault="00A86593" w:rsidP="001C741C">
            <w:pPr>
              <w:jc w:val="right"/>
              <w:rPr>
                <w:b/>
              </w:rPr>
            </w:pPr>
          </w:p>
        </w:tc>
        <w:tc>
          <w:tcPr>
            <w:tcW w:w="1696" w:type="dxa"/>
            <w:tcBorders>
              <w:left w:val="single" w:sz="4" w:space="0" w:color="FFFFFF" w:themeColor="background1"/>
            </w:tcBorders>
          </w:tcPr>
          <w:p w:rsidR="00A86593" w:rsidRDefault="00A86593" w:rsidP="001C741C">
            <w:pPr>
              <w:jc w:val="right"/>
              <w:rPr>
                <w:b/>
              </w:rPr>
            </w:pPr>
            <w:r>
              <w:rPr>
                <w:b/>
              </w:rPr>
              <w:t>2010/11</w:t>
            </w:r>
          </w:p>
          <w:p w:rsidR="00A86593" w:rsidRDefault="00A86593" w:rsidP="001C741C">
            <w:pPr>
              <w:jc w:val="right"/>
              <w:rPr>
                <w:b/>
              </w:rPr>
            </w:pPr>
            <w:r>
              <w:rPr>
                <w:b/>
              </w:rPr>
              <w:t>£m</w:t>
            </w:r>
          </w:p>
          <w:p w:rsidR="00A86593" w:rsidRDefault="00A86593" w:rsidP="001C741C">
            <w:pPr>
              <w:jc w:val="right"/>
              <w:rPr>
                <w:b/>
              </w:rPr>
            </w:pPr>
          </w:p>
        </w:tc>
      </w:tr>
      <w:tr w:rsidR="00A86593" w:rsidRPr="007A07AD" w:rsidTr="001C741C">
        <w:tc>
          <w:tcPr>
            <w:tcW w:w="5058" w:type="dxa"/>
          </w:tcPr>
          <w:p w:rsidR="00A86593" w:rsidRPr="007A07AD" w:rsidRDefault="00A86593" w:rsidP="001C741C">
            <w:r>
              <w:t>Administration and processing</w:t>
            </w:r>
          </w:p>
        </w:tc>
        <w:tc>
          <w:tcPr>
            <w:tcW w:w="1559" w:type="dxa"/>
          </w:tcPr>
          <w:p w:rsidR="00A86593" w:rsidRPr="007A07AD" w:rsidRDefault="00A86593" w:rsidP="001C741C">
            <w:pPr>
              <w:jc w:val="right"/>
            </w:pPr>
            <w:r>
              <w:t>3.4</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r>
              <w:t>3.3</w:t>
            </w:r>
          </w:p>
        </w:tc>
      </w:tr>
      <w:tr w:rsidR="00A86593" w:rsidRPr="007A07AD" w:rsidTr="001C741C">
        <w:tc>
          <w:tcPr>
            <w:tcW w:w="5058" w:type="dxa"/>
          </w:tcPr>
          <w:p w:rsidR="00A86593" w:rsidRDefault="00A86593" w:rsidP="001C741C">
            <w:r>
              <w:t>Audit fee</w:t>
            </w:r>
          </w:p>
        </w:tc>
        <w:tc>
          <w:tcPr>
            <w:tcW w:w="1559" w:type="dxa"/>
          </w:tcPr>
          <w:p w:rsidR="00A86593" w:rsidRPr="007A07AD" w:rsidRDefault="00A86593" w:rsidP="001C741C">
            <w:pPr>
              <w:jc w:val="right"/>
            </w:pPr>
            <w:r>
              <w:t>0.1</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Default="00A86593" w:rsidP="001C741C">
            <w:pPr>
              <w:jc w:val="right"/>
            </w:pPr>
            <w:r>
              <w:t>0.1</w:t>
            </w:r>
          </w:p>
        </w:tc>
      </w:tr>
      <w:tr w:rsidR="00A86593" w:rsidRPr="007A07AD" w:rsidTr="001C741C">
        <w:tc>
          <w:tcPr>
            <w:tcW w:w="5058" w:type="dxa"/>
          </w:tcPr>
          <w:p w:rsidR="00A86593" w:rsidRDefault="00A86593" w:rsidP="001C741C">
            <w:r>
              <w:t>Legal and other professional fees</w:t>
            </w:r>
          </w:p>
        </w:tc>
        <w:tc>
          <w:tcPr>
            <w:tcW w:w="1559" w:type="dxa"/>
            <w:tcBorders>
              <w:bottom w:val="single" w:sz="18" w:space="0" w:color="auto"/>
            </w:tcBorders>
          </w:tcPr>
          <w:p w:rsidR="00A86593" w:rsidRPr="007A07AD" w:rsidRDefault="00A86593" w:rsidP="001C741C">
            <w:pPr>
              <w:jc w:val="right"/>
            </w:pPr>
            <w:r>
              <w:t>0.3</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bottom w:val="single" w:sz="18" w:space="0" w:color="auto"/>
            </w:tcBorders>
          </w:tcPr>
          <w:p w:rsidR="00A86593" w:rsidRDefault="00A86593" w:rsidP="001C741C">
            <w:pPr>
              <w:jc w:val="right"/>
            </w:pPr>
            <w:r>
              <w:t>0.2</w:t>
            </w:r>
          </w:p>
        </w:tc>
      </w:tr>
      <w:tr w:rsidR="00A86593" w:rsidRPr="007A07AD" w:rsidTr="001C741C">
        <w:tc>
          <w:tcPr>
            <w:tcW w:w="5058" w:type="dxa"/>
          </w:tcPr>
          <w:p w:rsidR="00A86593" w:rsidRDefault="00A86593" w:rsidP="001C741C"/>
        </w:tc>
        <w:tc>
          <w:tcPr>
            <w:tcW w:w="1559" w:type="dxa"/>
            <w:tcBorders>
              <w:top w:val="single" w:sz="18" w:space="0" w:color="auto"/>
              <w:bottom w:val="single" w:sz="18" w:space="0" w:color="auto"/>
            </w:tcBorders>
          </w:tcPr>
          <w:p w:rsidR="00A86593" w:rsidRPr="007A07AD" w:rsidRDefault="00A86593" w:rsidP="001C741C">
            <w:pPr>
              <w:jc w:val="right"/>
            </w:pPr>
            <w:r>
              <w:t>3.8</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top w:val="single" w:sz="18" w:space="0" w:color="auto"/>
              <w:left w:val="single" w:sz="4" w:space="0" w:color="FFFFFF" w:themeColor="background1"/>
              <w:bottom w:val="single" w:sz="18" w:space="0" w:color="auto"/>
            </w:tcBorders>
          </w:tcPr>
          <w:p w:rsidR="00A86593" w:rsidRDefault="00A86593" w:rsidP="001C741C">
            <w:pPr>
              <w:jc w:val="right"/>
            </w:pPr>
            <w:r>
              <w:t>3.6</w:t>
            </w:r>
          </w:p>
        </w:tc>
      </w:tr>
    </w:tbl>
    <w:p w:rsidR="00A86593" w:rsidRPr="00166665" w:rsidRDefault="00A86593" w:rsidP="00A86593"/>
    <w:p w:rsidR="00A86593" w:rsidRPr="00166665" w:rsidRDefault="00A86593" w:rsidP="00A86593">
      <w:pPr>
        <w:pStyle w:val="BodyTextIndent"/>
        <w:spacing w:after="0"/>
        <w:rPr>
          <w:szCs w:val="24"/>
        </w:rPr>
      </w:pPr>
    </w:p>
    <w:p w:rsidR="00A86593" w:rsidRPr="00E601F3" w:rsidRDefault="00A86593" w:rsidP="00A86593">
      <w:pPr>
        <w:numPr>
          <w:ilvl w:val="0"/>
          <w:numId w:val="60"/>
        </w:numPr>
        <w:spacing w:after="120"/>
      </w:pPr>
      <w:r w:rsidRPr="00166665">
        <w:rPr>
          <w:b/>
        </w:rPr>
        <w:t>Investment income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1559"/>
        <w:gridCol w:w="430"/>
        <w:gridCol w:w="1696"/>
      </w:tblGrid>
      <w:tr w:rsidR="00A86593" w:rsidTr="001C741C">
        <w:tc>
          <w:tcPr>
            <w:tcW w:w="5058" w:type="dxa"/>
          </w:tcPr>
          <w:p w:rsidR="00A86593" w:rsidRDefault="00A86593" w:rsidP="001C741C">
            <w:pPr>
              <w:rPr>
                <w:b/>
              </w:rPr>
            </w:pPr>
          </w:p>
        </w:tc>
        <w:tc>
          <w:tcPr>
            <w:tcW w:w="1559" w:type="dxa"/>
          </w:tcPr>
          <w:p w:rsidR="00A86593" w:rsidRDefault="00A86593" w:rsidP="001C741C">
            <w:pPr>
              <w:jc w:val="right"/>
              <w:rPr>
                <w:b/>
              </w:rPr>
            </w:pPr>
            <w:r>
              <w:rPr>
                <w:b/>
              </w:rPr>
              <w:t>2011/12</w:t>
            </w:r>
          </w:p>
          <w:p w:rsidR="00A86593" w:rsidRDefault="00A86593" w:rsidP="001C741C">
            <w:pPr>
              <w:jc w:val="right"/>
              <w:rPr>
                <w:b/>
              </w:rPr>
            </w:pPr>
            <w:r>
              <w:rPr>
                <w:b/>
              </w:rPr>
              <w:t>£m</w:t>
            </w:r>
          </w:p>
        </w:tc>
        <w:tc>
          <w:tcPr>
            <w:tcW w:w="430" w:type="dxa"/>
            <w:tcBorders>
              <w:right w:val="single" w:sz="4" w:space="0" w:color="FFFFFF" w:themeColor="background1"/>
            </w:tcBorders>
          </w:tcPr>
          <w:p w:rsidR="00A86593" w:rsidRDefault="00A86593" w:rsidP="001C741C">
            <w:pPr>
              <w:jc w:val="right"/>
              <w:rPr>
                <w:b/>
              </w:rPr>
            </w:pPr>
          </w:p>
          <w:p w:rsidR="00A86593" w:rsidRDefault="00A86593" w:rsidP="001C741C">
            <w:pPr>
              <w:jc w:val="right"/>
              <w:rPr>
                <w:b/>
              </w:rPr>
            </w:pPr>
          </w:p>
        </w:tc>
        <w:tc>
          <w:tcPr>
            <w:tcW w:w="1696" w:type="dxa"/>
            <w:tcBorders>
              <w:left w:val="single" w:sz="4" w:space="0" w:color="FFFFFF" w:themeColor="background1"/>
            </w:tcBorders>
          </w:tcPr>
          <w:p w:rsidR="00A86593" w:rsidRDefault="00A86593" w:rsidP="001C741C">
            <w:pPr>
              <w:jc w:val="right"/>
              <w:rPr>
                <w:b/>
              </w:rPr>
            </w:pPr>
            <w:r>
              <w:rPr>
                <w:b/>
              </w:rPr>
              <w:t>2010/11</w:t>
            </w:r>
          </w:p>
          <w:p w:rsidR="00A86593" w:rsidRDefault="00A86593" w:rsidP="001C741C">
            <w:pPr>
              <w:jc w:val="right"/>
              <w:rPr>
                <w:b/>
              </w:rPr>
            </w:pPr>
            <w:r>
              <w:rPr>
                <w:b/>
              </w:rPr>
              <w:t>£m</w:t>
            </w:r>
          </w:p>
          <w:p w:rsidR="00A86593" w:rsidRDefault="00A86593" w:rsidP="001C741C">
            <w:pPr>
              <w:jc w:val="right"/>
              <w:rPr>
                <w:b/>
              </w:rPr>
            </w:pPr>
          </w:p>
        </w:tc>
      </w:tr>
      <w:tr w:rsidR="00A86593" w:rsidRPr="007A07AD" w:rsidTr="001C741C">
        <w:tc>
          <w:tcPr>
            <w:tcW w:w="5058" w:type="dxa"/>
          </w:tcPr>
          <w:p w:rsidR="00A86593" w:rsidRPr="007A07AD" w:rsidRDefault="00A86593" w:rsidP="001C741C">
            <w:r>
              <w:t>Fixed interest securities</w:t>
            </w:r>
          </w:p>
        </w:tc>
        <w:tc>
          <w:tcPr>
            <w:tcW w:w="1559" w:type="dxa"/>
          </w:tcPr>
          <w:p w:rsidR="00A86593" w:rsidRPr="007A07AD" w:rsidRDefault="00A86593" w:rsidP="001C741C">
            <w:pPr>
              <w:jc w:val="right"/>
            </w:pPr>
            <w:r>
              <w:t>27.7</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r>
              <w:t>23.9</w:t>
            </w:r>
          </w:p>
        </w:tc>
      </w:tr>
      <w:tr w:rsidR="00A86593" w:rsidRPr="007A07AD" w:rsidTr="001C741C">
        <w:tc>
          <w:tcPr>
            <w:tcW w:w="5058" w:type="dxa"/>
          </w:tcPr>
          <w:p w:rsidR="00A86593" w:rsidRDefault="00A86593" w:rsidP="001C741C">
            <w:r>
              <w:t>Equity dividends</w:t>
            </w:r>
          </w:p>
        </w:tc>
        <w:tc>
          <w:tcPr>
            <w:tcW w:w="1559" w:type="dxa"/>
          </w:tcPr>
          <w:p w:rsidR="00A86593" w:rsidRPr="007A07AD" w:rsidRDefault="00A86593" w:rsidP="001C741C">
            <w:pPr>
              <w:jc w:val="right"/>
            </w:pPr>
            <w:r>
              <w:t>46.5</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Default="00A86593" w:rsidP="001C741C">
            <w:pPr>
              <w:jc w:val="right"/>
            </w:pPr>
            <w:r>
              <w:t>29.6</w:t>
            </w:r>
          </w:p>
        </w:tc>
      </w:tr>
      <w:tr w:rsidR="00A86593" w:rsidRPr="007A07AD" w:rsidTr="001C741C">
        <w:tc>
          <w:tcPr>
            <w:tcW w:w="5058" w:type="dxa"/>
          </w:tcPr>
          <w:p w:rsidR="00A86593" w:rsidRDefault="00A86593" w:rsidP="001C741C">
            <w:r>
              <w:t>Index linked securities</w:t>
            </w:r>
          </w:p>
        </w:tc>
        <w:tc>
          <w:tcPr>
            <w:tcW w:w="1559" w:type="dxa"/>
          </w:tcPr>
          <w:p w:rsidR="00A86593" w:rsidRPr="007A07AD" w:rsidRDefault="00A86593" w:rsidP="001C741C">
            <w:pPr>
              <w:jc w:val="right"/>
            </w:pPr>
            <w:r>
              <w:t>2.8</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Default="00A86593" w:rsidP="001C741C">
            <w:pPr>
              <w:jc w:val="right"/>
            </w:pPr>
            <w:r>
              <w:t>4.6</w:t>
            </w:r>
          </w:p>
        </w:tc>
      </w:tr>
      <w:tr w:rsidR="00A86593" w:rsidRPr="007A07AD" w:rsidTr="001C741C">
        <w:tc>
          <w:tcPr>
            <w:tcW w:w="5058" w:type="dxa"/>
          </w:tcPr>
          <w:p w:rsidR="00A86593" w:rsidRDefault="00A86593" w:rsidP="001C741C">
            <w:r>
              <w:t>Pooled investment vehicles</w:t>
            </w:r>
          </w:p>
        </w:tc>
        <w:tc>
          <w:tcPr>
            <w:tcW w:w="1559" w:type="dxa"/>
          </w:tcPr>
          <w:p w:rsidR="00A86593" w:rsidRPr="007A07AD" w:rsidRDefault="00A86593" w:rsidP="001C741C">
            <w:pPr>
              <w:jc w:val="right"/>
            </w:pPr>
            <w:r>
              <w:t>5.5</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Default="00A86593" w:rsidP="001C741C">
            <w:pPr>
              <w:jc w:val="right"/>
            </w:pPr>
            <w:r>
              <w:t>0.9</w:t>
            </w:r>
          </w:p>
        </w:tc>
      </w:tr>
      <w:tr w:rsidR="00A86593" w:rsidRPr="007A07AD" w:rsidTr="001C741C">
        <w:tc>
          <w:tcPr>
            <w:tcW w:w="5058" w:type="dxa"/>
          </w:tcPr>
          <w:p w:rsidR="00A86593" w:rsidRDefault="00A86593" w:rsidP="001C741C">
            <w:r>
              <w:t>Rents from properties</w:t>
            </w:r>
          </w:p>
        </w:tc>
        <w:tc>
          <w:tcPr>
            <w:tcW w:w="1559" w:type="dxa"/>
          </w:tcPr>
          <w:p w:rsidR="00A86593" w:rsidRPr="007A07AD" w:rsidRDefault="00A86593" w:rsidP="001C741C">
            <w:pPr>
              <w:jc w:val="right"/>
            </w:pPr>
            <w:r>
              <w:t>26.0</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Default="00A86593" w:rsidP="001C741C">
            <w:pPr>
              <w:jc w:val="right"/>
            </w:pPr>
            <w:r>
              <w:t>23.3</w:t>
            </w:r>
          </w:p>
        </w:tc>
      </w:tr>
      <w:tr w:rsidR="00A86593" w:rsidRPr="007A07AD" w:rsidTr="001C741C">
        <w:tc>
          <w:tcPr>
            <w:tcW w:w="5058" w:type="dxa"/>
          </w:tcPr>
          <w:p w:rsidR="00A86593" w:rsidRDefault="00A86593" w:rsidP="001C741C">
            <w:r>
              <w:t>Interest on cash deposits</w:t>
            </w:r>
          </w:p>
        </w:tc>
        <w:tc>
          <w:tcPr>
            <w:tcW w:w="1559" w:type="dxa"/>
          </w:tcPr>
          <w:p w:rsidR="00A86593" w:rsidRPr="007A07AD" w:rsidRDefault="00A86593" w:rsidP="001C741C">
            <w:pPr>
              <w:jc w:val="right"/>
            </w:pPr>
            <w:r>
              <w:t>0.7</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Default="00A86593" w:rsidP="001C741C">
            <w:pPr>
              <w:jc w:val="right"/>
            </w:pPr>
            <w:r>
              <w:t>1.5</w:t>
            </w:r>
          </w:p>
        </w:tc>
      </w:tr>
      <w:tr w:rsidR="00A86593" w:rsidRPr="007A07AD" w:rsidTr="001C741C">
        <w:tc>
          <w:tcPr>
            <w:tcW w:w="5058" w:type="dxa"/>
          </w:tcPr>
          <w:p w:rsidR="00A86593" w:rsidRDefault="00A86593" w:rsidP="001C741C">
            <w:r>
              <w:t>Other</w:t>
            </w:r>
          </w:p>
        </w:tc>
        <w:tc>
          <w:tcPr>
            <w:tcW w:w="1559" w:type="dxa"/>
            <w:tcBorders>
              <w:bottom w:val="single" w:sz="18" w:space="0" w:color="auto"/>
            </w:tcBorders>
          </w:tcPr>
          <w:p w:rsidR="00A86593" w:rsidRPr="007A07AD" w:rsidRDefault="00A86593" w:rsidP="001C741C">
            <w:pPr>
              <w:jc w:val="right"/>
            </w:pPr>
            <w:r>
              <w:t>9.6</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bottom w:val="single" w:sz="18" w:space="0" w:color="auto"/>
            </w:tcBorders>
          </w:tcPr>
          <w:p w:rsidR="00A86593" w:rsidRDefault="00A86593" w:rsidP="001C741C">
            <w:pPr>
              <w:jc w:val="right"/>
            </w:pPr>
            <w:r>
              <w:t>5.5</w:t>
            </w:r>
          </w:p>
        </w:tc>
      </w:tr>
      <w:tr w:rsidR="00A86593" w:rsidRPr="007A07AD" w:rsidTr="001C741C">
        <w:tc>
          <w:tcPr>
            <w:tcW w:w="5058" w:type="dxa"/>
          </w:tcPr>
          <w:p w:rsidR="00A86593" w:rsidRDefault="00A86593" w:rsidP="001C741C"/>
        </w:tc>
        <w:tc>
          <w:tcPr>
            <w:tcW w:w="1559" w:type="dxa"/>
            <w:tcBorders>
              <w:top w:val="single" w:sz="18" w:space="0" w:color="auto"/>
              <w:bottom w:val="single" w:sz="18" w:space="0" w:color="auto"/>
            </w:tcBorders>
          </w:tcPr>
          <w:p w:rsidR="00A86593" w:rsidRPr="007A07AD" w:rsidRDefault="00A86593" w:rsidP="001C741C">
            <w:pPr>
              <w:jc w:val="right"/>
            </w:pPr>
            <w:r>
              <w:t>118.8</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top w:val="single" w:sz="18" w:space="0" w:color="auto"/>
              <w:left w:val="single" w:sz="4" w:space="0" w:color="FFFFFF" w:themeColor="background1"/>
              <w:bottom w:val="single" w:sz="18" w:space="0" w:color="auto"/>
            </w:tcBorders>
          </w:tcPr>
          <w:p w:rsidR="00A86593" w:rsidRDefault="00A86593" w:rsidP="001C741C">
            <w:pPr>
              <w:jc w:val="right"/>
            </w:pPr>
            <w:r>
              <w:t>89.3</w:t>
            </w:r>
          </w:p>
        </w:tc>
      </w:tr>
    </w:tbl>
    <w:p w:rsidR="00A86593" w:rsidRPr="00166665" w:rsidRDefault="00A86593" w:rsidP="00A86593">
      <w:pPr>
        <w:spacing w:after="120"/>
      </w:pPr>
    </w:p>
    <w:p w:rsidR="00A86593" w:rsidRDefault="00A86593" w:rsidP="00A86593">
      <w:pPr>
        <w:pStyle w:val="BodyTextIndent"/>
        <w:numPr>
          <w:ilvl w:val="0"/>
          <w:numId w:val="60"/>
        </w:numPr>
        <w:spacing w:after="0"/>
        <w:rPr>
          <w:b/>
          <w:szCs w:val="24"/>
        </w:rPr>
      </w:pPr>
      <w:r w:rsidRPr="00782127">
        <w:rPr>
          <w:b/>
          <w:szCs w:val="24"/>
        </w:rPr>
        <w:t>Net rents from Properties</w:t>
      </w:r>
    </w:p>
    <w:p w:rsidR="00A86593" w:rsidRDefault="00A86593" w:rsidP="00A86593">
      <w:pPr>
        <w:pStyle w:val="BodyTextIndent"/>
        <w:spacing w:after="0"/>
        <w:rPr>
          <w:b/>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1559"/>
        <w:gridCol w:w="430"/>
        <w:gridCol w:w="1696"/>
      </w:tblGrid>
      <w:tr w:rsidR="00A86593" w:rsidTr="001C741C">
        <w:tc>
          <w:tcPr>
            <w:tcW w:w="5058" w:type="dxa"/>
          </w:tcPr>
          <w:p w:rsidR="00A86593" w:rsidRDefault="00A86593" w:rsidP="001C741C">
            <w:pPr>
              <w:rPr>
                <w:b/>
              </w:rPr>
            </w:pPr>
          </w:p>
        </w:tc>
        <w:tc>
          <w:tcPr>
            <w:tcW w:w="1559" w:type="dxa"/>
          </w:tcPr>
          <w:p w:rsidR="00A86593" w:rsidRDefault="00A86593" w:rsidP="001C741C">
            <w:pPr>
              <w:jc w:val="right"/>
              <w:rPr>
                <w:b/>
              </w:rPr>
            </w:pPr>
            <w:r>
              <w:rPr>
                <w:b/>
              </w:rPr>
              <w:t>2011/12</w:t>
            </w:r>
          </w:p>
          <w:p w:rsidR="00A86593" w:rsidRDefault="00A86593" w:rsidP="001C741C">
            <w:pPr>
              <w:jc w:val="right"/>
              <w:rPr>
                <w:b/>
              </w:rPr>
            </w:pPr>
            <w:r>
              <w:rPr>
                <w:b/>
              </w:rPr>
              <w:t>£m</w:t>
            </w:r>
          </w:p>
        </w:tc>
        <w:tc>
          <w:tcPr>
            <w:tcW w:w="430" w:type="dxa"/>
            <w:tcBorders>
              <w:right w:val="single" w:sz="4" w:space="0" w:color="FFFFFF" w:themeColor="background1"/>
            </w:tcBorders>
          </w:tcPr>
          <w:p w:rsidR="00A86593" w:rsidRDefault="00A86593" w:rsidP="001C741C">
            <w:pPr>
              <w:jc w:val="right"/>
              <w:rPr>
                <w:b/>
              </w:rPr>
            </w:pPr>
          </w:p>
          <w:p w:rsidR="00A86593" w:rsidRDefault="00A86593" w:rsidP="001C741C">
            <w:pPr>
              <w:jc w:val="right"/>
              <w:rPr>
                <w:b/>
              </w:rPr>
            </w:pPr>
          </w:p>
        </w:tc>
        <w:tc>
          <w:tcPr>
            <w:tcW w:w="1696" w:type="dxa"/>
            <w:tcBorders>
              <w:left w:val="single" w:sz="4" w:space="0" w:color="FFFFFF" w:themeColor="background1"/>
            </w:tcBorders>
          </w:tcPr>
          <w:p w:rsidR="00A86593" w:rsidRDefault="00A86593" w:rsidP="001C741C">
            <w:pPr>
              <w:jc w:val="right"/>
              <w:rPr>
                <w:b/>
              </w:rPr>
            </w:pPr>
            <w:r>
              <w:rPr>
                <w:b/>
              </w:rPr>
              <w:t>2010/11</w:t>
            </w:r>
          </w:p>
          <w:p w:rsidR="00A86593" w:rsidRDefault="00A86593" w:rsidP="001C741C">
            <w:pPr>
              <w:jc w:val="right"/>
              <w:rPr>
                <w:b/>
              </w:rPr>
            </w:pPr>
            <w:r>
              <w:rPr>
                <w:b/>
              </w:rPr>
              <w:t>£m</w:t>
            </w:r>
          </w:p>
          <w:p w:rsidR="00A86593" w:rsidRDefault="00A86593" w:rsidP="001C741C">
            <w:pPr>
              <w:jc w:val="right"/>
              <w:rPr>
                <w:b/>
              </w:rPr>
            </w:pPr>
          </w:p>
        </w:tc>
      </w:tr>
      <w:tr w:rsidR="00A86593" w:rsidRPr="007A07AD" w:rsidTr="001C741C">
        <w:tc>
          <w:tcPr>
            <w:tcW w:w="5058" w:type="dxa"/>
          </w:tcPr>
          <w:p w:rsidR="00A86593" w:rsidRPr="007A07AD" w:rsidRDefault="00A86593" w:rsidP="001C741C">
            <w:r>
              <w:t>Rental Income</w:t>
            </w:r>
          </w:p>
        </w:tc>
        <w:tc>
          <w:tcPr>
            <w:tcW w:w="1559" w:type="dxa"/>
          </w:tcPr>
          <w:p w:rsidR="00A86593" w:rsidRPr="007A07AD" w:rsidRDefault="00A86593" w:rsidP="001C741C">
            <w:pPr>
              <w:jc w:val="right"/>
            </w:pPr>
            <w:r>
              <w:t>26.0</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r>
              <w:t>23.3</w:t>
            </w:r>
          </w:p>
        </w:tc>
      </w:tr>
      <w:tr w:rsidR="00A86593" w:rsidRPr="007A07AD" w:rsidTr="001C741C">
        <w:tc>
          <w:tcPr>
            <w:tcW w:w="5058" w:type="dxa"/>
          </w:tcPr>
          <w:p w:rsidR="00A86593" w:rsidRDefault="00A86593" w:rsidP="001C741C">
            <w:r>
              <w:t>Direct operating expenses</w:t>
            </w:r>
          </w:p>
        </w:tc>
        <w:tc>
          <w:tcPr>
            <w:tcW w:w="1559" w:type="dxa"/>
            <w:tcBorders>
              <w:bottom w:val="single" w:sz="18" w:space="0" w:color="auto"/>
            </w:tcBorders>
          </w:tcPr>
          <w:p w:rsidR="00A86593" w:rsidRPr="007A07AD" w:rsidRDefault="00A86593" w:rsidP="001C741C">
            <w:pPr>
              <w:jc w:val="right"/>
            </w:pPr>
            <w:r>
              <w:t>(1.2)</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bottom w:val="single" w:sz="18" w:space="0" w:color="auto"/>
            </w:tcBorders>
          </w:tcPr>
          <w:p w:rsidR="00A86593" w:rsidRPr="007A07AD" w:rsidRDefault="00A86593" w:rsidP="001C741C">
            <w:pPr>
              <w:jc w:val="right"/>
            </w:pPr>
            <w:r>
              <w:t>(1.6)</w:t>
            </w:r>
          </w:p>
        </w:tc>
      </w:tr>
      <w:tr w:rsidR="00A86593" w:rsidRPr="007A07AD" w:rsidTr="001C741C">
        <w:tc>
          <w:tcPr>
            <w:tcW w:w="5058" w:type="dxa"/>
          </w:tcPr>
          <w:p w:rsidR="00A86593" w:rsidRDefault="00A86593" w:rsidP="001C741C">
            <w:r>
              <w:t>Net gain/loss</w:t>
            </w:r>
          </w:p>
        </w:tc>
        <w:tc>
          <w:tcPr>
            <w:tcW w:w="1559" w:type="dxa"/>
            <w:tcBorders>
              <w:top w:val="single" w:sz="18" w:space="0" w:color="auto"/>
              <w:bottom w:val="single" w:sz="18" w:space="0" w:color="auto"/>
            </w:tcBorders>
          </w:tcPr>
          <w:p w:rsidR="00A86593" w:rsidRPr="007A07AD" w:rsidRDefault="00A86593" w:rsidP="001C741C">
            <w:pPr>
              <w:jc w:val="right"/>
            </w:pPr>
            <w:r>
              <w:t>24.8</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top w:val="single" w:sz="18" w:space="0" w:color="auto"/>
              <w:left w:val="single" w:sz="4" w:space="0" w:color="FFFFFF" w:themeColor="background1"/>
              <w:bottom w:val="single" w:sz="18" w:space="0" w:color="auto"/>
            </w:tcBorders>
          </w:tcPr>
          <w:p w:rsidR="00A86593" w:rsidRPr="007A07AD" w:rsidRDefault="00A86593" w:rsidP="001C741C">
            <w:pPr>
              <w:jc w:val="right"/>
            </w:pPr>
            <w:r>
              <w:t>21.7</w:t>
            </w:r>
          </w:p>
        </w:tc>
      </w:tr>
    </w:tbl>
    <w:p w:rsidR="00A86593" w:rsidRPr="00782127" w:rsidRDefault="00A86593" w:rsidP="00A86593">
      <w:pPr>
        <w:pStyle w:val="BodyTextIndent"/>
        <w:spacing w:after="0"/>
        <w:rPr>
          <w:b/>
          <w:szCs w:val="24"/>
        </w:rPr>
      </w:pPr>
    </w:p>
    <w:p w:rsidR="00A86593" w:rsidRDefault="00A86593" w:rsidP="00A86593">
      <w:r>
        <w:br w:type="page"/>
      </w:r>
    </w:p>
    <w:p w:rsidR="00A86593" w:rsidRDefault="00A86593" w:rsidP="00A86593">
      <w:pPr>
        <w:numPr>
          <w:ilvl w:val="0"/>
          <w:numId w:val="60"/>
        </w:numPr>
        <w:spacing w:after="240"/>
      </w:pPr>
      <w:r w:rsidRPr="000120DD">
        <w:rPr>
          <w:b/>
        </w:rPr>
        <w:lastRenderedPageBreak/>
        <w:t>Stock Lending</w:t>
      </w:r>
    </w:p>
    <w:p w:rsidR="00A86593" w:rsidRPr="000E3E54" w:rsidRDefault="00A86593" w:rsidP="00A86593">
      <w:pPr>
        <w:pStyle w:val="BodyTextIndent"/>
        <w:ind w:left="709"/>
        <w:rPr>
          <w:szCs w:val="24"/>
        </w:rPr>
      </w:pPr>
      <w:r w:rsidRPr="00B6433E">
        <w:rPr>
          <w:szCs w:val="24"/>
        </w:rPr>
        <w:t>Northern Trust is authorised to release stock to a third party under stock lending arrangements up to the statutory limits for this activity.  Stock lending income generated in 2011/12 was £467,745 (2010/11 £178,513)</w:t>
      </w:r>
    </w:p>
    <w:p w:rsidR="00A86593" w:rsidRPr="00B6433E" w:rsidRDefault="00A86593" w:rsidP="00A86593">
      <w:pPr>
        <w:pStyle w:val="BodyTextIndent"/>
        <w:ind w:left="709"/>
        <w:rPr>
          <w:szCs w:val="24"/>
        </w:rPr>
      </w:pPr>
      <w:r w:rsidRPr="00B6433E">
        <w:rPr>
          <w:szCs w:val="24"/>
        </w:rPr>
        <w:t>Securities on loan at the 31</w:t>
      </w:r>
      <w:r w:rsidRPr="00B6433E">
        <w:rPr>
          <w:szCs w:val="24"/>
          <w:vertAlign w:val="superscript"/>
        </w:rPr>
        <w:t>st</w:t>
      </w:r>
      <w:r w:rsidRPr="00B6433E">
        <w:rPr>
          <w:szCs w:val="24"/>
        </w:rPr>
        <w:t xml:space="preserve"> March 2012 were £</w:t>
      </w:r>
      <w:r>
        <w:rPr>
          <w:szCs w:val="24"/>
        </w:rPr>
        <w:t>263</w:t>
      </w:r>
      <w:r w:rsidRPr="00B6433E">
        <w:rPr>
          <w:szCs w:val="24"/>
        </w:rPr>
        <w:t>m and are included in the net asset statement to reflect the scheme's continuing economic interest in the securities.  This consisted of £</w:t>
      </w:r>
      <w:r>
        <w:rPr>
          <w:szCs w:val="24"/>
        </w:rPr>
        <w:t>67</w:t>
      </w:r>
      <w:r w:rsidRPr="00B6433E">
        <w:rPr>
          <w:szCs w:val="24"/>
        </w:rPr>
        <w:t>m of equities and £</w:t>
      </w:r>
      <w:r>
        <w:rPr>
          <w:szCs w:val="24"/>
        </w:rPr>
        <w:t>196</w:t>
      </w:r>
      <w:r w:rsidRPr="00B6433E">
        <w:rPr>
          <w:szCs w:val="24"/>
        </w:rPr>
        <w:t>m of bonds.</w:t>
      </w:r>
    </w:p>
    <w:p w:rsidR="00A86593" w:rsidRDefault="00A86593" w:rsidP="00A86593">
      <w:pPr>
        <w:pStyle w:val="BodyTextIndent"/>
        <w:ind w:left="709"/>
        <w:rPr>
          <w:szCs w:val="24"/>
        </w:rPr>
      </w:pPr>
      <w:r w:rsidRPr="00B6433E">
        <w:rPr>
          <w:szCs w:val="24"/>
        </w:rPr>
        <w:t>Collateral is marked to market, and adjusted daily. As the Fund has no obligation to return the collateral to the borrowers, collateral is excluded from the Fund valuation. The collateral is non cash and totalled £276m comprising all of government bonds.</w:t>
      </w:r>
    </w:p>
    <w:p w:rsidR="00A86593" w:rsidRDefault="00A86593" w:rsidP="00A86593">
      <w:pPr>
        <w:pStyle w:val="BodyTextIndent"/>
        <w:ind w:left="709"/>
        <w:rPr>
          <w:szCs w:val="24"/>
        </w:rPr>
      </w:pPr>
    </w:p>
    <w:p w:rsidR="00A86593" w:rsidRDefault="00A86593" w:rsidP="00A86593">
      <w:pPr>
        <w:pStyle w:val="BodyTextIndent"/>
        <w:ind w:left="709"/>
        <w:rPr>
          <w:szCs w:val="24"/>
        </w:rPr>
      </w:pPr>
    </w:p>
    <w:p w:rsidR="00A86593" w:rsidRDefault="00A86593" w:rsidP="00A86593">
      <w:pPr>
        <w:spacing w:after="120"/>
      </w:pPr>
    </w:p>
    <w:p w:rsidR="00A86593" w:rsidRPr="009D3DE3" w:rsidRDefault="00A86593" w:rsidP="00A86593">
      <w:pPr>
        <w:pStyle w:val="ListParagraph"/>
        <w:numPr>
          <w:ilvl w:val="0"/>
          <w:numId w:val="60"/>
        </w:numPr>
        <w:spacing w:after="120"/>
        <w:contextualSpacing/>
        <w:rPr>
          <w:b/>
        </w:rPr>
      </w:pPr>
      <w:r w:rsidRPr="009D3DE3">
        <w:rPr>
          <w:b/>
        </w:rPr>
        <w:t>Reconciliation of movements in investments and derivatives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26"/>
        <w:gridCol w:w="518"/>
        <w:gridCol w:w="1029"/>
        <w:gridCol w:w="471"/>
        <w:gridCol w:w="1103"/>
        <w:gridCol w:w="131"/>
        <w:gridCol w:w="995"/>
        <w:gridCol w:w="714"/>
        <w:gridCol w:w="885"/>
        <w:gridCol w:w="696"/>
        <w:gridCol w:w="995"/>
        <w:gridCol w:w="853"/>
      </w:tblGrid>
      <w:tr w:rsidR="00A86593" w:rsidRPr="008B5FD4" w:rsidTr="001C741C">
        <w:tc>
          <w:tcPr>
            <w:tcW w:w="2626" w:type="dxa"/>
          </w:tcPr>
          <w:p w:rsidR="00A86593" w:rsidRPr="008B5FD4" w:rsidRDefault="00A86593" w:rsidP="001C741C">
            <w:pPr>
              <w:rPr>
                <w:b/>
                <w:sz w:val="20"/>
              </w:rPr>
            </w:pPr>
          </w:p>
        </w:tc>
        <w:tc>
          <w:tcPr>
            <w:tcW w:w="1547" w:type="dxa"/>
            <w:gridSpan w:val="2"/>
          </w:tcPr>
          <w:p w:rsidR="00A86593" w:rsidRPr="008B5FD4" w:rsidRDefault="00A86593" w:rsidP="001C741C">
            <w:pPr>
              <w:jc w:val="right"/>
              <w:rPr>
                <w:b/>
                <w:sz w:val="20"/>
              </w:rPr>
            </w:pPr>
            <w:r w:rsidRPr="008B5FD4">
              <w:rPr>
                <w:b/>
                <w:sz w:val="20"/>
              </w:rPr>
              <w:t>Market Value at 1 April 2011</w:t>
            </w:r>
          </w:p>
        </w:tc>
        <w:tc>
          <w:tcPr>
            <w:tcW w:w="1705" w:type="dxa"/>
            <w:gridSpan w:val="3"/>
          </w:tcPr>
          <w:p w:rsidR="00A86593" w:rsidRPr="008B5FD4" w:rsidRDefault="00A86593" w:rsidP="001C741C">
            <w:pPr>
              <w:jc w:val="right"/>
              <w:rPr>
                <w:b/>
                <w:sz w:val="20"/>
              </w:rPr>
            </w:pPr>
            <w:r w:rsidRPr="008B5FD4">
              <w:rPr>
                <w:b/>
                <w:sz w:val="20"/>
              </w:rPr>
              <w:t>Purchases at cost and derivative payments</w:t>
            </w:r>
          </w:p>
        </w:tc>
        <w:tc>
          <w:tcPr>
            <w:tcW w:w="1709" w:type="dxa"/>
            <w:gridSpan w:val="2"/>
          </w:tcPr>
          <w:p w:rsidR="00A86593" w:rsidRPr="008B5FD4" w:rsidRDefault="00A86593" w:rsidP="001C741C">
            <w:pPr>
              <w:jc w:val="right"/>
              <w:rPr>
                <w:b/>
                <w:sz w:val="20"/>
              </w:rPr>
            </w:pPr>
            <w:r w:rsidRPr="008B5FD4">
              <w:rPr>
                <w:b/>
                <w:sz w:val="20"/>
              </w:rPr>
              <w:t>Sales proceeds and derivative receipts</w:t>
            </w:r>
          </w:p>
        </w:tc>
        <w:tc>
          <w:tcPr>
            <w:tcW w:w="1581" w:type="dxa"/>
            <w:gridSpan w:val="2"/>
          </w:tcPr>
          <w:p w:rsidR="00A86593" w:rsidRDefault="00A86593" w:rsidP="001C741C">
            <w:pPr>
              <w:jc w:val="right"/>
              <w:rPr>
                <w:b/>
                <w:sz w:val="20"/>
              </w:rPr>
            </w:pPr>
            <w:r w:rsidRPr="008B5FD4">
              <w:rPr>
                <w:b/>
                <w:sz w:val="20"/>
              </w:rPr>
              <w:t>Change in market</w:t>
            </w:r>
          </w:p>
          <w:p w:rsidR="00A86593" w:rsidRPr="008B5FD4" w:rsidRDefault="00A86593" w:rsidP="001C741C">
            <w:pPr>
              <w:jc w:val="right"/>
              <w:rPr>
                <w:b/>
                <w:sz w:val="20"/>
              </w:rPr>
            </w:pPr>
            <w:r w:rsidRPr="008B5FD4">
              <w:rPr>
                <w:b/>
                <w:sz w:val="20"/>
              </w:rPr>
              <w:t xml:space="preserve"> value</w:t>
            </w:r>
          </w:p>
        </w:tc>
        <w:tc>
          <w:tcPr>
            <w:tcW w:w="1848" w:type="dxa"/>
            <w:gridSpan w:val="2"/>
          </w:tcPr>
          <w:p w:rsidR="00A86593" w:rsidRDefault="00A86593" w:rsidP="001C741C">
            <w:pPr>
              <w:jc w:val="right"/>
              <w:rPr>
                <w:b/>
                <w:sz w:val="20"/>
              </w:rPr>
            </w:pPr>
            <w:r w:rsidRPr="008B5FD4">
              <w:rPr>
                <w:b/>
                <w:sz w:val="20"/>
              </w:rPr>
              <w:t xml:space="preserve">Market value at 31 March </w:t>
            </w:r>
          </w:p>
          <w:p w:rsidR="00A86593" w:rsidRPr="008B5FD4" w:rsidRDefault="00A86593" w:rsidP="001C741C">
            <w:pPr>
              <w:jc w:val="right"/>
              <w:rPr>
                <w:b/>
                <w:sz w:val="20"/>
              </w:rPr>
            </w:pPr>
            <w:r w:rsidRPr="008B5FD4">
              <w:rPr>
                <w:b/>
                <w:sz w:val="20"/>
              </w:rPr>
              <w:t>2012</w:t>
            </w:r>
          </w:p>
        </w:tc>
      </w:tr>
      <w:tr w:rsidR="00A86593" w:rsidRPr="008B5FD4" w:rsidTr="001C741C">
        <w:tc>
          <w:tcPr>
            <w:tcW w:w="2626" w:type="dxa"/>
          </w:tcPr>
          <w:p w:rsidR="00A86593" w:rsidRPr="008B5FD4" w:rsidRDefault="00A86593" w:rsidP="001C741C">
            <w:pPr>
              <w:rPr>
                <w:b/>
                <w:sz w:val="20"/>
              </w:rPr>
            </w:pPr>
          </w:p>
        </w:tc>
        <w:tc>
          <w:tcPr>
            <w:tcW w:w="518" w:type="dxa"/>
            <w:tcBorders>
              <w:right w:val="single" w:sz="18" w:space="0" w:color="FFFFFF" w:themeColor="background1"/>
            </w:tcBorders>
          </w:tcPr>
          <w:p w:rsidR="00A86593" w:rsidRPr="008B5FD4" w:rsidRDefault="00A86593" w:rsidP="001C741C">
            <w:pPr>
              <w:jc w:val="right"/>
              <w:rPr>
                <w:b/>
                <w:sz w:val="20"/>
              </w:rPr>
            </w:pPr>
          </w:p>
        </w:tc>
        <w:tc>
          <w:tcPr>
            <w:tcW w:w="1029" w:type="dxa"/>
            <w:tcBorders>
              <w:left w:val="single" w:sz="18" w:space="0" w:color="FFFFFF" w:themeColor="background1"/>
            </w:tcBorders>
          </w:tcPr>
          <w:p w:rsidR="00A86593" w:rsidRPr="008B5FD4" w:rsidRDefault="00A86593" w:rsidP="001C741C">
            <w:pPr>
              <w:jc w:val="right"/>
              <w:rPr>
                <w:b/>
                <w:sz w:val="20"/>
              </w:rPr>
            </w:pPr>
            <w:r w:rsidRPr="008B5FD4">
              <w:rPr>
                <w:b/>
                <w:sz w:val="20"/>
              </w:rPr>
              <w:t>£m</w:t>
            </w:r>
          </w:p>
        </w:tc>
        <w:tc>
          <w:tcPr>
            <w:tcW w:w="471" w:type="dxa"/>
            <w:tcBorders>
              <w:right w:val="single" w:sz="18" w:space="0" w:color="FFFFFF" w:themeColor="background1"/>
            </w:tcBorders>
          </w:tcPr>
          <w:p w:rsidR="00A86593" w:rsidRPr="008B5FD4" w:rsidRDefault="00A86593" w:rsidP="001C741C">
            <w:pPr>
              <w:jc w:val="right"/>
              <w:rPr>
                <w:b/>
                <w:sz w:val="20"/>
              </w:rPr>
            </w:pPr>
          </w:p>
        </w:tc>
        <w:tc>
          <w:tcPr>
            <w:tcW w:w="1234" w:type="dxa"/>
            <w:gridSpan w:val="2"/>
            <w:tcBorders>
              <w:left w:val="single" w:sz="18" w:space="0" w:color="FFFFFF" w:themeColor="background1"/>
            </w:tcBorders>
          </w:tcPr>
          <w:p w:rsidR="00A86593" w:rsidRPr="008B5FD4" w:rsidRDefault="00A86593" w:rsidP="001C741C">
            <w:pPr>
              <w:jc w:val="right"/>
              <w:rPr>
                <w:b/>
                <w:sz w:val="20"/>
              </w:rPr>
            </w:pPr>
            <w:r w:rsidRPr="008B5FD4">
              <w:rPr>
                <w:b/>
                <w:sz w:val="20"/>
              </w:rPr>
              <w:t>£</w:t>
            </w:r>
            <w:r>
              <w:rPr>
                <w:b/>
                <w:sz w:val="20"/>
              </w:rPr>
              <w:t>m</w:t>
            </w:r>
          </w:p>
        </w:tc>
        <w:tc>
          <w:tcPr>
            <w:tcW w:w="1709" w:type="dxa"/>
            <w:gridSpan w:val="2"/>
          </w:tcPr>
          <w:p w:rsidR="00A86593" w:rsidRPr="008B5FD4" w:rsidRDefault="00A86593" w:rsidP="001C741C">
            <w:pPr>
              <w:jc w:val="right"/>
              <w:rPr>
                <w:b/>
                <w:sz w:val="20"/>
              </w:rPr>
            </w:pPr>
            <w:r w:rsidRPr="008B5FD4">
              <w:rPr>
                <w:b/>
                <w:sz w:val="20"/>
              </w:rPr>
              <w:t>£m</w:t>
            </w:r>
          </w:p>
        </w:tc>
        <w:tc>
          <w:tcPr>
            <w:tcW w:w="1581" w:type="dxa"/>
            <w:gridSpan w:val="2"/>
          </w:tcPr>
          <w:p w:rsidR="00A86593" w:rsidRPr="008B5FD4" w:rsidRDefault="00A86593" w:rsidP="001C741C">
            <w:pPr>
              <w:jc w:val="right"/>
              <w:rPr>
                <w:b/>
                <w:sz w:val="20"/>
              </w:rPr>
            </w:pPr>
            <w:r w:rsidRPr="008B5FD4">
              <w:rPr>
                <w:b/>
                <w:sz w:val="20"/>
              </w:rPr>
              <w:t>£m</w:t>
            </w:r>
          </w:p>
        </w:tc>
        <w:tc>
          <w:tcPr>
            <w:tcW w:w="1848" w:type="dxa"/>
            <w:gridSpan w:val="2"/>
          </w:tcPr>
          <w:p w:rsidR="00A86593" w:rsidRDefault="00A86593" w:rsidP="001C741C">
            <w:pPr>
              <w:jc w:val="right"/>
              <w:rPr>
                <w:b/>
                <w:sz w:val="20"/>
              </w:rPr>
            </w:pPr>
            <w:r w:rsidRPr="008B5FD4">
              <w:rPr>
                <w:b/>
                <w:sz w:val="20"/>
              </w:rPr>
              <w:t>£m</w:t>
            </w:r>
          </w:p>
          <w:p w:rsidR="00A86593" w:rsidRPr="008B5FD4" w:rsidRDefault="00A86593" w:rsidP="001C741C">
            <w:pPr>
              <w:jc w:val="right"/>
              <w:rPr>
                <w:b/>
                <w:sz w:val="20"/>
              </w:rPr>
            </w:pPr>
          </w:p>
        </w:tc>
      </w:tr>
      <w:tr w:rsidR="00A86593" w:rsidRPr="000E6955" w:rsidTr="001C741C">
        <w:tc>
          <w:tcPr>
            <w:tcW w:w="2626" w:type="dxa"/>
          </w:tcPr>
          <w:p w:rsidR="00A86593" w:rsidRPr="000E6955" w:rsidRDefault="00A86593" w:rsidP="001C741C">
            <w:pPr>
              <w:rPr>
                <w:sz w:val="20"/>
              </w:rPr>
            </w:pPr>
            <w:r>
              <w:rPr>
                <w:sz w:val="20"/>
              </w:rPr>
              <w:t>Fixed  interest securities</w:t>
            </w:r>
          </w:p>
        </w:tc>
        <w:tc>
          <w:tcPr>
            <w:tcW w:w="518" w:type="dxa"/>
            <w:tcBorders>
              <w:right w:val="single" w:sz="18" w:space="0" w:color="FFFFFF" w:themeColor="background1"/>
            </w:tcBorders>
          </w:tcPr>
          <w:p w:rsidR="00A86593" w:rsidRDefault="00A86593" w:rsidP="001C741C">
            <w:pPr>
              <w:jc w:val="right"/>
              <w:rPr>
                <w:sz w:val="20"/>
              </w:rPr>
            </w:pPr>
          </w:p>
        </w:tc>
        <w:tc>
          <w:tcPr>
            <w:tcW w:w="1029" w:type="dxa"/>
            <w:tcBorders>
              <w:left w:val="single" w:sz="18" w:space="0" w:color="FFFFFF" w:themeColor="background1"/>
            </w:tcBorders>
          </w:tcPr>
          <w:p w:rsidR="00A86593" w:rsidRDefault="00A86593" w:rsidP="001C741C">
            <w:pPr>
              <w:jc w:val="right"/>
              <w:rPr>
                <w:sz w:val="20"/>
              </w:rPr>
            </w:pPr>
            <w:r>
              <w:rPr>
                <w:sz w:val="20"/>
              </w:rPr>
              <w:t>559.1</w:t>
            </w:r>
          </w:p>
        </w:tc>
        <w:tc>
          <w:tcPr>
            <w:tcW w:w="471" w:type="dxa"/>
            <w:tcBorders>
              <w:right w:val="single" w:sz="18" w:space="0" w:color="FFFFFF" w:themeColor="background1"/>
            </w:tcBorders>
          </w:tcPr>
          <w:p w:rsidR="00A86593" w:rsidRDefault="00A86593" w:rsidP="001C741C">
            <w:pPr>
              <w:jc w:val="right"/>
              <w:rPr>
                <w:sz w:val="20"/>
              </w:rPr>
            </w:pPr>
          </w:p>
        </w:tc>
        <w:tc>
          <w:tcPr>
            <w:tcW w:w="1103" w:type="dxa"/>
            <w:tcBorders>
              <w:left w:val="single" w:sz="18" w:space="0" w:color="FFFFFF" w:themeColor="background1"/>
            </w:tcBorders>
          </w:tcPr>
          <w:p w:rsidR="00A86593" w:rsidRDefault="00A86593" w:rsidP="001C741C">
            <w:pPr>
              <w:jc w:val="right"/>
              <w:rPr>
                <w:sz w:val="20"/>
              </w:rPr>
            </w:pPr>
            <w:r>
              <w:rPr>
                <w:sz w:val="20"/>
              </w:rPr>
              <w:t>696.0</w:t>
            </w:r>
          </w:p>
        </w:tc>
        <w:tc>
          <w:tcPr>
            <w:tcW w:w="1840" w:type="dxa"/>
            <w:gridSpan w:val="3"/>
          </w:tcPr>
          <w:p w:rsidR="00A86593" w:rsidRDefault="00A86593" w:rsidP="001C741C">
            <w:pPr>
              <w:jc w:val="right"/>
              <w:rPr>
                <w:sz w:val="20"/>
              </w:rPr>
            </w:pPr>
            <w:r>
              <w:rPr>
                <w:sz w:val="20"/>
              </w:rPr>
              <w:t>-657.8</w:t>
            </w:r>
          </w:p>
        </w:tc>
        <w:tc>
          <w:tcPr>
            <w:tcW w:w="885" w:type="dxa"/>
            <w:tcBorders>
              <w:right w:val="single" w:sz="18" w:space="0" w:color="FFFFFF" w:themeColor="background1"/>
            </w:tcBorders>
          </w:tcPr>
          <w:p w:rsidR="00A86593" w:rsidRDefault="00A86593" w:rsidP="001C741C">
            <w:pPr>
              <w:jc w:val="right"/>
              <w:rPr>
                <w:sz w:val="20"/>
              </w:rPr>
            </w:pPr>
          </w:p>
        </w:tc>
        <w:tc>
          <w:tcPr>
            <w:tcW w:w="696" w:type="dxa"/>
            <w:tcBorders>
              <w:left w:val="single" w:sz="18" w:space="0" w:color="FFFFFF" w:themeColor="background1"/>
            </w:tcBorders>
          </w:tcPr>
          <w:p w:rsidR="00A86593" w:rsidRDefault="00A86593" w:rsidP="001C741C">
            <w:pPr>
              <w:jc w:val="right"/>
              <w:rPr>
                <w:sz w:val="20"/>
              </w:rPr>
            </w:pPr>
            <w:r>
              <w:rPr>
                <w:sz w:val="20"/>
              </w:rPr>
              <w:t>26.1</w:t>
            </w:r>
          </w:p>
        </w:tc>
        <w:tc>
          <w:tcPr>
            <w:tcW w:w="995" w:type="dxa"/>
            <w:tcBorders>
              <w:right w:val="single" w:sz="18" w:space="0" w:color="FFFFFF" w:themeColor="background1"/>
            </w:tcBorders>
          </w:tcPr>
          <w:p w:rsidR="00A86593" w:rsidRDefault="00A86593" w:rsidP="001C741C">
            <w:pPr>
              <w:jc w:val="right"/>
              <w:rPr>
                <w:sz w:val="20"/>
              </w:rPr>
            </w:pPr>
          </w:p>
        </w:tc>
        <w:tc>
          <w:tcPr>
            <w:tcW w:w="853" w:type="dxa"/>
            <w:tcBorders>
              <w:left w:val="single" w:sz="18" w:space="0" w:color="FFFFFF" w:themeColor="background1"/>
            </w:tcBorders>
          </w:tcPr>
          <w:p w:rsidR="00A86593" w:rsidRDefault="00A86593" w:rsidP="001C741C">
            <w:pPr>
              <w:jc w:val="right"/>
              <w:rPr>
                <w:sz w:val="20"/>
              </w:rPr>
            </w:pPr>
            <w:r>
              <w:rPr>
                <w:sz w:val="20"/>
              </w:rPr>
              <w:t>623.4</w:t>
            </w:r>
          </w:p>
        </w:tc>
      </w:tr>
      <w:tr w:rsidR="00A86593" w:rsidRPr="000E6955" w:rsidTr="001C741C">
        <w:tc>
          <w:tcPr>
            <w:tcW w:w="2626" w:type="dxa"/>
          </w:tcPr>
          <w:p w:rsidR="00A86593" w:rsidRDefault="00A86593" w:rsidP="001C741C">
            <w:pPr>
              <w:rPr>
                <w:sz w:val="20"/>
              </w:rPr>
            </w:pPr>
            <w:r>
              <w:rPr>
                <w:sz w:val="20"/>
              </w:rPr>
              <w:t>Equities</w:t>
            </w:r>
          </w:p>
        </w:tc>
        <w:tc>
          <w:tcPr>
            <w:tcW w:w="518" w:type="dxa"/>
            <w:tcBorders>
              <w:right w:val="single" w:sz="18" w:space="0" w:color="FFFFFF" w:themeColor="background1"/>
            </w:tcBorders>
          </w:tcPr>
          <w:p w:rsidR="00A86593" w:rsidRDefault="00A86593" w:rsidP="001C741C">
            <w:pPr>
              <w:jc w:val="right"/>
              <w:rPr>
                <w:sz w:val="20"/>
              </w:rPr>
            </w:pPr>
          </w:p>
        </w:tc>
        <w:tc>
          <w:tcPr>
            <w:tcW w:w="1029" w:type="dxa"/>
            <w:tcBorders>
              <w:left w:val="single" w:sz="18" w:space="0" w:color="FFFFFF" w:themeColor="background1"/>
            </w:tcBorders>
          </w:tcPr>
          <w:p w:rsidR="00A86593" w:rsidRDefault="00A86593" w:rsidP="001C741C">
            <w:pPr>
              <w:jc w:val="right"/>
              <w:rPr>
                <w:sz w:val="20"/>
              </w:rPr>
            </w:pPr>
            <w:r>
              <w:rPr>
                <w:sz w:val="20"/>
              </w:rPr>
              <w:t>1,735.1</w:t>
            </w:r>
          </w:p>
        </w:tc>
        <w:tc>
          <w:tcPr>
            <w:tcW w:w="471" w:type="dxa"/>
            <w:tcBorders>
              <w:right w:val="single" w:sz="18" w:space="0" w:color="FFFFFF" w:themeColor="background1"/>
            </w:tcBorders>
          </w:tcPr>
          <w:p w:rsidR="00A86593" w:rsidRDefault="00A86593" w:rsidP="001C741C">
            <w:pPr>
              <w:jc w:val="right"/>
              <w:rPr>
                <w:sz w:val="20"/>
              </w:rPr>
            </w:pPr>
          </w:p>
        </w:tc>
        <w:tc>
          <w:tcPr>
            <w:tcW w:w="1103" w:type="dxa"/>
            <w:tcBorders>
              <w:left w:val="single" w:sz="18" w:space="0" w:color="FFFFFF" w:themeColor="background1"/>
            </w:tcBorders>
          </w:tcPr>
          <w:p w:rsidR="00A86593" w:rsidRDefault="00A86593" w:rsidP="001C741C">
            <w:pPr>
              <w:jc w:val="right"/>
              <w:rPr>
                <w:sz w:val="20"/>
              </w:rPr>
            </w:pPr>
            <w:r>
              <w:rPr>
                <w:sz w:val="20"/>
              </w:rPr>
              <w:t xml:space="preserve"> 401.0</w:t>
            </w:r>
          </w:p>
        </w:tc>
        <w:tc>
          <w:tcPr>
            <w:tcW w:w="1840" w:type="dxa"/>
            <w:gridSpan w:val="3"/>
          </w:tcPr>
          <w:p w:rsidR="00A86593" w:rsidRDefault="00A86593" w:rsidP="001C741C">
            <w:pPr>
              <w:jc w:val="right"/>
              <w:rPr>
                <w:sz w:val="20"/>
              </w:rPr>
            </w:pPr>
            <w:r>
              <w:rPr>
                <w:sz w:val="20"/>
              </w:rPr>
              <w:t>-441.9</w:t>
            </w:r>
          </w:p>
        </w:tc>
        <w:tc>
          <w:tcPr>
            <w:tcW w:w="885" w:type="dxa"/>
            <w:tcBorders>
              <w:right w:val="single" w:sz="18" w:space="0" w:color="FFFFFF" w:themeColor="background1"/>
            </w:tcBorders>
          </w:tcPr>
          <w:p w:rsidR="00A86593" w:rsidRDefault="00A86593" w:rsidP="001C741C">
            <w:pPr>
              <w:jc w:val="right"/>
              <w:rPr>
                <w:sz w:val="20"/>
              </w:rPr>
            </w:pPr>
          </w:p>
        </w:tc>
        <w:tc>
          <w:tcPr>
            <w:tcW w:w="696" w:type="dxa"/>
            <w:tcBorders>
              <w:left w:val="single" w:sz="18" w:space="0" w:color="FFFFFF" w:themeColor="background1"/>
            </w:tcBorders>
          </w:tcPr>
          <w:p w:rsidR="00A86593" w:rsidRDefault="00A86593" w:rsidP="001C741C">
            <w:pPr>
              <w:jc w:val="right"/>
              <w:rPr>
                <w:sz w:val="20"/>
              </w:rPr>
            </w:pPr>
            <w:r>
              <w:rPr>
                <w:sz w:val="20"/>
              </w:rPr>
              <w:t>-80.5</w:t>
            </w:r>
          </w:p>
        </w:tc>
        <w:tc>
          <w:tcPr>
            <w:tcW w:w="1848" w:type="dxa"/>
            <w:gridSpan w:val="2"/>
          </w:tcPr>
          <w:p w:rsidR="00A86593" w:rsidRDefault="00A86593" w:rsidP="001C741C">
            <w:pPr>
              <w:jc w:val="right"/>
              <w:rPr>
                <w:sz w:val="20"/>
              </w:rPr>
            </w:pPr>
            <w:r>
              <w:rPr>
                <w:sz w:val="20"/>
              </w:rPr>
              <w:t>1,613.7</w:t>
            </w:r>
          </w:p>
        </w:tc>
      </w:tr>
      <w:tr w:rsidR="00A86593" w:rsidRPr="000E6955" w:rsidTr="001C741C">
        <w:tc>
          <w:tcPr>
            <w:tcW w:w="2626" w:type="dxa"/>
          </w:tcPr>
          <w:p w:rsidR="00A86593" w:rsidRDefault="00A86593" w:rsidP="001C741C">
            <w:pPr>
              <w:rPr>
                <w:sz w:val="20"/>
              </w:rPr>
            </w:pPr>
            <w:r>
              <w:rPr>
                <w:sz w:val="20"/>
              </w:rPr>
              <w:t>Index linked securities</w:t>
            </w:r>
          </w:p>
        </w:tc>
        <w:tc>
          <w:tcPr>
            <w:tcW w:w="518" w:type="dxa"/>
            <w:tcBorders>
              <w:right w:val="single" w:sz="18" w:space="0" w:color="FFFFFF" w:themeColor="background1"/>
            </w:tcBorders>
          </w:tcPr>
          <w:p w:rsidR="00A86593" w:rsidRDefault="00A86593" w:rsidP="001C741C">
            <w:pPr>
              <w:jc w:val="right"/>
              <w:rPr>
                <w:sz w:val="20"/>
              </w:rPr>
            </w:pPr>
          </w:p>
        </w:tc>
        <w:tc>
          <w:tcPr>
            <w:tcW w:w="1029" w:type="dxa"/>
            <w:tcBorders>
              <w:left w:val="single" w:sz="18" w:space="0" w:color="FFFFFF" w:themeColor="background1"/>
            </w:tcBorders>
          </w:tcPr>
          <w:p w:rsidR="00A86593" w:rsidRDefault="00A86593" w:rsidP="001C741C">
            <w:pPr>
              <w:jc w:val="right"/>
              <w:rPr>
                <w:sz w:val="20"/>
              </w:rPr>
            </w:pPr>
            <w:r>
              <w:rPr>
                <w:sz w:val="20"/>
              </w:rPr>
              <w:t>141.0</w:t>
            </w:r>
          </w:p>
        </w:tc>
        <w:tc>
          <w:tcPr>
            <w:tcW w:w="471" w:type="dxa"/>
            <w:tcBorders>
              <w:right w:val="single" w:sz="18" w:space="0" w:color="FFFFFF" w:themeColor="background1"/>
            </w:tcBorders>
          </w:tcPr>
          <w:p w:rsidR="00A86593" w:rsidRDefault="00A86593" w:rsidP="001C741C">
            <w:pPr>
              <w:jc w:val="right"/>
              <w:rPr>
                <w:sz w:val="20"/>
              </w:rPr>
            </w:pPr>
          </w:p>
        </w:tc>
        <w:tc>
          <w:tcPr>
            <w:tcW w:w="1103" w:type="dxa"/>
            <w:tcBorders>
              <w:left w:val="single" w:sz="18" w:space="0" w:color="FFFFFF" w:themeColor="background1"/>
            </w:tcBorders>
          </w:tcPr>
          <w:p w:rsidR="00A86593" w:rsidRDefault="00A86593" w:rsidP="001C741C">
            <w:pPr>
              <w:jc w:val="right"/>
              <w:rPr>
                <w:sz w:val="20"/>
              </w:rPr>
            </w:pPr>
            <w:r>
              <w:rPr>
                <w:sz w:val="20"/>
              </w:rPr>
              <w:t>120.9</w:t>
            </w:r>
          </w:p>
        </w:tc>
        <w:tc>
          <w:tcPr>
            <w:tcW w:w="1840" w:type="dxa"/>
            <w:gridSpan w:val="3"/>
          </w:tcPr>
          <w:p w:rsidR="00A86593" w:rsidRDefault="00A86593" w:rsidP="001C741C">
            <w:pPr>
              <w:jc w:val="right"/>
              <w:rPr>
                <w:sz w:val="20"/>
              </w:rPr>
            </w:pPr>
            <w:r>
              <w:rPr>
                <w:sz w:val="20"/>
              </w:rPr>
              <w:t>-159.1</w:t>
            </w:r>
          </w:p>
        </w:tc>
        <w:tc>
          <w:tcPr>
            <w:tcW w:w="885" w:type="dxa"/>
            <w:tcBorders>
              <w:right w:val="single" w:sz="18" w:space="0" w:color="FFFFFF" w:themeColor="background1"/>
            </w:tcBorders>
          </w:tcPr>
          <w:p w:rsidR="00A86593" w:rsidRDefault="00A86593" w:rsidP="001C741C">
            <w:pPr>
              <w:jc w:val="right"/>
              <w:rPr>
                <w:sz w:val="20"/>
              </w:rPr>
            </w:pPr>
          </w:p>
        </w:tc>
        <w:tc>
          <w:tcPr>
            <w:tcW w:w="696" w:type="dxa"/>
            <w:tcBorders>
              <w:left w:val="single" w:sz="18" w:space="0" w:color="FFFFFF" w:themeColor="background1"/>
            </w:tcBorders>
          </w:tcPr>
          <w:p w:rsidR="00A86593" w:rsidRDefault="00A86593" w:rsidP="001C741C">
            <w:pPr>
              <w:jc w:val="right"/>
              <w:rPr>
                <w:sz w:val="20"/>
              </w:rPr>
            </w:pPr>
            <w:r>
              <w:rPr>
                <w:sz w:val="20"/>
              </w:rPr>
              <w:t>21.8</w:t>
            </w:r>
          </w:p>
        </w:tc>
        <w:tc>
          <w:tcPr>
            <w:tcW w:w="995" w:type="dxa"/>
            <w:tcBorders>
              <w:right w:val="single" w:sz="18" w:space="0" w:color="FFFFFF" w:themeColor="background1"/>
            </w:tcBorders>
          </w:tcPr>
          <w:p w:rsidR="00A86593" w:rsidRDefault="00A86593" w:rsidP="001C741C">
            <w:pPr>
              <w:jc w:val="right"/>
              <w:rPr>
                <w:sz w:val="20"/>
              </w:rPr>
            </w:pPr>
          </w:p>
        </w:tc>
        <w:tc>
          <w:tcPr>
            <w:tcW w:w="853" w:type="dxa"/>
            <w:tcBorders>
              <w:left w:val="single" w:sz="18" w:space="0" w:color="FFFFFF" w:themeColor="background1"/>
            </w:tcBorders>
          </w:tcPr>
          <w:p w:rsidR="00A86593" w:rsidRDefault="00A86593" w:rsidP="001C741C">
            <w:pPr>
              <w:jc w:val="right"/>
              <w:rPr>
                <w:sz w:val="20"/>
              </w:rPr>
            </w:pPr>
            <w:r>
              <w:rPr>
                <w:sz w:val="20"/>
              </w:rPr>
              <w:t>124.6</w:t>
            </w:r>
          </w:p>
        </w:tc>
      </w:tr>
      <w:tr w:rsidR="00A86593" w:rsidRPr="000E6955" w:rsidTr="001C741C">
        <w:tc>
          <w:tcPr>
            <w:tcW w:w="2626" w:type="dxa"/>
          </w:tcPr>
          <w:p w:rsidR="00A86593" w:rsidRDefault="00A86593" w:rsidP="001C741C">
            <w:pPr>
              <w:rPr>
                <w:sz w:val="20"/>
              </w:rPr>
            </w:pPr>
            <w:r>
              <w:rPr>
                <w:sz w:val="20"/>
              </w:rPr>
              <w:t>Pooled investments</w:t>
            </w:r>
          </w:p>
        </w:tc>
        <w:tc>
          <w:tcPr>
            <w:tcW w:w="518" w:type="dxa"/>
            <w:tcBorders>
              <w:right w:val="single" w:sz="18" w:space="0" w:color="FFFFFF" w:themeColor="background1"/>
            </w:tcBorders>
          </w:tcPr>
          <w:p w:rsidR="00A86593" w:rsidRDefault="00A86593" w:rsidP="001C741C">
            <w:pPr>
              <w:jc w:val="right"/>
              <w:rPr>
                <w:sz w:val="20"/>
              </w:rPr>
            </w:pPr>
          </w:p>
        </w:tc>
        <w:tc>
          <w:tcPr>
            <w:tcW w:w="1029" w:type="dxa"/>
            <w:tcBorders>
              <w:left w:val="single" w:sz="18" w:space="0" w:color="FFFFFF" w:themeColor="background1"/>
            </w:tcBorders>
          </w:tcPr>
          <w:p w:rsidR="00A86593" w:rsidRDefault="00A86593" w:rsidP="001C741C">
            <w:pPr>
              <w:jc w:val="right"/>
              <w:rPr>
                <w:sz w:val="20"/>
              </w:rPr>
            </w:pPr>
            <w:r>
              <w:rPr>
                <w:sz w:val="20"/>
              </w:rPr>
              <w:t>1,395.5</w:t>
            </w:r>
          </w:p>
        </w:tc>
        <w:tc>
          <w:tcPr>
            <w:tcW w:w="471" w:type="dxa"/>
            <w:tcBorders>
              <w:right w:val="single" w:sz="18" w:space="0" w:color="FFFFFF" w:themeColor="background1"/>
            </w:tcBorders>
          </w:tcPr>
          <w:p w:rsidR="00A86593" w:rsidRDefault="00A86593" w:rsidP="001C741C">
            <w:pPr>
              <w:jc w:val="right"/>
              <w:rPr>
                <w:sz w:val="20"/>
              </w:rPr>
            </w:pPr>
          </w:p>
        </w:tc>
        <w:tc>
          <w:tcPr>
            <w:tcW w:w="1103" w:type="dxa"/>
            <w:tcBorders>
              <w:left w:val="single" w:sz="18" w:space="0" w:color="FFFFFF" w:themeColor="background1"/>
            </w:tcBorders>
          </w:tcPr>
          <w:p w:rsidR="00A86593" w:rsidRDefault="00A86593" w:rsidP="001C741C">
            <w:pPr>
              <w:jc w:val="right"/>
              <w:rPr>
                <w:sz w:val="20"/>
              </w:rPr>
            </w:pPr>
            <w:r>
              <w:rPr>
                <w:sz w:val="20"/>
              </w:rPr>
              <w:t>399.2</w:t>
            </w:r>
          </w:p>
        </w:tc>
        <w:tc>
          <w:tcPr>
            <w:tcW w:w="1840" w:type="dxa"/>
            <w:gridSpan w:val="3"/>
          </w:tcPr>
          <w:p w:rsidR="00A86593" w:rsidRDefault="00A86593" w:rsidP="001C741C">
            <w:pPr>
              <w:jc w:val="right"/>
              <w:rPr>
                <w:sz w:val="20"/>
              </w:rPr>
            </w:pPr>
            <w:r>
              <w:rPr>
                <w:sz w:val="20"/>
              </w:rPr>
              <w:t>-359.6</w:t>
            </w:r>
          </w:p>
        </w:tc>
        <w:tc>
          <w:tcPr>
            <w:tcW w:w="885" w:type="dxa"/>
            <w:tcBorders>
              <w:right w:val="single" w:sz="18" w:space="0" w:color="FFFFFF" w:themeColor="background1"/>
            </w:tcBorders>
          </w:tcPr>
          <w:p w:rsidR="00A86593" w:rsidRDefault="00A86593" w:rsidP="001C741C">
            <w:pPr>
              <w:jc w:val="right"/>
              <w:rPr>
                <w:sz w:val="20"/>
              </w:rPr>
            </w:pPr>
          </w:p>
        </w:tc>
        <w:tc>
          <w:tcPr>
            <w:tcW w:w="696" w:type="dxa"/>
            <w:tcBorders>
              <w:left w:val="single" w:sz="18" w:space="0" w:color="FFFFFF" w:themeColor="background1"/>
            </w:tcBorders>
          </w:tcPr>
          <w:p w:rsidR="00A86593" w:rsidRDefault="00A86593" w:rsidP="001C741C">
            <w:pPr>
              <w:jc w:val="right"/>
              <w:rPr>
                <w:sz w:val="20"/>
              </w:rPr>
            </w:pPr>
            <w:r>
              <w:rPr>
                <w:sz w:val="20"/>
              </w:rPr>
              <w:t>31.2</w:t>
            </w:r>
          </w:p>
        </w:tc>
        <w:tc>
          <w:tcPr>
            <w:tcW w:w="1848" w:type="dxa"/>
            <w:gridSpan w:val="2"/>
          </w:tcPr>
          <w:p w:rsidR="00A86593" w:rsidRDefault="00A86593" w:rsidP="001C741C">
            <w:pPr>
              <w:jc w:val="right"/>
              <w:rPr>
                <w:sz w:val="20"/>
              </w:rPr>
            </w:pPr>
            <w:r>
              <w:rPr>
                <w:sz w:val="20"/>
              </w:rPr>
              <w:t>1,466.3</w:t>
            </w:r>
          </w:p>
        </w:tc>
      </w:tr>
      <w:tr w:rsidR="00A86593" w:rsidRPr="000E6955" w:rsidTr="001C741C">
        <w:tc>
          <w:tcPr>
            <w:tcW w:w="2626" w:type="dxa"/>
          </w:tcPr>
          <w:p w:rsidR="00A86593" w:rsidRDefault="00A86593" w:rsidP="001C741C">
            <w:pPr>
              <w:rPr>
                <w:sz w:val="20"/>
              </w:rPr>
            </w:pPr>
            <w:r>
              <w:rPr>
                <w:sz w:val="20"/>
              </w:rPr>
              <w:t>Property</w:t>
            </w:r>
          </w:p>
        </w:tc>
        <w:tc>
          <w:tcPr>
            <w:tcW w:w="518" w:type="dxa"/>
            <w:tcBorders>
              <w:bottom w:val="single" w:sz="18" w:space="0" w:color="auto"/>
              <w:right w:val="single" w:sz="18" w:space="0" w:color="FFFFFF" w:themeColor="background1"/>
            </w:tcBorders>
          </w:tcPr>
          <w:p w:rsidR="00A86593" w:rsidRDefault="00A86593" w:rsidP="001C741C">
            <w:pPr>
              <w:jc w:val="right"/>
              <w:rPr>
                <w:sz w:val="20"/>
              </w:rPr>
            </w:pPr>
          </w:p>
        </w:tc>
        <w:tc>
          <w:tcPr>
            <w:tcW w:w="1029" w:type="dxa"/>
            <w:tcBorders>
              <w:left w:val="single" w:sz="18" w:space="0" w:color="FFFFFF" w:themeColor="background1"/>
              <w:bottom w:val="single" w:sz="18" w:space="0" w:color="auto"/>
            </w:tcBorders>
          </w:tcPr>
          <w:p w:rsidR="00A86593" w:rsidRDefault="00A86593" w:rsidP="001C741C">
            <w:pPr>
              <w:jc w:val="right"/>
              <w:rPr>
                <w:sz w:val="20"/>
              </w:rPr>
            </w:pPr>
            <w:r>
              <w:rPr>
                <w:sz w:val="20"/>
              </w:rPr>
              <w:t>397.5</w:t>
            </w:r>
          </w:p>
        </w:tc>
        <w:tc>
          <w:tcPr>
            <w:tcW w:w="471" w:type="dxa"/>
            <w:tcBorders>
              <w:bottom w:val="single" w:sz="18" w:space="0" w:color="auto"/>
              <w:right w:val="single" w:sz="18" w:space="0" w:color="FFFFFF" w:themeColor="background1"/>
            </w:tcBorders>
          </w:tcPr>
          <w:p w:rsidR="00A86593" w:rsidRDefault="00A86593" w:rsidP="001C741C">
            <w:pPr>
              <w:jc w:val="right"/>
              <w:rPr>
                <w:sz w:val="20"/>
              </w:rPr>
            </w:pPr>
          </w:p>
        </w:tc>
        <w:tc>
          <w:tcPr>
            <w:tcW w:w="1103" w:type="dxa"/>
            <w:tcBorders>
              <w:left w:val="single" w:sz="18" w:space="0" w:color="FFFFFF" w:themeColor="background1"/>
              <w:bottom w:val="single" w:sz="18" w:space="0" w:color="auto"/>
            </w:tcBorders>
          </w:tcPr>
          <w:p w:rsidR="00A86593" w:rsidRDefault="00A86593" w:rsidP="001C741C">
            <w:pPr>
              <w:jc w:val="right"/>
              <w:rPr>
                <w:sz w:val="20"/>
              </w:rPr>
            </w:pPr>
            <w:r>
              <w:rPr>
                <w:sz w:val="20"/>
              </w:rPr>
              <w:t xml:space="preserve">  24.2</w:t>
            </w:r>
          </w:p>
        </w:tc>
        <w:tc>
          <w:tcPr>
            <w:tcW w:w="1840" w:type="dxa"/>
            <w:gridSpan w:val="3"/>
            <w:tcBorders>
              <w:bottom w:val="single" w:sz="18" w:space="0" w:color="auto"/>
            </w:tcBorders>
          </w:tcPr>
          <w:p w:rsidR="00A86593" w:rsidRDefault="00A86593" w:rsidP="001C741C">
            <w:pPr>
              <w:jc w:val="right"/>
              <w:rPr>
                <w:sz w:val="20"/>
              </w:rPr>
            </w:pPr>
            <w:r>
              <w:rPr>
                <w:sz w:val="20"/>
              </w:rPr>
              <w:t>-34.1</w:t>
            </w:r>
          </w:p>
        </w:tc>
        <w:tc>
          <w:tcPr>
            <w:tcW w:w="885" w:type="dxa"/>
            <w:tcBorders>
              <w:bottom w:val="single" w:sz="18" w:space="0" w:color="auto"/>
              <w:right w:val="single" w:sz="18" w:space="0" w:color="FFFFFF" w:themeColor="background1"/>
            </w:tcBorders>
          </w:tcPr>
          <w:p w:rsidR="00A86593" w:rsidRDefault="00A86593" w:rsidP="001C741C">
            <w:pPr>
              <w:jc w:val="right"/>
              <w:rPr>
                <w:sz w:val="20"/>
              </w:rPr>
            </w:pPr>
          </w:p>
        </w:tc>
        <w:tc>
          <w:tcPr>
            <w:tcW w:w="696" w:type="dxa"/>
            <w:tcBorders>
              <w:left w:val="single" w:sz="18" w:space="0" w:color="FFFFFF" w:themeColor="background1"/>
              <w:bottom w:val="single" w:sz="18" w:space="0" w:color="auto"/>
            </w:tcBorders>
          </w:tcPr>
          <w:p w:rsidR="00A86593" w:rsidRDefault="00A86593" w:rsidP="001C741C">
            <w:pPr>
              <w:jc w:val="right"/>
              <w:rPr>
                <w:sz w:val="20"/>
              </w:rPr>
            </w:pPr>
            <w:r>
              <w:rPr>
                <w:sz w:val="20"/>
              </w:rPr>
              <w:t>-3.7</w:t>
            </w:r>
          </w:p>
        </w:tc>
        <w:tc>
          <w:tcPr>
            <w:tcW w:w="995" w:type="dxa"/>
            <w:tcBorders>
              <w:bottom w:val="single" w:sz="18" w:space="0" w:color="auto"/>
              <w:right w:val="single" w:sz="18" w:space="0" w:color="FFFFFF" w:themeColor="background1"/>
            </w:tcBorders>
          </w:tcPr>
          <w:p w:rsidR="00A86593" w:rsidRDefault="00A86593" w:rsidP="001C741C">
            <w:pPr>
              <w:jc w:val="right"/>
              <w:rPr>
                <w:sz w:val="20"/>
              </w:rPr>
            </w:pPr>
          </w:p>
        </w:tc>
        <w:tc>
          <w:tcPr>
            <w:tcW w:w="853" w:type="dxa"/>
            <w:tcBorders>
              <w:left w:val="single" w:sz="18" w:space="0" w:color="FFFFFF" w:themeColor="background1"/>
              <w:bottom w:val="single" w:sz="18" w:space="0" w:color="auto"/>
            </w:tcBorders>
          </w:tcPr>
          <w:p w:rsidR="00A86593" w:rsidRDefault="00A86593" w:rsidP="001C741C">
            <w:pPr>
              <w:jc w:val="right"/>
              <w:rPr>
                <w:sz w:val="20"/>
              </w:rPr>
            </w:pPr>
            <w:r>
              <w:rPr>
                <w:sz w:val="20"/>
              </w:rPr>
              <w:t>383.9</w:t>
            </w:r>
          </w:p>
        </w:tc>
      </w:tr>
      <w:tr w:rsidR="00A86593" w:rsidRPr="000E6955" w:rsidTr="001C741C">
        <w:tc>
          <w:tcPr>
            <w:tcW w:w="2626" w:type="dxa"/>
          </w:tcPr>
          <w:p w:rsidR="00A86593" w:rsidRDefault="00A86593" w:rsidP="001C741C">
            <w:pPr>
              <w:rPr>
                <w:sz w:val="20"/>
              </w:rPr>
            </w:pPr>
          </w:p>
        </w:tc>
        <w:tc>
          <w:tcPr>
            <w:tcW w:w="518" w:type="dxa"/>
            <w:tcBorders>
              <w:top w:val="single" w:sz="18" w:space="0" w:color="auto"/>
              <w:right w:val="single" w:sz="18" w:space="0" w:color="FFFFFF" w:themeColor="background1"/>
            </w:tcBorders>
          </w:tcPr>
          <w:p w:rsidR="00A86593" w:rsidRDefault="00A86593" w:rsidP="001C741C">
            <w:pPr>
              <w:jc w:val="right"/>
              <w:rPr>
                <w:sz w:val="20"/>
              </w:rPr>
            </w:pPr>
          </w:p>
        </w:tc>
        <w:tc>
          <w:tcPr>
            <w:tcW w:w="1029" w:type="dxa"/>
            <w:tcBorders>
              <w:top w:val="single" w:sz="18" w:space="0" w:color="auto"/>
              <w:left w:val="single" w:sz="18" w:space="0" w:color="FFFFFF" w:themeColor="background1"/>
            </w:tcBorders>
          </w:tcPr>
          <w:p w:rsidR="00A86593" w:rsidRDefault="00A86593" w:rsidP="001C741C">
            <w:pPr>
              <w:jc w:val="right"/>
              <w:rPr>
                <w:sz w:val="20"/>
              </w:rPr>
            </w:pPr>
            <w:r>
              <w:rPr>
                <w:sz w:val="20"/>
              </w:rPr>
              <w:t>4,228.2</w:t>
            </w:r>
          </w:p>
        </w:tc>
        <w:tc>
          <w:tcPr>
            <w:tcW w:w="471" w:type="dxa"/>
            <w:tcBorders>
              <w:top w:val="single" w:sz="18" w:space="0" w:color="auto"/>
              <w:right w:val="single" w:sz="18" w:space="0" w:color="FFFFFF" w:themeColor="background1"/>
            </w:tcBorders>
          </w:tcPr>
          <w:p w:rsidR="00A86593" w:rsidRDefault="00A86593" w:rsidP="001C741C">
            <w:pPr>
              <w:jc w:val="right"/>
              <w:rPr>
                <w:sz w:val="20"/>
              </w:rPr>
            </w:pPr>
          </w:p>
        </w:tc>
        <w:tc>
          <w:tcPr>
            <w:tcW w:w="1103" w:type="dxa"/>
            <w:tcBorders>
              <w:top w:val="single" w:sz="18" w:space="0" w:color="auto"/>
              <w:left w:val="single" w:sz="18" w:space="0" w:color="FFFFFF" w:themeColor="background1"/>
            </w:tcBorders>
          </w:tcPr>
          <w:p w:rsidR="00A86593" w:rsidRDefault="00A86593" w:rsidP="001C741C">
            <w:pPr>
              <w:jc w:val="right"/>
              <w:rPr>
                <w:sz w:val="20"/>
              </w:rPr>
            </w:pPr>
            <w:r>
              <w:rPr>
                <w:sz w:val="20"/>
              </w:rPr>
              <w:t>1,641.3</w:t>
            </w:r>
          </w:p>
        </w:tc>
        <w:tc>
          <w:tcPr>
            <w:tcW w:w="1840" w:type="dxa"/>
            <w:gridSpan w:val="3"/>
            <w:tcBorders>
              <w:top w:val="single" w:sz="18" w:space="0" w:color="auto"/>
            </w:tcBorders>
          </w:tcPr>
          <w:p w:rsidR="00A86593" w:rsidRDefault="00A86593" w:rsidP="001C741C">
            <w:pPr>
              <w:jc w:val="right"/>
              <w:rPr>
                <w:sz w:val="20"/>
              </w:rPr>
            </w:pPr>
            <w:r>
              <w:rPr>
                <w:sz w:val="20"/>
              </w:rPr>
              <w:t>-1,652.5</w:t>
            </w:r>
          </w:p>
        </w:tc>
        <w:tc>
          <w:tcPr>
            <w:tcW w:w="885" w:type="dxa"/>
            <w:tcBorders>
              <w:top w:val="single" w:sz="18" w:space="0" w:color="auto"/>
              <w:right w:val="single" w:sz="18" w:space="0" w:color="FFFFFF" w:themeColor="background1"/>
            </w:tcBorders>
          </w:tcPr>
          <w:p w:rsidR="00A86593" w:rsidRDefault="00A86593" w:rsidP="001C741C">
            <w:pPr>
              <w:jc w:val="right"/>
              <w:rPr>
                <w:sz w:val="20"/>
              </w:rPr>
            </w:pPr>
          </w:p>
        </w:tc>
        <w:tc>
          <w:tcPr>
            <w:tcW w:w="696" w:type="dxa"/>
            <w:tcBorders>
              <w:top w:val="single" w:sz="18" w:space="0" w:color="auto"/>
              <w:left w:val="single" w:sz="18" w:space="0" w:color="FFFFFF" w:themeColor="background1"/>
            </w:tcBorders>
          </w:tcPr>
          <w:p w:rsidR="00A86593" w:rsidRDefault="00A86593" w:rsidP="001C741C">
            <w:pPr>
              <w:jc w:val="right"/>
              <w:rPr>
                <w:sz w:val="20"/>
              </w:rPr>
            </w:pPr>
            <w:r>
              <w:rPr>
                <w:sz w:val="20"/>
              </w:rPr>
              <w:t>-5.1</w:t>
            </w:r>
          </w:p>
        </w:tc>
        <w:tc>
          <w:tcPr>
            <w:tcW w:w="1848" w:type="dxa"/>
            <w:gridSpan w:val="2"/>
            <w:tcBorders>
              <w:top w:val="single" w:sz="18" w:space="0" w:color="auto"/>
            </w:tcBorders>
          </w:tcPr>
          <w:p w:rsidR="00A86593" w:rsidRDefault="00A86593" w:rsidP="001C741C">
            <w:pPr>
              <w:jc w:val="right"/>
              <w:rPr>
                <w:sz w:val="20"/>
              </w:rPr>
            </w:pPr>
            <w:r>
              <w:rPr>
                <w:sz w:val="20"/>
              </w:rPr>
              <w:t>4,211.9</w:t>
            </w:r>
          </w:p>
          <w:p w:rsidR="00A86593" w:rsidRDefault="00A86593" w:rsidP="001C741C">
            <w:pPr>
              <w:jc w:val="right"/>
              <w:rPr>
                <w:sz w:val="20"/>
              </w:rPr>
            </w:pPr>
          </w:p>
        </w:tc>
      </w:tr>
      <w:tr w:rsidR="00A86593" w:rsidRPr="000E6955" w:rsidTr="001C741C">
        <w:tc>
          <w:tcPr>
            <w:tcW w:w="2626" w:type="dxa"/>
          </w:tcPr>
          <w:p w:rsidR="00A86593" w:rsidRDefault="00A86593" w:rsidP="001C741C">
            <w:pPr>
              <w:rPr>
                <w:sz w:val="20"/>
              </w:rPr>
            </w:pPr>
            <w:r>
              <w:rPr>
                <w:sz w:val="20"/>
              </w:rPr>
              <w:t>Derivative contracts:</w:t>
            </w:r>
          </w:p>
          <w:p w:rsidR="00A86593" w:rsidRDefault="00A86593" w:rsidP="001C741C">
            <w:pPr>
              <w:rPr>
                <w:sz w:val="20"/>
              </w:rPr>
            </w:pPr>
            <w:r>
              <w:rPr>
                <w:sz w:val="20"/>
              </w:rPr>
              <w:t>Futures</w:t>
            </w:r>
          </w:p>
        </w:tc>
        <w:tc>
          <w:tcPr>
            <w:tcW w:w="518" w:type="dxa"/>
            <w:tcBorders>
              <w:right w:val="single" w:sz="18" w:space="0" w:color="FFFFFF" w:themeColor="background1"/>
            </w:tcBorders>
          </w:tcPr>
          <w:p w:rsidR="00A86593" w:rsidRDefault="00A86593" w:rsidP="001C741C">
            <w:pPr>
              <w:jc w:val="right"/>
              <w:rPr>
                <w:sz w:val="20"/>
              </w:rPr>
            </w:pPr>
          </w:p>
          <w:p w:rsidR="00A86593" w:rsidRDefault="00A86593" w:rsidP="001C741C">
            <w:pPr>
              <w:jc w:val="right"/>
              <w:rPr>
                <w:sz w:val="20"/>
              </w:rPr>
            </w:pPr>
          </w:p>
        </w:tc>
        <w:tc>
          <w:tcPr>
            <w:tcW w:w="1029" w:type="dxa"/>
            <w:tcBorders>
              <w:left w:val="single" w:sz="18" w:space="0" w:color="FFFFFF" w:themeColor="background1"/>
            </w:tcBorders>
          </w:tcPr>
          <w:p w:rsidR="00A86593" w:rsidRDefault="00A86593" w:rsidP="001C741C">
            <w:pPr>
              <w:jc w:val="right"/>
              <w:rPr>
                <w:sz w:val="20"/>
              </w:rPr>
            </w:pPr>
          </w:p>
          <w:p w:rsidR="00A86593" w:rsidRDefault="00A86593" w:rsidP="001C741C">
            <w:pPr>
              <w:jc w:val="right"/>
              <w:rPr>
                <w:sz w:val="20"/>
              </w:rPr>
            </w:pPr>
            <w:r>
              <w:rPr>
                <w:sz w:val="20"/>
              </w:rPr>
              <w:t>0.9</w:t>
            </w:r>
          </w:p>
        </w:tc>
        <w:tc>
          <w:tcPr>
            <w:tcW w:w="471" w:type="dxa"/>
            <w:tcBorders>
              <w:right w:val="single" w:sz="18" w:space="0" w:color="FFFFFF" w:themeColor="background1"/>
            </w:tcBorders>
          </w:tcPr>
          <w:p w:rsidR="00A86593" w:rsidRDefault="00A86593" w:rsidP="001C741C">
            <w:pPr>
              <w:jc w:val="right"/>
              <w:rPr>
                <w:sz w:val="20"/>
              </w:rPr>
            </w:pPr>
          </w:p>
          <w:p w:rsidR="00A86593" w:rsidRDefault="00A86593" w:rsidP="001C741C">
            <w:pPr>
              <w:jc w:val="right"/>
              <w:rPr>
                <w:sz w:val="20"/>
              </w:rPr>
            </w:pPr>
          </w:p>
        </w:tc>
        <w:tc>
          <w:tcPr>
            <w:tcW w:w="1103" w:type="dxa"/>
            <w:tcBorders>
              <w:left w:val="single" w:sz="18" w:space="0" w:color="FFFFFF" w:themeColor="background1"/>
            </w:tcBorders>
          </w:tcPr>
          <w:p w:rsidR="00A86593" w:rsidRDefault="00A86593" w:rsidP="001C741C">
            <w:pPr>
              <w:jc w:val="right"/>
              <w:rPr>
                <w:sz w:val="20"/>
              </w:rPr>
            </w:pPr>
          </w:p>
          <w:p w:rsidR="00A86593" w:rsidRDefault="00A86593" w:rsidP="001C741C">
            <w:pPr>
              <w:jc w:val="right"/>
              <w:rPr>
                <w:sz w:val="20"/>
              </w:rPr>
            </w:pPr>
            <w:r>
              <w:rPr>
                <w:sz w:val="20"/>
              </w:rPr>
              <w:t>41.4</w:t>
            </w:r>
          </w:p>
        </w:tc>
        <w:tc>
          <w:tcPr>
            <w:tcW w:w="1840" w:type="dxa"/>
            <w:gridSpan w:val="3"/>
          </w:tcPr>
          <w:p w:rsidR="00A86593" w:rsidRDefault="00A86593" w:rsidP="001C741C">
            <w:pPr>
              <w:jc w:val="right"/>
              <w:rPr>
                <w:sz w:val="20"/>
              </w:rPr>
            </w:pPr>
          </w:p>
          <w:p w:rsidR="00A86593" w:rsidRDefault="00A86593" w:rsidP="001C741C">
            <w:pPr>
              <w:jc w:val="right"/>
              <w:rPr>
                <w:sz w:val="20"/>
              </w:rPr>
            </w:pPr>
            <w:r>
              <w:rPr>
                <w:sz w:val="20"/>
              </w:rPr>
              <w:t>-39.3</w:t>
            </w:r>
          </w:p>
          <w:p w:rsidR="00A86593" w:rsidRDefault="00A86593" w:rsidP="001C741C">
            <w:pPr>
              <w:jc w:val="right"/>
              <w:rPr>
                <w:sz w:val="20"/>
              </w:rPr>
            </w:pPr>
          </w:p>
          <w:p w:rsidR="00A86593" w:rsidRDefault="00A86593" w:rsidP="001C741C">
            <w:pPr>
              <w:jc w:val="right"/>
              <w:rPr>
                <w:sz w:val="20"/>
              </w:rPr>
            </w:pPr>
          </w:p>
        </w:tc>
        <w:tc>
          <w:tcPr>
            <w:tcW w:w="885" w:type="dxa"/>
            <w:tcBorders>
              <w:right w:val="single" w:sz="18" w:space="0" w:color="FFFFFF" w:themeColor="background1"/>
            </w:tcBorders>
          </w:tcPr>
          <w:p w:rsidR="00A86593" w:rsidRDefault="00A86593" w:rsidP="001C741C">
            <w:pPr>
              <w:jc w:val="right"/>
              <w:rPr>
                <w:sz w:val="20"/>
              </w:rPr>
            </w:pPr>
          </w:p>
        </w:tc>
        <w:tc>
          <w:tcPr>
            <w:tcW w:w="696" w:type="dxa"/>
            <w:tcBorders>
              <w:left w:val="single" w:sz="18" w:space="0" w:color="FFFFFF" w:themeColor="background1"/>
            </w:tcBorders>
          </w:tcPr>
          <w:p w:rsidR="00A86593" w:rsidRDefault="00A86593" w:rsidP="001C741C">
            <w:pPr>
              <w:jc w:val="right"/>
              <w:rPr>
                <w:sz w:val="20"/>
              </w:rPr>
            </w:pPr>
          </w:p>
          <w:p w:rsidR="00A86593" w:rsidRDefault="00A86593" w:rsidP="001C741C">
            <w:pPr>
              <w:jc w:val="right"/>
              <w:rPr>
                <w:sz w:val="20"/>
              </w:rPr>
            </w:pPr>
            <w:r>
              <w:rPr>
                <w:sz w:val="20"/>
              </w:rPr>
              <w:t>-2.8</w:t>
            </w:r>
          </w:p>
        </w:tc>
        <w:tc>
          <w:tcPr>
            <w:tcW w:w="995" w:type="dxa"/>
            <w:tcBorders>
              <w:right w:val="single" w:sz="18" w:space="0" w:color="FFFFFF" w:themeColor="background1"/>
            </w:tcBorders>
          </w:tcPr>
          <w:p w:rsidR="00A86593" w:rsidRDefault="00A86593" w:rsidP="001C741C">
            <w:pPr>
              <w:jc w:val="right"/>
              <w:rPr>
                <w:sz w:val="20"/>
              </w:rPr>
            </w:pPr>
          </w:p>
        </w:tc>
        <w:tc>
          <w:tcPr>
            <w:tcW w:w="853" w:type="dxa"/>
            <w:tcBorders>
              <w:left w:val="single" w:sz="18" w:space="0" w:color="FFFFFF" w:themeColor="background1"/>
            </w:tcBorders>
          </w:tcPr>
          <w:p w:rsidR="00A86593" w:rsidRDefault="00A86593" w:rsidP="001C741C">
            <w:pPr>
              <w:jc w:val="right"/>
              <w:rPr>
                <w:sz w:val="20"/>
              </w:rPr>
            </w:pPr>
          </w:p>
          <w:p w:rsidR="00A86593" w:rsidRDefault="00A86593" w:rsidP="001C741C">
            <w:pPr>
              <w:jc w:val="right"/>
              <w:rPr>
                <w:sz w:val="20"/>
              </w:rPr>
            </w:pPr>
            <w:r>
              <w:rPr>
                <w:sz w:val="20"/>
              </w:rPr>
              <w:t>0.2</w:t>
            </w:r>
          </w:p>
        </w:tc>
      </w:tr>
      <w:tr w:rsidR="00A86593" w:rsidRPr="000E6955" w:rsidTr="001C741C">
        <w:tc>
          <w:tcPr>
            <w:tcW w:w="2626" w:type="dxa"/>
          </w:tcPr>
          <w:p w:rsidR="00A86593" w:rsidRDefault="00A86593" w:rsidP="001C741C">
            <w:pPr>
              <w:rPr>
                <w:sz w:val="20"/>
              </w:rPr>
            </w:pPr>
            <w:r>
              <w:rPr>
                <w:sz w:val="20"/>
              </w:rPr>
              <w:t>Forward currency contracts</w:t>
            </w:r>
          </w:p>
        </w:tc>
        <w:tc>
          <w:tcPr>
            <w:tcW w:w="518" w:type="dxa"/>
            <w:tcBorders>
              <w:right w:val="single" w:sz="18" w:space="0" w:color="FFFFFF" w:themeColor="background1"/>
            </w:tcBorders>
          </w:tcPr>
          <w:p w:rsidR="00A86593" w:rsidRDefault="00A86593" w:rsidP="001C741C">
            <w:pPr>
              <w:jc w:val="right"/>
              <w:rPr>
                <w:sz w:val="20"/>
              </w:rPr>
            </w:pPr>
          </w:p>
        </w:tc>
        <w:tc>
          <w:tcPr>
            <w:tcW w:w="1029" w:type="dxa"/>
            <w:tcBorders>
              <w:left w:val="single" w:sz="18" w:space="0" w:color="FFFFFF" w:themeColor="background1"/>
            </w:tcBorders>
          </w:tcPr>
          <w:p w:rsidR="00A86593" w:rsidRDefault="00A86593" w:rsidP="001C741C">
            <w:pPr>
              <w:jc w:val="right"/>
              <w:rPr>
                <w:sz w:val="20"/>
              </w:rPr>
            </w:pPr>
            <w:r>
              <w:rPr>
                <w:sz w:val="20"/>
              </w:rPr>
              <w:t>0.9</w:t>
            </w:r>
          </w:p>
        </w:tc>
        <w:tc>
          <w:tcPr>
            <w:tcW w:w="471" w:type="dxa"/>
            <w:tcBorders>
              <w:right w:val="single" w:sz="18" w:space="0" w:color="FFFFFF" w:themeColor="background1"/>
            </w:tcBorders>
          </w:tcPr>
          <w:p w:rsidR="00A86593" w:rsidRDefault="00A86593" w:rsidP="001C741C">
            <w:pPr>
              <w:jc w:val="right"/>
              <w:rPr>
                <w:sz w:val="20"/>
              </w:rPr>
            </w:pPr>
          </w:p>
        </w:tc>
        <w:tc>
          <w:tcPr>
            <w:tcW w:w="1103" w:type="dxa"/>
            <w:tcBorders>
              <w:left w:val="single" w:sz="18" w:space="0" w:color="FFFFFF" w:themeColor="background1"/>
            </w:tcBorders>
          </w:tcPr>
          <w:p w:rsidR="00A86593" w:rsidRDefault="00A86593" w:rsidP="001C741C">
            <w:pPr>
              <w:jc w:val="right"/>
              <w:rPr>
                <w:sz w:val="20"/>
              </w:rPr>
            </w:pPr>
          </w:p>
        </w:tc>
        <w:tc>
          <w:tcPr>
            <w:tcW w:w="1126" w:type="dxa"/>
            <w:gridSpan w:val="2"/>
            <w:tcBorders>
              <w:right w:val="single" w:sz="18" w:space="0" w:color="FFFFFF" w:themeColor="background1"/>
            </w:tcBorders>
          </w:tcPr>
          <w:p w:rsidR="00A86593" w:rsidRDefault="00A86593" w:rsidP="001C741C">
            <w:pPr>
              <w:jc w:val="right"/>
              <w:rPr>
                <w:sz w:val="20"/>
              </w:rPr>
            </w:pPr>
          </w:p>
        </w:tc>
        <w:tc>
          <w:tcPr>
            <w:tcW w:w="714" w:type="dxa"/>
            <w:tcBorders>
              <w:left w:val="single" w:sz="18" w:space="0" w:color="FFFFFF" w:themeColor="background1"/>
            </w:tcBorders>
          </w:tcPr>
          <w:p w:rsidR="00A86593" w:rsidRDefault="00A86593" w:rsidP="001C741C">
            <w:pPr>
              <w:jc w:val="right"/>
              <w:rPr>
                <w:sz w:val="20"/>
              </w:rPr>
            </w:pPr>
          </w:p>
        </w:tc>
        <w:tc>
          <w:tcPr>
            <w:tcW w:w="885" w:type="dxa"/>
            <w:tcBorders>
              <w:right w:val="single" w:sz="18" w:space="0" w:color="FFFFFF" w:themeColor="background1"/>
            </w:tcBorders>
          </w:tcPr>
          <w:p w:rsidR="00A86593" w:rsidRDefault="00A86593" w:rsidP="001C741C">
            <w:pPr>
              <w:jc w:val="right"/>
              <w:rPr>
                <w:sz w:val="20"/>
              </w:rPr>
            </w:pPr>
          </w:p>
        </w:tc>
        <w:tc>
          <w:tcPr>
            <w:tcW w:w="696" w:type="dxa"/>
            <w:tcBorders>
              <w:left w:val="single" w:sz="18" w:space="0" w:color="FFFFFF" w:themeColor="background1"/>
            </w:tcBorders>
          </w:tcPr>
          <w:p w:rsidR="00A86593" w:rsidRDefault="00A86593" w:rsidP="001C741C">
            <w:pPr>
              <w:jc w:val="right"/>
              <w:rPr>
                <w:sz w:val="20"/>
              </w:rPr>
            </w:pPr>
          </w:p>
        </w:tc>
        <w:tc>
          <w:tcPr>
            <w:tcW w:w="995" w:type="dxa"/>
            <w:tcBorders>
              <w:right w:val="single" w:sz="18" w:space="0" w:color="FFFFFF" w:themeColor="background1"/>
            </w:tcBorders>
          </w:tcPr>
          <w:p w:rsidR="00A86593" w:rsidRDefault="00A86593" w:rsidP="001C741C">
            <w:pPr>
              <w:jc w:val="right"/>
              <w:rPr>
                <w:sz w:val="20"/>
              </w:rPr>
            </w:pPr>
          </w:p>
        </w:tc>
        <w:tc>
          <w:tcPr>
            <w:tcW w:w="853" w:type="dxa"/>
            <w:tcBorders>
              <w:left w:val="single" w:sz="18" w:space="0" w:color="FFFFFF" w:themeColor="background1"/>
            </w:tcBorders>
          </w:tcPr>
          <w:p w:rsidR="00A86593" w:rsidRDefault="00A86593" w:rsidP="001C741C">
            <w:pPr>
              <w:jc w:val="right"/>
              <w:rPr>
                <w:sz w:val="20"/>
              </w:rPr>
            </w:pPr>
            <w:r>
              <w:rPr>
                <w:sz w:val="20"/>
              </w:rPr>
              <w:t>1.6</w:t>
            </w:r>
          </w:p>
        </w:tc>
      </w:tr>
      <w:tr w:rsidR="00A86593" w:rsidRPr="000E6955" w:rsidTr="001C741C">
        <w:tc>
          <w:tcPr>
            <w:tcW w:w="2626" w:type="dxa"/>
          </w:tcPr>
          <w:p w:rsidR="00A86593" w:rsidRDefault="00A86593" w:rsidP="001C741C">
            <w:pPr>
              <w:rPr>
                <w:sz w:val="20"/>
              </w:rPr>
            </w:pPr>
            <w:r>
              <w:rPr>
                <w:sz w:val="20"/>
              </w:rPr>
              <w:t>Purchased/written options</w:t>
            </w:r>
          </w:p>
        </w:tc>
        <w:tc>
          <w:tcPr>
            <w:tcW w:w="518" w:type="dxa"/>
            <w:tcBorders>
              <w:right w:val="single" w:sz="18" w:space="0" w:color="FFFFFF" w:themeColor="background1"/>
            </w:tcBorders>
          </w:tcPr>
          <w:p w:rsidR="00A86593" w:rsidRDefault="00A86593" w:rsidP="001C741C">
            <w:pPr>
              <w:jc w:val="right"/>
              <w:rPr>
                <w:sz w:val="20"/>
              </w:rPr>
            </w:pPr>
          </w:p>
        </w:tc>
        <w:tc>
          <w:tcPr>
            <w:tcW w:w="1029" w:type="dxa"/>
            <w:tcBorders>
              <w:left w:val="single" w:sz="18" w:space="0" w:color="FFFFFF" w:themeColor="background1"/>
            </w:tcBorders>
          </w:tcPr>
          <w:p w:rsidR="00A86593" w:rsidRDefault="00A86593" w:rsidP="001C741C">
            <w:pPr>
              <w:jc w:val="right"/>
              <w:rPr>
                <w:sz w:val="20"/>
              </w:rPr>
            </w:pPr>
          </w:p>
        </w:tc>
        <w:tc>
          <w:tcPr>
            <w:tcW w:w="471" w:type="dxa"/>
            <w:tcBorders>
              <w:right w:val="single" w:sz="18" w:space="0" w:color="FFFFFF" w:themeColor="background1"/>
            </w:tcBorders>
          </w:tcPr>
          <w:p w:rsidR="00A86593" w:rsidRDefault="00A86593" w:rsidP="001C741C">
            <w:pPr>
              <w:jc w:val="right"/>
              <w:rPr>
                <w:sz w:val="20"/>
              </w:rPr>
            </w:pPr>
          </w:p>
        </w:tc>
        <w:tc>
          <w:tcPr>
            <w:tcW w:w="1103" w:type="dxa"/>
            <w:tcBorders>
              <w:left w:val="single" w:sz="18" w:space="0" w:color="FFFFFF" w:themeColor="background1"/>
            </w:tcBorders>
          </w:tcPr>
          <w:p w:rsidR="00A86593" w:rsidRDefault="00A86593" w:rsidP="001C741C">
            <w:pPr>
              <w:jc w:val="right"/>
              <w:rPr>
                <w:sz w:val="20"/>
              </w:rPr>
            </w:pPr>
          </w:p>
        </w:tc>
        <w:tc>
          <w:tcPr>
            <w:tcW w:w="1126" w:type="dxa"/>
            <w:gridSpan w:val="2"/>
            <w:tcBorders>
              <w:right w:val="single" w:sz="18" w:space="0" w:color="FFFFFF" w:themeColor="background1"/>
            </w:tcBorders>
          </w:tcPr>
          <w:p w:rsidR="00A86593" w:rsidRDefault="00A86593" w:rsidP="001C741C">
            <w:pPr>
              <w:jc w:val="right"/>
              <w:rPr>
                <w:sz w:val="20"/>
              </w:rPr>
            </w:pPr>
          </w:p>
        </w:tc>
        <w:tc>
          <w:tcPr>
            <w:tcW w:w="714" w:type="dxa"/>
            <w:tcBorders>
              <w:left w:val="single" w:sz="18" w:space="0" w:color="FFFFFF" w:themeColor="background1"/>
            </w:tcBorders>
          </w:tcPr>
          <w:p w:rsidR="00A86593" w:rsidRDefault="00A86593" w:rsidP="001C741C">
            <w:pPr>
              <w:jc w:val="right"/>
              <w:rPr>
                <w:sz w:val="20"/>
              </w:rPr>
            </w:pPr>
          </w:p>
        </w:tc>
        <w:tc>
          <w:tcPr>
            <w:tcW w:w="885" w:type="dxa"/>
            <w:tcBorders>
              <w:right w:val="single" w:sz="18" w:space="0" w:color="FFFFFF" w:themeColor="background1"/>
            </w:tcBorders>
          </w:tcPr>
          <w:p w:rsidR="00A86593" w:rsidRDefault="00A86593" w:rsidP="001C741C">
            <w:pPr>
              <w:jc w:val="right"/>
              <w:rPr>
                <w:sz w:val="20"/>
              </w:rPr>
            </w:pPr>
          </w:p>
        </w:tc>
        <w:tc>
          <w:tcPr>
            <w:tcW w:w="696" w:type="dxa"/>
            <w:tcBorders>
              <w:left w:val="single" w:sz="18" w:space="0" w:color="FFFFFF" w:themeColor="background1"/>
            </w:tcBorders>
          </w:tcPr>
          <w:p w:rsidR="00A86593" w:rsidRDefault="00A86593" w:rsidP="001C741C">
            <w:pPr>
              <w:jc w:val="right"/>
              <w:rPr>
                <w:sz w:val="20"/>
              </w:rPr>
            </w:pPr>
          </w:p>
        </w:tc>
        <w:tc>
          <w:tcPr>
            <w:tcW w:w="995" w:type="dxa"/>
            <w:tcBorders>
              <w:right w:val="single" w:sz="18" w:space="0" w:color="FFFFFF" w:themeColor="background1"/>
            </w:tcBorders>
          </w:tcPr>
          <w:p w:rsidR="00A86593" w:rsidRDefault="00A86593" w:rsidP="001C741C">
            <w:pPr>
              <w:jc w:val="right"/>
              <w:rPr>
                <w:sz w:val="20"/>
              </w:rPr>
            </w:pPr>
          </w:p>
        </w:tc>
        <w:tc>
          <w:tcPr>
            <w:tcW w:w="853" w:type="dxa"/>
            <w:tcBorders>
              <w:left w:val="single" w:sz="18" w:space="0" w:color="FFFFFF" w:themeColor="background1"/>
            </w:tcBorders>
          </w:tcPr>
          <w:p w:rsidR="00A86593" w:rsidRDefault="00A86593" w:rsidP="001C741C">
            <w:pPr>
              <w:jc w:val="right"/>
              <w:rPr>
                <w:sz w:val="20"/>
              </w:rPr>
            </w:pPr>
          </w:p>
        </w:tc>
      </w:tr>
      <w:tr w:rsidR="00A86593" w:rsidRPr="000E6955" w:rsidTr="001C741C">
        <w:tc>
          <w:tcPr>
            <w:tcW w:w="2626" w:type="dxa"/>
          </w:tcPr>
          <w:p w:rsidR="00A86593" w:rsidRDefault="00A86593" w:rsidP="001C741C">
            <w:pPr>
              <w:rPr>
                <w:sz w:val="20"/>
              </w:rPr>
            </w:pPr>
            <w:r>
              <w:rPr>
                <w:sz w:val="20"/>
              </w:rPr>
              <w:t>Cash deposits</w:t>
            </w:r>
          </w:p>
        </w:tc>
        <w:tc>
          <w:tcPr>
            <w:tcW w:w="518" w:type="dxa"/>
            <w:tcBorders>
              <w:right w:val="single" w:sz="18" w:space="0" w:color="FFFFFF" w:themeColor="background1"/>
            </w:tcBorders>
          </w:tcPr>
          <w:p w:rsidR="00A86593" w:rsidRDefault="00A86593" w:rsidP="001C741C">
            <w:pPr>
              <w:jc w:val="right"/>
              <w:rPr>
                <w:sz w:val="20"/>
              </w:rPr>
            </w:pPr>
          </w:p>
        </w:tc>
        <w:tc>
          <w:tcPr>
            <w:tcW w:w="1029" w:type="dxa"/>
            <w:tcBorders>
              <w:left w:val="single" w:sz="18" w:space="0" w:color="FFFFFF" w:themeColor="background1"/>
            </w:tcBorders>
          </w:tcPr>
          <w:p w:rsidR="00A86593" w:rsidRDefault="00A86593" w:rsidP="001C741C">
            <w:pPr>
              <w:jc w:val="right"/>
              <w:rPr>
                <w:sz w:val="20"/>
              </w:rPr>
            </w:pPr>
            <w:r>
              <w:rPr>
                <w:sz w:val="20"/>
              </w:rPr>
              <w:t>36.6</w:t>
            </w:r>
          </w:p>
        </w:tc>
        <w:tc>
          <w:tcPr>
            <w:tcW w:w="471" w:type="dxa"/>
            <w:tcBorders>
              <w:right w:val="single" w:sz="18" w:space="0" w:color="FFFFFF" w:themeColor="background1"/>
            </w:tcBorders>
          </w:tcPr>
          <w:p w:rsidR="00A86593" w:rsidRDefault="00A86593" w:rsidP="001C741C">
            <w:pPr>
              <w:jc w:val="right"/>
              <w:rPr>
                <w:sz w:val="20"/>
              </w:rPr>
            </w:pPr>
          </w:p>
        </w:tc>
        <w:tc>
          <w:tcPr>
            <w:tcW w:w="1103" w:type="dxa"/>
            <w:tcBorders>
              <w:left w:val="single" w:sz="18" w:space="0" w:color="FFFFFF" w:themeColor="background1"/>
            </w:tcBorders>
          </w:tcPr>
          <w:p w:rsidR="00A86593" w:rsidRDefault="00A86593" w:rsidP="001C741C">
            <w:pPr>
              <w:jc w:val="right"/>
              <w:rPr>
                <w:sz w:val="20"/>
              </w:rPr>
            </w:pPr>
          </w:p>
        </w:tc>
        <w:tc>
          <w:tcPr>
            <w:tcW w:w="1126" w:type="dxa"/>
            <w:gridSpan w:val="2"/>
            <w:tcBorders>
              <w:right w:val="single" w:sz="18" w:space="0" w:color="FFFFFF" w:themeColor="background1"/>
            </w:tcBorders>
          </w:tcPr>
          <w:p w:rsidR="00A86593" w:rsidRDefault="00A86593" w:rsidP="001C741C">
            <w:pPr>
              <w:jc w:val="right"/>
              <w:rPr>
                <w:sz w:val="20"/>
              </w:rPr>
            </w:pPr>
          </w:p>
        </w:tc>
        <w:tc>
          <w:tcPr>
            <w:tcW w:w="714" w:type="dxa"/>
            <w:tcBorders>
              <w:left w:val="single" w:sz="18" w:space="0" w:color="FFFFFF" w:themeColor="background1"/>
            </w:tcBorders>
          </w:tcPr>
          <w:p w:rsidR="00A86593" w:rsidRDefault="00A86593" w:rsidP="001C741C">
            <w:pPr>
              <w:jc w:val="right"/>
              <w:rPr>
                <w:sz w:val="20"/>
              </w:rPr>
            </w:pPr>
          </w:p>
        </w:tc>
        <w:tc>
          <w:tcPr>
            <w:tcW w:w="885" w:type="dxa"/>
            <w:tcBorders>
              <w:right w:val="single" w:sz="18" w:space="0" w:color="FFFFFF" w:themeColor="background1"/>
            </w:tcBorders>
          </w:tcPr>
          <w:p w:rsidR="00A86593" w:rsidRDefault="00A86593" w:rsidP="001C741C">
            <w:pPr>
              <w:jc w:val="right"/>
              <w:rPr>
                <w:sz w:val="20"/>
              </w:rPr>
            </w:pPr>
          </w:p>
        </w:tc>
        <w:tc>
          <w:tcPr>
            <w:tcW w:w="696" w:type="dxa"/>
            <w:tcBorders>
              <w:left w:val="single" w:sz="18" w:space="0" w:color="FFFFFF" w:themeColor="background1"/>
            </w:tcBorders>
          </w:tcPr>
          <w:p w:rsidR="00A86593" w:rsidRDefault="00A86593" w:rsidP="001C741C">
            <w:pPr>
              <w:jc w:val="right"/>
              <w:rPr>
                <w:sz w:val="20"/>
              </w:rPr>
            </w:pPr>
          </w:p>
        </w:tc>
        <w:tc>
          <w:tcPr>
            <w:tcW w:w="995" w:type="dxa"/>
            <w:tcBorders>
              <w:right w:val="single" w:sz="18" w:space="0" w:color="FFFFFF" w:themeColor="background1"/>
            </w:tcBorders>
          </w:tcPr>
          <w:p w:rsidR="00A86593" w:rsidRDefault="00A86593" w:rsidP="001C741C">
            <w:pPr>
              <w:jc w:val="right"/>
              <w:rPr>
                <w:sz w:val="20"/>
              </w:rPr>
            </w:pPr>
          </w:p>
        </w:tc>
        <w:tc>
          <w:tcPr>
            <w:tcW w:w="853" w:type="dxa"/>
            <w:tcBorders>
              <w:left w:val="single" w:sz="18" w:space="0" w:color="FFFFFF" w:themeColor="background1"/>
            </w:tcBorders>
          </w:tcPr>
          <w:p w:rsidR="00A86593" w:rsidRDefault="00A86593" w:rsidP="001C741C">
            <w:pPr>
              <w:jc w:val="right"/>
              <w:rPr>
                <w:sz w:val="20"/>
              </w:rPr>
            </w:pPr>
            <w:r>
              <w:rPr>
                <w:sz w:val="20"/>
              </w:rPr>
              <w:t>126.8</w:t>
            </w:r>
          </w:p>
        </w:tc>
      </w:tr>
      <w:tr w:rsidR="00A86593" w:rsidRPr="000E6955" w:rsidTr="001C741C">
        <w:tc>
          <w:tcPr>
            <w:tcW w:w="2626" w:type="dxa"/>
          </w:tcPr>
          <w:p w:rsidR="00A86593" w:rsidRDefault="00A86593" w:rsidP="001C741C">
            <w:pPr>
              <w:rPr>
                <w:sz w:val="20"/>
              </w:rPr>
            </w:pPr>
            <w:r>
              <w:rPr>
                <w:sz w:val="20"/>
              </w:rPr>
              <w:t>Other investment balances</w:t>
            </w:r>
          </w:p>
        </w:tc>
        <w:tc>
          <w:tcPr>
            <w:tcW w:w="518" w:type="dxa"/>
            <w:tcBorders>
              <w:right w:val="single" w:sz="18" w:space="0" w:color="FFFFFF" w:themeColor="background1"/>
            </w:tcBorders>
          </w:tcPr>
          <w:p w:rsidR="00A86593" w:rsidRDefault="00A86593" w:rsidP="001C741C">
            <w:pPr>
              <w:jc w:val="right"/>
              <w:rPr>
                <w:sz w:val="20"/>
              </w:rPr>
            </w:pPr>
          </w:p>
        </w:tc>
        <w:tc>
          <w:tcPr>
            <w:tcW w:w="1029" w:type="dxa"/>
            <w:tcBorders>
              <w:left w:val="single" w:sz="18" w:space="0" w:color="FFFFFF" w:themeColor="background1"/>
            </w:tcBorders>
          </w:tcPr>
          <w:p w:rsidR="00A86593" w:rsidRDefault="00A86593" w:rsidP="001C741C">
            <w:pPr>
              <w:jc w:val="right"/>
              <w:rPr>
                <w:sz w:val="20"/>
              </w:rPr>
            </w:pPr>
            <w:r>
              <w:rPr>
                <w:sz w:val="20"/>
              </w:rPr>
              <w:t>14.6</w:t>
            </w:r>
          </w:p>
        </w:tc>
        <w:tc>
          <w:tcPr>
            <w:tcW w:w="471" w:type="dxa"/>
            <w:tcBorders>
              <w:right w:val="single" w:sz="18" w:space="0" w:color="FFFFFF" w:themeColor="background1"/>
            </w:tcBorders>
          </w:tcPr>
          <w:p w:rsidR="00A86593" w:rsidRDefault="00A86593" w:rsidP="001C741C">
            <w:pPr>
              <w:jc w:val="right"/>
              <w:rPr>
                <w:sz w:val="20"/>
              </w:rPr>
            </w:pPr>
          </w:p>
        </w:tc>
        <w:tc>
          <w:tcPr>
            <w:tcW w:w="1103" w:type="dxa"/>
            <w:tcBorders>
              <w:left w:val="single" w:sz="18" w:space="0" w:color="FFFFFF" w:themeColor="background1"/>
            </w:tcBorders>
          </w:tcPr>
          <w:p w:rsidR="00A86593" w:rsidRDefault="00A86593" w:rsidP="001C741C">
            <w:pPr>
              <w:jc w:val="right"/>
              <w:rPr>
                <w:sz w:val="20"/>
              </w:rPr>
            </w:pPr>
          </w:p>
        </w:tc>
        <w:tc>
          <w:tcPr>
            <w:tcW w:w="1126" w:type="dxa"/>
            <w:gridSpan w:val="2"/>
            <w:tcBorders>
              <w:right w:val="single" w:sz="18" w:space="0" w:color="FFFFFF" w:themeColor="background1"/>
            </w:tcBorders>
          </w:tcPr>
          <w:p w:rsidR="00A86593" w:rsidRDefault="00A86593" w:rsidP="001C741C">
            <w:pPr>
              <w:jc w:val="right"/>
              <w:rPr>
                <w:sz w:val="20"/>
              </w:rPr>
            </w:pPr>
          </w:p>
        </w:tc>
        <w:tc>
          <w:tcPr>
            <w:tcW w:w="714" w:type="dxa"/>
            <w:tcBorders>
              <w:left w:val="single" w:sz="18" w:space="0" w:color="FFFFFF" w:themeColor="background1"/>
            </w:tcBorders>
          </w:tcPr>
          <w:p w:rsidR="00A86593" w:rsidRDefault="00A86593" w:rsidP="001C741C">
            <w:pPr>
              <w:jc w:val="right"/>
              <w:rPr>
                <w:sz w:val="20"/>
              </w:rPr>
            </w:pPr>
          </w:p>
        </w:tc>
        <w:tc>
          <w:tcPr>
            <w:tcW w:w="885" w:type="dxa"/>
            <w:tcBorders>
              <w:right w:val="single" w:sz="18" w:space="0" w:color="FFFFFF" w:themeColor="background1"/>
            </w:tcBorders>
          </w:tcPr>
          <w:p w:rsidR="00A86593" w:rsidRDefault="00A86593" w:rsidP="001C741C">
            <w:pPr>
              <w:jc w:val="right"/>
              <w:rPr>
                <w:sz w:val="20"/>
              </w:rPr>
            </w:pPr>
          </w:p>
        </w:tc>
        <w:tc>
          <w:tcPr>
            <w:tcW w:w="696" w:type="dxa"/>
            <w:tcBorders>
              <w:left w:val="single" w:sz="18" w:space="0" w:color="FFFFFF" w:themeColor="background1"/>
            </w:tcBorders>
          </w:tcPr>
          <w:p w:rsidR="00A86593" w:rsidRDefault="00A86593" w:rsidP="001C741C">
            <w:pPr>
              <w:jc w:val="right"/>
              <w:rPr>
                <w:sz w:val="20"/>
              </w:rPr>
            </w:pPr>
          </w:p>
        </w:tc>
        <w:tc>
          <w:tcPr>
            <w:tcW w:w="995" w:type="dxa"/>
            <w:tcBorders>
              <w:right w:val="single" w:sz="18" w:space="0" w:color="FFFFFF" w:themeColor="background1"/>
            </w:tcBorders>
          </w:tcPr>
          <w:p w:rsidR="00A86593" w:rsidRDefault="00A86593" w:rsidP="001C741C">
            <w:pPr>
              <w:jc w:val="right"/>
              <w:rPr>
                <w:sz w:val="20"/>
              </w:rPr>
            </w:pPr>
          </w:p>
        </w:tc>
        <w:tc>
          <w:tcPr>
            <w:tcW w:w="853" w:type="dxa"/>
            <w:tcBorders>
              <w:left w:val="single" w:sz="18" w:space="0" w:color="FFFFFF" w:themeColor="background1"/>
            </w:tcBorders>
          </w:tcPr>
          <w:p w:rsidR="00A86593" w:rsidRDefault="00A86593" w:rsidP="001C741C">
            <w:pPr>
              <w:jc w:val="right"/>
              <w:rPr>
                <w:sz w:val="20"/>
              </w:rPr>
            </w:pPr>
            <w:r>
              <w:rPr>
                <w:sz w:val="20"/>
              </w:rPr>
              <w:t>19.4</w:t>
            </w:r>
          </w:p>
        </w:tc>
      </w:tr>
      <w:tr w:rsidR="00A86593" w:rsidRPr="000E6955" w:rsidTr="001C741C">
        <w:tc>
          <w:tcPr>
            <w:tcW w:w="2626" w:type="dxa"/>
          </w:tcPr>
          <w:p w:rsidR="00A86593" w:rsidRDefault="00A86593" w:rsidP="001C741C">
            <w:pPr>
              <w:rPr>
                <w:sz w:val="20"/>
              </w:rPr>
            </w:pPr>
            <w:r>
              <w:rPr>
                <w:sz w:val="20"/>
              </w:rPr>
              <w:t>Amounts receivable from sales of investments</w:t>
            </w:r>
          </w:p>
        </w:tc>
        <w:tc>
          <w:tcPr>
            <w:tcW w:w="518" w:type="dxa"/>
            <w:tcBorders>
              <w:right w:val="single" w:sz="18" w:space="0" w:color="FFFFFF" w:themeColor="background1"/>
            </w:tcBorders>
          </w:tcPr>
          <w:p w:rsidR="00A86593" w:rsidRDefault="00A86593" w:rsidP="001C741C">
            <w:pPr>
              <w:jc w:val="right"/>
              <w:rPr>
                <w:sz w:val="20"/>
              </w:rPr>
            </w:pPr>
          </w:p>
        </w:tc>
        <w:tc>
          <w:tcPr>
            <w:tcW w:w="1029" w:type="dxa"/>
            <w:tcBorders>
              <w:left w:val="single" w:sz="18" w:space="0" w:color="FFFFFF" w:themeColor="background1"/>
            </w:tcBorders>
          </w:tcPr>
          <w:p w:rsidR="00A86593" w:rsidRDefault="00A86593" w:rsidP="001C741C">
            <w:pPr>
              <w:jc w:val="right"/>
              <w:rPr>
                <w:sz w:val="20"/>
              </w:rPr>
            </w:pPr>
          </w:p>
        </w:tc>
        <w:tc>
          <w:tcPr>
            <w:tcW w:w="471" w:type="dxa"/>
            <w:tcBorders>
              <w:right w:val="single" w:sz="18" w:space="0" w:color="FFFFFF" w:themeColor="background1"/>
            </w:tcBorders>
          </w:tcPr>
          <w:p w:rsidR="00A86593" w:rsidRDefault="00A86593" w:rsidP="001C741C">
            <w:pPr>
              <w:jc w:val="right"/>
              <w:rPr>
                <w:sz w:val="20"/>
              </w:rPr>
            </w:pPr>
          </w:p>
        </w:tc>
        <w:tc>
          <w:tcPr>
            <w:tcW w:w="1103" w:type="dxa"/>
            <w:tcBorders>
              <w:left w:val="single" w:sz="18" w:space="0" w:color="FFFFFF" w:themeColor="background1"/>
            </w:tcBorders>
          </w:tcPr>
          <w:p w:rsidR="00A86593" w:rsidRDefault="00A86593" w:rsidP="001C741C">
            <w:pPr>
              <w:jc w:val="right"/>
              <w:rPr>
                <w:sz w:val="20"/>
              </w:rPr>
            </w:pPr>
          </w:p>
        </w:tc>
        <w:tc>
          <w:tcPr>
            <w:tcW w:w="1126" w:type="dxa"/>
            <w:gridSpan w:val="2"/>
            <w:tcBorders>
              <w:right w:val="single" w:sz="18" w:space="0" w:color="FFFFFF" w:themeColor="background1"/>
            </w:tcBorders>
          </w:tcPr>
          <w:p w:rsidR="00A86593" w:rsidRDefault="00A86593" w:rsidP="001C741C">
            <w:pPr>
              <w:jc w:val="right"/>
              <w:rPr>
                <w:sz w:val="20"/>
              </w:rPr>
            </w:pPr>
          </w:p>
        </w:tc>
        <w:tc>
          <w:tcPr>
            <w:tcW w:w="714" w:type="dxa"/>
            <w:tcBorders>
              <w:left w:val="single" w:sz="18" w:space="0" w:color="FFFFFF" w:themeColor="background1"/>
            </w:tcBorders>
          </w:tcPr>
          <w:p w:rsidR="00A86593" w:rsidRDefault="00A86593" w:rsidP="001C741C">
            <w:pPr>
              <w:jc w:val="right"/>
              <w:rPr>
                <w:sz w:val="20"/>
              </w:rPr>
            </w:pPr>
          </w:p>
        </w:tc>
        <w:tc>
          <w:tcPr>
            <w:tcW w:w="885" w:type="dxa"/>
            <w:tcBorders>
              <w:right w:val="single" w:sz="18" w:space="0" w:color="FFFFFF" w:themeColor="background1"/>
            </w:tcBorders>
          </w:tcPr>
          <w:p w:rsidR="00A86593" w:rsidRDefault="00A86593" w:rsidP="001C741C">
            <w:pPr>
              <w:jc w:val="right"/>
              <w:rPr>
                <w:sz w:val="20"/>
              </w:rPr>
            </w:pPr>
          </w:p>
        </w:tc>
        <w:tc>
          <w:tcPr>
            <w:tcW w:w="696" w:type="dxa"/>
            <w:tcBorders>
              <w:left w:val="single" w:sz="18" w:space="0" w:color="FFFFFF" w:themeColor="background1"/>
            </w:tcBorders>
          </w:tcPr>
          <w:p w:rsidR="00A86593" w:rsidRDefault="00A86593" w:rsidP="001C741C">
            <w:pPr>
              <w:jc w:val="right"/>
              <w:rPr>
                <w:sz w:val="20"/>
              </w:rPr>
            </w:pPr>
          </w:p>
        </w:tc>
        <w:tc>
          <w:tcPr>
            <w:tcW w:w="995" w:type="dxa"/>
            <w:tcBorders>
              <w:right w:val="single" w:sz="18" w:space="0" w:color="FFFFFF" w:themeColor="background1"/>
            </w:tcBorders>
          </w:tcPr>
          <w:p w:rsidR="00A86593" w:rsidRDefault="00A86593" w:rsidP="001C741C">
            <w:pPr>
              <w:jc w:val="right"/>
              <w:rPr>
                <w:sz w:val="20"/>
              </w:rPr>
            </w:pPr>
          </w:p>
        </w:tc>
        <w:tc>
          <w:tcPr>
            <w:tcW w:w="853" w:type="dxa"/>
            <w:tcBorders>
              <w:left w:val="single" w:sz="18" w:space="0" w:color="FFFFFF" w:themeColor="background1"/>
            </w:tcBorders>
          </w:tcPr>
          <w:p w:rsidR="00A86593" w:rsidRDefault="00A86593" w:rsidP="001C741C">
            <w:pPr>
              <w:jc w:val="right"/>
              <w:rPr>
                <w:sz w:val="20"/>
              </w:rPr>
            </w:pPr>
          </w:p>
        </w:tc>
      </w:tr>
      <w:tr w:rsidR="00A86593" w:rsidRPr="000E6955" w:rsidTr="001C741C">
        <w:tc>
          <w:tcPr>
            <w:tcW w:w="2626" w:type="dxa"/>
          </w:tcPr>
          <w:p w:rsidR="00A86593" w:rsidRDefault="00A86593" w:rsidP="001C741C">
            <w:pPr>
              <w:rPr>
                <w:sz w:val="20"/>
              </w:rPr>
            </w:pPr>
            <w:r>
              <w:rPr>
                <w:sz w:val="20"/>
              </w:rPr>
              <w:t>Amounts payable for purchases of investments</w:t>
            </w:r>
          </w:p>
        </w:tc>
        <w:tc>
          <w:tcPr>
            <w:tcW w:w="518" w:type="dxa"/>
            <w:tcBorders>
              <w:bottom w:val="single" w:sz="18" w:space="0" w:color="auto"/>
              <w:right w:val="single" w:sz="18" w:space="0" w:color="FFFFFF" w:themeColor="background1"/>
            </w:tcBorders>
          </w:tcPr>
          <w:p w:rsidR="00A86593" w:rsidRDefault="00A86593" w:rsidP="001C741C">
            <w:pPr>
              <w:jc w:val="right"/>
              <w:rPr>
                <w:sz w:val="20"/>
              </w:rPr>
            </w:pPr>
          </w:p>
        </w:tc>
        <w:tc>
          <w:tcPr>
            <w:tcW w:w="1029" w:type="dxa"/>
            <w:tcBorders>
              <w:left w:val="single" w:sz="18" w:space="0" w:color="FFFFFF" w:themeColor="background1"/>
              <w:bottom w:val="single" w:sz="18" w:space="0" w:color="auto"/>
            </w:tcBorders>
          </w:tcPr>
          <w:p w:rsidR="00A86593" w:rsidRDefault="00A86593" w:rsidP="001C741C">
            <w:pPr>
              <w:jc w:val="right"/>
              <w:rPr>
                <w:sz w:val="20"/>
              </w:rPr>
            </w:pPr>
          </w:p>
        </w:tc>
        <w:tc>
          <w:tcPr>
            <w:tcW w:w="471" w:type="dxa"/>
            <w:tcBorders>
              <w:right w:val="single" w:sz="18" w:space="0" w:color="FFFFFF" w:themeColor="background1"/>
            </w:tcBorders>
          </w:tcPr>
          <w:p w:rsidR="00A86593" w:rsidRDefault="00A86593" w:rsidP="001C741C">
            <w:pPr>
              <w:jc w:val="right"/>
              <w:rPr>
                <w:sz w:val="20"/>
              </w:rPr>
            </w:pPr>
          </w:p>
        </w:tc>
        <w:tc>
          <w:tcPr>
            <w:tcW w:w="1103" w:type="dxa"/>
            <w:tcBorders>
              <w:left w:val="single" w:sz="18" w:space="0" w:color="FFFFFF" w:themeColor="background1"/>
            </w:tcBorders>
          </w:tcPr>
          <w:p w:rsidR="00A86593" w:rsidRDefault="00A86593" w:rsidP="001C741C">
            <w:pPr>
              <w:jc w:val="right"/>
              <w:rPr>
                <w:sz w:val="20"/>
              </w:rPr>
            </w:pPr>
          </w:p>
        </w:tc>
        <w:tc>
          <w:tcPr>
            <w:tcW w:w="1126" w:type="dxa"/>
            <w:gridSpan w:val="2"/>
            <w:tcBorders>
              <w:right w:val="single" w:sz="18" w:space="0" w:color="FFFFFF" w:themeColor="background1"/>
            </w:tcBorders>
          </w:tcPr>
          <w:p w:rsidR="00A86593" w:rsidRDefault="00A86593" w:rsidP="001C741C">
            <w:pPr>
              <w:jc w:val="right"/>
              <w:rPr>
                <w:sz w:val="20"/>
              </w:rPr>
            </w:pPr>
          </w:p>
        </w:tc>
        <w:tc>
          <w:tcPr>
            <w:tcW w:w="714" w:type="dxa"/>
            <w:tcBorders>
              <w:left w:val="single" w:sz="18" w:space="0" w:color="FFFFFF" w:themeColor="background1"/>
            </w:tcBorders>
          </w:tcPr>
          <w:p w:rsidR="00A86593" w:rsidRDefault="00A86593" w:rsidP="001C741C">
            <w:pPr>
              <w:jc w:val="right"/>
              <w:rPr>
                <w:sz w:val="20"/>
              </w:rPr>
            </w:pPr>
          </w:p>
        </w:tc>
        <w:tc>
          <w:tcPr>
            <w:tcW w:w="885" w:type="dxa"/>
            <w:tcBorders>
              <w:right w:val="single" w:sz="18" w:space="0" w:color="FFFFFF" w:themeColor="background1"/>
            </w:tcBorders>
          </w:tcPr>
          <w:p w:rsidR="00A86593" w:rsidRDefault="00A86593" w:rsidP="001C741C">
            <w:pPr>
              <w:jc w:val="right"/>
              <w:rPr>
                <w:sz w:val="20"/>
              </w:rPr>
            </w:pPr>
          </w:p>
        </w:tc>
        <w:tc>
          <w:tcPr>
            <w:tcW w:w="696" w:type="dxa"/>
            <w:tcBorders>
              <w:left w:val="single" w:sz="18" w:space="0" w:color="FFFFFF" w:themeColor="background1"/>
            </w:tcBorders>
          </w:tcPr>
          <w:p w:rsidR="00A86593" w:rsidRDefault="00A86593" w:rsidP="001C741C">
            <w:pPr>
              <w:jc w:val="right"/>
              <w:rPr>
                <w:sz w:val="20"/>
              </w:rPr>
            </w:pPr>
          </w:p>
        </w:tc>
        <w:tc>
          <w:tcPr>
            <w:tcW w:w="995" w:type="dxa"/>
            <w:tcBorders>
              <w:bottom w:val="single" w:sz="18" w:space="0" w:color="auto"/>
              <w:right w:val="single" w:sz="18" w:space="0" w:color="FFFFFF" w:themeColor="background1"/>
            </w:tcBorders>
          </w:tcPr>
          <w:p w:rsidR="00A86593" w:rsidRDefault="00A86593" w:rsidP="001C741C">
            <w:pPr>
              <w:jc w:val="right"/>
              <w:rPr>
                <w:sz w:val="20"/>
              </w:rPr>
            </w:pPr>
          </w:p>
        </w:tc>
        <w:tc>
          <w:tcPr>
            <w:tcW w:w="853" w:type="dxa"/>
            <w:tcBorders>
              <w:left w:val="single" w:sz="18" w:space="0" w:color="FFFFFF" w:themeColor="background1"/>
              <w:bottom w:val="single" w:sz="18" w:space="0" w:color="auto"/>
            </w:tcBorders>
          </w:tcPr>
          <w:p w:rsidR="00A86593" w:rsidRDefault="00A86593" w:rsidP="001C741C">
            <w:pPr>
              <w:jc w:val="right"/>
              <w:rPr>
                <w:sz w:val="20"/>
              </w:rPr>
            </w:pPr>
          </w:p>
        </w:tc>
      </w:tr>
      <w:tr w:rsidR="00A86593" w:rsidRPr="000E6955" w:rsidTr="001C741C">
        <w:tc>
          <w:tcPr>
            <w:tcW w:w="2626" w:type="dxa"/>
          </w:tcPr>
          <w:p w:rsidR="00A86593" w:rsidRDefault="00A86593" w:rsidP="001C741C">
            <w:pPr>
              <w:rPr>
                <w:sz w:val="20"/>
              </w:rPr>
            </w:pPr>
          </w:p>
        </w:tc>
        <w:tc>
          <w:tcPr>
            <w:tcW w:w="518" w:type="dxa"/>
            <w:tcBorders>
              <w:top w:val="single" w:sz="18" w:space="0" w:color="auto"/>
              <w:bottom w:val="single" w:sz="18" w:space="0" w:color="auto"/>
              <w:right w:val="single" w:sz="18" w:space="0" w:color="FFFFFF" w:themeColor="background1"/>
            </w:tcBorders>
          </w:tcPr>
          <w:p w:rsidR="00A86593" w:rsidRDefault="00A86593" w:rsidP="001C741C">
            <w:pPr>
              <w:jc w:val="right"/>
              <w:rPr>
                <w:sz w:val="20"/>
              </w:rPr>
            </w:pPr>
          </w:p>
        </w:tc>
        <w:tc>
          <w:tcPr>
            <w:tcW w:w="1029" w:type="dxa"/>
            <w:tcBorders>
              <w:top w:val="single" w:sz="18" w:space="0" w:color="auto"/>
              <w:left w:val="single" w:sz="18" w:space="0" w:color="FFFFFF" w:themeColor="background1"/>
              <w:bottom w:val="single" w:sz="18" w:space="0" w:color="auto"/>
            </w:tcBorders>
          </w:tcPr>
          <w:p w:rsidR="00A86593" w:rsidRDefault="00A86593" w:rsidP="001C741C">
            <w:pPr>
              <w:jc w:val="right"/>
              <w:rPr>
                <w:sz w:val="20"/>
              </w:rPr>
            </w:pPr>
            <w:r>
              <w:rPr>
                <w:sz w:val="20"/>
              </w:rPr>
              <w:t>4,281.2</w:t>
            </w:r>
          </w:p>
        </w:tc>
        <w:tc>
          <w:tcPr>
            <w:tcW w:w="471" w:type="dxa"/>
            <w:tcBorders>
              <w:right w:val="single" w:sz="18" w:space="0" w:color="FFFFFF" w:themeColor="background1"/>
            </w:tcBorders>
          </w:tcPr>
          <w:p w:rsidR="00A86593" w:rsidRDefault="00A86593" w:rsidP="001C741C">
            <w:pPr>
              <w:jc w:val="right"/>
              <w:rPr>
                <w:sz w:val="20"/>
              </w:rPr>
            </w:pPr>
          </w:p>
        </w:tc>
        <w:tc>
          <w:tcPr>
            <w:tcW w:w="1103" w:type="dxa"/>
            <w:tcBorders>
              <w:left w:val="single" w:sz="18" w:space="0" w:color="FFFFFF" w:themeColor="background1"/>
            </w:tcBorders>
          </w:tcPr>
          <w:p w:rsidR="00A86593" w:rsidRDefault="00A86593" w:rsidP="001C741C">
            <w:pPr>
              <w:jc w:val="right"/>
              <w:rPr>
                <w:sz w:val="20"/>
              </w:rPr>
            </w:pPr>
          </w:p>
        </w:tc>
        <w:tc>
          <w:tcPr>
            <w:tcW w:w="1126" w:type="dxa"/>
            <w:gridSpan w:val="2"/>
            <w:tcBorders>
              <w:right w:val="single" w:sz="18" w:space="0" w:color="FFFFFF" w:themeColor="background1"/>
            </w:tcBorders>
          </w:tcPr>
          <w:p w:rsidR="00A86593" w:rsidRDefault="00A86593" w:rsidP="001C741C">
            <w:pPr>
              <w:jc w:val="right"/>
              <w:rPr>
                <w:sz w:val="20"/>
              </w:rPr>
            </w:pPr>
          </w:p>
        </w:tc>
        <w:tc>
          <w:tcPr>
            <w:tcW w:w="714" w:type="dxa"/>
            <w:tcBorders>
              <w:left w:val="single" w:sz="18" w:space="0" w:color="FFFFFF" w:themeColor="background1"/>
            </w:tcBorders>
          </w:tcPr>
          <w:p w:rsidR="00A86593" w:rsidRDefault="00A86593" w:rsidP="001C741C">
            <w:pPr>
              <w:jc w:val="right"/>
              <w:rPr>
                <w:sz w:val="20"/>
              </w:rPr>
            </w:pPr>
          </w:p>
        </w:tc>
        <w:tc>
          <w:tcPr>
            <w:tcW w:w="885" w:type="dxa"/>
            <w:tcBorders>
              <w:right w:val="single" w:sz="18" w:space="0" w:color="FFFFFF" w:themeColor="background1"/>
            </w:tcBorders>
          </w:tcPr>
          <w:p w:rsidR="00A86593" w:rsidRDefault="00A86593" w:rsidP="001C741C">
            <w:pPr>
              <w:jc w:val="right"/>
              <w:rPr>
                <w:sz w:val="20"/>
              </w:rPr>
            </w:pPr>
          </w:p>
        </w:tc>
        <w:tc>
          <w:tcPr>
            <w:tcW w:w="696" w:type="dxa"/>
            <w:tcBorders>
              <w:left w:val="single" w:sz="18" w:space="0" w:color="FFFFFF" w:themeColor="background1"/>
            </w:tcBorders>
          </w:tcPr>
          <w:p w:rsidR="00A86593" w:rsidRDefault="00A86593" w:rsidP="001C741C">
            <w:pPr>
              <w:jc w:val="right"/>
              <w:rPr>
                <w:sz w:val="20"/>
              </w:rPr>
            </w:pPr>
          </w:p>
        </w:tc>
        <w:tc>
          <w:tcPr>
            <w:tcW w:w="1848" w:type="dxa"/>
            <w:gridSpan w:val="2"/>
            <w:tcBorders>
              <w:top w:val="single" w:sz="18" w:space="0" w:color="auto"/>
              <w:bottom w:val="single" w:sz="18" w:space="0" w:color="auto"/>
            </w:tcBorders>
          </w:tcPr>
          <w:p w:rsidR="00A86593" w:rsidRDefault="00A86593" w:rsidP="001C741C">
            <w:pPr>
              <w:jc w:val="right"/>
              <w:rPr>
                <w:sz w:val="20"/>
              </w:rPr>
            </w:pPr>
            <w:r>
              <w:rPr>
                <w:sz w:val="20"/>
              </w:rPr>
              <w:t>4,359.9</w:t>
            </w:r>
          </w:p>
        </w:tc>
      </w:tr>
    </w:tbl>
    <w:p w:rsidR="00A86593" w:rsidRDefault="00A86593" w:rsidP="00A86593">
      <w:pPr>
        <w:spacing w:after="120"/>
      </w:pPr>
    </w:p>
    <w:p w:rsidR="00A86593" w:rsidRDefault="00A86593" w:rsidP="00A86593">
      <w:pPr>
        <w:spacing w:after="120"/>
      </w:pPr>
    </w:p>
    <w:p w:rsidR="00A86593" w:rsidRDefault="00A86593" w:rsidP="00A86593">
      <w:pPr>
        <w:spacing w:after="120"/>
      </w:pPr>
    </w:p>
    <w:p w:rsidR="00A86593" w:rsidRDefault="00A86593" w:rsidP="00A86593">
      <w:pPr>
        <w:spacing w:after="120"/>
      </w:pPr>
    </w:p>
    <w:p w:rsidR="00A86593" w:rsidRDefault="00A86593" w:rsidP="00A86593">
      <w:pPr>
        <w:spacing w:after="120"/>
      </w:pPr>
    </w:p>
    <w:p w:rsidR="00A86593" w:rsidRDefault="00A86593" w:rsidP="00A86593">
      <w:pPr>
        <w:spacing w:after="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89"/>
        <w:gridCol w:w="450"/>
        <w:gridCol w:w="1087"/>
        <w:gridCol w:w="468"/>
        <w:gridCol w:w="1080"/>
        <w:gridCol w:w="452"/>
        <w:gridCol w:w="1090"/>
        <w:gridCol w:w="451"/>
        <w:gridCol w:w="1076"/>
        <w:gridCol w:w="419"/>
        <w:gridCol w:w="1120"/>
      </w:tblGrid>
      <w:tr w:rsidR="00A86593" w:rsidRPr="008B5FD4" w:rsidTr="001C741C">
        <w:tc>
          <w:tcPr>
            <w:tcW w:w="3085" w:type="dxa"/>
          </w:tcPr>
          <w:p w:rsidR="00A86593" w:rsidRPr="008B5FD4" w:rsidRDefault="00A86593" w:rsidP="001C741C">
            <w:pPr>
              <w:rPr>
                <w:b/>
                <w:sz w:val="20"/>
              </w:rPr>
            </w:pPr>
          </w:p>
        </w:tc>
        <w:tc>
          <w:tcPr>
            <w:tcW w:w="1573" w:type="dxa"/>
            <w:gridSpan w:val="2"/>
          </w:tcPr>
          <w:p w:rsidR="00A86593" w:rsidRDefault="00A86593" w:rsidP="001C741C">
            <w:pPr>
              <w:jc w:val="right"/>
              <w:rPr>
                <w:b/>
                <w:sz w:val="20"/>
              </w:rPr>
            </w:pPr>
            <w:r w:rsidRPr="008B5FD4">
              <w:rPr>
                <w:b/>
                <w:sz w:val="20"/>
              </w:rPr>
              <w:t>Market Value at 1 April</w:t>
            </w:r>
          </w:p>
          <w:p w:rsidR="00A86593" w:rsidRPr="008B5FD4" w:rsidRDefault="00A86593" w:rsidP="001C741C">
            <w:pPr>
              <w:jc w:val="right"/>
              <w:rPr>
                <w:b/>
                <w:sz w:val="20"/>
              </w:rPr>
            </w:pPr>
            <w:r w:rsidRPr="008B5FD4">
              <w:rPr>
                <w:b/>
                <w:sz w:val="20"/>
              </w:rPr>
              <w:t xml:space="preserve"> 201</w:t>
            </w:r>
            <w:r>
              <w:rPr>
                <w:b/>
                <w:sz w:val="20"/>
              </w:rPr>
              <w:t>0</w:t>
            </w:r>
          </w:p>
        </w:tc>
        <w:tc>
          <w:tcPr>
            <w:tcW w:w="1574" w:type="dxa"/>
            <w:gridSpan w:val="2"/>
          </w:tcPr>
          <w:p w:rsidR="00A86593" w:rsidRPr="008B5FD4" w:rsidRDefault="00A86593" w:rsidP="001C741C">
            <w:pPr>
              <w:jc w:val="right"/>
              <w:rPr>
                <w:b/>
                <w:sz w:val="20"/>
              </w:rPr>
            </w:pPr>
            <w:r w:rsidRPr="008B5FD4">
              <w:rPr>
                <w:b/>
                <w:sz w:val="20"/>
              </w:rPr>
              <w:t>Purchases at cost and derivative payments</w:t>
            </w:r>
          </w:p>
        </w:tc>
        <w:tc>
          <w:tcPr>
            <w:tcW w:w="1574" w:type="dxa"/>
            <w:gridSpan w:val="2"/>
          </w:tcPr>
          <w:p w:rsidR="00A86593" w:rsidRPr="008B5FD4" w:rsidRDefault="00A86593" w:rsidP="001C741C">
            <w:pPr>
              <w:jc w:val="right"/>
              <w:rPr>
                <w:b/>
                <w:sz w:val="20"/>
              </w:rPr>
            </w:pPr>
            <w:r w:rsidRPr="008B5FD4">
              <w:rPr>
                <w:b/>
                <w:sz w:val="20"/>
              </w:rPr>
              <w:t>Sales proceeds and derivative receipts</w:t>
            </w:r>
          </w:p>
        </w:tc>
        <w:tc>
          <w:tcPr>
            <w:tcW w:w="1574" w:type="dxa"/>
            <w:gridSpan w:val="2"/>
          </w:tcPr>
          <w:p w:rsidR="00A86593" w:rsidRPr="008B5FD4" w:rsidRDefault="00A86593" w:rsidP="001C741C">
            <w:pPr>
              <w:jc w:val="right"/>
              <w:rPr>
                <w:b/>
                <w:sz w:val="20"/>
              </w:rPr>
            </w:pPr>
            <w:r w:rsidRPr="008B5FD4">
              <w:rPr>
                <w:b/>
                <w:sz w:val="20"/>
              </w:rPr>
              <w:t>Change in market value</w:t>
            </w:r>
          </w:p>
        </w:tc>
        <w:tc>
          <w:tcPr>
            <w:tcW w:w="1574" w:type="dxa"/>
            <w:gridSpan w:val="2"/>
          </w:tcPr>
          <w:p w:rsidR="00A86593" w:rsidRPr="008B5FD4" w:rsidRDefault="00A86593" w:rsidP="001C741C">
            <w:pPr>
              <w:jc w:val="right"/>
              <w:rPr>
                <w:b/>
                <w:sz w:val="20"/>
              </w:rPr>
            </w:pPr>
            <w:r>
              <w:rPr>
                <w:b/>
                <w:sz w:val="20"/>
              </w:rPr>
              <w:t>Market value at 31 March 2011</w:t>
            </w:r>
          </w:p>
        </w:tc>
      </w:tr>
      <w:tr w:rsidR="00A86593" w:rsidRPr="008B5FD4" w:rsidTr="001C741C">
        <w:tc>
          <w:tcPr>
            <w:tcW w:w="3085" w:type="dxa"/>
          </w:tcPr>
          <w:p w:rsidR="00A86593" w:rsidRPr="008B5FD4" w:rsidRDefault="00A86593" w:rsidP="001C741C">
            <w:pPr>
              <w:rPr>
                <w:b/>
                <w:sz w:val="20"/>
              </w:rPr>
            </w:pPr>
          </w:p>
        </w:tc>
        <w:tc>
          <w:tcPr>
            <w:tcW w:w="1573" w:type="dxa"/>
            <w:gridSpan w:val="2"/>
          </w:tcPr>
          <w:p w:rsidR="00A86593" w:rsidRPr="008B5FD4" w:rsidRDefault="00A86593" w:rsidP="001C741C">
            <w:pPr>
              <w:jc w:val="right"/>
              <w:rPr>
                <w:b/>
                <w:sz w:val="20"/>
              </w:rPr>
            </w:pPr>
            <w:r w:rsidRPr="008B5FD4">
              <w:rPr>
                <w:b/>
                <w:sz w:val="20"/>
              </w:rPr>
              <w:t>£m</w:t>
            </w:r>
          </w:p>
        </w:tc>
        <w:tc>
          <w:tcPr>
            <w:tcW w:w="1574" w:type="dxa"/>
            <w:gridSpan w:val="2"/>
          </w:tcPr>
          <w:p w:rsidR="00A86593" w:rsidRPr="008B5FD4" w:rsidRDefault="00A86593" w:rsidP="001C741C">
            <w:pPr>
              <w:jc w:val="right"/>
              <w:rPr>
                <w:b/>
                <w:sz w:val="20"/>
              </w:rPr>
            </w:pPr>
            <w:r w:rsidRPr="008B5FD4">
              <w:rPr>
                <w:b/>
                <w:sz w:val="20"/>
              </w:rPr>
              <w:t>£m</w:t>
            </w:r>
          </w:p>
        </w:tc>
        <w:tc>
          <w:tcPr>
            <w:tcW w:w="1574" w:type="dxa"/>
            <w:gridSpan w:val="2"/>
          </w:tcPr>
          <w:p w:rsidR="00A86593" w:rsidRPr="008B5FD4" w:rsidRDefault="00A86593" w:rsidP="001C741C">
            <w:pPr>
              <w:jc w:val="right"/>
              <w:rPr>
                <w:b/>
                <w:sz w:val="20"/>
              </w:rPr>
            </w:pPr>
            <w:r w:rsidRPr="008B5FD4">
              <w:rPr>
                <w:b/>
                <w:sz w:val="20"/>
              </w:rPr>
              <w:t>£m</w:t>
            </w:r>
          </w:p>
        </w:tc>
        <w:tc>
          <w:tcPr>
            <w:tcW w:w="1574" w:type="dxa"/>
            <w:gridSpan w:val="2"/>
          </w:tcPr>
          <w:p w:rsidR="00A86593" w:rsidRPr="008B5FD4" w:rsidRDefault="00A86593" w:rsidP="001C741C">
            <w:pPr>
              <w:jc w:val="right"/>
              <w:rPr>
                <w:b/>
                <w:sz w:val="20"/>
              </w:rPr>
            </w:pPr>
            <w:r w:rsidRPr="008B5FD4">
              <w:rPr>
                <w:b/>
                <w:sz w:val="20"/>
              </w:rPr>
              <w:t>£m</w:t>
            </w:r>
          </w:p>
        </w:tc>
        <w:tc>
          <w:tcPr>
            <w:tcW w:w="1574" w:type="dxa"/>
            <w:gridSpan w:val="2"/>
          </w:tcPr>
          <w:p w:rsidR="00A86593" w:rsidRDefault="00A86593" w:rsidP="001C741C">
            <w:pPr>
              <w:jc w:val="right"/>
              <w:rPr>
                <w:b/>
                <w:sz w:val="20"/>
              </w:rPr>
            </w:pPr>
            <w:r w:rsidRPr="008B5FD4">
              <w:rPr>
                <w:b/>
                <w:sz w:val="20"/>
              </w:rPr>
              <w:t>£m</w:t>
            </w:r>
          </w:p>
          <w:p w:rsidR="00A86593" w:rsidRPr="008B5FD4" w:rsidRDefault="00A86593" w:rsidP="001C741C">
            <w:pPr>
              <w:jc w:val="right"/>
              <w:rPr>
                <w:b/>
                <w:sz w:val="20"/>
              </w:rPr>
            </w:pPr>
          </w:p>
        </w:tc>
      </w:tr>
      <w:tr w:rsidR="00A86593" w:rsidRPr="000E6955" w:rsidTr="001C741C">
        <w:tc>
          <w:tcPr>
            <w:tcW w:w="3085" w:type="dxa"/>
          </w:tcPr>
          <w:p w:rsidR="00A86593" w:rsidRPr="000E6955" w:rsidRDefault="00A86593" w:rsidP="001C741C">
            <w:pPr>
              <w:rPr>
                <w:sz w:val="20"/>
              </w:rPr>
            </w:pPr>
            <w:r>
              <w:rPr>
                <w:sz w:val="20"/>
              </w:rPr>
              <w:t>Fixed  interest securities</w:t>
            </w:r>
          </w:p>
        </w:tc>
        <w:tc>
          <w:tcPr>
            <w:tcW w:w="469" w:type="dxa"/>
            <w:tcBorders>
              <w:right w:val="single" w:sz="18" w:space="0" w:color="FFFFFF" w:themeColor="background1"/>
            </w:tcBorders>
          </w:tcPr>
          <w:p w:rsidR="00A86593" w:rsidRDefault="00A86593" w:rsidP="001C741C">
            <w:pPr>
              <w:jc w:val="right"/>
              <w:rPr>
                <w:sz w:val="20"/>
              </w:rPr>
            </w:pPr>
          </w:p>
        </w:tc>
        <w:tc>
          <w:tcPr>
            <w:tcW w:w="1104" w:type="dxa"/>
            <w:tcBorders>
              <w:left w:val="single" w:sz="18" w:space="0" w:color="FFFFFF" w:themeColor="background1"/>
            </w:tcBorders>
          </w:tcPr>
          <w:p w:rsidR="00A86593" w:rsidRDefault="00A86593" w:rsidP="001C741C">
            <w:pPr>
              <w:jc w:val="right"/>
              <w:rPr>
                <w:sz w:val="20"/>
              </w:rPr>
            </w:pPr>
            <w:r>
              <w:rPr>
                <w:sz w:val="20"/>
              </w:rPr>
              <w:t>448.1</w:t>
            </w:r>
          </w:p>
        </w:tc>
        <w:tc>
          <w:tcPr>
            <w:tcW w:w="486" w:type="dxa"/>
            <w:tcBorders>
              <w:right w:val="single" w:sz="18" w:space="0" w:color="FFFFFF" w:themeColor="background1"/>
            </w:tcBorders>
          </w:tcPr>
          <w:p w:rsidR="00A86593" w:rsidRDefault="00A86593" w:rsidP="001C741C">
            <w:pPr>
              <w:jc w:val="right"/>
              <w:rPr>
                <w:sz w:val="20"/>
              </w:rPr>
            </w:pPr>
          </w:p>
        </w:tc>
        <w:tc>
          <w:tcPr>
            <w:tcW w:w="1088" w:type="dxa"/>
            <w:tcBorders>
              <w:left w:val="single" w:sz="18" w:space="0" w:color="FFFFFF" w:themeColor="background1"/>
            </w:tcBorders>
          </w:tcPr>
          <w:p w:rsidR="00A86593" w:rsidRDefault="00A86593" w:rsidP="001C741C">
            <w:pPr>
              <w:jc w:val="right"/>
              <w:rPr>
                <w:sz w:val="20"/>
              </w:rPr>
            </w:pPr>
            <w:r>
              <w:rPr>
                <w:sz w:val="20"/>
              </w:rPr>
              <w:t>406.4</w:t>
            </w:r>
          </w:p>
        </w:tc>
        <w:tc>
          <w:tcPr>
            <w:tcW w:w="469" w:type="dxa"/>
            <w:tcBorders>
              <w:right w:val="single" w:sz="18" w:space="0" w:color="FFFFFF" w:themeColor="background1"/>
            </w:tcBorders>
          </w:tcPr>
          <w:p w:rsidR="00A86593" w:rsidRDefault="00A86593" w:rsidP="001C741C">
            <w:pPr>
              <w:jc w:val="right"/>
              <w:rPr>
                <w:sz w:val="20"/>
              </w:rPr>
            </w:pPr>
          </w:p>
        </w:tc>
        <w:tc>
          <w:tcPr>
            <w:tcW w:w="1105" w:type="dxa"/>
            <w:tcBorders>
              <w:left w:val="single" w:sz="18" w:space="0" w:color="FFFFFF" w:themeColor="background1"/>
            </w:tcBorders>
          </w:tcPr>
          <w:p w:rsidR="00A86593" w:rsidRDefault="00A86593" w:rsidP="001C741C">
            <w:pPr>
              <w:jc w:val="right"/>
              <w:rPr>
                <w:sz w:val="20"/>
              </w:rPr>
            </w:pPr>
            <w:r>
              <w:rPr>
                <w:sz w:val="20"/>
              </w:rPr>
              <w:t>-295.5</w:t>
            </w:r>
          </w:p>
        </w:tc>
        <w:tc>
          <w:tcPr>
            <w:tcW w:w="469" w:type="dxa"/>
            <w:tcBorders>
              <w:right w:val="single" w:sz="18" w:space="0" w:color="FFFFFF" w:themeColor="background1"/>
            </w:tcBorders>
          </w:tcPr>
          <w:p w:rsidR="00A86593" w:rsidRDefault="00A86593" w:rsidP="001C741C">
            <w:pPr>
              <w:jc w:val="right"/>
              <w:rPr>
                <w:sz w:val="20"/>
              </w:rPr>
            </w:pPr>
          </w:p>
        </w:tc>
        <w:tc>
          <w:tcPr>
            <w:tcW w:w="1105" w:type="dxa"/>
            <w:tcBorders>
              <w:left w:val="single" w:sz="18" w:space="0" w:color="FFFFFF" w:themeColor="background1"/>
            </w:tcBorders>
          </w:tcPr>
          <w:p w:rsidR="00A86593" w:rsidRDefault="00A86593" w:rsidP="001C741C">
            <w:pPr>
              <w:jc w:val="right"/>
              <w:rPr>
                <w:sz w:val="20"/>
              </w:rPr>
            </w:pPr>
            <w:r>
              <w:rPr>
                <w:sz w:val="20"/>
              </w:rPr>
              <w:t>0.1</w:t>
            </w:r>
          </w:p>
        </w:tc>
        <w:tc>
          <w:tcPr>
            <w:tcW w:w="435" w:type="dxa"/>
            <w:tcBorders>
              <w:right w:val="single" w:sz="18" w:space="0" w:color="FFFFFF" w:themeColor="background1"/>
            </w:tcBorders>
          </w:tcPr>
          <w:p w:rsidR="00A86593" w:rsidRDefault="00A86593" w:rsidP="001C741C">
            <w:pPr>
              <w:jc w:val="right"/>
              <w:rPr>
                <w:sz w:val="20"/>
              </w:rPr>
            </w:pPr>
          </w:p>
        </w:tc>
        <w:tc>
          <w:tcPr>
            <w:tcW w:w="1139" w:type="dxa"/>
            <w:tcBorders>
              <w:left w:val="single" w:sz="18" w:space="0" w:color="FFFFFF" w:themeColor="background1"/>
            </w:tcBorders>
          </w:tcPr>
          <w:p w:rsidR="00A86593" w:rsidRDefault="00A86593" w:rsidP="001C741C">
            <w:pPr>
              <w:jc w:val="right"/>
              <w:rPr>
                <w:sz w:val="20"/>
              </w:rPr>
            </w:pPr>
            <w:r>
              <w:rPr>
                <w:sz w:val="20"/>
              </w:rPr>
              <w:t>559.1</w:t>
            </w:r>
          </w:p>
        </w:tc>
      </w:tr>
      <w:tr w:rsidR="00A86593" w:rsidRPr="000E6955" w:rsidTr="001C741C">
        <w:tc>
          <w:tcPr>
            <w:tcW w:w="3085" w:type="dxa"/>
          </w:tcPr>
          <w:p w:rsidR="00A86593" w:rsidRDefault="00A86593" w:rsidP="001C741C">
            <w:pPr>
              <w:rPr>
                <w:sz w:val="20"/>
              </w:rPr>
            </w:pPr>
            <w:r>
              <w:rPr>
                <w:sz w:val="20"/>
              </w:rPr>
              <w:t>Equities</w:t>
            </w:r>
          </w:p>
        </w:tc>
        <w:tc>
          <w:tcPr>
            <w:tcW w:w="469" w:type="dxa"/>
            <w:tcBorders>
              <w:right w:val="single" w:sz="18" w:space="0" w:color="FFFFFF" w:themeColor="background1"/>
            </w:tcBorders>
          </w:tcPr>
          <w:p w:rsidR="00A86593" w:rsidRDefault="00A86593" w:rsidP="001C741C">
            <w:pPr>
              <w:jc w:val="right"/>
              <w:rPr>
                <w:sz w:val="20"/>
              </w:rPr>
            </w:pPr>
          </w:p>
        </w:tc>
        <w:tc>
          <w:tcPr>
            <w:tcW w:w="1104" w:type="dxa"/>
            <w:tcBorders>
              <w:left w:val="single" w:sz="18" w:space="0" w:color="FFFFFF" w:themeColor="background1"/>
            </w:tcBorders>
          </w:tcPr>
          <w:p w:rsidR="00A86593" w:rsidRDefault="00A86593" w:rsidP="001C741C">
            <w:pPr>
              <w:jc w:val="right"/>
              <w:rPr>
                <w:sz w:val="20"/>
              </w:rPr>
            </w:pPr>
            <w:r>
              <w:rPr>
                <w:sz w:val="20"/>
              </w:rPr>
              <w:t>1,011.7</w:t>
            </w:r>
          </w:p>
        </w:tc>
        <w:tc>
          <w:tcPr>
            <w:tcW w:w="486" w:type="dxa"/>
            <w:tcBorders>
              <w:right w:val="single" w:sz="18" w:space="0" w:color="FFFFFF" w:themeColor="background1"/>
            </w:tcBorders>
          </w:tcPr>
          <w:p w:rsidR="00A86593" w:rsidRDefault="00A86593" w:rsidP="001C741C">
            <w:pPr>
              <w:jc w:val="right"/>
              <w:rPr>
                <w:sz w:val="20"/>
              </w:rPr>
            </w:pPr>
          </w:p>
        </w:tc>
        <w:tc>
          <w:tcPr>
            <w:tcW w:w="1088" w:type="dxa"/>
            <w:tcBorders>
              <w:left w:val="single" w:sz="18" w:space="0" w:color="FFFFFF" w:themeColor="background1"/>
            </w:tcBorders>
          </w:tcPr>
          <w:p w:rsidR="00A86593" w:rsidRDefault="00A86593" w:rsidP="001C741C">
            <w:pPr>
              <w:jc w:val="right"/>
              <w:rPr>
                <w:sz w:val="20"/>
              </w:rPr>
            </w:pPr>
            <w:r>
              <w:rPr>
                <w:sz w:val="20"/>
              </w:rPr>
              <w:t>1,090.4</w:t>
            </w:r>
          </w:p>
        </w:tc>
        <w:tc>
          <w:tcPr>
            <w:tcW w:w="469" w:type="dxa"/>
            <w:tcBorders>
              <w:right w:val="single" w:sz="18" w:space="0" w:color="FFFFFF" w:themeColor="background1"/>
            </w:tcBorders>
          </w:tcPr>
          <w:p w:rsidR="00A86593" w:rsidRDefault="00A86593" w:rsidP="001C741C">
            <w:pPr>
              <w:jc w:val="right"/>
              <w:rPr>
                <w:sz w:val="20"/>
              </w:rPr>
            </w:pPr>
          </w:p>
        </w:tc>
        <w:tc>
          <w:tcPr>
            <w:tcW w:w="1105" w:type="dxa"/>
            <w:tcBorders>
              <w:left w:val="single" w:sz="18" w:space="0" w:color="FFFFFF" w:themeColor="background1"/>
            </w:tcBorders>
          </w:tcPr>
          <w:p w:rsidR="00A86593" w:rsidRDefault="00A86593" w:rsidP="001C741C">
            <w:pPr>
              <w:jc w:val="right"/>
              <w:rPr>
                <w:sz w:val="20"/>
              </w:rPr>
            </w:pPr>
            <w:r>
              <w:rPr>
                <w:sz w:val="20"/>
              </w:rPr>
              <w:t>-442.2</w:t>
            </w:r>
          </w:p>
        </w:tc>
        <w:tc>
          <w:tcPr>
            <w:tcW w:w="469" w:type="dxa"/>
            <w:tcBorders>
              <w:right w:val="single" w:sz="18" w:space="0" w:color="FFFFFF" w:themeColor="background1"/>
            </w:tcBorders>
          </w:tcPr>
          <w:p w:rsidR="00A86593" w:rsidRDefault="00A86593" w:rsidP="001C741C">
            <w:pPr>
              <w:jc w:val="right"/>
              <w:rPr>
                <w:sz w:val="20"/>
              </w:rPr>
            </w:pPr>
          </w:p>
        </w:tc>
        <w:tc>
          <w:tcPr>
            <w:tcW w:w="1105" w:type="dxa"/>
            <w:tcBorders>
              <w:left w:val="single" w:sz="18" w:space="0" w:color="FFFFFF" w:themeColor="background1"/>
            </w:tcBorders>
          </w:tcPr>
          <w:p w:rsidR="00A86593" w:rsidRDefault="00A86593" w:rsidP="001C741C">
            <w:pPr>
              <w:jc w:val="right"/>
              <w:rPr>
                <w:sz w:val="20"/>
              </w:rPr>
            </w:pPr>
            <w:r>
              <w:rPr>
                <w:sz w:val="20"/>
              </w:rPr>
              <w:t>75.2</w:t>
            </w:r>
          </w:p>
        </w:tc>
        <w:tc>
          <w:tcPr>
            <w:tcW w:w="435" w:type="dxa"/>
            <w:tcBorders>
              <w:right w:val="single" w:sz="18" w:space="0" w:color="FFFFFF" w:themeColor="background1"/>
            </w:tcBorders>
          </w:tcPr>
          <w:p w:rsidR="00A86593" w:rsidRDefault="00A86593" w:rsidP="001C741C">
            <w:pPr>
              <w:jc w:val="right"/>
              <w:rPr>
                <w:sz w:val="20"/>
              </w:rPr>
            </w:pPr>
          </w:p>
        </w:tc>
        <w:tc>
          <w:tcPr>
            <w:tcW w:w="1139" w:type="dxa"/>
            <w:tcBorders>
              <w:left w:val="single" w:sz="18" w:space="0" w:color="FFFFFF" w:themeColor="background1"/>
            </w:tcBorders>
          </w:tcPr>
          <w:p w:rsidR="00A86593" w:rsidRDefault="00A86593" w:rsidP="001C741C">
            <w:pPr>
              <w:jc w:val="right"/>
              <w:rPr>
                <w:sz w:val="20"/>
              </w:rPr>
            </w:pPr>
            <w:r>
              <w:rPr>
                <w:sz w:val="20"/>
              </w:rPr>
              <w:t>1,735.1</w:t>
            </w:r>
          </w:p>
        </w:tc>
      </w:tr>
      <w:tr w:rsidR="00A86593" w:rsidRPr="000E6955" w:rsidTr="001C741C">
        <w:tc>
          <w:tcPr>
            <w:tcW w:w="3085" w:type="dxa"/>
          </w:tcPr>
          <w:p w:rsidR="00A86593" w:rsidRDefault="00A86593" w:rsidP="001C741C">
            <w:pPr>
              <w:rPr>
                <w:sz w:val="20"/>
              </w:rPr>
            </w:pPr>
            <w:r>
              <w:rPr>
                <w:sz w:val="20"/>
              </w:rPr>
              <w:t>Index linked securities</w:t>
            </w:r>
          </w:p>
        </w:tc>
        <w:tc>
          <w:tcPr>
            <w:tcW w:w="469" w:type="dxa"/>
            <w:tcBorders>
              <w:right w:val="single" w:sz="18" w:space="0" w:color="FFFFFF" w:themeColor="background1"/>
            </w:tcBorders>
          </w:tcPr>
          <w:p w:rsidR="00A86593" w:rsidRDefault="00A86593" w:rsidP="001C741C">
            <w:pPr>
              <w:jc w:val="right"/>
              <w:rPr>
                <w:sz w:val="20"/>
              </w:rPr>
            </w:pPr>
          </w:p>
        </w:tc>
        <w:tc>
          <w:tcPr>
            <w:tcW w:w="1104" w:type="dxa"/>
            <w:tcBorders>
              <w:left w:val="single" w:sz="18" w:space="0" w:color="FFFFFF" w:themeColor="background1"/>
            </w:tcBorders>
          </w:tcPr>
          <w:p w:rsidR="00A86593" w:rsidRDefault="00A86593" w:rsidP="001C741C">
            <w:pPr>
              <w:jc w:val="right"/>
              <w:rPr>
                <w:sz w:val="20"/>
              </w:rPr>
            </w:pPr>
            <w:r>
              <w:rPr>
                <w:sz w:val="20"/>
              </w:rPr>
              <w:t>103.2</w:t>
            </w:r>
          </w:p>
        </w:tc>
        <w:tc>
          <w:tcPr>
            <w:tcW w:w="486" w:type="dxa"/>
            <w:tcBorders>
              <w:right w:val="single" w:sz="18" w:space="0" w:color="FFFFFF" w:themeColor="background1"/>
            </w:tcBorders>
          </w:tcPr>
          <w:p w:rsidR="00A86593" w:rsidRPr="008A49FD" w:rsidRDefault="00A86593" w:rsidP="001C741C">
            <w:pPr>
              <w:pStyle w:val="ListParagraph"/>
              <w:ind w:left="0"/>
              <w:jc w:val="center"/>
              <w:rPr>
                <w:sz w:val="20"/>
              </w:rPr>
            </w:pPr>
          </w:p>
        </w:tc>
        <w:tc>
          <w:tcPr>
            <w:tcW w:w="1088" w:type="dxa"/>
            <w:tcBorders>
              <w:left w:val="single" w:sz="18" w:space="0" w:color="FFFFFF" w:themeColor="background1"/>
            </w:tcBorders>
          </w:tcPr>
          <w:p w:rsidR="00A86593" w:rsidRPr="008A49FD" w:rsidRDefault="00A86593" w:rsidP="001C741C">
            <w:pPr>
              <w:pStyle w:val="ListParagraph"/>
              <w:ind w:left="339"/>
              <w:jc w:val="center"/>
              <w:rPr>
                <w:sz w:val="20"/>
              </w:rPr>
            </w:pPr>
            <w:r>
              <w:rPr>
                <w:sz w:val="20"/>
              </w:rPr>
              <w:t>50.9</w:t>
            </w:r>
          </w:p>
        </w:tc>
        <w:tc>
          <w:tcPr>
            <w:tcW w:w="469" w:type="dxa"/>
            <w:tcBorders>
              <w:right w:val="single" w:sz="18" w:space="0" w:color="FFFFFF" w:themeColor="background1"/>
            </w:tcBorders>
          </w:tcPr>
          <w:p w:rsidR="00A86593" w:rsidRDefault="00A86593" w:rsidP="001C741C">
            <w:pPr>
              <w:jc w:val="right"/>
              <w:rPr>
                <w:sz w:val="20"/>
              </w:rPr>
            </w:pPr>
          </w:p>
        </w:tc>
        <w:tc>
          <w:tcPr>
            <w:tcW w:w="1105" w:type="dxa"/>
            <w:tcBorders>
              <w:left w:val="single" w:sz="18" w:space="0" w:color="FFFFFF" w:themeColor="background1"/>
            </w:tcBorders>
          </w:tcPr>
          <w:p w:rsidR="00A86593" w:rsidRDefault="00A86593" w:rsidP="001C741C">
            <w:pPr>
              <w:jc w:val="right"/>
              <w:rPr>
                <w:sz w:val="20"/>
              </w:rPr>
            </w:pPr>
            <w:r>
              <w:rPr>
                <w:sz w:val="20"/>
              </w:rPr>
              <w:t>-15.9</w:t>
            </w:r>
          </w:p>
        </w:tc>
        <w:tc>
          <w:tcPr>
            <w:tcW w:w="469" w:type="dxa"/>
            <w:tcBorders>
              <w:right w:val="single" w:sz="18" w:space="0" w:color="FFFFFF" w:themeColor="background1"/>
            </w:tcBorders>
          </w:tcPr>
          <w:p w:rsidR="00A86593" w:rsidRDefault="00A86593" w:rsidP="001C741C">
            <w:pPr>
              <w:jc w:val="right"/>
              <w:rPr>
                <w:sz w:val="20"/>
              </w:rPr>
            </w:pPr>
          </w:p>
        </w:tc>
        <w:tc>
          <w:tcPr>
            <w:tcW w:w="1105" w:type="dxa"/>
            <w:tcBorders>
              <w:left w:val="single" w:sz="18" w:space="0" w:color="FFFFFF" w:themeColor="background1"/>
            </w:tcBorders>
          </w:tcPr>
          <w:p w:rsidR="00A86593" w:rsidRDefault="00A86593" w:rsidP="001C741C">
            <w:pPr>
              <w:jc w:val="right"/>
              <w:rPr>
                <w:sz w:val="20"/>
              </w:rPr>
            </w:pPr>
            <w:r>
              <w:rPr>
                <w:sz w:val="20"/>
              </w:rPr>
              <w:t>2.8</w:t>
            </w:r>
          </w:p>
        </w:tc>
        <w:tc>
          <w:tcPr>
            <w:tcW w:w="435" w:type="dxa"/>
            <w:tcBorders>
              <w:right w:val="single" w:sz="18" w:space="0" w:color="FFFFFF" w:themeColor="background1"/>
            </w:tcBorders>
          </w:tcPr>
          <w:p w:rsidR="00A86593" w:rsidRDefault="00A86593" w:rsidP="001C741C">
            <w:pPr>
              <w:jc w:val="right"/>
              <w:rPr>
                <w:sz w:val="20"/>
              </w:rPr>
            </w:pPr>
          </w:p>
        </w:tc>
        <w:tc>
          <w:tcPr>
            <w:tcW w:w="1139" w:type="dxa"/>
            <w:tcBorders>
              <w:left w:val="single" w:sz="18" w:space="0" w:color="FFFFFF" w:themeColor="background1"/>
            </w:tcBorders>
          </w:tcPr>
          <w:p w:rsidR="00A86593" w:rsidRDefault="00A86593" w:rsidP="001C741C">
            <w:pPr>
              <w:jc w:val="right"/>
              <w:rPr>
                <w:sz w:val="20"/>
              </w:rPr>
            </w:pPr>
            <w:r>
              <w:rPr>
                <w:sz w:val="20"/>
              </w:rPr>
              <w:t>141.0</w:t>
            </w:r>
          </w:p>
        </w:tc>
      </w:tr>
      <w:tr w:rsidR="00A86593" w:rsidRPr="000E6955" w:rsidTr="001C741C">
        <w:tc>
          <w:tcPr>
            <w:tcW w:w="3085" w:type="dxa"/>
          </w:tcPr>
          <w:p w:rsidR="00A86593" w:rsidRDefault="00A86593" w:rsidP="001C741C">
            <w:pPr>
              <w:rPr>
                <w:sz w:val="20"/>
              </w:rPr>
            </w:pPr>
            <w:r>
              <w:rPr>
                <w:sz w:val="20"/>
              </w:rPr>
              <w:t>Pooled investments</w:t>
            </w:r>
          </w:p>
        </w:tc>
        <w:tc>
          <w:tcPr>
            <w:tcW w:w="469" w:type="dxa"/>
            <w:tcBorders>
              <w:right w:val="single" w:sz="18" w:space="0" w:color="FFFFFF" w:themeColor="background1"/>
            </w:tcBorders>
          </w:tcPr>
          <w:p w:rsidR="00A86593" w:rsidRDefault="00A86593" w:rsidP="001C741C">
            <w:pPr>
              <w:jc w:val="right"/>
              <w:rPr>
                <w:sz w:val="20"/>
              </w:rPr>
            </w:pPr>
          </w:p>
        </w:tc>
        <w:tc>
          <w:tcPr>
            <w:tcW w:w="1104" w:type="dxa"/>
            <w:tcBorders>
              <w:left w:val="single" w:sz="18" w:space="0" w:color="FFFFFF" w:themeColor="background1"/>
            </w:tcBorders>
          </w:tcPr>
          <w:p w:rsidR="00A86593" w:rsidRDefault="00A86593" w:rsidP="001C741C">
            <w:pPr>
              <w:jc w:val="right"/>
              <w:rPr>
                <w:sz w:val="20"/>
              </w:rPr>
            </w:pPr>
            <w:r>
              <w:rPr>
                <w:sz w:val="20"/>
              </w:rPr>
              <w:t>1,962.2</w:t>
            </w:r>
          </w:p>
        </w:tc>
        <w:tc>
          <w:tcPr>
            <w:tcW w:w="486" w:type="dxa"/>
            <w:tcBorders>
              <w:right w:val="single" w:sz="18" w:space="0" w:color="FFFFFF" w:themeColor="background1"/>
            </w:tcBorders>
          </w:tcPr>
          <w:p w:rsidR="00A86593" w:rsidRDefault="00A86593" w:rsidP="001C741C">
            <w:pPr>
              <w:jc w:val="right"/>
              <w:rPr>
                <w:sz w:val="20"/>
              </w:rPr>
            </w:pPr>
          </w:p>
        </w:tc>
        <w:tc>
          <w:tcPr>
            <w:tcW w:w="1088" w:type="dxa"/>
            <w:tcBorders>
              <w:left w:val="single" w:sz="18" w:space="0" w:color="FFFFFF" w:themeColor="background1"/>
            </w:tcBorders>
          </w:tcPr>
          <w:p w:rsidR="00A86593" w:rsidRDefault="00A86593" w:rsidP="001C741C">
            <w:pPr>
              <w:jc w:val="right"/>
              <w:rPr>
                <w:sz w:val="20"/>
              </w:rPr>
            </w:pPr>
            <w:r>
              <w:rPr>
                <w:sz w:val="20"/>
              </w:rPr>
              <w:t>154.9</w:t>
            </w:r>
          </w:p>
        </w:tc>
        <w:tc>
          <w:tcPr>
            <w:tcW w:w="469" w:type="dxa"/>
            <w:tcBorders>
              <w:right w:val="single" w:sz="18" w:space="0" w:color="FFFFFF" w:themeColor="background1"/>
            </w:tcBorders>
          </w:tcPr>
          <w:p w:rsidR="00A86593" w:rsidRDefault="00A86593" w:rsidP="001C741C">
            <w:pPr>
              <w:jc w:val="right"/>
              <w:rPr>
                <w:sz w:val="20"/>
              </w:rPr>
            </w:pPr>
          </w:p>
        </w:tc>
        <w:tc>
          <w:tcPr>
            <w:tcW w:w="1105" w:type="dxa"/>
            <w:tcBorders>
              <w:left w:val="single" w:sz="18" w:space="0" w:color="FFFFFF" w:themeColor="background1"/>
            </w:tcBorders>
          </w:tcPr>
          <w:p w:rsidR="00A86593" w:rsidRDefault="00A86593" w:rsidP="001C741C">
            <w:pPr>
              <w:jc w:val="right"/>
              <w:rPr>
                <w:sz w:val="20"/>
              </w:rPr>
            </w:pPr>
            <w:r>
              <w:rPr>
                <w:sz w:val="20"/>
              </w:rPr>
              <w:t>-872.6</w:t>
            </w:r>
          </w:p>
        </w:tc>
        <w:tc>
          <w:tcPr>
            <w:tcW w:w="469" w:type="dxa"/>
            <w:tcBorders>
              <w:right w:val="single" w:sz="18" w:space="0" w:color="FFFFFF" w:themeColor="background1"/>
            </w:tcBorders>
          </w:tcPr>
          <w:p w:rsidR="00A86593" w:rsidRDefault="00A86593" w:rsidP="001C741C">
            <w:pPr>
              <w:jc w:val="right"/>
              <w:rPr>
                <w:sz w:val="20"/>
              </w:rPr>
            </w:pPr>
          </w:p>
        </w:tc>
        <w:tc>
          <w:tcPr>
            <w:tcW w:w="1105" w:type="dxa"/>
            <w:tcBorders>
              <w:left w:val="single" w:sz="18" w:space="0" w:color="FFFFFF" w:themeColor="background1"/>
            </w:tcBorders>
          </w:tcPr>
          <w:p w:rsidR="00A86593" w:rsidRDefault="00A86593" w:rsidP="001C741C">
            <w:pPr>
              <w:jc w:val="right"/>
              <w:rPr>
                <w:sz w:val="20"/>
              </w:rPr>
            </w:pPr>
            <w:r>
              <w:rPr>
                <w:sz w:val="20"/>
              </w:rPr>
              <w:t>151.0</w:t>
            </w:r>
          </w:p>
        </w:tc>
        <w:tc>
          <w:tcPr>
            <w:tcW w:w="435" w:type="dxa"/>
            <w:tcBorders>
              <w:right w:val="single" w:sz="18" w:space="0" w:color="FFFFFF" w:themeColor="background1"/>
            </w:tcBorders>
          </w:tcPr>
          <w:p w:rsidR="00A86593" w:rsidRDefault="00A86593" w:rsidP="001C741C">
            <w:pPr>
              <w:jc w:val="right"/>
              <w:rPr>
                <w:sz w:val="20"/>
              </w:rPr>
            </w:pPr>
          </w:p>
        </w:tc>
        <w:tc>
          <w:tcPr>
            <w:tcW w:w="1139" w:type="dxa"/>
            <w:tcBorders>
              <w:left w:val="single" w:sz="18" w:space="0" w:color="FFFFFF" w:themeColor="background1"/>
            </w:tcBorders>
          </w:tcPr>
          <w:p w:rsidR="00A86593" w:rsidRDefault="00A86593" w:rsidP="001C741C">
            <w:pPr>
              <w:jc w:val="right"/>
              <w:rPr>
                <w:sz w:val="20"/>
              </w:rPr>
            </w:pPr>
            <w:r>
              <w:rPr>
                <w:sz w:val="20"/>
              </w:rPr>
              <w:t>1,395.5</w:t>
            </w:r>
          </w:p>
        </w:tc>
      </w:tr>
      <w:tr w:rsidR="00A86593" w:rsidRPr="000E6955" w:rsidTr="001C741C">
        <w:tc>
          <w:tcPr>
            <w:tcW w:w="3085" w:type="dxa"/>
          </w:tcPr>
          <w:p w:rsidR="00A86593" w:rsidRDefault="00A86593" w:rsidP="001C741C">
            <w:pPr>
              <w:rPr>
                <w:sz w:val="20"/>
              </w:rPr>
            </w:pPr>
            <w:r>
              <w:rPr>
                <w:sz w:val="20"/>
              </w:rPr>
              <w:t>Property</w:t>
            </w:r>
          </w:p>
        </w:tc>
        <w:tc>
          <w:tcPr>
            <w:tcW w:w="469" w:type="dxa"/>
            <w:tcBorders>
              <w:bottom w:val="single" w:sz="18" w:space="0" w:color="auto"/>
              <w:right w:val="single" w:sz="18" w:space="0" w:color="FFFFFF" w:themeColor="background1"/>
            </w:tcBorders>
          </w:tcPr>
          <w:p w:rsidR="00A86593" w:rsidRDefault="00A86593" w:rsidP="001C741C">
            <w:pPr>
              <w:jc w:val="right"/>
              <w:rPr>
                <w:sz w:val="20"/>
              </w:rPr>
            </w:pPr>
          </w:p>
        </w:tc>
        <w:tc>
          <w:tcPr>
            <w:tcW w:w="1104" w:type="dxa"/>
            <w:tcBorders>
              <w:left w:val="single" w:sz="18" w:space="0" w:color="FFFFFF" w:themeColor="background1"/>
              <w:bottom w:val="single" w:sz="18" w:space="0" w:color="auto"/>
            </w:tcBorders>
          </w:tcPr>
          <w:p w:rsidR="00A86593" w:rsidRDefault="00A86593" w:rsidP="001C741C">
            <w:pPr>
              <w:jc w:val="right"/>
              <w:rPr>
                <w:sz w:val="20"/>
              </w:rPr>
            </w:pPr>
            <w:r>
              <w:rPr>
                <w:sz w:val="20"/>
              </w:rPr>
              <w:t>306.1</w:t>
            </w:r>
          </w:p>
        </w:tc>
        <w:tc>
          <w:tcPr>
            <w:tcW w:w="486" w:type="dxa"/>
            <w:tcBorders>
              <w:bottom w:val="single" w:sz="18" w:space="0" w:color="auto"/>
              <w:right w:val="single" w:sz="18" w:space="0" w:color="FFFFFF" w:themeColor="background1"/>
            </w:tcBorders>
          </w:tcPr>
          <w:p w:rsidR="00A86593" w:rsidRDefault="00A86593" w:rsidP="001C741C">
            <w:pPr>
              <w:jc w:val="right"/>
              <w:rPr>
                <w:sz w:val="20"/>
              </w:rPr>
            </w:pPr>
          </w:p>
        </w:tc>
        <w:tc>
          <w:tcPr>
            <w:tcW w:w="1088" w:type="dxa"/>
            <w:tcBorders>
              <w:left w:val="single" w:sz="18" w:space="0" w:color="FFFFFF" w:themeColor="background1"/>
              <w:bottom w:val="single" w:sz="18" w:space="0" w:color="auto"/>
            </w:tcBorders>
          </w:tcPr>
          <w:p w:rsidR="00A86593" w:rsidRDefault="00A86593" w:rsidP="001C741C">
            <w:pPr>
              <w:jc w:val="right"/>
              <w:rPr>
                <w:sz w:val="20"/>
              </w:rPr>
            </w:pPr>
            <w:r>
              <w:rPr>
                <w:sz w:val="20"/>
              </w:rPr>
              <w:t>89.9</w:t>
            </w:r>
          </w:p>
        </w:tc>
        <w:tc>
          <w:tcPr>
            <w:tcW w:w="469" w:type="dxa"/>
            <w:tcBorders>
              <w:bottom w:val="single" w:sz="18" w:space="0" w:color="auto"/>
              <w:right w:val="single" w:sz="18" w:space="0" w:color="FFFFFF" w:themeColor="background1"/>
            </w:tcBorders>
          </w:tcPr>
          <w:p w:rsidR="00A86593" w:rsidRDefault="00A86593" w:rsidP="001C741C">
            <w:pPr>
              <w:jc w:val="right"/>
              <w:rPr>
                <w:sz w:val="20"/>
              </w:rPr>
            </w:pPr>
          </w:p>
        </w:tc>
        <w:tc>
          <w:tcPr>
            <w:tcW w:w="1105" w:type="dxa"/>
            <w:tcBorders>
              <w:left w:val="single" w:sz="18" w:space="0" w:color="FFFFFF" w:themeColor="background1"/>
              <w:bottom w:val="single" w:sz="18" w:space="0" w:color="auto"/>
            </w:tcBorders>
          </w:tcPr>
          <w:p w:rsidR="00A86593" w:rsidRDefault="00A86593" w:rsidP="001C741C">
            <w:pPr>
              <w:jc w:val="right"/>
              <w:rPr>
                <w:sz w:val="20"/>
              </w:rPr>
            </w:pPr>
            <w:r>
              <w:rPr>
                <w:sz w:val="20"/>
              </w:rPr>
              <w:t>-9.1</w:t>
            </w:r>
          </w:p>
        </w:tc>
        <w:tc>
          <w:tcPr>
            <w:tcW w:w="469" w:type="dxa"/>
            <w:tcBorders>
              <w:bottom w:val="single" w:sz="18" w:space="0" w:color="auto"/>
              <w:right w:val="single" w:sz="18" w:space="0" w:color="FFFFFF" w:themeColor="background1"/>
            </w:tcBorders>
          </w:tcPr>
          <w:p w:rsidR="00A86593" w:rsidRDefault="00A86593" w:rsidP="001C741C">
            <w:pPr>
              <w:jc w:val="right"/>
              <w:rPr>
                <w:sz w:val="20"/>
              </w:rPr>
            </w:pPr>
          </w:p>
        </w:tc>
        <w:tc>
          <w:tcPr>
            <w:tcW w:w="1105" w:type="dxa"/>
            <w:tcBorders>
              <w:left w:val="single" w:sz="18" w:space="0" w:color="FFFFFF" w:themeColor="background1"/>
              <w:bottom w:val="single" w:sz="18" w:space="0" w:color="auto"/>
            </w:tcBorders>
          </w:tcPr>
          <w:p w:rsidR="00A86593" w:rsidRDefault="00A86593" w:rsidP="001C741C">
            <w:pPr>
              <w:jc w:val="right"/>
              <w:rPr>
                <w:sz w:val="20"/>
              </w:rPr>
            </w:pPr>
            <w:r>
              <w:rPr>
                <w:sz w:val="20"/>
              </w:rPr>
              <w:t>10.6</w:t>
            </w:r>
          </w:p>
        </w:tc>
        <w:tc>
          <w:tcPr>
            <w:tcW w:w="435" w:type="dxa"/>
            <w:tcBorders>
              <w:bottom w:val="single" w:sz="18" w:space="0" w:color="auto"/>
              <w:right w:val="single" w:sz="18" w:space="0" w:color="FFFFFF" w:themeColor="background1"/>
            </w:tcBorders>
          </w:tcPr>
          <w:p w:rsidR="00A86593" w:rsidRDefault="00A86593" w:rsidP="001C741C">
            <w:pPr>
              <w:jc w:val="right"/>
              <w:rPr>
                <w:sz w:val="20"/>
              </w:rPr>
            </w:pPr>
          </w:p>
        </w:tc>
        <w:tc>
          <w:tcPr>
            <w:tcW w:w="1139" w:type="dxa"/>
            <w:tcBorders>
              <w:left w:val="single" w:sz="18" w:space="0" w:color="FFFFFF" w:themeColor="background1"/>
              <w:bottom w:val="single" w:sz="18" w:space="0" w:color="auto"/>
            </w:tcBorders>
          </w:tcPr>
          <w:p w:rsidR="00A86593" w:rsidRDefault="00A86593" w:rsidP="001C741C">
            <w:pPr>
              <w:jc w:val="right"/>
              <w:rPr>
                <w:sz w:val="20"/>
              </w:rPr>
            </w:pPr>
            <w:r>
              <w:rPr>
                <w:sz w:val="20"/>
              </w:rPr>
              <w:t>397.5</w:t>
            </w:r>
          </w:p>
        </w:tc>
      </w:tr>
      <w:tr w:rsidR="00A86593" w:rsidRPr="000E6955" w:rsidTr="001C741C">
        <w:tc>
          <w:tcPr>
            <w:tcW w:w="3085" w:type="dxa"/>
          </w:tcPr>
          <w:p w:rsidR="00A86593" w:rsidRDefault="00A86593" w:rsidP="001C741C">
            <w:pPr>
              <w:rPr>
                <w:sz w:val="20"/>
              </w:rPr>
            </w:pPr>
          </w:p>
        </w:tc>
        <w:tc>
          <w:tcPr>
            <w:tcW w:w="469" w:type="dxa"/>
            <w:tcBorders>
              <w:top w:val="single" w:sz="18" w:space="0" w:color="auto"/>
              <w:right w:val="single" w:sz="18" w:space="0" w:color="FFFFFF" w:themeColor="background1"/>
            </w:tcBorders>
          </w:tcPr>
          <w:p w:rsidR="00A86593" w:rsidRDefault="00A86593" w:rsidP="001C741C">
            <w:pPr>
              <w:jc w:val="right"/>
              <w:rPr>
                <w:sz w:val="20"/>
              </w:rPr>
            </w:pPr>
          </w:p>
        </w:tc>
        <w:tc>
          <w:tcPr>
            <w:tcW w:w="1104" w:type="dxa"/>
            <w:tcBorders>
              <w:top w:val="single" w:sz="18" w:space="0" w:color="auto"/>
              <w:left w:val="single" w:sz="18" w:space="0" w:color="FFFFFF" w:themeColor="background1"/>
            </w:tcBorders>
          </w:tcPr>
          <w:p w:rsidR="00A86593" w:rsidRDefault="00A86593" w:rsidP="001C741C">
            <w:pPr>
              <w:jc w:val="right"/>
              <w:rPr>
                <w:sz w:val="20"/>
              </w:rPr>
            </w:pPr>
            <w:r>
              <w:rPr>
                <w:sz w:val="20"/>
              </w:rPr>
              <w:t>3,831.3</w:t>
            </w:r>
          </w:p>
        </w:tc>
        <w:tc>
          <w:tcPr>
            <w:tcW w:w="486" w:type="dxa"/>
            <w:tcBorders>
              <w:top w:val="single" w:sz="18" w:space="0" w:color="auto"/>
              <w:right w:val="single" w:sz="18" w:space="0" w:color="FFFFFF" w:themeColor="background1"/>
            </w:tcBorders>
          </w:tcPr>
          <w:p w:rsidR="00A86593" w:rsidRDefault="00A86593" w:rsidP="001C741C">
            <w:pPr>
              <w:jc w:val="right"/>
              <w:rPr>
                <w:sz w:val="20"/>
              </w:rPr>
            </w:pPr>
          </w:p>
        </w:tc>
        <w:tc>
          <w:tcPr>
            <w:tcW w:w="1088" w:type="dxa"/>
            <w:tcBorders>
              <w:top w:val="single" w:sz="18" w:space="0" w:color="auto"/>
              <w:left w:val="single" w:sz="18" w:space="0" w:color="FFFFFF" w:themeColor="background1"/>
            </w:tcBorders>
          </w:tcPr>
          <w:p w:rsidR="00A86593" w:rsidRDefault="00A86593" w:rsidP="001C741C">
            <w:pPr>
              <w:jc w:val="right"/>
              <w:rPr>
                <w:sz w:val="20"/>
              </w:rPr>
            </w:pPr>
            <w:r>
              <w:rPr>
                <w:sz w:val="20"/>
              </w:rPr>
              <w:t>1,792.5</w:t>
            </w:r>
          </w:p>
        </w:tc>
        <w:tc>
          <w:tcPr>
            <w:tcW w:w="469" w:type="dxa"/>
            <w:tcBorders>
              <w:top w:val="single" w:sz="18" w:space="0" w:color="auto"/>
              <w:right w:val="single" w:sz="18" w:space="0" w:color="FFFFFF" w:themeColor="background1"/>
            </w:tcBorders>
          </w:tcPr>
          <w:p w:rsidR="00A86593" w:rsidRDefault="00A86593" w:rsidP="001C741C">
            <w:pPr>
              <w:jc w:val="right"/>
              <w:rPr>
                <w:sz w:val="20"/>
              </w:rPr>
            </w:pPr>
          </w:p>
        </w:tc>
        <w:tc>
          <w:tcPr>
            <w:tcW w:w="1105" w:type="dxa"/>
            <w:tcBorders>
              <w:top w:val="single" w:sz="18" w:space="0" w:color="auto"/>
              <w:left w:val="single" w:sz="18" w:space="0" w:color="FFFFFF" w:themeColor="background1"/>
            </w:tcBorders>
          </w:tcPr>
          <w:p w:rsidR="00A86593" w:rsidRDefault="00A86593" w:rsidP="001C741C">
            <w:pPr>
              <w:jc w:val="right"/>
              <w:rPr>
                <w:sz w:val="20"/>
              </w:rPr>
            </w:pPr>
            <w:r>
              <w:rPr>
                <w:sz w:val="20"/>
              </w:rPr>
              <w:t>-1,635.3</w:t>
            </w:r>
          </w:p>
        </w:tc>
        <w:tc>
          <w:tcPr>
            <w:tcW w:w="469" w:type="dxa"/>
            <w:tcBorders>
              <w:top w:val="single" w:sz="18" w:space="0" w:color="auto"/>
              <w:right w:val="single" w:sz="18" w:space="0" w:color="FFFFFF" w:themeColor="background1"/>
            </w:tcBorders>
          </w:tcPr>
          <w:p w:rsidR="00A86593" w:rsidRDefault="00A86593" w:rsidP="001C741C">
            <w:pPr>
              <w:jc w:val="right"/>
              <w:rPr>
                <w:sz w:val="20"/>
              </w:rPr>
            </w:pPr>
          </w:p>
        </w:tc>
        <w:tc>
          <w:tcPr>
            <w:tcW w:w="1105" w:type="dxa"/>
            <w:tcBorders>
              <w:top w:val="single" w:sz="18" w:space="0" w:color="auto"/>
              <w:left w:val="single" w:sz="18" w:space="0" w:color="FFFFFF" w:themeColor="background1"/>
            </w:tcBorders>
          </w:tcPr>
          <w:p w:rsidR="00A86593" w:rsidRDefault="00A86593" w:rsidP="001C741C">
            <w:pPr>
              <w:jc w:val="right"/>
              <w:rPr>
                <w:sz w:val="20"/>
              </w:rPr>
            </w:pPr>
            <w:r>
              <w:rPr>
                <w:sz w:val="20"/>
              </w:rPr>
              <w:t>239.7</w:t>
            </w:r>
          </w:p>
        </w:tc>
        <w:tc>
          <w:tcPr>
            <w:tcW w:w="435" w:type="dxa"/>
            <w:tcBorders>
              <w:top w:val="single" w:sz="18" w:space="0" w:color="auto"/>
              <w:right w:val="single" w:sz="18" w:space="0" w:color="FFFFFF" w:themeColor="background1"/>
            </w:tcBorders>
          </w:tcPr>
          <w:p w:rsidR="00A86593" w:rsidRDefault="00A86593" w:rsidP="001C741C">
            <w:pPr>
              <w:jc w:val="right"/>
              <w:rPr>
                <w:sz w:val="20"/>
              </w:rPr>
            </w:pPr>
          </w:p>
          <w:p w:rsidR="00A86593" w:rsidRDefault="00A86593" w:rsidP="001C741C">
            <w:pPr>
              <w:jc w:val="right"/>
              <w:rPr>
                <w:sz w:val="20"/>
              </w:rPr>
            </w:pPr>
          </w:p>
        </w:tc>
        <w:tc>
          <w:tcPr>
            <w:tcW w:w="1139" w:type="dxa"/>
            <w:tcBorders>
              <w:top w:val="single" w:sz="18" w:space="0" w:color="auto"/>
              <w:left w:val="single" w:sz="18" w:space="0" w:color="FFFFFF" w:themeColor="background1"/>
            </w:tcBorders>
          </w:tcPr>
          <w:p w:rsidR="00A86593" w:rsidRDefault="00A86593" w:rsidP="001C741C">
            <w:pPr>
              <w:jc w:val="right"/>
              <w:rPr>
                <w:sz w:val="20"/>
              </w:rPr>
            </w:pPr>
            <w:r>
              <w:rPr>
                <w:sz w:val="20"/>
              </w:rPr>
              <w:t>4,228.2</w:t>
            </w:r>
          </w:p>
          <w:p w:rsidR="00A86593" w:rsidRDefault="00A86593" w:rsidP="001C741C">
            <w:pPr>
              <w:jc w:val="right"/>
              <w:rPr>
                <w:sz w:val="20"/>
              </w:rPr>
            </w:pPr>
          </w:p>
        </w:tc>
      </w:tr>
      <w:tr w:rsidR="00A86593" w:rsidRPr="000E6955" w:rsidTr="001C741C">
        <w:tc>
          <w:tcPr>
            <w:tcW w:w="3085" w:type="dxa"/>
          </w:tcPr>
          <w:p w:rsidR="00A86593" w:rsidRDefault="00A86593" w:rsidP="001C741C">
            <w:pPr>
              <w:rPr>
                <w:sz w:val="20"/>
              </w:rPr>
            </w:pPr>
            <w:r>
              <w:rPr>
                <w:sz w:val="20"/>
              </w:rPr>
              <w:t>Derivative contracts:</w:t>
            </w:r>
          </w:p>
          <w:p w:rsidR="00A86593" w:rsidRDefault="00A86593" w:rsidP="001C741C">
            <w:pPr>
              <w:rPr>
                <w:sz w:val="20"/>
              </w:rPr>
            </w:pPr>
            <w:r>
              <w:rPr>
                <w:sz w:val="20"/>
              </w:rPr>
              <w:t>Futures</w:t>
            </w:r>
          </w:p>
        </w:tc>
        <w:tc>
          <w:tcPr>
            <w:tcW w:w="469" w:type="dxa"/>
            <w:tcBorders>
              <w:right w:val="single" w:sz="18" w:space="0" w:color="FFFFFF" w:themeColor="background1"/>
            </w:tcBorders>
          </w:tcPr>
          <w:p w:rsidR="00A86593" w:rsidRDefault="00A86593" w:rsidP="001C741C">
            <w:pPr>
              <w:jc w:val="right"/>
              <w:rPr>
                <w:sz w:val="20"/>
              </w:rPr>
            </w:pPr>
          </w:p>
          <w:p w:rsidR="00A86593" w:rsidRDefault="00A86593" w:rsidP="001C741C">
            <w:pPr>
              <w:jc w:val="right"/>
              <w:rPr>
                <w:sz w:val="20"/>
              </w:rPr>
            </w:pPr>
          </w:p>
        </w:tc>
        <w:tc>
          <w:tcPr>
            <w:tcW w:w="1104" w:type="dxa"/>
            <w:tcBorders>
              <w:left w:val="single" w:sz="18" w:space="0" w:color="FFFFFF" w:themeColor="background1"/>
            </w:tcBorders>
          </w:tcPr>
          <w:p w:rsidR="00A86593" w:rsidRDefault="00A86593" w:rsidP="001C741C">
            <w:pPr>
              <w:jc w:val="right"/>
              <w:rPr>
                <w:sz w:val="20"/>
              </w:rPr>
            </w:pPr>
          </w:p>
          <w:p w:rsidR="00A86593" w:rsidRDefault="00A86593" w:rsidP="001C741C">
            <w:pPr>
              <w:jc w:val="right"/>
              <w:rPr>
                <w:sz w:val="20"/>
              </w:rPr>
            </w:pPr>
            <w:r>
              <w:rPr>
                <w:sz w:val="20"/>
              </w:rPr>
              <w:t>-</w:t>
            </w:r>
          </w:p>
        </w:tc>
        <w:tc>
          <w:tcPr>
            <w:tcW w:w="486" w:type="dxa"/>
            <w:tcBorders>
              <w:right w:val="single" w:sz="18" w:space="0" w:color="FFFFFF" w:themeColor="background1"/>
            </w:tcBorders>
          </w:tcPr>
          <w:p w:rsidR="00A86593" w:rsidRDefault="00A86593" w:rsidP="001C741C">
            <w:pPr>
              <w:jc w:val="right"/>
              <w:rPr>
                <w:sz w:val="20"/>
              </w:rPr>
            </w:pPr>
          </w:p>
          <w:p w:rsidR="00A86593" w:rsidRDefault="00A86593" w:rsidP="001C741C">
            <w:pPr>
              <w:jc w:val="right"/>
              <w:rPr>
                <w:sz w:val="20"/>
              </w:rPr>
            </w:pPr>
          </w:p>
        </w:tc>
        <w:tc>
          <w:tcPr>
            <w:tcW w:w="1088" w:type="dxa"/>
            <w:tcBorders>
              <w:left w:val="single" w:sz="18" w:space="0" w:color="FFFFFF" w:themeColor="background1"/>
            </w:tcBorders>
          </w:tcPr>
          <w:p w:rsidR="00A86593" w:rsidRDefault="00A86593" w:rsidP="001C741C">
            <w:pPr>
              <w:jc w:val="right"/>
              <w:rPr>
                <w:sz w:val="20"/>
              </w:rPr>
            </w:pPr>
          </w:p>
          <w:p w:rsidR="00A86593" w:rsidRDefault="00A86593" w:rsidP="001C741C">
            <w:pPr>
              <w:jc w:val="right"/>
              <w:rPr>
                <w:sz w:val="20"/>
              </w:rPr>
            </w:pPr>
            <w:r>
              <w:rPr>
                <w:sz w:val="20"/>
              </w:rPr>
              <w:t>4.1</w:t>
            </w:r>
          </w:p>
        </w:tc>
        <w:tc>
          <w:tcPr>
            <w:tcW w:w="469" w:type="dxa"/>
            <w:tcBorders>
              <w:right w:val="single" w:sz="18" w:space="0" w:color="FFFFFF" w:themeColor="background1"/>
            </w:tcBorders>
          </w:tcPr>
          <w:p w:rsidR="00A86593" w:rsidRDefault="00A86593" w:rsidP="001C741C">
            <w:pPr>
              <w:jc w:val="right"/>
              <w:rPr>
                <w:sz w:val="20"/>
              </w:rPr>
            </w:pPr>
          </w:p>
          <w:p w:rsidR="00A86593" w:rsidRDefault="00A86593" w:rsidP="001C741C">
            <w:pPr>
              <w:jc w:val="right"/>
              <w:rPr>
                <w:sz w:val="20"/>
              </w:rPr>
            </w:pPr>
          </w:p>
        </w:tc>
        <w:tc>
          <w:tcPr>
            <w:tcW w:w="1105" w:type="dxa"/>
            <w:tcBorders>
              <w:left w:val="single" w:sz="18" w:space="0" w:color="FFFFFF" w:themeColor="background1"/>
            </w:tcBorders>
          </w:tcPr>
          <w:p w:rsidR="00A86593" w:rsidRDefault="00A86593" w:rsidP="001C741C">
            <w:pPr>
              <w:jc w:val="right"/>
              <w:rPr>
                <w:sz w:val="20"/>
              </w:rPr>
            </w:pPr>
          </w:p>
          <w:p w:rsidR="00A86593" w:rsidRDefault="00A86593" w:rsidP="001C741C">
            <w:pPr>
              <w:jc w:val="right"/>
              <w:rPr>
                <w:sz w:val="20"/>
              </w:rPr>
            </w:pPr>
            <w:r>
              <w:rPr>
                <w:sz w:val="20"/>
              </w:rPr>
              <w:t>-2.3</w:t>
            </w:r>
          </w:p>
        </w:tc>
        <w:tc>
          <w:tcPr>
            <w:tcW w:w="469" w:type="dxa"/>
            <w:tcBorders>
              <w:right w:val="single" w:sz="18" w:space="0" w:color="FFFFFF" w:themeColor="background1"/>
            </w:tcBorders>
          </w:tcPr>
          <w:p w:rsidR="00A86593" w:rsidRDefault="00A86593" w:rsidP="001C741C">
            <w:pPr>
              <w:jc w:val="right"/>
              <w:rPr>
                <w:sz w:val="20"/>
              </w:rPr>
            </w:pPr>
          </w:p>
          <w:p w:rsidR="00A86593" w:rsidRDefault="00A86593" w:rsidP="001C741C">
            <w:pPr>
              <w:jc w:val="right"/>
              <w:rPr>
                <w:sz w:val="20"/>
              </w:rPr>
            </w:pPr>
          </w:p>
        </w:tc>
        <w:tc>
          <w:tcPr>
            <w:tcW w:w="1105" w:type="dxa"/>
            <w:tcBorders>
              <w:left w:val="single" w:sz="18" w:space="0" w:color="FFFFFF" w:themeColor="background1"/>
            </w:tcBorders>
          </w:tcPr>
          <w:p w:rsidR="00A86593" w:rsidRDefault="00A86593" w:rsidP="001C741C">
            <w:pPr>
              <w:jc w:val="right"/>
              <w:rPr>
                <w:sz w:val="20"/>
              </w:rPr>
            </w:pPr>
          </w:p>
          <w:p w:rsidR="00A86593" w:rsidRDefault="00A86593" w:rsidP="001C741C">
            <w:pPr>
              <w:jc w:val="right"/>
              <w:rPr>
                <w:sz w:val="20"/>
              </w:rPr>
            </w:pPr>
            <w:r>
              <w:rPr>
                <w:sz w:val="20"/>
              </w:rPr>
              <w:t>-0.9</w:t>
            </w:r>
          </w:p>
        </w:tc>
        <w:tc>
          <w:tcPr>
            <w:tcW w:w="435" w:type="dxa"/>
            <w:tcBorders>
              <w:right w:val="single" w:sz="18" w:space="0" w:color="FFFFFF" w:themeColor="background1"/>
            </w:tcBorders>
          </w:tcPr>
          <w:p w:rsidR="00A86593" w:rsidRDefault="00A86593" w:rsidP="001C741C">
            <w:pPr>
              <w:jc w:val="right"/>
              <w:rPr>
                <w:sz w:val="20"/>
              </w:rPr>
            </w:pPr>
          </w:p>
          <w:p w:rsidR="00A86593" w:rsidRDefault="00A86593" w:rsidP="001C741C">
            <w:pPr>
              <w:jc w:val="right"/>
              <w:rPr>
                <w:sz w:val="20"/>
              </w:rPr>
            </w:pPr>
          </w:p>
        </w:tc>
        <w:tc>
          <w:tcPr>
            <w:tcW w:w="1139" w:type="dxa"/>
            <w:tcBorders>
              <w:left w:val="single" w:sz="18" w:space="0" w:color="FFFFFF" w:themeColor="background1"/>
            </w:tcBorders>
          </w:tcPr>
          <w:p w:rsidR="00A86593" w:rsidRDefault="00A86593" w:rsidP="001C741C">
            <w:pPr>
              <w:jc w:val="right"/>
              <w:rPr>
                <w:sz w:val="20"/>
              </w:rPr>
            </w:pPr>
          </w:p>
          <w:p w:rsidR="00A86593" w:rsidRDefault="00A86593" w:rsidP="001C741C">
            <w:pPr>
              <w:jc w:val="right"/>
              <w:rPr>
                <w:sz w:val="20"/>
              </w:rPr>
            </w:pPr>
            <w:r>
              <w:rPr>
                <w:sz w:val="20"/>
              </w:rPr>
              <w:t>0.9</w:t>
            </w:r>
          </w:p>
        </w:tc>
      </w:tr>
      <w:tr w:rsidR="00A86593" w:rsidRPr="000E6955" w:rsidTr="001C741C">
        <w:tc>
          <w:tcPr>
            <w:tcW w:w="3085" w:type="dxa"/>
          </w:tcPr>
          <w:p w:rsidR="00A86593" w:rsidRDefault="00A86593" w:rsidP="001C741C">
            <w:pPr>
              <w:rPr>
                <w:sz w:val="20"/>
              </w:rPr>
            </w:pPr>
            <w:r>
              <w:rPr>
                <w:sz w:val="20"/>
              </w:rPr>
              <w:t>Forward currency contracts</w:t>
            </w:r>
          </w:p>
        </w:tc>
        <w:tc>
          <w:tcPr>
            <w:tcW w:w="469" w:type="dxa"/>
            <w:tcBorders>
              <w:right w:val="single" w:sz="18" w:space="0" w:color="FFFFFF" w:themeColor="background1"/>
            </w:tcBorders>
          </w:tcPr>
          <w:p w:rsidR="00A86593" w:rsidRDefault="00A86593" w:rsidP="001C741C">
            <w:pPr>
              <w:jc w:val="right"/>
              <w:rPr>
                <w:sz w:val="20"/>
              </w:rPr>
            </w:pPr>
          </w:p>
        </w:tc>
        <w:tc>
          <w:tcPr>
            <w:tcW w:w="1104" w:type="dxa"/>
            <w:tcBorders>
              <w:left w:val="single" w:sz="18" w:space="0" w:color="FFFFFF" w:themeColor="background1"/>
            </w:tcBorders>
          </w:tcPr>
          <w:p w:rsidR="00A86593" w:rsidRDefault="00A86593" w:rsidP="001C741C">
            <w:pPr>
              <w:jc w:val="right"/>
              <w:rPr>
                <w:sz w:val="20"/>
              </w:rPr>
            </w:pPr>
            <w:r>
              <w:rPr>
                <w:sz w:val="20"/>
              </w:rPr>
              <w:t>0.1</w:t>
            </w:r>
          </w:p>
        </w:tc>
        <w:tc>
          <w:tcPr>
            <w:tcW w:w="486" w:type="dxa"/>
            <w:tcBorders>
              <w:right w:val="single" w:sz="18" w:space="0" w:color="FFFFFF" w:themeColor="background1"/>
            </w:tcBorders>
          </w:tcPr>
          <w:p w:rsidR="00A86593" w:rsidRDefault="00A86593" w:rsidP="001C741C">
            <w:pPr>
              <w:jc w:val="right"/>
              <w:rPr>
                <w:sz w:val="20"/>
              </w:rPr>
            </w:pPr>
          </w:p>
        </w:tc>
        <w:tc>
          <w:tcPr>
            <w:tcW w:w="1088" w:type="dxa"/>
            <w:tcBorders>
              <w:left w:val="single" w:sz="18" w:space="0" w:color="FFFFFF" w:themeColor="background1"/>
            </w:tcBorders>
          </w:tcPr>
          <w:p w:rsidR="00A86593" w:rsidRDefault="00A86593" w:rsidP="001C741C">
            <w:pPr>
              <w:jc w:val="right"/>
              <w:rPr>
                <w:sz w:val="20"/>
              </w:rPr>
            </w:pPr>
          </w:p>
        </w:tc>
        <w:tc>
          <w:tcPr>
            <w:tcW w:w="469" w:type="dxa"/>
            <w:tcBorders>
              <w:right w:val="single" w:sz="18" w:space="0" w:color="FFFFFF" w:themeColor="background1"/>
            </w:tcBorders>
          </w:tcPr>
          <w:p w:rsidR="00A86593" w:rsidRDefault="00A86593" w:rsidP="001C741C">
            <w:pPr>
              <w:jc w:val="right"/>
              <w:rPr>
                <w:sz w:val="20"/>
              </w:rPr>
            </w:pPr>
          </w:p>
        </w:tc>
        <w:tc>
          <w:tcPr>
            <w:tcW w:w="1105" w:type="dxa"/>
            <w:tcBorders>
              <w:left w:val="single" w:sz="18" w:space="0" w:color="FFFFFF" w:themeColor="background1"/>
            </w:tcBorders>
          </w:tcPr>
          <w:p w:rsidR="00A86593" w:rsidRDefault="00A86593" w:rsidP="001C741C">
            <w:pPr>
              <w:jc w:val="right"/>
              <w:rPr>
                <w:sz w:val="20"/>
              </w:rPr>
            </w:pPr>
          </w:p>
        </w:tc>
        <w:tc>
          <w:tcPr>
            <w:tcW w:w="469" w:type="dxa"/>
            <w:tcBorders>
              <w:right w:val="single" w:sz="18" w:space="0" w:color="FFFFFF" w:themeColor="background1"/>
            </w:tcBorders>
          </w:tcPr>
          <w:p w:rsidR="00A86593" w:rsidRDefault="00A86593" w:rsidP="001C741C">
            <w:pPr>
              <w:jc w:val="right"/>
              <w:rPr>
                <w:sz w:val="20"/>
              </w:rPr>
            </w:pPr>
          </w:p>
        </w:tc>
        <w:tc>
          <w:tcPr>
            <w:tcW w:w="1105" w:type="dxa"/>
            <w:tcBorders>
              <w:left w:val="single" w:sz="18" w:space="0" w:color="FFFFFF" w:themeColor="background1"/>
            </w:tcBorders>
          </w:tcPr>
          <w:p w:rsidR="00A86593" w:rsidRDefault="00A86593" w:rsidP="001C741C">
            <w:pPr>
              <w:jc w:val="right"/>
              <w:rPr>
                <w:sz w:val="20"/>
              </w:rPr>
            </w:pPr>
          </w:p>
        </w:tc>
        <w:tc>
          <w:tcPr>
            <w:tcW w:w="435" w:type="dxa"/>
            <w:tcBorders>
              <w:right w:val="single" w:sz="18" w:space="0" w:color="FFFFFF" w:themeColor="background1"/>
            </w:tcBorders>
          </w:tcPr>
          <w:p w:rsidR="00A86593" w:rsidRDefault="00A86593" w:rsidP="001C741C">
            <w:pPr>
              <w:jc w:val="right"/>
              <w:rPr>
                <w:sz w:val="20"/>
              </w:rPr>
            </w:pPr>
          </w:p>
        </w:tc>
        <w:tc>
          <w:tcPr>
            <w:tcW w:w="1139" w:type="dxa"/>
            <w:tcBorders>
              <w:left w:val="single" w:sz="18" w:space="0" w:color="FFFFFF" w:themeColor="background1"/>
            </w:tcBorders>
          </w:tcPr>
          <w:p w:rsidR="00A86593" w:rsidRDefault="00A86593" w:rsidP="001C741C">
            <w:pPr>
              <w:jc w:val="right"/>
              <w:rPr>
                <w:sz w:val="20"/>
              </w:rPr>
            </w:pPr>
            <w:r>
              <w:rPr>
                <w:sz w:val="20"/>
              </w:rPr>
              <w:t>0.9</w:t>
            </w:r>
          </w:p>
        </w:tc>
      </w:tr>
      <w:tr w:rsidR="00A86593" w:rsidRPr="000E6955" w:rsidTr="001C741C">
        <w:tc>
          <w:tcPr>
            <w:tcW w:w="3085" w:type="dxa"/>
          </w:tcPr>
          <w:p w:rsidR="00A86593" w:rsidRDefault="00A86593" w:rsidP="001C741C">
            <w:pPr>
              <w:rPr>
                <w:sz w:val="20"/>
              </w:rPr>
            </w:pPr>
            <w:r>
              <w:rPr>
                <w:sz w:val="20"/>
              </w:rPr>
              <w:t>Purchased/written options</w:t>
            </w:r>
          </w:p>
        </w:tc>
        <w:tc>
          <w:tcPr>
            <w:tcW w:w="469" w:type="dxa"/>
            <w:tcBorders>
              <w:right w:val="single" w:sz="18" w:space="0" w:color="FFFFFF" w:themeColor="background1"/>
            </w:tcBorders>
          </w:tcPr>
          <w:p w:rsidR="00A86593" w:rsidRDefault="00A86593" w:rsidP="001C741C">
            <w:pPr>
              <w:jc w:val="right"/>
              <w:rPr>
                <w:sz w:val="20"/>
              </w:rPr>
            </w:pPr>
          </w:p>
        </w:tc>
        <w:tc>
          <w:tcPr>
            <w:tcW w:w="1104" w:type="dxa"/>
            <w:tcBorders>
              <w:left w:val="single" w:sz="18" w:space="0" w:color="FFFFFF" w:themeColor="background1"/>
            </w:tcBorders>
          </w:tcPr>
          <w:p w:rsidR="00A86593" w:rsidRDefault="00A86593" w:rsidP="001C741C">
            <w:pPr>
              <w:jc w:val="right"/>
              <w:rPr>
                <w:sz w:val="20"/>
              </w:rPr>
            </w:pPr>
          </w:p>
        </w:tc>
        <w:tc>
          <w:tcPr>
            <w:tcW w:w="486" w:type="dxa"/>
            <w:tcBorders>
              <w:right w:val="single" w:sz="18" w:space="0" w:color="FFFFFF" w:themeColor="background1"/>
            </w:tcBorders>
          </w:tcPr>
          <w:p w:rsidR="00A86593" w:rsidRDefault="00A86593" w:rsidP="001C741C">
            <w:pPr>
              <w:jc w:val="right"/>
              <w:rPr>
                <w:sz w:val="20"/>
              </w:rPr>
            </w:pPr>
          </w:p>
        </w:tc>
        <w:tc>
          <w:tcPr>
            <w:tcW w:w="1088" w:type="dxa"/>
            <w:tcBorders>
              <w:left w:val="single" w:sz="18" w:space="0" w:color="FFFFFF" w:themeColor="background1"/>
            </w:tcBorders>
          </w:tcPr>
          <w:p w:rsidR="00A86593" w:rsidRDefault="00A86593" w:rsidP="001C741C">
            <w:pPr>
              <w:jc w:val="right"/>
              <w:rPr>
                <w:sz w:val="20"/>
              </w:rPr>
            </w:pPr>
          </w:p>
        </w:tc>
        <w:tc>
          <w:tcPr>
            <w:tcW w:w="469" w:type="dxa"/>
            <w:tcBorders>
              <w:right w:val="single" w:sz="18" w:space="0" w:color="FFFFFF" w:themeColor="background1"/>
            </w:tcBorders>
          </w:tcPr>
          <w:p w:rsidR="00A86593" w:rsidRDefault="00A86593" w:rsidP="001C741C">
            <w:pPr>
              <w:jc w:val="right"/>
              <w:rPr>
                <w:sz w:val="20"/>
              </w:rPr>
            </w:pPr>
          </w:p>
        </w:tc>
        <w:tc>
          <w:tcPr>
            <w:tcW w:w="1105" w:type="dxa"/>
            <w:tcBorders>
              <w:left w:val="single" w:sz="18" w:space="0" w:color="FFFFFF" w:themeColor="background1"/>
            </w:tcBorders>
          </w:tcPr>
          <w:p w:rsidR="00A86593" w:rsidRDefault="00A86593" w:rsidP="001C741C">
            <w:pPr>
              <w:jc w:val="right"/>
              <w:rPr>
                <w:sz w:val="20"/>
              </w:rPr>
            </w:pPr>
          </w:p>
        </w:tc>
        <w:tc>
          <w:tcPr>
            <w:tcW w:w="469" w:type="dxa"/>
            <w:tcBorders>
              <w:right w:val="single" w:sz="18" w:space="0" w:color="FFFFFF" w:themeColor="background1"/>
            </w:tcBorders>
          </w:tcPr>
          <w:p w:rsidR="00A86593" w:rsidRDefault="00A86593" w:rsidP="001C741C">
            <w:pPr>
              <w:jc w:val="right"/>
              <w:rPr>
                <w:sz w:val="20"/>
              </w:rPr>
            </w:pPr>
          </w:p>
        </w:tc>
        <w:tc>
          <w:tcPr>
            <w:tcW w:w="1105" w:type="dxa"/>
            <w:tcBorders>
              <w:left w:val="single" w:sz="18" w:space="0" w:color="FFFFFF" w:themeColor="background1"/>
            </w:tcBorders>
          </w:tcPr>
          <w:p w:rsidR="00A86593" w:rsidRDefault="00A86593" w:rsidP="001C741C">
            <w:pPr>
              <w:jc w:val="right"/>
              <w:rPr>
                <w:sz w:val="20"/>
              </w:rPr>
            </w:pPr>
          </w:p>
        </w:tc>
        <w:tc>
          <w:tcPr>
            <w:tcW w:w="435" w:type="dxa"/>
            <w:tcBorders>
              <w:right w:val="single" w:sz="18" w:space="0" w:color="FFFFFF" w:themeColor="background1"/>
            </w:tcBorders>
          </w:tcPr>
          <w:p w:rsidR="00A86593" w:rsidRDefault="00A86593" w:rsidP="001C741C">
            <w:pPr>
              <w:jc w:val="right"/>
              <w:rPr>
                <w:sz w:val="20"/>
              </w:rPr>
            </w:pPr>
          </w:p>
        </w:tc>
        <w:tc>
          <w:tcPr>
            <w:tcW w:w="1139" w:type="dxa"/>
            <w:tcBorders>
              <w:left w:val="single" w:sz="18" w:space="0" w:color="FFFFFF" w:themeColor="background1"/>
            </w:tcBorders>
          </w:tcPr>
          <w:p w:rsidR="00A86593" w:rsidRDefault="00A86593" w:rsidP="001C741C">
            <w:pPr>
              <w:jc w:val="right"/>
              <w:rPr>
                <w:sz w:val="20"/>
              </w:rPr>
            </w:pPr>
          </w:p>
        </w:tc>
      </w:tr>
      <w:tr w:rsidR="00A86593" w:rsidRPr="000E6955" w:rsidTr="001C741C">
        <w:tc>
          <w:tcPr>
            <w:tcW w:w="3085" w:type="dxa"/>
          </w:tcPr>
          <w:p w:rsidR="00A86593" w:rsidRDefault="00A86593" w:rsidP="001C741C">
            <w:pPr>
              <w:rPr>
                <w:sz w:val="20"/>
              </w:rPr>
            </w:pPr>
            <w:r>
              <w:rPr>
                <w:sz w:val="20"/>
              </w:rPr>
              <w:t>Cash deposits</w:t>
            </w:r>
          </w:p>
        </w:tc>
        <w:tc>
          <w:tcPr>
            <w:tcW w:w="469" w:type="dxa"/>
            <w:tcBorders>
              <w:right w:val="single" w:sz="18" w:space="0" w:color="FFFFFF" w:themeColor="background1"/>
            </w:tcBorders>
          </w:tcPr>
          <w:p w:rsidR="00A86593" w:rsidRDefault="00A86593" w:rsidP="001C741C">
            <w:pPr>
              <w:jc w:val="right"/>
              <w:rPr>
                <w:sz w:val="20"/>
              </w:rPr>
            </w:pPr>
          </w:p>
        </w:tc>
        <w:tc>
          <w:tcPr>
            <w:tcW w:w="1104" w:type="dxa"/>
            <w:tcBorders>
              <w:left w:val="single" w:sz="18" w:space="0" w:color="FFFFFF" w:themeColor="background1"/>
            </w:tcBorders>
          </w:tcPr>
          <w:p w:rsidR="00A86593" w:rsidRDefault="00A86593" w:rsidP="001C741C">
            <w:pPr>
              <w:jc w:val="right"/>
              <w:rPr>
                <w:sz w:val="20"/>
              </w:rPr>
            </w:pPr>
            <w:r>
              <w:rPr>
                <w:sz w:val="20"/>
              </w:rPr>
              <w:t>106.2</w:t>
            </w:r>
          </w:p>
        </w:tc>
        <w:tc>
          <w:tcPr>
            <w:tcW w:w="486" w:type="dxa"/>
            <w:tcBorders>
              <w:right w:val="single" w:sz="18" w:space="0" w:color="FFFFFF" w:themeColor="background1"/>
            </w:tcBorders>
          </w:tcPr>
          <w:p w:rsidR="00A86593" w:rsidRDefault="00A86593" w:rsidP="001C741C">
            <w:pPr>
              <w:jc w:val="right"/>
              <w:rPr>
                <w:sz w:val="20"/>
              </w:rPr>
            </w:pPr>
          </w:p>
        </w:tc>
        <w:tc>
          <w:tcPr>
            <w:tcW w:w="1088" w:type="dxa"/>
            <w:tcBorders>
              <w:left w:val="single" w:sz="18" w:space="0" w:color="FFFFFF" w:themeColor="background1"/>
            </w:tcBorders>
          </w:tcPr>
          <w:p w:rsidR="00A86593" w:rsidRDefault="00A86593" w:rsidP="001C741C">
            <w:pPr>
              <w:jc w:val="right"/>
              <w:rPr>
                <w:sz w:val="20"/>
              </w:rPr>
            </w:pPr>
          </w:p>
        </w:tc>
        <w:tc>
          <w:tcPr>
            <w:tcW w:w="469" w:type="dxa"/>
            <w:tcBorders>
              <w:right w:val="single" w:sz="18" w:space="0" w:color="FFFFFF" w:themeColor="background1"/>
            </w:tcBorders>
          </w:tcPr>
          <w:p w:rsidR="00A86593" w:rsidRDefault="00A86593" w:rsidP="001C741C">
            <w:pPr>
              <w:jc w:val="right"/>
              <w:rPr>
                <w:sz w:val="20"/>
              </w:rPr>
            </w:pPr>
          </w:p>
        </w:tc>
        <w:tc>
          <w:tcPr>
            <w:tcW w:w="1105" w:type="dxa"/>
            <w:tcBorders>
              <w:left w:val="single" w:sz="18" w:space="0" w:color="FFFFFF" w:themeColor="background1"/>
            </w:tcBorders>
          </w:tcPr>
          <w:p w:rsidR="00A86593" w:rsidRDefault="00A86593" w:rsidP="001C741C">
            <w:pPr>
              <w:jc w:val="right"/>
              <w:rPr>
                <w:sz w:val="20"/>
              </w:rPr>
            </w:pPr>
          </w:p>
        </w:tc>
        <w:tc>
          <w:tcPr>
            <w:tcW w:w="469" w:type="dxa"/>
            <w:tcBorders>
              <w:right w:val="single" w:sz="18" w:space="0" w:color="FFFFFF" w:themeColor="background1"/>
            </w:tcBorders>
          </w:tcPr>
          <w:p w:rsidR="00A86593" w:rsidRDefault="00A86593" w:rsidP="001C741C">
            <w:pPr>
              <w:jc w:val="right"/>
              <w:rPr>
                <w:sz w:val="20"/>
              </w:rPr>
            </w:pPr>
          </w:p>
        </w:tc>
        <w:tc>
          <w:tcPr>
            <w:tcW w:w="1105" w:type="dxa"/>
            <w:tcBorders>
              <w:left w:val="single" w:sz="18" w:space="0" w:color="FFFFFF" w:themeColor="background1"/>
            </w:tcBorders>
          </w:tcPr>
          <w:p w:rsidR="00A86593" w:rsidRDefault="00A86593" w:rsidP="001C741C">
            <w:pPr>
              <w:jc w:val="right"/>
              <w:rPr>
                <w:sz w:val="20"/>
              </w:rPr>
            </w:pPr>
          </w:p>
        </w:tc>
        <w:tc>
          <w:tcPr>
            <w:tcW w:w="435" w:type="dxa"/>
            <w:tcBorders>
              <w:right w:val="single" w:sz="18" w:space="0" w:color="FFFFFF" w:themeColor="background1"/>
            </w:tcBorders>
          </w:tcPr>
          <w:p w:rsidR="00A86593" w:rsidRDefault="00A86593" w:rsidP="001C741C">
            <w:pPr>
              <w:jc w:val="right"/>
              <w:rPr>
                <w:sz w:val="20"/>
              </w:rPr>
            </w:pPr>
          </w:p>
        </w:tc>
        <w:tc>
          <w:tcPr>
            <w:tcW w:w="1139" w:type="dxa"/>
            <w:tcBorders>
              <w:left w:val="single" w:sz="18" w:space="0" w:color="FFFFFF" w:themeColor="background1"/>
            </w:tcBorders>
          </w:tcPr>
          <w:p w:rsidR="00A86593" w:rsidRDefault="00A86593" w:rsidP="001C741C">
            <w:pPr>
              <w:jc w:val="right"/>
              <w:rPr>
                <w:sz w:val="20"/>
              </w:rPr>
            </w:pPr>
            <w:r>
              <w:rPr>
                <w:sz w:val="20"/>
              </w:rPr>
              <w:t>36.6</w:t>
            </w:r>
          </w:p>
        </w:tc>
      </w:tr>
      <w:tr w:rsidR="00A86593" w:rsidRPr="000E6955" w:rsidTr="001C741C">
        <w:tc>
          <w:tcPr>
            <w:tcW w:w="3085" w:type="dxa"/>
          </w:tcPr>
          <w:p w:rsidR="00A86593" w:rsidRDefault="00A86593" w:rsidP="001C741C">
            <w:pPr>
              <w:rPr>
                <w:sz w:val="20"/>
              </w:rPr>
            </w:pPr>
            <w:r>
              <w:rPr>
                <w:sz w:val="20"/>
              </w:rPr>
              <w:t>Other investment balances</w:t>
            </w:r>
          </w:p>
        </w:tc>
        <w:tc>
          <w:tcPr>
            <w:tcW w:w="469" w:type="dxa"/>
            <w:tcBorders>
              <w:right w:val="single" w:sz="18" w:space="0" w:color="FFFFFF" w:themeColor="background1"/>
            </w:tcBorders>
          </w:tcPr>
          <w:p w:rsidR="00A86593" w:rsidRDefault="00A86593" w:rsidP="001C741C">
            <w:pPr>
              <w:jc w:val="right"/>
              <w:rPr>
                <w:sz w:val="20"/>
              </w:rPr>
            </w:pPr>
          </w:p>
        </w:tc>
        <w:tc>
          <w:tcPr>
            <w:tcW w:w="1104" w:type="dxa"/>
            <w:tcBorders>
              <w:left w:val="single" w:sz="18" w:space="0" w:color="FFFFFF" w:themeColor="background1"/>
            </w:tcBorders>
          </w:tcPr>
          <w:p w:rsidR="00A86593" w:rsidRDefault="00A86593" w:rsidP="001C741C">
            <w:pPr>
              <w:jc w:val="right"/>
              <w:rPr>
                <w:sz w:val="20"/>
              </w:rPr>
            </w:pPr>
            <w:r>
              <w:rPr>
                <w:sz w:val="20"/>
              </w:rPr>
              <w:t>12.7</w:t>
            </w:r>
          </w:p>
        </w:tc>
        <w:tc>
          <w:tcPr>
            <w:tcW w:w="486" w:type="dxa"/>
            <w:tcBorders>
              <w:right w:val="single" w:sz="18" w:space="0" w:color="FFFFFF" w:themeColor="background1"/>
            </w:tcBorders>
          </w:tcPr>
          <w:p w:rsidR="00A86593" w:rsidRDefault="00A86593" w:rsidP="001C741C">
            <w:pPr>
              <w:jc w:val="right"/>
              <w:rPr>
                <w:sz w:val="20"/>
              </w:rPr>
            </w:pPr>
          </w:p>
        </w:tc>
        <w:tc>
          <w:tcPr>
            <w:tcW w:w="1088" w:type="dxa"/>
            <w:tcBorders>
              <w:left w:val="single" w:sz="18" w:space="0" w:color="FFFFFF" w:themeColor="background1"/>
            </w:tcBorders>
          </w:tcPr>
          <w:p w:rsidR="00A86593" w:rsidRDefault="00A86593" w:rsidP="001C741C">
            <w:pPr>
              <w:jc w:val="right"/>
              <w:rPr>
                <w:sz w:val="20"/>
              </w:rPr>
            </w:pPr>
          </w:p>
        </w:tc>
        <w:tc>
          <w:tcPr>
            <w:tcW w:w="469" w:type="dxa"/>
            <w:tcBorders>
              <w:right w:val="single" w:sz="18" w:space="0" w:color="FFFFFF" w:themeColor="background1"/>
            </w:tcBorders>
          </w:tcPr>
          <w:p w:rsidR="00A86593" w:rsidRDefault="00A86593" w:rsidP="001C741C">
            <w:pPr>
              <w:jc w:val="right"/>
              <w:rPr>
                <w:sz w:val="20"/>
              </w:rPr>
            </w:pPr>
          </w:p>
        </w:tc>
        <w:tc>
          <w:tcPr>
            <w:tcW w:w="1105" w:type="dxa"/>
            <w:tcBorders>
              <w:left w:val="single" w:sz="18" w:space="0" w:color="FFFFFF" w:themeColor="background1"/>
            </w:tcBorders>
          </w:tcPr>
          <w:p w:rsidR="00A86593" w:rsidRDefault="00A86593" w:rsidP="001C741C">
            <w:pPr>
              <w:jc w:val="right"/>
              <w:rPr>
                <w:sz w:val="20"/>
              </w:rPr>
            </w:pPr>
          </w:p>
        </w:tc>
        <w:tc>
          <w:tcPr>
            <w:tcW w:w="469" w:type="dxa"/>
            <w:tcBorders>
              <w:right w:val="single" w:sz="18" w:space="0" w:color="FFFFFF" w:themeColor="background1"/>
            </w:tcBorders>
          </w:tcPr>
          <w:p w:rsidR="00A86593" w:rsidRDefault="00A86593" w:rsidP="001C741C">
            <w:pPr>
              <w:jc w:val="right"/>
              <w:rPr>
                <w:sz w:val="20"/>
              </w:rPr>
            </w:pPr>
          </w:p>
        </w:tc>
        <w:tc>
          <w:tcPr>
            <w:tcW w:w="1105" w:type="dxa"/>
            <w:tcBorders>
              <w:left w:val="single" w:sz="18" w:space="0" w:color="FFFFFF" w:themeColor="background1"/>
            </w:tcBorders>
          </w:tcPr>
          <w:p w:rsidR="00A86593" w:rsidRDefault="00A86593" w:rsidP="001C741C">
            <w:pPr>
              <w:jc w:val="right"/>
              <w:rPr>
                <w:sz w:val="20"/>
              </w:rPr>
            </w:pPr>
          </w:p>
        </w:tc>
        <w:tc>
          <w:tcPr>
            <w:tcW w:w="435" w:type="dxa"/>
            <w:tcBorders>
              <w:right w:val="single" w:sz="18" w:space="0" w:color="FFFFFF" w:themeColor="background1"/>
            </w:tcBorders>
          </w:tcPr>
          <w:p w:rsidR="00A86593" w:rsidRDefault="00A86593" w:rsidP="001C741C">
            <w:pPr>
              <w:jc w:val="right"/>
              <w:rPr>
                <w:sz w:val="20"/>
              </w:rPr>
            </w:pPr>
          </w:p>
        </w:tc>
        <w:tc>
          <w:tcPr>
            <w:tcW w:w="1139" w:type="dxa"/>
            <w:tcBorders>
              <w:left w:val="single" w:sz="18" w:space="0" w:color="FFFFFF" w:themeColor="background1"/>
            </w:tcBorders>
          </w:tcPr>
          <w:p w:rsidR="00A86593" w:rsidRDefault="00A86593" w:rsidP="001C741C">
            <w:pPr>
              <w:jc w:val="right"/>
              <w:rPr>
                <w:sz w:val="20"/>
              </w:rPr>
            </w:pPr>
            <w:r>
              <w:rPr>
                <w:sz w:val="20"/>
              </w:rPr>
              <w:t>14.6</w:t>
            </w:r>
          </w:p>
        </w:tc>
      </w:tr>
      <w:tr w:rsidR="00A86593" w:rsidRPr="000E6955" w:rsidTr="001C741C">
        <w:tc>
          <w:tcPr>
            <w:tcW w:w="3085" w:type="dxa"/>
          </w:tcPr>
          <w:p w:rsidR="00A86593" w:rsidRDefault="00A86593" w:rsidP="001C741C">
            <w:pPr>
              <w:rPr>
                <w:sz w:val="20"/>
              </w:rPr>
            </w:pPr>
            <w:r>
              <w:rPr>
                <w:sz w:val="20"/>
              </w:rPr>
              <w:t>Amounts receivable from sales of investments</w:t>
            </w:r>
          </w:p>
        </w:tc>
        <w:tc>
          <w:tcPr>
            <w:tcW w:w="469" w:type="dxa"/>
            <w:tcBorders>
              <w:right w:val="single" w:sz="18" w:space="0" w:color="FFFFFF" w:themeColor="background1"/>
            </w:tcBorders>
          </w:tcPr>
          <w:p w:rsidR="00A86593" w:rsidRDefault="00A86593" w:rsidP="001C741C">
            <w:pPr>
              <w:jc w:val="right"/>
              <w:rPr>
                <w:sz w:val="20"/>
              </w:rPr>
            </w:pPr>
          </w:p>
        </w:tc>
        <w:tc>
          <w:tcPr>
            <w:tcW w:w="1104" w:type="dxa"/>
            <w:tcBorders>
              <w:left w:val="single" w:sz="18" w:space="0" w:color="FFFFFF" w:themeColor="background1"/>
            </w:tcBorders>
          </w:tcPr>
          <w:p w:rsidR="00A86593" w:rsidRDefault="00A86593" w:rsidP="001C741C">
            <w:pPr>
              <w:jc w:val="right"/>
              <w:rPr>
                <w:sz w:val="20"/>
              </w:rPr>
            </w:pPr>
          </w:p>
        </w:tc>
        <w:tc>
          <w:tcPr>
            <w:tcW w:w="486" w:type="dxa"/>
            <w:tcBorders>
              <w:right w:val="single" w:sz="18" w:space="0" w:color="FFFFFF" w:themeColor="background1"/>
            </w:tcBorders>
          </w:tcPr>
          <w:p w:rsidR="00A86593" w:rsidRDefault="00A86593" w:rsidP="001C741C">
            <w:pPr>
              <w:jc w:val="right"/>
              <w:rPr>
                <w:sz w:val="20"/>
              </w:rPr>
            </w:pPr>
          </w:p>
        </w:tc>
        <w:tc>
          <w:tcPr>
            <w:tcW w:w="1088" w:type="dxa"/>
            <w:tcBorders>
              <w:left w:val="single" w:sz="18" w:space="0" w:color="FFFFFF" w:themeColor="background1"/>
            </w:tcBorders>
          </w:tcPr>
          <w:p w:rsidR="00A86593" w:rsidRDefault="00A86593" w:rsidP="001C741C">
            <w:pPr>
              <w:jc w:val="right"/>
              <w:rPr>
                <w:sz w:val="20"/>
              </w:rPr>
            </w:pPr>
          </w:p>
        </w:tc>
        <w:tc>
          <w:tcPr>
            <w:tcW w:w="469" w:type="dxa"/>
            <w:tcBorders>
              <w:right w:val="single" w:sz="18" w:space="0" w:color="FFFFFF" w:themeColor="background1"/>
            </w:tcBorders>
          </w:tcPr>
          <w:p w:rsidR="00A86593" w:rsidRDefault="00A86593" w:rsidP="001C741C">
            <w:pPr>
              <w:jc w:val="right"/>
              <w:rPr>
                <w:sz w:val="20"/>
              </w:rPr>
            </w:pPr>
          </w:p>
        </w:tc>
        <w:tc>
          <w:tcPr>
            <w:tcW w:w="1105" w:type="dxa"/>
            <w:tcBorders>
              <w:left w:val="single" w:sz="18" w:space="0" w:color="FFFFFF" w:themeColor="background1"/>
            </w:tcBorders>
          </w:tcPr>
          <w:p w:rsidR="00A86593" w:rsidRDefault="00A86593" w:rsidP="001C741C">
            <w:pPr>
              <w:jc w:val="right"/>
              <w:rPr>
                <w:sz w:val="20"/>
              </w:rPr>
            </w:pPr>
          </w:p>
        </w:tc>
        <w:tc>
          <w:tcPr>
            <w:tcW w:w="469" w:type="dxa"/>
            <w:tcBorders>
              <w:right w:val="single" w:sz="18" w:space="0" w:color="FFFFFF" w:themeColor="background1"/>
            </w:tcBorders>
          </w:tcPr>
          <w:p w:rsidR="00A86593" w:rsidRDefault="00A86593" w:rsidP="001C741C">
            <w:pPr>
              <w:jc w:val="right"/>
              <w:rPr>
                <w:sz w:val="20"/>
              </w:rPr>
            </w:pPr>
          </w:p>
        </w:tc>
        <w:tc>
          <w:tcPr>
            <w:tcW w:w="1105" w:type="dxa"/>
            <w:tcBorders>
              <w:left w:val="single" w:sz="18" w:space="0" w:color="FFFFFF" w:themeColor="background1"/>
            </w:tcBorders>
          </w:tcPr>
          <w:p w:rsidR="00A86593" w:rsidRDefault="00A86593" w:rsidP="001C741C">
            <w:pPr>
              <w:jc w:val="right"/>
              <w:rPr>
                <w:sz w:val="20"/>
              </w:rPr>
            </w:pPr>
          </w:p>
        </w:tc>
        <w:tc>
          <w:tcPr>
            <w:tcW w:w="435" w:type="dxa"/>
            <w:tcBorders>
              <w:right w:val="single" w:sz="18" w:space="0" w:color="FFFFFF" w:themeColor="background1"/>
            </w:tcBorders>
          </w:tcPr>
          <w:p w:rsidR="00A86593" w:rsidRDefault="00A86593" w:rsidP="001C741C">
            <w:pPr>
              <w:jc w:val="right"/>
              <w:rPr>
                <w:sz w:val="20"/>
              </w:rPr>
            </w:pPr>
          </w:p>
        </w:tc>
        <w:tc>
          <w:tcPr>
            <w:tcW w:w="1139" w:type="dxa"/>
            <w:tcBorders>
              <w:left w:val="single" w:sz="18" w:space="0" w:color="FFFFFF" w:themeColor="background1"/>
            </w:tcBorders>
          </w:tcPr>
          <w:p w:rsidR="00A86593" w:rsidRDefault="00A86593" w:rsidP="001C741C">
            <w:pPr>
              <w:jc w:val="right"/>
              <w:rPr>
                <w:sz w:val="20"/>
              </w:rPr>
            </w:pPr>
          </w:p>
        </w:tc>
      </w:tr>
      <w:tr w:rsidR="00A86593" w:rsidRPr="000E6955" w:rsidTr="001C741C">
        <w:tc>
          <w:tcPr>
            <w:tcW w:w="3085" w:type="dxa"/>
          </w:tcPr>
          <w:p w:rsidR="00A86593" w:rsidRDefault="00A86593" w:rsidP="001C741C">
            <w:pPr>
              <w:rPr>
                <w:sz w:val="20"/>
              </w:rPr>
            </w:pPr>
            <w:r>
              <w:rPr>
                <w:sz w:val="20"/>
              </w:rPr>
              <w:t>Amounts payable for purchases of investments</w:t>
            </w:r>
          </w:p>
        </w:tc>
        <w:tc>
          <w:tcPr>
            <w:tcW w:w="469" w:type="dxa"/>
            <w:tcBorders>
              <w:bottom w:val="single" w:sz="18" w:space="0" w:color="auto"/>
              <w:right w:val="single" w:sz="18" w:space="0" w:color="FFFFFF" w:themeColor="background1"/>
            </w:tcBorders>
          </w:tcPr>
          <w:p w:rsidR="00A86593" w:rsidRDefault="00A86593" w:rsidP="001C741C">
            <w:pPr>
              <w:jc w:val="right"/>
              <w:rPr>
                <w:sz w:val="20"/>
              </w:rPr>
            </w:pPr>
          </w:p>
        </w:tc>
        <w:tc>
          <w:tcPr>
            <w:tcW w:w="1104" w:type="dxa"/>
            <w:tcBorders>
              <w:left w:val="single" w:sz="18" w:space="0" w:color="FFFFFF" w:themeColor="background1"/>
              <w:bottom w:val="single" w:sz="18" w:space="0" w:color="auto"/>
            </w:tcBorders>
          </w:tcPr>
          <w:p w:rsidR="00A86593" w:rsidRDefault="00A86593" w:rsidP="001C741C">
            <w:pPr>
              <w:jc w:val="right"/>
              <w:rPr>
                <w:sz w:val="20"/>
              </w:rPr>
            </w:pPr>
          </w:p>
        </w:tc>
        <w:tc>
          <w:tcPr>
            <w:tcW w:w="486" w:type="dxa"/>
            <w:tcBorders>
              <w:right w:val="single" w:sz="18" w:space="0" w:color="FFFFFF" w:themeColor="background1"/>
            </w:tcBorders>
          </w:tcPr>
          <w:p w:rsidR="00A86593" w:rsidRDefault="00A86593" w:rsidP="001C741C">
            <w:pPr>
              <w:jc w:val="right"/>
              <w:rPr>
                <w:sz w:val="20"/>
              </w:rPr>
            </w:pPr>
          </w:p>
        </w:tc>
        <w:tc>
          <w:tcPr>
            <w:tcW w:w="1088" w:type="dxa"/>
            <w:tcBorders>
              <w:left w:val="single" w:sz="18" w:space="0" w:color="FFFFFF" w:themeColor="background1"/>
            </w:tcBorders>
          </w:tcPr>
          <w:p w:rsidR="00A86593" w:rsidRDefault="00A86593" w:rsidP="001C741C">
            <w:pPr>
              <w:jc w:val="right"/>
              <w:rPr>
                <w:sz w:val="20"/>
              </w:rPr>
            </w:pPr>
          </w:p>
        </w:tc>
        <w:tc>
          <w:tcPr>
            <w:tcW w:w="469" w:type="dxa"/>
            <w:tcBorders>
              <w:right w:val="single" w:sz="18" w:space="0" w:color="FFFFFF" w:themeColor="background1"/>
            </w:tcBorders>
          </w:tcPr>
          <w:p w:rsidR="00A86593" w:rsidRDefault="00A86593" w:rsidP="001C741C">
            <w:pPr>
              <w:jc w:val="right"/>
              <w:rPr>
                <w:sz w:val="20"/>
              </w:rPr>
            </w:pPr>
          </w:p>
        </w:tc>
        <w:tc>
          <w:tcPr>
            <w:tcW w:w="1105" w:type="dxa"/>
            <w:tcBorders>
              <w:left w:val="single" w:sz="18" w:space="0" w:color="FFFFFF" w:themeColor="background1"/>
            </w:tcBorders>
          </w:tcPr>
          <w:p w:rsidR="00A86593" w:rsidRDefault="00A86593" w:rsidP="001C741C">
            <w:pPr>
              <w:jc w:val="right"/>
              <w:rPr>
                <w:sz w:val="20"/>
              </w:rPr>
            </w:pPr>
          </w:p>
        </w:tc>
        <w:tc>
          <w:tcPr>
            <w:tcW w:w="469" w:type="dxa"/>
            <w:tcBorders>
              <w:right w:val="single" w:sz="18" w:space="0" w:color="FFFFFF" w:themeColor="background1"/>
            </w:tcBorders>
          </w:tcPr>
          <w:p w:rsidR="00A86593" w:rsidRDefault="00A86593" w:rsidP="001C741C">
            <w:pPr>
              <w:jc w:val="right"/>
              <w:rPr>
                <w:sz w:val="20"/>
              </w:rPr>
            </w:pPr>
          </w:p>
        </w:tc>
        <w:tc>
          <w:tcPr>
            <w:tcW w:w="1105" w:type="dxa"/>
            <w:tcBorders>
              <w:left w:val="single" w:sz="18" w:space="0" w:color="FFFFFF" w:themeColor="background1"/>
            </w:tcBorders>
          </w:tcPr>
          <w:p w:rsidR="00A86593" w:rsidRDefault="00A86593" w:rsidP="001C741C">
            <w:pPr>
              <w:jc w:val="right"/>
              <w:rPr>
                <w:sz w:val="20"/>
              </w:rPr>
            </w:pPr>
          </w:p>
        </w:tc>
        <w:tc>
          <w:tcPr>
            <w:tcW w:w="435" w:type="dxa"/>
            <w:tcBorders>
              <w:bottom w:val="single" w:sz="18" w:space="0" w:color="auto"/>
              <w:right w:val="single" w:sz="18" w:space="0" w:color="FFFFFF" w:themeColor="background1"/>
            </w:tcBorders>
          </w:tcPr>
          <w:p w:rsidR="00A86593" w:rsidRDefault="00A86593" w:rsidP="001C741C">
            <w:pPr>
              <w:jc w:val="right"/>
              <w:rPr>
                <w:sz w:val="20"/>
              </w:rPr>
            </w:pPr>
          </w:p>
        </w:tc>
        <w:tc>
          <w:tcPr>
            <w:tcW w:w="1139" w:type="dxa"/>
            <w:tcBorders>
              <w:left w:val="single" w:sz="18" w:space="0" w:color="FFFFFF" w:themeColor="background1"/>
              <w:bottom w:val="single" w:sz="18" w:space="0" w:color="auto"/>
            </w:tcBorders>
          </w:tcPr>
          <w:p w:rsidR="00A86593" w:rsidRDefault="00A86593" w:rsidP="001C741C">
            <w:pPr>
              <w:jc w:val="right"/>
              <w:rPr>
                <w:sz w:val="20"/>
              </w:rPr>
            </w:pPr>
          </w:p>
        </w:tc>
      </w:tr>
      <w:tr w:rsidR="00A86593" w:rsidRPr="000E6955" w:rsidTr="001C741C">
        <w:tc>
          <w:tcPr>
            <w:tcW w:w="3085" w:type="dxa"/>
          </w:tcPr>
          <w:p w:rsidR="00A86593" w:rsidRDefault="00A86593" w:rsidP="001C741C">
            <w:pPr>
              <w:rPr>
                <w:sz w:val="20"/>
              </w:rPr>
            </w:pPr>
          </w:p>
        </w:tc>
        <w:tc>
          <w:tcPr>
            <w:tcW w:w="469" w:type="dxa"/>
            <w:tcBorders>
              <w:top w:val="single" w:sz="18" w:space="0" w:color="auto"/>
              <w:bottom w:val="single" w:sz="18" w:space="0" w:color="auto"/>
              <w:right w:val="single" w:sz="18" w:space="0" w:color="FFFFFF" w:themeColor="background1"/>
            </w:tcBorders>
          </w:tcPr>
          <w:p w:rsidR="00A86593" w:rsidRDefault="00A86593" w:rsidP="001C741C">
            <w:pPr>
              <w:jc w:val="right"/>
              <w:rPr>
                <w:sz w:val="20"/>
              </w:rPr>
            </w:pPr>
          </w:p>
        </w:tc>
        <w:tc>
          <w:tcPr>
            <w:tcW w:w="1104" w:type="dxa"/>
            <w:tcBorders>
              <w:top w:val="single" w:sz="18" w:space="0" w:color="auto"/>
              <w:left w:val="single" w:sz="18" w:space="0" w:color="FFFFFF" w:themeColor="background1"/>
              <w:bottom w:val="single" w:sz="18" w:space="0" w:color="auto"/>
            </w:tcBorders>
          </w:tcPr>
          <w:p w:rsidR="00A86593" w:rsidRDefault="00A86593" w:rsidP="001C741C">
            <w:pPr>
              <w:jc w:val="right"/>
              <w:rPr>
                <w:sz w:val="20"/>
              </w:rPr>
            </w:pPr>
            <w:r>
              <w:rPr>
                <w:sz w:val="20"/>
              </w:rPr>
              <w:t>3,950.3</w:t>
            </w:r>
          </w:p>
        </w:tc>
        <w:tc>
          <w:tcPr>
            <w:tcW w:w="486" w:type="dxa"/>
            <w:tcBorders>
              <w:right w:val="single" w:sz="18" w:space="0" w:color="FFFFFF" w:themeColor="background1"/>
            </w:tcBorders>
          </w:tcPr>
          <w:p w:rsidR="00A86593" w:rsidRDefault="00A86593" w:rsidP="001C741C">
            <w:pPr>
              <w:jc w:val="right"/>
              <w:rPr>
                <w:sz w:val="20"/>
              </w:rPr>
            </w:pPr>
          </w:p>
        </w:tc>
        <w:tc>
          <w:tcPr>
            <w:tcW w:w="1088" w:type="dxa"/>
            <w:tcBorders>
              <w:left w:val="single" w:sz="18" w:space="0" w:color="FFFFFF" w:themeColor="background1"/>
            </w:tcBorders>
          </w:tcPr>
          <w:p w:rsidR="00A86593" w:rsidRDefault="00A86593" w:rsidP="001C741C">
            <w:pPr>
              <w:jc w:val="right"/>
              <w:rPr>
                <w:sz w:val="20"/>
              </w:rPr>
            </w:pPr>
          </w:p>
        </w:tc>
        <w:tc>
          <w:tcPr>
            <w:tcW w:w="469" w:type="dxa"/>
            <w:tcBorders>
              <w:right w:val="single" w:sz="18" w:space="0" w:color="FFFFFF" w:themeColor="background1"/>
            </w:tcBorders>
          </w:tcPr>
          <w:p w:rsidR="00A86593" w:rsidRDefault="00A86593" w:rsidP="001C741C">
            <w:pPr>
              <w:jc w:val="right"/>
              <w:rPr>
                <w:sz w:val="20"/>
              </w:rPr>
            </w:pPr>
          </w:p>
        </w:tc>
        <w:tc>
          <w:tcPr>
            <w:tcW w:w="1105" w:type="dxa"/>
            <w:tcBorders>
              <w:left w:val="single" w:sz="18" w:space="0" w:color="FFFFFF" w:themeColor="background1"/>
            </w:tcBorders>
          </w:tcPr>
          <w:p w:rsidR="00A86593" w:rsidRDefault="00A86593" w:rsidP="001C741C">
            <w:pPr>
              <w:jc w:val="right"/>
              <w:rPr>
                <w:sz w:val="20"/>
              </w:rPr>
            </w:pPr>
          </w:p>
        </w:tc>
        <w:tc>
          <w:tcPr>
            <w:tcW w:w="469" w:type="dxa"/>
            <w:tcBorders>
              <w:right w:val="single" w:sz="18" w:space="0" w:color="FFFFFF" w:themeColor="background1"/>
            </w:tcBorders>
          </w:tcPr>
          <w:p w:rsidR="00A86593" w:rsidRDefault="00A86593" w:rsidP="001C741C">
            <w:pPr>
              <w:jc w:val="right"/>
              <w:rPr>
                <w:sz w:val="20"/>
              </w:rPr>
            </w:pPr>
          </w:p>
        </w:tc>
        <w:tc>
          <w:tcPr>
            <w:tcW w:w="1105" w:type="dxa"/>
            <w:tcBorders>
              <w:left w:val="single" w:sz="18" w:space="0" w:color="FFFFFF" w:themeColor="background1"/>
            </w:tcBorders>
          </w:tcPr>
          <w:p w:rsidR="00A86593" w:rsidRDefault="00A86593" w:rsidP="001C741C">
            <w:pPr>
              <w:jc w:val="right"/>
              <w:rPr>
                <w:sz w:val="20"/>
              </w:rPr>
            </w:pPr>
          </w:p>
        </w:tc>
        <w:tc>
          <w:tcPr>
            <w:tcW w:w="435" w:type="dxa"/>
            <w:tcBorders>
              <w:top w:val="single" w:sz="18" w:space="0" w:color="auto"/>
              <w:bottom w:val="single" w:sz="18" w:space="0" w:color="auto"/>
              <w:right w:val="single" w:sz="18" w:space="0" w:color="FFFFFF" w:themeColor="background1"/>
            </w:tcBorders>
          </w:tcPr>
          <w:p w:rsidR="00A86593" w:rsidRDefault="00A86593" w:rsidP="001C741C">
            <w:pPr>
              <w:jc w:val="right"/>
              <w:rPr>
                <w:sz w:val="20"/>
              </w:rPr>
            </w:pPr>
          </w:p>
        </w:tc>
        <w:tc>
          <w:tcPr>
            <w:tcW w:w="1139" w:type="dxa"/>
            <w:tcBorders>
              <w:top w:val="single" w:sz="18" w:space="0" w:color="auto"/>
              <w:left w:val="single" w:sz="18" w:space="0" w:color="FFFFFF" w:themeColor="background1"/>
              <w:bottom w:val="single" w:sz="18" w:space="0" w:color="auto"/>
            </w:tcBorders>
          </w:tcPr>
          <w:p w:rsidR="00A86593" w:rsidRDefault="00A86593" w:rsidP="001C741C">
            <w:pPr>
              <w:jc w:val="right"/>
              <w:rPr>
                <w:sz w:val="20"/>
              </w:rPr>
            </w:pPr>
            <w:r>
              <w:rPr>
                <w:sz w:val="20"/>
              </w:rPr>
              <w:t>4,281.2</w:t>
            </w:r>
          </w:p>
        </w:tc>
      </w:tr>
    </w:tbl>
    <w:p w:rsidR="00A86593" w:rsidRDefault="00A86593" w:rsidP="00A86593">
      <w:pPr>
        <w:spacing w:after="120"/>
      </w:pPr>
    </w:p>
    <w:p w:rsidR="00A86593" w:rsidRPr="00166665" w:rsidRDefault="00A86593" w:rsidP="00A86593">
      <w:pPr>
        <w:spacing w:after="240"/>
        <w:ind w:left="720"/>
        <w:jc w:val="both"/>
      </w:pPr>
      <w:r w:rsidRPr="00166665">
        <w:t>Transaction costs are included in the cost of purchases and in sale proceeds.  Transaction costs include costs charged directly to the Pension Fund, such as fees, commissions paid to agents, brokers and dealers, levies by regulatory agencies and securities exchanges and transfer taxes and duties.  Transaction costs incurred during the year 20</w:t>
      </w:r>
      <w:r>
        <w:t>11</w:t>
      </w:r>
      <w:r w:rsidRPr="00166665">
        <w:t>/1</w:t>
      </w:r>
      <w:r>
        <w:t>2</w:t>
      </w:r>
      <w:r w:rsidRPr="00166665">
        <w:t xml:space="preserve"> amounted to </w:t>
      </w:r>
      <w:r w:rsidRPr="00C94A41">
        <w:t>£2,054,422 (2010/11: £2,316,511).</w:t>
      </w:r>
    </w:p>
    <w:p w:rsidR="00A86593" w:rsidRDefault="00A86593" w:rsidP="00A86593">
      <w:pPr>
        <w:spacing w:after="120"/>
        <w:ind w:left="720"/>
        <w:jc w:val="both"/>
      </w:pPr>
      <w:r w:rsidRPr="00166665">
        <w:t>The investment assets at 31 March 201</w:t>
      </w:r>
      <w:r>
        <w:t>2</w:t>
      </w:r>
      <w:r w:rsidRPr="00166665">
        <w:t xml:space="preserve"> are managed by </w:t>
      </w:r>
      <w:r>
        <w:t>seven</w:t>
      </w:r>
      <w:r w:rsidRPr="00166665">
        <w:t xml:space="preserve"> external investment managers, with the remaining cash deposits managed in-house.  The split of the investment assets by investment manager is shown below.</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1559"/>
        <w:gridCol w:w="430"/>
        <w:gridCol w:w="1696"/>
      </w:tblGrid>
      <w:tr w:rsidR="00A86593" w:rsidTr="001C741C">
        <w:tc>
          <w:tcPr>
            <w:tcW w:w="5058" w:type="dxa"/>
          </w:tcPr>
          <w:p w:rsidR="00A86593" w:rsidRDefault="00A86593" w:rsidP="001C741C">
            <w:pPr>
              <w:rPr>
                <w:b/>
              </w:rPr>
            </w:pPr>
          </w:p>
        </w:tc>
        <w:tc>
          <w:tcPr>
            <w:tcW w:w="1559" w:type="dxa"/>
          </w:tcPr>
          <w:p w:rsidR="00A86593" w:rsidRDefault="00A86593" w:rsidP="001C741C">
            <w:pPr>
              <w:jc w:val="right"/>
              <w:rPr>
                <w:b/>
              </w:rPr>
            </w:pPr>
            <w:r>
              <w:rPr>
                <w:b/>
              </w:rPr>
              <w:t>2011/12</w:t>
            </w:r>
          </w:p>
          <w:p w:rsidR="00A86593" w:rsidRDefault="00A86593" w:rsidP="001C741C">
            <w:pPr>
              <w:jc w:val="right"/>
              <w:rPr>
                <w:b/>
              </w:rPr>
            </w:pPr>
            <w:r>
              <w:rPr>
                <w:b/>
              </w:rPr>
              <w:t>£m</w:t>
            </w:r>
          </w:p>
        </w:tc>
        <w:tc>
          <w:tcPr>
            <w:tcW w:w="430" w:type="dxa"/>
            <w:tcBorders>
              <w:right w:val="single" w:sz="4" w:space="0" w:color="FFFFFF" w:themeColor="background1"/>
            </w:tcBorders>
          </w:tcPr>
          <w:p w:rsidR="00A86593" w:rsidRDefault="00A86593" w:rsidP="001C741C">
            <w:pPr>
              <w:jc w:val="right"/>
              <w:rPr>
                <w:b/>
              </w:rPr>
            </w:pPr>
          </w:p>
          <w:p w:rsidR="00A86593" w:rsidRDefault="00A86593" w:rsidP="001C741C">
            <w:pPr>
              <w:jc w:val="right"/>
              <w:rPr>
                <w:b/>
              </w:rPr>
            </w:pPr>
          </w:p>
        </w:tc>
        <w:tc>
          <w:tcPr>
            <w:tcW w:w="1696" w:type="dxa"/>
            <w:tcBorders>
              <w:left w:val="single" w:sz="4" w:space="0" w:color="FFFFFF" w:themeColor="background1"/>
            </w:tcBorders>
          </w:tcPr>
          <w:p w:rsidR="00A86593" w:rsidRDefault="00A86593" w:rsidP="001C741C">
            <w:pPr>
              <w:jc w:val="right"/>
              <w:rPr>
                <w:b/>
              </w:rPr>
            </w:pPr>
            <w:r>
              <w:rPr>
                <w:b/>
              </w:rPr>
              <w:t>%</w:t>
            </w:r>
          </w:p>
          <w:p w:rsidR="00A86593" w:rsidRDefault="00A86593" w:rsidP="001C741C">
            <w:pPr>
              <w:jc w:val="right"/>
              <w:rPr>
                <w:b/>
              </w:rPr>
            </w:pPr>
          </w:p>
        </w:tc>
      </w:tr>
      <w:tr w:rsidR="00A86593" w:rsidRPr="007A07AD" w:rsidTr="001C741C">
        <w:tc>
          <w:tcPr>
            <w:tcW w:w="5058" w:type="dxa"/>
          </w:tcPr>
          <w:p w:rsidR="00A86593" w:rsidRPr="000314DE" w:rsidRDefault="00A86593" w:rsidP="001C741C">
            <w:pPr>
              <w:rPr>
                <w:b/>
              </w:rPr>
            </w:pPr>
            <w:r w:rsidRPr="000314DE">
              <w:rPr>
                <w:b/>
              </w:rPr>
              <w:t>Manager</w:t>
            </w:r>
          </w:p>
          <w:p w:rsidR="00A86593" w:rsidRPr="007A07AD" w:rsidRDefault="00A86593" w:rsidP="001C741C"/>
        </w:tc>
        <w:tc>
          <w:tcPr>
            <w:tcW w:w="1559" w:type="dxa"/>
          </w:tcPr>
          <w:p w:rsidR="00A86593" w:rsidRPr="007A07AD" w:rsidRDefault="00A86593" w:rsidP="001C741C">
            <w:pPr>
              <w:jc w:val="right"/>
            </w:pP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p>
        </w:tc>
      </w:tr>
      <w:tr w:rsidR="00A86593" w:rsidRPr="007A07AD" w:rsidTr="001C741C">
        <w:tc>
          <w:tcPr>
            <w:tcW w:w="5058" w:type="dxa"/>
          </w:tcPr>
          <w:p w:rsidR="00A86593" w:rsidRPr="000314DE" w:rsidRDefault="00A86593" w:rsidP="001C741C">
            <w:r w:rsidRPr="000314DE">
              <w:t>Legal &amp; General Investment Management</w:t>
            </w:r>
          </w:p>
        </w:tc>
        <w:tc>
          <w:tcPr>
            <w:tcW w:w="1559" w:type="dxa"/>
          </w:tcPr>
          <w:p w:rsidR="00A86593" w:rsidRPr="007A07AD" w:rsidRDefault="00A86593" w:rsidP="001C741C">
            <w:pPr>
              <w:jc w:val="right"/>
            </w:pPr>
            <w:r>
              <w:t>1,057.4</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r>
              <w:t>24</w:t>
            </w:r>
          </w:p>
        </w:tc>
      </w:tr>
      <w:tr w:rsidR="00A86593" w:rsidRPr="007A07AD" w:rsidTr="001C741C">
        <w:tc>
          <w:tcPr>
            <w:tcW w:w="5058" w:type="dxa"/>
          </w:tcPr>
          <w:p w:rsidR="00A86593" w:rsidRPr="000314DE" w:rsidRDefault="00A86593" w:rsidP="001C741C">
            <w:r>
              <w:t>Newton Investment Management</w:t>
            </w:r>
          </w:p>
        </w:tc>
        <w:tc>
          <w:tcPr>
            <w:tcW w:w="1559" w:type="dxa"/>
          </w:tcPr>
          <w:p w:rsidR="00A86593" w:rsidRPr="007A07AD" w:rsidRDefault="00A86593" w:rsidP="001C741C">
            <w:pPr>
              <w:jc w:val="right"/>
            </w:pPr>
            <w:r>
              <w:t>615.6</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r>
              <w:t>14</w:t>
            </w:r>
          </w:p>
        </w:tc>
      </w:tr>
      <w:tr w:rsidR="00A86593" w:rsidRPr="007A07AD" w:rsidTr="001C741C">
        <w:tc>
          <w:tcPr>
            <w:tcW w:w="5058" w:type="dxa"/>
          </w:tcPr>
          <w:p w:rsidR="00A86593" w:rsidRDefault="00A86593" w:rsidP="001C741C">
            <w:r>
              <w:t>J P Morgan Asset Management</w:t>
            </w:r>
          </w:p>
        </w:tc>
        <w:tc>
          <w:tcPr>
            <w:tcW w:w="1559" w:type="dxa"/>
          </w:tcPr>
          <w:p w:rsidR="00A86593" w:rsidRPr="007A07AD" w:rsidRDefault="00A86593" w:rsidP="001C741C">
            <w:pPr>
              <w:jc w:val="right"/>
            </w:pPr>
            <w:r>
              <w:t>501.4</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r>
              <w:t>12</w:t>
            </w:r>
          </w:p>
        </w:tc>
      </w:tr>
      <w:tr w:rsidR="00A86593" w:rsidRPr="007A07AD" w:rsidTr="001C741C">
        <w:tc>
          <w:tcPr>
            <w:tcW w:w="5058" w:type="dxa"/>
          </w:tcPr>
          <w:p w:rsidR="00A86593" w:rsidRDefault="00A86593" w:rsidP="001C741C">
            <w:r>
              <w:t>UBS Global Asset Management</w:t>
            </w:r>
          </w:p>
        </w:tc>
        <w:tc>
          <w:tcPr>
            <w:tcW w:w="1559" w:type="dxa"/>
          </w:tcPr>
          <w:p w:rsidR="00A86593" w:rsidRPr="007A07AD" w:rsidRDefault="00A86593" w:rsidP="001C741C">
            <w:pPr>
              <w:jc w:val="right"/>
            </w:pPr>
            <w:r>
              <w:t>672.7</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r>
              <w:t>15</w:t>
            </w:r>
          </w:p>
        </w:tc>
      </w:tr>
      <w:tr w:rsidR="00A86593" w:rsidRPr="007A07AD" w:rsidTr="001C741C">
        <w:tc>
          <w:tcPr>
            <w:tcW w:w="5058" w:type="dxa"/>
          </w:tcPr>
          <w:p w:rsidR="00A86593" w:rsidRDefault="00A86593" w:rsidP="001C741C">
            <w:r>
              <w:t>Knight Frank</w:t>
            </w:r>
          </w:p>
        </w:tc>
        <w:tc>
          <w:tcPr>
            <w:tcW w:w="1559" w:type="dxa"/>
          </w:tcPr>
          <w:p w:rsidR="00A86593" w:rsidRPr="007A07AD" w:rsidRDefault="00A86593" w:rsidP="001C741C">
            <w:pPr>
              <w:jc w:val="right"/>
            </w:pPr>
            <w:r>
              <w:t>383.9</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r>
              <w:t>9</w:t>
            </w:r>
          </w:p>
        </w:tc>
      </w:tr>
      <w:tr w:rsidR="00A86593" w:rsidRPr="007A07AD" w:rsidTr="001C741C">
        <w:tc>
          <w:tcPr>
            <w:tcW w:w="5058" w:type="dxa"/>
          </w:tcPr>
          <w:p w:rsidR="00A86593" w:rsidRDefault="00A86593" w:rsidP="001C741C">
            <w:r>
              <w:t>Capital Dynamics</w:t>
            </w:r>
          </w:p>
        </w:tc>
        <w:tc>
          <w:tcPr>
            <w:tcW w:w="1559" w:type="dxa"/>
          </w:tcPr>
          <w:p w:rsidR="00A86593" w:rsidRPr="007A07AD" w:rsidRDefault="00A86593" w:rsidP="001C741C">
            <w:pPr>
              <w:jc w:val="right"/>
            </w:pPr>
            <w:r>
              <w:t>222.4</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r>
              <w:t>5</w:t>
            </w:r>
          </w:p>
        </w:tc>
      </w:tr>
      <w:tr w:rsidR="00A86593" w:rsidRPr="007A07AD" w:rsidTr="001C741C">
        <w:tc>
          <w:tcPr>
            <w:tcW w:w="5058" w:type="dxa"/>
          </w:tcPr>
          <w:p w:rsidR="00A86593" w:rsidRDefault="00A86593" w:rsidP="001C741C">
            <w:r>
              <w:t>Mellon Transition Management</w:t>
            </w:r>
          </w:p>
        </w:tc>
        <w:tc>
          <w:tcPr>
            <w:tcW w:w="1559" w:type="dxa"/>
          </w:tcPr>
          <w:p w:rsidR="00A86593" w:rsidRPr="007A07AD" w:rsidRDefault="00A86593" w:rsidP="001C741C">
            <w:pPr>
              <w:jc w:val="right"/>
            </w:pPr>
            <w:r>
              <w:t>617.1</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r>
              <w:t>14</w:t>
            </w:r>
          </w:p>
        </w:tc>
      </w:tr>
      <w:tr w:rsidR="00A86593" w:rsidRPr="007A07AD" w:rsidTr="001C741C">
        <w:tc>
          <w:tcPr>
            <w:tcW w:w="5058" w:type="dxa"/>
          </w:tcPr>
          <w:p w:rsidR="00A86593" w:rsidRDefault="00A86593" w:rsidP="001C741C">
            <w:r>
              <w:t>In-House</w:t>
            </w:r>
          </w:p>
        </w:tc>
        <w:tc>
          <w:tcPr>
            <w:tcW w:w="1559" w:type="dxa"/>
            <w:tcBorders>
              <w:bottom w:val="single" w:sz="18" w:space="0" w:color="auto"/>
            </w:tcBorders>
          </w:tcPr>
          <w:p w:rsidR="00A86593" w:rsidRPr="007A07AD" w:rsidRDefault="00A86593" w:rsidP="001C741C">
            <w:pPr>
              <w:jc w:val="right"/>
            </w:pPr>
            <w:r>
              <w:t>289.4</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01279" w:rsidRDefault="00A86593" w:rsidP="001C741C">
            <w:pPr>
              <w:jc w:val="right"/>
            </w:pPr>
            <w:r w:rsidRPr="00701279">
              <w:t>7</w:t>
            </w:r>
          </w:p>
        </w:tc>
      </w:tr>
      <w:tr w:rsidR="00A86593" w:rsidRPr="007A07AD" w:rsidTr="001C741C">
        <w:tc>
          <w:tcPr>
            <w:tcW w:w="5058" w:type="dxa"/>
          </w:tcPr>
          <w:p w:rsidR="00A86593" w:rsidRDefault="00A86593" w:rsidP="001C741C"/>
        </w:tc>
        <w:tc>
          <w:tcPr>
            <w:tcW w:w="1559" w:type="dxa"/>
            <w:tcBorders>
              <w:top w:val="single" w:sz="18" w:space="0" w:color="auto"/>
              <w:bottom w:val="single" w:sz="18" w:space="0" w:color="auto"/>
            </w:tcBorders>
          </w:tcPr>
          <w:p w:rsidR="00A86593" w:rsidRPr="007A07AD" w:rsidRDefault="00A86593" w:rsidP="001C741C">
            <w:pPr>
              <w:jc w:val="right"/>
            </w:pPr>
            <w:r>
              <w:t>4,359.9</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bottom w:val="single" w:sz="18" w:space="0" w:color="FFFFFF" w:themeColor="background1"/>
            </w:tcBorders>
          </w:tcPr>
          <w:p w:rsidR="00A86593" w:rsidRDefault="00A86593" w:rsidP="001C741C">
            <w:pPr>
              <w:jc w:val="right"/>
            </w:pPr>
            <w:r>
              <w:t>100</w:t>
            </w:r>
          </w:p>
        </w:tc>
      </w:tr>
    </w:tbl>
    <w:p w:rsidR="00A86593" w:rsidRDefault="00A86593" w:rsidP="00A86593">
      <w:pPr>
        <w:spacing w:after="120"/>
        <w:jc w:val="both"/>
      </w:pPr>
    </w:p>
    <w:p w:rsidR="003B314A" w:rsidRDefault="003B314A" w:rsidP="00A86593">
      <w:pPr>
        <w:spacing w:after="120"/>
        <w:jc w:val="both"/>
      </w:pPr>
    </w:p>
    <w:p w:rsidR="003B314A" w:rsidRDefault="003B314A" w:rsidP="00A86593">
      <w:pPr>
        <w:spacing w:after="120"/>
        <w:jc w:val="bot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1559"/>
        <w:gridCol w:w="430"/>
        <w:gridCol w:w="1696"/>
      </w:tblGrid>
      <w:tr w:rsidR="00A86593" w:rsidTr="001C741C">
        <w:tc>
          <w:tcPr>
            <w:tcW w:w="5058" w:type="dxa"/>
          </w:tcPr>
          <w:p w:rsidR="00A86593" w:rsidRDefault="00A86593" w:rsidP="001C741C">
            <w:pPr>
              <w:rPr>
                <w:b/>
              </w:rPr>
            </w:pPr>
            <w:r>
              <w:lastRenderedPageBreak/>
              <w:br w:type="page"/>
            </w:r>
          </w:p>
        </w:tc>
        <w:tc>
          <w:tcPr>
            <w:tcW w:w="1559" w:type="dxa"/>
          </w:tcPr>
          <w:p w:rsidR="00A86593" w:rsidRDefault="00A86593" w:rsidP="001C741C">
            <w:pPr>
              <w:jc w:val="right"/>
              <w:rPr>
                <w:b/>
              </w:rPr>
            </w:pPr>
            <w:r>
              <w:rPr>
                <w:b/>
              </w:rPr>
              <w:t>2011/12</w:t>
            </w:r>
          </w:p>
          <w:p w:rsidR="00A86593" w:rsidRDefault="00A86593" w:rsidP="001C741C">
            <w:pPr>
              <w:jc w:val="right"/>
              <w:rPr>
                <w:b/>
              </w:rPr>
            </w:pPr>
            <w:r>
              <w:rPr>
                <w:b/>
              </w:rPr>
              <w:t>£m</w:t>
            </w:r>
          </w:p>
        </w:tc>
        <w:tc>
          <w:tcPr>
            <w:tcW w:w="430" w:type="dxa"/>
            <w:tcBorders>
              <w:right w:val="single" w:sz="4" w:space="0" w:color="FFFFFF" w:themeColor="background1"/>
            </w:tcBorders>
          </w:tcPr>
          <w:p w:rsidR="00A86593" w:rsidRDefault="00A86593" w:rsidP="001C741C">
            <w:pPr>
              <w:jc w:val="right"/>
              <w:rPr>
                <w:b/>
              </w:rPr>
            </w:pPr>
          </w:p>
          <w:p w:rsidR="00A86593" w:rsidRDefault="00A86593" w:rsidP="001C741C">
            <w:pPr>
              <w:jc w:val="right"/>
              <w:rPr>
                <w:b/>
              </w:rPr>
            </w:pPr>
          </w:p>
        </w:tc>
        <w:tc>
          <w:tcPr>
            <w:tcW w:w="1696" w:type="dxa"/>
            <w:tcBorders>
              <w:left w:val="single" w:sz="4" w:space="0" w:color="FFFFFF" w:themeColor="background1"/>
            </w:tcBorders>
          </w:tcPr>
          <w:p w:rsidR="00A86593" w:rsidRDefault="00A86593" w:rsidP="001C741C">
            <w:pPr>
              <w:jc w:val="right"/>
              <w:rPr>
                <w:b/>
              </w:rPr>
            </w:pPr>
            <w:r>
              <w:rPr>
                <w:b/>
              </w:rPr>
              <w:t>2010/11</w:t>
            </w:r>
          </w:p>
          <w:p w:rsidR="00A86593" w:rsidRDefault="00A86593" w:rsidP="001C741C">
            <w:pPr>
              <w:jc w:val="right"/>
              <w:rPr>
                <w:b/>
              </w:rPr>
            </w:pPr>
            <w:r>
              <w:rPr>
                <w:b/>
              </w:rPr>
              <w:t>£m</w:t>
            </w:r>
          </w:p>
          <w:p w:rsidR="00A86593" w:rsidRDefault="00A86593" w:rsidP="001C741C">
            <w:pPr>
              <w:jc w:val="right"/>
              <w:rPr>
                <w:b/>
              </w:rPr>
            </w:pPr>
          </w:p>
        </w:tc>
      </w:tr>
      <w:tr w:rsidR="00A86593" w:rsidRPr="007A07AD" w:rsidTr="001C741C">
        <w:tc>
          <w:tcPr>
            <w:tcW w:w="5058" w:type="dxa"/>
          </w:tcPr>
          <w:p w:rsidR="00A86593" w:rsidRPr="00BA6F7E" w:rsidRDefault="00A86593" w:rsidP="001C741C">
            <w:pPr>
              <w:rPr>
                <w:b/>
              </w:rPr>
            </w:pPr>
            <w:r w:rsidRPr="00BA6F7E">
              <w:rPr>
                <w:b/>
              </w:rPr>
              <w:t>Fixed Interest Securities</w:t>
            </w:r>
          </w:p>
        </w:tc>
        <w:tc>
          <w:tcPr>
            <w:tcW w:w="1559" w:type="dxa"/>
          </w:tcPr>
          <w:p w:rsidR="00A86593" w:rsidRPr="007A07AD" w:rsidRDefault="00A86593" w:rsidP="001C741C">
            <w:pPr>
              <w:jc w:val="right"/>
            </w:pP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p>
        </w:tc>
      </w:tr>
      <w:tr w:rsidR="00A86593" w:rsidRPr="007A07AD" w:rsidTr="001C741C">
        <w:tc>
          <w:tcPr>
            <w:tcW w:w="5058" w:type="dxa"/>
          </w:tcPr>
          <w:p w:rsidR="00A86593" w:rsidRDefault="00A86593" w:rsidP="001C741C">
            <w:r>
              <w:t>UK public sector quoted</w:t>
            </w:r>
          </w:p>
        </w:tc>
        <w:tc>
          <w:tcPr>
            <w:tcW w:w="1559" w:type="dxa"/>
          </w:tcPr>
          <w:p w:rsidR="00A86593" w:rsidRPr="007A07AD" w:rsidRDefault="00A86593" w:rsidP="001C741C">
            <w:pPr>
              <w:jc w:val="right"/>
            </w:pPr>
            <w:r>
              <w:t>234.3</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r>
              <w:t>179.9</w:t>
            </w:r>
          </w:p>
        </w:tc>
      </w:tr>
      <w:tr w:rsidR="00A86593" w:rsidRPr="007A07AD" w:rsidTr="001C741C">
        <w:tc>
          <w:tcPr>
            <w:tcW w:w="5058" w:type="dxa"/>
          </w:tcPr>
          <w:p w:rsidR="00A86593" w:rsidRDefault="00A86593" w:rsidP="001C741C">
            <w:r>
              <w:t>UK corporate bonds quoted</w:t>
            </w:r>
          </w:p>
        </w:tc>
        <w:tc>
          <w:tcPr>
            <w:tcW w:w="1559" w:type="dxa"/>
          </w:tcPr>
          <w:p w:rsidR="00A86593" w:rsidRDefault="00A86593" w:rsidP="001C741C">
            <w:pPr>
              <w:jc w:val="right"/>
            </w:pPr>
            <w:r>
              <w:t>289.0</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Default="00A86593" w:rsidP="001C741C">
            <w:pPr>
              <w:jc w:val="right"/>
            </w:pPr>
            <w:r>
              <w:t>352.3</w:t>
            </w:r>
          </w:p>
        </w:tc>
      </w:tr>
      <w:tr w:rsidR="00A86593" w:rsidRPr="007A07AD" w:rsidTr="001C741C">
        <w:tc>
          <w:tcPr>
            <w:tcW w:w="5058" w:type="dxa"/>
          </w:tcPr>
          <w:p w:rsidR="00A86593" w:rsidRDefault="00A86593" w:rsidP="001C741C">
            <w:r>
              <w:t>Overseas public sector</w:t>
            </w:r>
          </w:p>
        </w:tc>
        <w:tc>
          <w:tcPr>
            <w:tcW w:w="1559" w:type="dxa"/>
          </w:tcPr>
          <w:p w:rsidR="00A86593" w:rsidRDefault="00A86593" w:rsidP="001C741C">
            <w:pPr>
              <w:jc w:val="right"/>
            </w:pPr>
            <w:r>
              <w:t>-</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Default="00A86593" w:rsidP="001C741C">
            <w:pPr>
              <w:jc w:val="right"/>
            </w:pPr>
            <w:r>
              <w:t>-</w:t>
            </w:r>
          </w:p>
        </w:tc>
      </w:tr>
      <w:tr w:rsidR="00A86593" w:rsidRPr="007A07AD" w:rsidTr="001C741C">
        <w:tc>
          <w:tcPr>
            <w:tcW w:w="5058" w:type="dxa"/>
          </w:tcPr>
          <w:p w:rsidR="00A86593" w:rsidRDefault="00A86593" w:rsidP="001C741C">
            <w:r>
              <w:t>Overseas corporate bonds</w:t>
            </w:r>
          </w:p>
        </w:tc>
        <w:tc>
          <w:tcPr>
            <w:tcW w:w="1559" w:type="dxa"/>
            <w:tcBorders>
              <w:bottom w:val="single" w:sz="18" w:space="0" w:color="auto"/>
            </w:tcBorders>
          </w:tcPr>
          <w:p w:rsidR="00A86593" w:rsidRDefault="00A86593" w:rsidP="001C741C">
            <w:pPr>
              <w:jc w:val="right"/>
            </w:pPr>
            <w:r>
              <w:t>100.1</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bottom w:val="single" w:sz="18" w:space="0" w:color="auto"/>
            </w:tcBorders>
          </w:tcPr>
          <w:p w:rsidR="00A86593" w:rsidRDefault="00A86593" w:rsidP="001C741C">
            <w:pPr>
              <w:jc w:val="right"/>
            </w:pPr>
            <w:r>
              <w:t>26.9</w:t>
            </w:r>
          </w:p>
        </w:tc>
      </w:tr>
      <w:tr w:rsidR="00A86593" w:rsidRPr="007A07AD" w:rsidTr="001C741C">
        <w:tc>
          <w:tcPr>
            <w:tcW w:w="5058" w:type="dxa"/>
          </w:tcPr>
          <w:p w:rsidR="00A86593" w:rsidRDefault="00A86593" w:rsidP="001C741C"/>
        </w:tc>
        <w:tc>
          <w:tcPr>
            <w:tcW w:w="1559" w:type="dxa"/>
            <w:tcBorders>
              <w:top w:val="single" w:sz="18" w:space="0" w:color="auto"/>
              <w:bottom w:val="single" w:sz="18" w:space="0" w:color="auto"/>
            </w:tcBorders>
          </w:tcPr>
          <w:p w:rsidR="00A86593" w:rsidRDefault="00A86593" w:rsidP="001C741C">
            <w:pPr>
              <w:jc w:val="right"/>
            </w:pPr>
            <w:r>
              <w:t>623.4</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top w:val="single" w:sz="18" w:space="0" w:color="auto"/>
              <w:left w:val="single" w:sz="4" w:space="0" w:color="FFFFFF" w:themeColor="background1"/>
              <w:bottom w:val="single" w:sz="18" w:space="0" w:color="auto"/>
            </w:tcBorders>
          </w:tcPr>
          <w:p w:rsidR="00A86593" w:rsidRDefault="00A86593" w:rsidP="001C741C">
            <w:pPr>
              <w:jc w:val="right"/>
            </w:pPr>
            <w:r>
              <w:t>559.1</w:t>
            </w:r>
          </w:p>
        </w:tc>
      </w:tr>
    </w:tbl>
    <w:p w:rsidR="00A86593" w:rsidRDefault="00A86593" w:rsidP="00A86593">
      <w:pPr>
        <w:spacing w:after="120"/>
        <w:jc w:val="bot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1559"/>
        <w:gridCol w:w="430"/>
        <w:gridCol w:w="1696"/>
      </w:tblGrid>
      <w:tr w:rsidR="00A86593" w:rsidTr="001C741C">
        <w:tc>
          <w:tcPr>
            <w:tcW w:w="5058" w:type="dxa"/>
          </w:tcPr>
          <w:p w:rsidR="00A86593" w:rsidRDefault="00A86593" w:rsidP="001C741C">
            <w:pPr>
              <w:rPr>
                <w:b/>
              </w:rPr>
            </w:pPr>
          </w:p>
        </w:tc>
        <w:tc>
          <w:tcPr>
            <w:tcW w:w="1559" w:type="dxa"/>
          </w:tcPr>
          <w:p w:rsidR="00A86593" w:rsidRDefault="00A86593" w:rsidP="001C741C">
            <w:pPr>
              <w:jc w:val="right"/>
              <w:rPr>
                <w:b/>
              </w:rPr>
            </w:pPr>
            <w:r>
              <w:rPr>
                <w:b/>
              </w:rPr>
              <w:t>2011/12</w:t>
            </w:r>
          </w:p>
          <w:p w:rsidR="00A86593" w:rsidRDefault="00A86593" w:rsidP="001C741C">
            <w:pPr>
              <w:jc w:val="right"/>
              <w:rPr>
                <w:b/>
              </w:rPr>
            </w:pPr>
            <w:r>
              <w:rPr>
                <w:b/>
              </w:rPr>
              <w:t>£m</w:t>
            </w:r>
          </w:p>
        </w:tc>
        <w:tc>
          <w:tcPr>
            <w:tcW w:w="430" w:type="dxa"/>
            <w:tcBorders>
              <w:right w:val="single" w:sz="4" w:space="0" w:color="FFFFFF" w:themeColor="background1"/>
            </w:tcBorders>
          </w:tcPr>
          <w:p w:rsidR="00A86593" w:rsidRDefault="00A86593" w:rsidP="001C741C">
            <w:pPr>
              <w:jc w:val="right"/>
              <w:rPr>
                <w:b/>
              </w:rPr>
            </w:pPr>
          </w:p>
          <w:p w:rsidR="00A86593" w:rsidRDefault="00A86593" w:rsidP="001C741C">
            <w:pPr>
              <w:jc w:val="right"/>
              <w:rPr>
                <w:b/>
              </w:rPr>
            </w:pPr>
          </w:p>
        </w:tc>
        <w:tc>
          <w:tcPr>
            <w:tcW w:w="1696" w:type="dxa"/>
            <w:tcBorders>
              <w:left w:val="single" w:sz="4" w:space="0" w:color="FFFFFF" w:themeColor="background1"/>
            </w:tcBorders>
          </w:tcPr>
          <w:p w:rsidR="00A86593" w:rsidRDefault="00A86593" w:rsidP="001C741C">
            <w:pPr>
              <w:jc w:val="right"/>
              <w:rPr>
                <w:b/>
              </w:rPr>
            </w:pPr>
            <w:r>
              <w:rPr>
                <w:b/>
              </w:rPr>
              <w:t>2010/11</w:t>
            </w:r>
          </w:p>
          <w:p w:rsidR="00A86593" w:rsidRDefault="00A86593" w:rsidP="001C741C">
            <w:pPr>
              <w:jc w:val="right"/>
              <w:rPr>
                <w:b/>
              </w:rPr>
            </w:pPr>
            <w:r>
              <w:rPr>
                <w:b/>
              </w:rPr>
              <w:t>£m</w:t>
            </w:r>
          </w:p>
          <w:p w:rsidR="00A86593" w:rsidRDefault="00A86593" w:rsidP="001C741C">
            <w:pPr>
              <w:jc w:val="right"/>
              <w:rPr>
                <w:b/>
              </w:rPr>
            </w:pPr>
          </w:p>
        </w:tc>
      </w:tr>
      <w:tr w:rsidR="00A86593" w:rsidRPr="007A07AD" w:rsidTr="001C741C">
        <w:tc>
          <w:tcPr>
            <w:tcW w:w="5058" w:type="dxa"/>
          </w:tcPr>
          <w:p w:rsidR="00A86593" w:rsidRPr="00E70ECF" w:rsidRDefault="00A86593" w:rsidP="001C741C">
            <w:pPr>
              <w:rPr>
                <w:b/>
              </w:rPr>
            </w:pPr>
            <w:r w:rsidRPr="00E70ECF">
              <w:rPr>
                <w:b/>
              </w:rPr>
              <w:t>Equities</w:t>
            </w:r>
          </w:p>
        </w:tc>
        <w:tc>
          <w:tcPr>
            <w:tcW w:w="1559" w:type="dxa"/>
          </w:tcPr>
          <w:p w:rsidR="00A86593" w:rsidRPr="007A07AD" w:rsidRDefault="00A86593" w:rsidP="001C741C">
            <w:pPr>
              <w:jc w:val="right"/>
            </w:pP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p>
        </w:tc>
      </w:tr>
      <w:tr w:rsidR="00A86593" w:rsidRPr="007A07AD" w:rsidTr="001C741C">
        <w:tc>
          <w:tcPr>
            <w:tcW w:w="5058" w:type="dxa"/>
          </w:tcPr>
          <w:p w:rsidR="00A86593" w:rsidRDefault="00A86593" w:rsidP="001C741C">
            <w:r>
              <w:t>UK quoted</w:t>
            </w:r>
          </w:p>
        </w:tc>
        <w:tc>
          <w:tcPr>
            <w:tcW w:w="1559" w:type="dxa"/>
          </w:tcPr>
          <w:p w:rsidR="00A86593" w:rsidRPr="007A07AD" w:rsidRDefault="00A86593" w:rsidP="001C741C">
            <w:pPr>
              <w:jc w:val="right"/>
            </w:pPr>
            <w:r>
              <w:t>772.8</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r>
              <w:t>833.1</w:t>
            </w:r>
          </w:p>
        </w:tc>
      </w:tr>
      <w:tr w:rsidR="00A86593" w:rsidRPr="007A07AD" w:rsidTr="001C741C">
        <w:tc>
          <w:tcPr>
            <w:tcW w:w="5058" w:type="dxa"/>
          </w:tcPr>
          <w:p w:rsidR="00A86593" w:rsidRDefault="00A86593" w:rsidP="001C741C">
            <w:r>
              <w:t>Overseas quoted</w:t>
            </w:r>
          </w:p>
        </w:tc>
        <w:tc>
          <w:tcPr>
            <w:tcW w:w="1559" w:type="dxa"/>
            <w:tcBorders>
              <w:bottom w:val="single" w:sz="18" w:space="0" w:color="auto"/>
            </w:tcBorders>
          </w:tcPr>
          <w:p w:rsidR="00A86593" w:rsidRPr="007A07AD" w:rsidRDefault="00A86593" w:rsidP="001C741C">
            <w:pPr>
              <w:jc w:val="right"/>
            </w:pPr>
            <w:r>
              <w:t>840.9</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bottom w:val="single" w:sz="18" w:space="0" w:color="auto"/>
            </w:tcBorders>
          </w:tcPr>
          <w:p w:rsidR="00A86593" w:rsidRDefault="00A86593" w:rsidP="001C741C">
            <w:pPr>
              <w:jc w:val="right"/>
            </w:pPr>
            <w:r>
              <w:t>902.0</w:t>
            </w:r>
          </w:p>
        </w:tc>
      </w:tr>
      <w:tr w:rsidR="00A86593" w:rsidRPr="007A07AD" w:rsidTr="001C741C">
        <w:tc>
          <w:tcPr>
            <w:tcW w:w="5058" w:type="dxa"/>
          </w:tcPr>
          <w:p w:rsidR="00A86593" w:rsidRDefault="00A86593" w:rsidP="001C741C"/>
        </w:tc>
        <w:tc>
          <w:tcPr>
            <w:tcW w:w="1559" w:type="dxa"/>
            <w:tcBorders>
              <w:top w:val="single" w:sz="18" w:space="0" w:color="auto"/>
              <w:bottom w:val="single" w:sz="18" w:space="0" w:color="auto"/>
            </w:tcBorders>
          </w:tcPr>
          <w:p w:rsidR="00A86593" w:rsidRPr="007A07AD" w:rsidRDefault="00A86593" w:rsidP="001C741C">
            <w:pPr>
              <w:jc w:val="right"/>
            </w:pPr>
            <w:r>
              <w:t>1,613.7</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top w:val="single" w:sz="18" w:space="0" w:color="auto"/>
              <w:left w:val="single" w:sz="4" w:space="0" w:color="FFFFFF" w:themeColor="background1"/>
              <w:bottom w:val="single" w:sz="18" w:space="0" w:color="auto"/>
            </w:tcBorders>
          </w:tcPr>
          <w:p w:rsidR="00A86593" w:rsidRDefault="00A86593" w:rsidP="001C741C">
            <w:pPr>
              <w:jc w:val="right"/>
            </w:pPr>
            <w:r>
              <w:t>1,735.1</w:t>
            </w:r>
          </w:p>
        </w:tc>
      </w:tr>
    </w:tbl>
    <w:p w:rsidR="00A86593" w:rsidRDefault="00A86593" w:rsidP="00A86593">
      <w:pPr>
        <w:spacing w:after="120"/>
        <w:jc w:val="bot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1559"/>
        <w:gridCol w:w="430"/>
        <w:gridCol w:w="1696"/>
      </w:tblGrid>
      <w:tr w:rsidR="00A86593" w:rsidTr="001C741C">
        <w:tc>
          <w:tcPr>
            <w:tcW w:w="5058" w:type="dxa"/>
          </w:tcPr>
          <w:p w:rsidR="00A86593" w:rsidRDefault="00A86593" w:rsidP="001C741C">
            <w:pPr>
              <w:rPr>
                <w:b/>
              </w:rPr>
            </w:pPr>
          </w:p>
        </w:tc>
        <w:tc>
          <w:tcPr>
            <w:tcW w:w="1559" w:type="dxa"/>
          </w:tcPr>
          <w:p w:rsidR="00A86593" w:rsidRDefault="00A86593" w:rsidP="001C741C">
            <w:pPr>
              <w:jc w:val="right"/>
              <w:rPr>
                <w:b/>
              </w:rPr>
            </w:pPr>
            <w:r>
              <w:rPr>
                <w:b/>
              </w:rPr>
              <w:t>2011/12</w:t>
            </w:r>
          </w:p>
          <w:p w:rsidR="00A86593" w:rsidRDefault="00A86593" w:rsidP="001C741C">
            <w:pPr>
              <w:jc w:val="right"/>
              <w:rPr>
                <w:b/>
              </w:rPr>
            </w:pPr>
            <w:r>
              <w:rPr>
                <w:b/>
              </w:rPr>
              <w:t>£m</w:t>
            </w:r>
          </w:p>
        </w:tc>
        <w:tc>
          <w:tcPr>
            <w:tcW w:w="430" w:type="dxa"/>
            <w:tcBorders>
              <w:right w:val="single" w:sz="4" w:space="0" w:color="FFFFFF" w:themeColor="background1"/>
            </w:tcBorders>
          </w:tcPr>
          <w:p w:rsidR="00A86593" w:rsidRDefault="00A86593" w:rsidP="001C741C">
            <w:pPr>
              <w:jc w:val="right"/>
              <w:rPr>
                <w:b/>
              </w:rPr>
            </w:pPr>
          </w:p>
          <w:p w:rsidR="00A86593" w:rsidRDefault="00A86593" w:rsidP="001C741C">
            <w:pPr>
              <w:jc w:val="right"/>
              <w:rPr>
                <w:b/>
              </w:rPr>
            </w:pPr>
          </w:p>
        </w:tc>
        <w:tc>
          <w:tcPr>
            <w:tcW w:w="1696" w:type="dxa"/>
            <w:tcBorders>
              <w:left w:val="single" w:sz="4" w:space="0" w:color="FFFFFF" w:themeColor="background1"/>
            </w:tcBorders>
          </w:tcPr>
          <w:p w:rsidR="00A86593" w:rsidRDefault="00A86593" w:rsidP="001C741C">
            <w:pPr>
              <w:jc w:val="right"/>
              <w:rPr>
                <w:b/>
              </w:rPr>
            </w:pPr>
            <w:r>
              <w:rPr>
                <w:b/>
              </w:rPr>
              <w:t>2010/11</w:t>
            </w:r>
          </w:p>
          <w:p w:rsidR="00A86593" w:rsidRDefault="00A86593" w:rsidP="001C741C">
            <w:pPr>
              <w:jc w:val="right"/>
              <w:rPr>
                <w:b/>
              </w:rPr>
            </w:pPr>
            <w:r>
              <w:rPr>
                <w:b/>
              </w:rPr>
              <w:t>£m</w:t>
            </w:r>
          </w:p>
          <w:p w:rsidR="00A86593" w:rsidRDefault="00A86593" w:rsidP="001C741C">
            <w:pPr>
              <w:jc w:val="right"/>
              <w:rPr>
                <w:b/>
              </w:rPr>
            </w:pPr>
          </w:p>
        </w:tc>
      </w:tr>
      <w:tr w:rsidR="00A86593" w:rsidRPr="007A07AD" w:rsidTr="001C741C">
        <w:tc>
          <w:tcPr>
            <w:tcW w:w="5058" w:type="dxa"/>
          </w:tcPr>
          <w:p w:rsidR="00A86593" w:rsidRPr="00E70ECF" w:rsidRDefault="00A86593" w:rsidP="001C741C">
            <w:pPr>
              <w:rPr>
                <w:b/>
              </w:rPr>
            </w:pPr>
            <w:r w:rsidRPr="00E70ECF">
              <w:rPr>
                <w:b/>
              </w:rPr>
              <w:t>Index Linked Securities</w:t>
            </w:r>
          </w:p>
        </w:tc>
        <w:tc>
          <w:tcPr>
            <w:tcW w:w="1559" w:type="dxa"/>
          </w:tcPr>
          <w:p w:rsidR="00A86593" w:rsidRPr="007A07AD" w:rsidRDefault="00A86593" w:rsidP="001C741C">
            <w:pPr>
              <w:jc w:val="right"/>
            </w:pP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p>
        </w:tc>
      </w:tr>
      <w:tr w:rsidR="00A86593" w:rsidRPr="007A07AD" w:rsidTr="001C741C">
        <w:tc>
          <w:tcPr>
            <w:tcW w:w="5058" w:type="dxa"/>
          </w:tcPr>
          <w:p w:rsidR="00A86593" w:rsidRDefault="00A86593" w:rsidP="001C741C">
            <w:r>
              <w:t>UK quoted</w:t>
            </w:r>
          </w:p>
        </w:tc>
        <w:tc>
          <w:tcPr>
            <w:tcW w:w="1559" w:type="dxa"/>
            <w:tcBorders>
              <w:bottom w:val="single" w:sz="18" w:space="0" w:color="auto"/>
            </w:tcBorders>
          </w:tcPr>
          <w:p w:rsidR="00A86593" w:rsidRPr="007A07AD" w:rsidRDefault="00A86593" w:rsidP="001C741C">
            <w:pPr>
              <w:jc w:val="right"/>
            </w:pPr>
            <w:r>
              <w:t>124.6</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bottom w:val="single" w:sz="18" w:space="0" w:color="auto"/>
            </w:tcBorders>
          </w:tcPr>
          <w:p w:rsidR="00A86593" w:rsidRPr="007A07AD" w:rsidRDefault="00A86593" w:rsidP="001C741C">
            <w:pPr>
              <w:jc w:val="right"/>
            </w:pPr>
            <w:r>
              <w:t>141.0</w:t>
            </w:r>
          </w:p>
        </w:tc>
      </w:tr>
      <w:tr w:rsidR="00A86593" w:rsidRPr="007A07AD" w:rsidTr="001C741C">
        <w:tc>
          <w:tcPr>
            <w:tcW w:w="5058" w:type="dxa"/>
          </w:tcPr>
          <w:p w:rsidR="00A86593" w:rsidRDefault="00A86593" w:rsidP="001C741C"/>
        </w:tc>
        <w:tc>
          <w:tcPr>
            <w:tcW w:w="1559" w:type="dxa"/>
            <w:tcBorders>
              <w:top w:val="single" w:sz="18" w:space="0" w:color="auto"/>
              <w:bottom w:val="single" w:sz="18" w:space="0" w:color="auto"/>
            </w:tcBorders>
          </w:tcPr>
          <w:p w:rsidR="00A86593" w:rsidRPr="007A07AD" w:rsidRDefault="00A86593" w:rsidP="001C741C">
            <w:pPr>
              <w:jc w:val="right"/>
            </w:pPr>
            <w:r>
              <w:t>124.6</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top w:val="single" w:sz="18" w:space="0" w:color="auto"/>
              <w:left w:val="single" w:sz="4" w:space="0" w:color="FFFFFF" w:themeColor="background1"/>
              <w:bottom w:val="single" w:sz="18" w:space="0" w:color="auto"/>
            </w:tcBorders>
          </w:tcPr>
          <w:p w:rsidR="00A86593" w:rsidRDefault="00A86593" w:rsidP="001C741C">
            <w:pPr>
              <w:jc w:val="right"/>
            </w:pPr>
            <w:r>
              <w:t>141.0</w:t>
            </w:r>
          </w:p>
        </w:tc>
      </w:tr>
    </w:tbl>
    <w:p w:rsidR="00A86593" w:rsidRDefault="00A86593" w:rsidP="00A86593">
      <w:pPr>
        <w:spacing w:after="120"/>
        <w:jc w:val="bot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1559"/>
        <w:gridCol w:w="430"/>
        <w:gridCol w:w="1696"/>
      </w:tblGrid>
      <w:tr w:rsidR="00A86593" w:rsidTr="001C741C">
        <w:tc>
          <w:tcPr>
            <w:tcW w:w="5058" w:type="dxa"/>
          </w:tcPr>
          <w:p w:rsidR="00A86593" w:rsidRDefault="00A86593" w:rsidP="001C741C">
            <w:pPr>
              <w:rPr>
                <w:b/>
              </w:rPr>
            </w:pPr>
          </w:p>
        </w:tc>
        <w:tc>
          <w:tcPr>
            <w:tcW w:w="1559" w:type="dxa"/>
          </w:tcPr>
          <w:p w:rsidR="00A86593" w:rsidRDefault="00A86593" w:rsidP="001C741C">
            <w:pPr>
              <w:jc w:val="right"/>
              <w:rPr>
                <w:b/>
              </w:rPr>
            </w:pPr>
            <w:r>
              <w:rPr>
                <w:b/>
              </w:rPr>
              <w:t>2011/12</w:t>
            </w:r>
          </w:p>
          <w:p w:rsidR="00A86593" w:rsidRDefault="00A86593" w:rsidP="001C741C">
            <w:pPr>
              <w:jc w:val="right"/>
              <w:rPr>
                <w:b/>
              </w:rPr>
            </w:pPr>
            <w:r>
              <w:rPr>
                <w:b/>
              </w:rPr>
              <w:t>£m</w:t>
            </w:r>
          </w:p>
        </w:tc>
        <w:tc>
          <w:tcPr>
            <w:tcW w:w="430" w:type="dxa"/>
            <w:tcBorders>
              <w:right w:val="single" w:sz="4" w:space="0" w:color="FFFFFF" w:themeColor="background1"/>
            </w:tcBorders>
          </w:tcPr>
          <w:p w:rsidR="00A86593" w:rsidRDefault="00A86593" w:rsidP="001C741C">
            <w:pPr>
              <w:jc w:val="right"/>
              <w:rPr>
                <w:b/>
              </w:rPr>
            </w:pPr>
          </w:p>
          <w:p w:rsidR="00A86593" w:rsidRDefault="00A86593" w:rsidP="001C741C">
            <w:pPr>
              <w:jc w:val="right"/>
              <w:rPr>
                <w:b/>
              </w:rPr>
            </w:pPr>
          </w:p>
        </w:tc>
        <w:tc>
          <w:tcPr>
            <w:tcW w:w="1696" w:type="dxa"/>
            <w:tcBorders>
              <w:left w:val="single" w:sz="4" w:space="0" w:color="FFFFFF" w:themeColor="background1"/>
            </w:tcBorders>
          </w:tcPr>
          <w:p w:rsidR="00A86593" w:rsidRDefault="00A86593" w:rsidP="001C741C">
            <w:pPr>
              <w:jc w:val="right"/>
              <w:rPr>
                <w:b/>
              </w:rPr>
            </w:pPr>
            <w:r>
              <w:rPr>
                <w:b/>
              </w:rPr>
              <w:t>2010/11</w:t>
            </w:r>
          </w:p>
          <w:p w:rsidR="00A86593" w:rsidRDefault="00A86593" w:rsidP="001C741C">
            <w:pPr>
              <w:jc w:val="right"/>
              <w:rPr>
                <w:b/>
              </w:rPr>
            </w:pPr>
            <w:r>
              <w:rPr>
                <w:b/>
              </w:rPr>
              <w:t>£m</w:t>
            </w:r>
          </w:p>
          <w:p w:rsidR="00A86593" w:rsidRDefault="00A86593" w:rsidP="001C741C">
            <w:pPr>
              <w:jc w:val="right"/>
              <w:rPr>
                <w:b/>
              </w:rPr>
            </w:pPr>
          </w:p>
        </w:tc>
      </w:tr>
      <w:tr w:rsidR="00A86593" w:rsidRPr="007A07AD" w:rsidTr="001C741C">
        <w:tc>
          <w:tcPr>
            <w:tcW w:w="5058" w:type="dxa"/>
          </w:tcPr>
          <w:p w:rsidR="00A86593" w:rsidRPr="00E70ECF" w:rsidRDefault="00A86593" w:rsidP="001C741C">
            <w:pPr>
              <w:rPr>
                <w:b/>
              </w:rPr>
            </w:pPr>
            <w:r w:rsidRPr="00E70ECF">
              <w:rPr>
                <w:b/>
              </w:rPr>
              <w:t>Pooled Investment Vehicles</w:t>
            </w:r>
          </w:p>
        </w:tc>
        <w:tc>
          <w:tcPr>
            <w:tcW w:w="1559" w:type="dxa"/>
          </w:tcPr>
          <w:p w:rsidR="00A86593" w:rsidRPr="007A07AD" w:rsidRDefault="00A86593" w:rsidP="001C741C">
            <w:pPr>
              <w:jc w:val="right"/>
            </w:pP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p>
        </w:tc>
      </w:tr>
      <w:tr w:rsidR="00A86593" w:rsidRPr="007A07AD" w:rsidTr="001C741C">
        <w:tc>
          <w:tcPr>
            <w:tcW w:w="5058" w:type="dxa"/>
          </w:tcPr>
          <w:p w:rsidR="00A86593" w:rsidRDefault="00A86593" w:rsidP="001C741C">
            <w:r>
              <w:t>Managed/Unitised funds – UK Equities</w:t>
            </w:r>
          </w:p>
        </w:tc>
        <w:tc>
          <w:tcPr>
            <w:tcW w:w="1559" w:type="dxa"/>
          </w:tcPr>
          <w:p w:rsidR="00A86593" w:rsidRPr="007A07AD" w:rsidRDefault="00A86593" w:rsidP="001C741C">
            <w:pPr>
              <w:jc w:val="right"/>
            </w:pPr>
            <w:r>
              <w:t>537.0</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r>
              <w:t>448.9</w:t>
            </w:r>
          </w:p>
        </w:tc>
      </w:tr>
      <w:tr w:rsidR="00A86593" w:rsidRPr="007A07AD" w:rsidTr="001C741C">
        <w:tc>
          <w:tcPr>
            <w:tcW w:w="5058" w:type="dxa"/>
          </w:tcPr>
          <w:p w:rsidR="00A86593" w:rsidRDefault="00A86593" w:rsidP="001C741C">
            <w:r>
              <w:t>Overseas Equities</w:t>
            </w:r>
          </w:p>
        </w:tc>
        <w:tc>
          <w:tcPr>
            <w:tcW w:w="1559" w:type="dxa"/>
          </w:tcPr>
          <w:p w:rsidR="00A86593" w:rsidRPr="007A07AD" w:rsidRDefault="00A86593" w:rsidP="001C741C">
            <w:pPr>
              <w:jc w:val="right"/>
            </w:pPr>
            <w:r>
              <w:t>400.3</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Default="00A86593" w:rsidP="001C741C">
            <w:pPr>
              <w:jc w:val="right"/>
            </w:pPr>
            <w:r>
              <w:t>423.2</w:t>
            </w:r>
          </w:p>
        </w:tc>
      </w:tr>
      <w:tr w:rsidR="00A86593" w:rsidRPr="007A07AD" w:rsidTr="001C741C">
        <w:tc>
          <w:tcPr>
            <w:tcW w:w="5058" w:type="dxa"/>
          </w:tcPr>
          <w:p w:rsidR="00A86593" w:rsidRPr="00233226" w:rsidRDefault="00A86593" w:rsidP="001C741C">
            <w:r w:rsidRPr="00233226">
              <w:t>Public Sector Bonds</w:t>
            </w:r>
          </w:p>
        </w:tc>
        <w:tc>
          <w:tcPr>
            <w:tcW w:w="1559" w:type="dxa"/>
          </w:tcPr>
          <w:p w:rsidR="00A86593" w:rsidRPr="00233226" w:rsidRDefault="00A86593" w:rsidP="001C741C">
            <w:pPr>
              <w:jc w:val="right"/>
            </w:pPr>
            <w:r>
              <w:t>-</w:t>
            </w:r>
          </w:p>
        </w:tc>
        <w:tc>
          <w:tcPr>
            <w:tcW w:w="430" w:type="dxa"/>
            <w:tcBorders>
              <w:right w:val="single" w:sz="4" w:space="0" w:color="FFFFFF" w:themeColor="background1"/>
            </w:tcBorders>
          </w:tcPr>
          <w:p w:rsidR="00A86593" w:rsidRPr="00233226" w:rsidRDefault="00A86593" w:rsidP="001C741C">
            <w:pPr>
              <w:jc w:val="right"/>
            </w:pPr>
          </w:p>
        </w:tc>
        <w:tc>
          <w:tcPr>
            <w:tcW w:w="1696" w:type="dxa"/>
            <w:tcBorders>
              <w:left w:val="single" w:sz="4" w:space="0" w:color="FFFFFF" w:themeColor="background1"/>
            </w:tcBorders>
          </w:tcPr>
          <w:p w:rsidR="00A86593" w:rsidRPr="00233226" w:rsidRDefault="00A86593" w:rsidP="001C741C">
            <w:pPr>
              <w:jc w:val="right"/>
            </w:pPr>
            <w:r>
              <w:t>-</w:t>
            </w:r>
          </w:p>
        </w:tc>
      </w:tr>
      <w:tr w:rsidR="00A86593" w:rsidRPr="007A07AD" w:rsidTr="001C741C">
        <w:tc>
          <w:tcPr>
            <w:tcW w:w="5058" w:type="dxa"/>
          </w:tcPr>
          <w:p w:rsidR="00A86593" w:rsidRPr="00233226" w:rsidRDefault="00A86593" w:rsidP="001C741C">
            <w:r w:rsidRPr="00233226">
              <w:t>Corporate Bonds</w:t>
            </w:r>
          </w:p>
        </w:tc>
        <w:tc>
          <w:tcPr>
            <w:tcW w:w="1559" w:type="dxa"/>
          </w:tcPr>
          <w:p w:rsidR="00A86593" w:rsidRPr="00233226" w:rsidRDefault="00A86593" w:rsidP="001C741C">
            <w:pPr>
              <w:jc w:val="right"/>
            </w:pPr>
            <w:r>
              <w:t>-</w:t>
            </w:r>
          </w:p>
        </w:tc>
        <w:tc>
          <w:tcPr>
            <w:tcW w:w="430" w:type="dxa"/>
            <w:tcBorders>
              <w:right w:val="single" w:sz="4" w:space="0" w:color="FFFFFF" w:themeColor="background1"/>
            </w:tcBorders>
          </w:tcPr>
          <w:p w:rsidR="00A86593" w:rsidRPr="00233226" w:rsidRDefault="00A86593" w:rsidP="001C741C">
            <w:pPr>
              <w:jc w:val="right"/>
            </w:pPr>
          </w:p>
        </w:tc>
        <w:tc>
          <w:tcPr>
            <w:tcW w:w="1696" w:type="dxa"/>
            <w:tcBorders>
              <w:left w:val="single" w:sz="4" w:space="0" w:color="FFFFFF" w:themeColor="background1"/>
            </w:tcBorders>
          </w:tcPr>
          <w:p w:rsidR="00A86593" w:rsidRPr="00233226" w:rsidRDefault="00A86593" w:rsidP="001C741C">
            <w:pPr>
              <w:jc w:val="right"/>
            </w:pPr>
            <w:r w:rsidRPr="00233226">
              <w:t>141.9</w:t>
            </w:r>
          </w:p>
        </w:tc>
      </w:tr>
      <w:tr w:rsidR="00A86593" w:rsidRPr="007A07AD" w:rsidTr="001C741C">
        <w:tc>
          <w:tcPr>
            <w:tcW w:w="5058" w:type="dxa"/>
          </w:tcPr>
          <w:p w:rsidR="00A86593" w:rsidRPr="00233226" w:rsidRDefault="00A86593" w:rsidP="001C741C">
            <w:r w:rsidRPr="00233226">
              <w:t>Index Linked</w:t>
            </w:r>
          </w:p>
        </w:tc>
        <w:tc>
          <w:tcPr>
            <w:tcW w:w="1559" w:type="dxa"/>
          </w:tcPr>
          <w:p w:rsidR="00A86593" w:rsidRPr="00233226" w:rsidRDefault="00A86593" w:rsidP="001C741C">
            <w:pPr>
              <w:jc w:val="right"/>
            </w:pPr>
            <w:r>
              <w:t>-</w:t>
            </w:r>
          </w:p>
        </w:tc>
        <w:tc>
          <w:tcPr>
            <w:tcW w:w="430" w:type="dxa"/>
            <w:tcBorders>
              <w:right w:val="single" w:sz="4" w:space="0" w:color="FFFFFF" w:themeColor="background1"/>
            </w:tcBorders>
          </w:tcPr>
          <w:p w:rsidR="00A86593" w:rsidRPr="00233226" w:rsidRDefault="00A86593" w:rsidP="001C741C">
            <w:pPr>
              <w:jc w:val="right"/>
            </w:pPr>
          </w:p>
        </w:tc>
        <w:tc>
          <w:tcPr>
            <w:tcW w:w="1696" w:type="dxa"/>
            <w:tcBorders>
              <w:left w:val="single" w:sz="4" w:space="0" w:color="FFFFFF" w:themeColor="background1"/>
            </w:tcBorders>
          </w:tcPr>
          <w:p w:rsidR="00A86593" w:rsidRPr="00233226" w:rsidRDefault="00A86593" w:rsidP="001C741C">
            <w:pPr>
              <w:jc w:val="right"/>
            </w:pPr>
            <w:r w:rsidRPr="00233226">
              <w:t>32.2</w:t>
            </w:r>
          </w:p>
        </w:tc>
      </w:tr>
      <w:tr w:rsidR="00A86593" w:rsidRPr="007A07AD" w:rsidTr="001C741C">
        <w:tc>
          <w:tcPr>
            <w:tcW w:w="5058" w:type="dxa"/>
          </w:tcPr>
          <w:p w:rsidR="00A86593" w:rsidRDefault="00A86593" w:rsidP="001C741C">
            <w:r>
              <w:t>Unit trusts – UK Equities</w:t>
            </w:r>
          </w:p>
        </w:tc>
        <w:tc>
          <w:tcPr>
            <w:tcW w:w="1559" w:type="dxa"/>
          </w:tcPr>
          <w:p w:rsidR="00A86593" w:rsidRPr="007A07AD" w:rsidRDefault="00A86593" w:rsidP="001C741C">
            <w:pPr>
              <w:jc w:val="right"/>
            </w:pPr>
            <w:r>
              <w:t>-</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Default="00A86593" w:rsidP="001C741C">
            <w:pPr>
              <w:jc w:val="right"/>
            </w:pPr>
            <w:r>
              <w:t>22.3</w:t>
            </w:r>
          </w:p>
        </w:tc>
      </w:tr>
      <w:tr w:rsidR="00A86593" w:rsidRPr="007A07AD" w:rsidTr="001C741C">
        <w:tc>
          <w:tcPr>
            <w:tcW w:w="5058" w:type="dxa"/>
          </w:tcPr>
          <w:p w:rsidR="00A86593" w:rsidRDefault="00A86593" w:rsidP="001C741C">
            <w:r>
              <w:t>Overseas Equities</w:t>
            </w:r>
          </w:p>
        </w:tc>
        <w:tc>
          <w:tcPr>
            <w:tcW w:w="1559" w:type="dxa"/>
          </w:tcPr>
          <w:p w:rsidR="00A86593" w:rsidRDefault="00A86593" w:rsidP="001C741C">
            <w:pPr>
              <w:jc w:val="right"/>
            </w:pPr>
            <w:r>
              <w:t>-</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Default="00A86593" w:rsidP="001C741C">
            <w:pPr>
              <w:jc w:val="right"/>
            </w:pPr>
            <w:r>
              <w:t>4.8</w:t>
            </w:r>
          </w:p>
        </w:tc>
      </w:tr>
      <w:tr w:rsidR="00A86593" w:rsidRPr="007A07AD" w:rsidTr="001C741C">
        <w:tc>
          <w:tcPr>
            <w:tcW w:w="5058" w:type="dxa"/>
          </w:tcPr>
          <w:p w:rsidR="00A86593" w:rsidRDefault="00A86593" w:rsidP="001C741C">
            <w:r>
              <w:t xml:space="preserve">UK Fixed Income Funds </w:t>
            </w:r>
          </w:p>
        </w:tc>
        <w:tc>
          <w:tcPr>
            <w:tcW w:w="1559" w:type="dxa"/>
          </w:tcPr>
          <w:p w:rsidR="00A86593" w:rsidRDefault="00A86593" w:rsidP="001C741C">
            <w:pPr>
              <w:jc w:val="right"/>
            </w:pPr>
            <w:r>
              <w:t>192.2</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Default="00A86593" w:rsidP="001C741C">
            <w:pPr>
              <w:jc w:val="right"/>
            </w:pPr>
            <w:r>
              <w:t>-</w:t>
            </w:r>
          </w:p>
        </w:tc>
      </w:tr>
      <w:tr w:rsidR="00A86593" w:rsidRPr="007A07AD" w:rsidTr="001C741C">
        <w:tc>
          <w:tcPr>
            <w:tcW w:w="5058" w:type="dxa"/>
          </w:tcPr>
          <w:p w:rsidR="00A86593" w:rsidRPr="00233226" w:rsidRDefault="00A86593" w:rsidP="001C741C">
            <w:r>
              <w:t>Overseas Fixed Income Funds</w:t>
            </w:r>
          </w:p>
        </w:tc>
        <w:tc>
          <w:tcPr>
            <w:tcW w:w="1559" w:type="dxa"/>
          </w:tcPr>
          <w:p w:rsidR="00A86593" w:rsidRDefault="00A86593" w:rsidP="001C741C">
            <w:pPr>
              <w:jc w:val="right"/>
            </w:pPr>
            <w:r>
              <w:t>49.3</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Default="00A86593" w:rsidP="001C741C">
            <w:pPr>
              <w:jc w:val="right"/>
            </w:pPr>
            <w:r>
              <w:t>-</w:t>
            </w:r>
          </w:p>
        </w:tc>
      </w:tr>
      <w:tr w:rsidR="00A86593" w:rsidRPr="007A07AD" w:rsidTr="001C741C">
        <w:tc>
          <w:tcPr>
            <w:tcW w:w="5058" w:type="dxa"/>
          </w:tcPr>
          <w:p w:rsidR="00A86593" w:rsidRDefault="00A86593" w:rsidP="001C741C">
            <w:r>
              <w:t>Other pooled investment vehicles</w:t>
            </w:r>
          </w:p>
          <w:p w:rsidR="00A86593" w:rsidRDefault="00A86593" w:rsidP="001C741C">
            <w:r>
              <w:t>-UK</w:t>
            </w:r>
          </w:p>
        </w:tc>
        <w:tc>
          <w:tcPr>
            <w:tcW w:w="1559" w:type="dxa"/>
          </w:tcPr>
          <w:p w:rsidR="00A86593" w:rsidRDefault="00A86593" w:rsidP="001C741C">
            <w:pPr>
              <w:jc w:val="right"/>
            </w:pPr>
          </w:p>
          <w:p w:rsidR="00A86593" w:rsidRDefault="00A86593" w:rsidP="001C741C">
            <w:pPr>
              <w:jc w:val="right"/>
            </w:pPr>
            <w:r>
              <w:t>-</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Default="00A86593" w:rsidP="001C741C">
            <w:pPr>
              <w:jc w:val="right"/>
            </w:pPr>
          </w:p>
          <w:p w:rsidR="00A86593" w:rsidRDefault="00A86593" w:rsidP="001C741C">
            <w:pPr>
              <w:jc w:val="right"/>
            </w:pPr>
            <w:r>
              <w:t>5.9</w:t>
            </w:r>
          </w:p>
        </w:tc>
      </w:tr>
      <w:tr w:rsidR="00A86593" w:rsidRPr="007A07AD" w:rsidTr="001C741C">
        <w:tc>
          <w:tcPr>
            <w:tcW w:w="5058" w:type="dxa"/>
          </w:tcPr>
          <w:p w:rsidR="00A86593" w:rsidRDefault="00A86593" w:rsidP="001C741C">
            <w:r>
              <w:t>Overseas</w:t>
            </w:r>
          </w:p>
        </w:tc>
        <w:tc>
          <w:tcPr>
            <w:tcW w:w="1559" w:type="dxa"/>
          </w:tcPr>
          <w:p w:rsidR="00A86593" w:rsidRPr="007A07AD" w:rsidRDefault="00A86593" w:rsidP="001C741C">
            <w:pPr>
              <w:jc w:val="right"/>
            </w:pPr>
            <w:r>
              <w:t>-</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Default="00A86593" w:rsidP="001C741C">
            <w:pPr>
              <w:jc w:val="right"/>
            </w:pPr>
            <w:r>
              <w:t>44.9</w:t>
            </w:r>
          </w:p>
        </w:tc>
      </w:tr>
      <w:tr w:rsidR="00A86593" w:rsidRPr="007A07AD" w:rsidTr="001C741C">
        <w:tc>
          <w:tcPr>
            <w:tcW w:w="5058" w:type="dxa"/>
          </w:tcPr>
          <w:p w:rsidR="00A86593" w:rsidRDefault="00A86593" w:rsidP="001C741C">
            <w:r>
              <w:t>Private Equity investments</w:t>
            </w:r>
          </w:p>
        </w:tc>
        <w:tc>
          <w:tcPr>
            <w:tcW w:w="1559" w:type="dxa"/>
          </w:tcPr>
          <w:p w:rsidR="00A86593" w:rsidRPr="007A07AD" w:rsidRDefault="00A86593" w:rsidP="001C741C">
            <w:pPr>
              <w:jc w:val="right"/>
            </w:pPr>
            <w:r>
              <w:t>287.5</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Default="00A86593" w:rsidP="001C741C">
            <w:pPr>
              <w:jc w:val="right"/>
            </w:pPr>
            <w:r>
              <w:t>201.8</w:t>
            </w:r>
          </w:p>
        </w:tc>
      </w:tr>
      <w:tr w:rsidR="00A86593" w:rsidRPr="007A07AD" w:rsidTr="001C741C">
        <w:tc>
          <w:tcPr>
            <w:tcW w:w="5058" w:type="dxa"/>
          </w:tcPr>
          <w:p w:rsidR="00A86593" w:rsidRDefault="00A86593" w:rsidP="001C741C">
            <w:r>
              <w:t>Hedge Fund of Funds</w:t>
            </w:r>
          </w:p>
        </w:tc>
        <w:tc>
          <w:tcPr>
            <w:tcW w:w="1559" w:type="dxa"/>
            <w:tcBorders>
              <w:bottom w:val="single" w:sz="18" w:space="0" w:color="auto"/>
            </w:tcBorders>
          </w:tcPr>
          <w:p w:rsidR="00A86593" w:rsidRPr="007A07AD" w:rsidRDefault="00A86593" w:rsidP="001C741C">
            <w:pPr>
              <w:jc w:val="right"/>
            </w:pPr>
            <w:r>
              <w:t>-</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bottom w:val="single" w:sz="18" w:space="0" w:color="auto"/>
            </w:tcBorders>
          </w:tcPr>
          <w:p w:rsidR="00A86593" w:rsidRDefault="00A86593" w:rsidP="001C741C">
            <w:pPr>
              <w:jc w:val="right"/>
            </w:pPr>
            <w:r>
              <w:t>69.6</w:t>
            </w:r>
          </w:p>
        </w:tc>
      </w:tr>
      <w:tr w:rsidR="00A86593" w:rsidRPr="007A07AD" w:rsidTr="001C741C">
        <w:tc>
          <w:tcPr>
            <w:tcW w:w="5058" w:type="dxa"/>
          </w:tcPr>
          <w:p w:rsidR="00A86593" w:rsidRDefault="00A86593" w:rsidP="001C741C"/>
        </w:tc>
        <w:tc>
          <w:tcPr>
            <w:tcW w:w="1559" w:type="dxa"/>
            <w:tcBorders>
              <w:top w:val="single" w:sz="18" w:space="0" w:color="auto"/>
              <w:bottom w:val="single" w:sz="18" w:space="0" w:color="auto"/>
            </w:tcBorders>
          </w:tcPr>
          <w:p w:rsidR="00A86593" w:rsidRPr="007A07AD" w:rsidRDefault="00A86593" w:rsidP="001C741C">
            <w:pPr>
              <w:jc w:val="right"/>
            </w:pPr>
            <w:r>
              <w:t>1,466.3</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top w:val="single" w:sz="18" w:space="0" w:color="auto"/>
              <w:left w:val="single" w:sz="4" w:space="0" w:color="FFFFFF" w:themeColor="background1"/>
              <w:bottom w:val="single" w:sz="18" w:space="0" w:color="auto"/>
            </w:tcBorders>
          </w:tcPr>
          <w:p w:rsidR="00A86593" w:rsidRDefault="00A86593" w:rsidP="001C741C">
            <w:pPr>
              <w:jc w:val="right"/>
            </w:pPr>
            <w:r>
              <w:t>1,395.5</w:t>
            </w:r>
          </w:p>
        </w:tc>
      </w:tr>
    </w:tbl>
    <w:p w:rsidR="00A86593" w:rsidRDefault="00A86593" w:rsidP="00A86593"/>
    <w:p w:rsidR="00A86593" w:rsidRDefault="00A86593" w:rsidP="00A86593">
      <w:r>
        <w:br w:type="page"/>
      </w:r>
    </w:p>
    <w:p w:rsidR="00A86593" w:rsidRDefault="00A86593" w:rsidP="00A86593"/>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1559"/>
        <w:gridCol w:w="430"/>
        <w:gridCol w:w="1696"/>
      </w:tblGrid>
      <w:tr w:rsidR="00A86593" w:rsidTr="001C741C">
        <w:tc>
          <w:tcPr>
            <w:tcW w:w="5058" w:type="dxa"/>
          </w:tcPr>
          <w:p w:rsidR="00A86593" w:rsidRDefault="00A86593" w:rsidP="001C741C">
            <w:pPr>
              <w:rPr>
                <w:b/>
              </w:rPr>
            </w:pPr>
          </w:p>
        </w:tc>
        <w:tc>
          <w:tcPr>
            <w:tcW w:w="1559" w:type="dxa"/>
          </w:tcPr>
          <w:p w:rsidR="00A86593" w:rsidRDefault="00A86593" w:rsidP="001C741C">
            <w:pPr>
              <w:jc w:val="right"/>
              <w:rPr>
                <w:b/>
              </w:rPr>
            </w:pPr>
            <w:r>
              <w:rPr>
                <w:b/>
              </w:rPr>
              <w:t>2011/12</w:t>
            </w:r>
          </w:p>
          <w:p w:rsidR="00A86593" w:rsidRDefault="00A86593" w:rsidP="001C741C">
            <w:pPr>
              <w:jc w:val="right"/>
              <w:rPr>
                <w:b/>
              </w:rPr>
            </w:pPr>
            <w:r>
              <w:rPr>
                <w:b/>
              </w:rPr>
              <w:t>£m</w:t>
            </w:r>
          </w:p>
        </w:tc>
        <w:tc>
          <w:tcPr>
            <w:tcW w:w="430" w:type="dxa"/>
            <w:tcBorders>
              <w:right w:val="single" w:sz="4" w:space="0" w:color="FFFFFF" w:themeColor="background1"/>
            </w:tcBorders>
          </w:tcPr>
          <w:p w:rsidR="00A86593" w:rsidRDefault="00A86593" w:rsidP="001C741C">
            <w:pPr>
              <w:jc w:val="right"/>
              <w:rPr>
                <w:b/>
              </w:rPr>
            </w:pPr>
          </w:p>
          <w:p w:rsidR="00A86593" w:rsidRDefault="00A86593" w:rsidP="001C741C">
            <w:pPr>
              <w:jc w:val="right"/>
              <w:rPr>
                <w:b/>
              </w:rPr>
            </w:pPr>
          </w:p>
        </w:tc>
        <w:tc>
          <w:tcPr>
            <w:tcW w:w="1696" w:type="dxa"/>
            <w:tcBorders>
              <w:left w:val="single" w:sz="4" w:space="0" w:color="FFFFFF" w:themeColor="background1"/>
            </w:tcBorders>
          </w:tcPr>
          <w:p w:rsidR="00A86593" w:rsidRDefault="00A86593" w:rsidP="001C741C">
            <w:pPr>
              <w:jc w:val="right"/>
              <w:rPr>
                <w:b/>
              </w:rPr>
            </w:pPr>
            <w:r>
              <w:rPr>
                <w:b/>
              </w:rPr>
              <w:t>2010/11</w:t>
            </w:r>
          </w:p>
          <w:p w:rsidR="00A86593" w:rsidRDefault="00A86593" w:rsidP="001C741C">
            <w:pPr>
              <w:jc w:val="right"/>
              <w:rPr>
                <w:b/>
              </w:rPr>
            </w:pPr>
            <w:r>
              <w:rPr>
                <w:b/>
              </w:rPr>
              <w:t>£m</w:t>
            </w:r>
          </w:p>
          <w:p w:rsidR="00A86593" w:rsidRDefault="00A86593" w:rsidP="001C741C">
            <w:pPr>
              <w:jc w:val="right"/>
              <w:rPr>
                <w:b/>
              </w:rPr>
            </w:pPr>
          </w:p>
        </w:tc>
      </w:tr>
      <w:tr w:rsidR="00A86593" w:rsidRPr="007A07AD" w:rsidTr="001C741C">
        <w:tc>
          <w:tcPr>
            <w:tcW w:w="5058" w:type="dxa"/>
          </w:tcPr>
          <w:p w:rsidR="00A86593" w:rsidRPr="00601704" w:rsidRDefault="00A86593" w:rsidP="001C741C">
            <w:pPr>
              <w:rPr>
                <w:b/>
              </w:rPr>
            </w:pPr>
            <w:r w:rsidRPr="00601704">
              <w:rPr>
                <w:b/>
              </w:rPr>
              <w:t>Properties</w:t>
            </w:r>
          </w:p>
        </w:tc>
        <w:tc>
          <w:tcPr>
            <w:tcW w:w="1559" w:type="dxa"/>
          </w:tcPr>
          <w:p w:rsidR="00A86593" w:rsidRPr="007A07AD" w:rsidRDefault="00A86593" w:rsidP="001C741C">
            <w:pPr>
              <w:jc w:val="right"/>
            </w:pP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p>
        </w:tc>
      </w:tr>
      <w:tr w:rsidR="00A86593" w:rsidRPr="007A07AD" w:rsidTr="001C741C">
        <w:tc>
          <w:tcPr>
            <w:tcW w:w="5058" w:type="dxa"/>
          </w:tcPr>
          <w:p w:rsidR="00A86593" w:rsidRDefault="00A86593" w:rsidP="001C741C">
            <w:r>
              <w:t>UK – Freehold</w:t>
            </w:r>
          </w:p>
        </w:tc>
        <w:tc>
          <w:tcPr>
            <w:tcW w:w="1559" w:type="dxa"/>
          </w:tcPr>
          <w:p w:rsidR="00A86593" w:rsidRPr="007A07AD" w:rsidRDefault="00A86593" w:rsidP="001C741C">
            <w:pPr>
              <w:jc w:val="right"/>
            </w:pPr>
            <w:r>
              <w:t>292.9</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r>
              <w:t>318.9</w:t>
            </w:r>
          </w:p>
        </w:tc>
      </w:tr>
      <w:tr w:rsidR="00A86593" w:rsidRPr="007A07AD" w:rsidTr="001C741C">
        <w:tc>
          <w:tcPr>
            <w:tcW w:w="5058" w:type="dxa"/>
          </w:tcPr>
          <w:p w:rsidR="00A86593" w:rsidRDefault="00A86593" w:rsidP="001C741C">
            <w:r>
              <w:t>UK – Long Leasehold</w:t>
            </w:r>
          </w:p>
        </w:tc>
        <w:tc>
          <w:tcPr>
            <w:tcW w:w="1559" w:type="dxa"/>
            <w:tcBorders>
              <w:bottom w:val="single" w:sz="18" w:space="0" w:color="auto"/>
            </w:tcBorders>
          </w:tcPr>
          <w:p w:rsidR="00A86593" w:rsidRPr="007A07AD" w:rsidRDefault="00A86593" w:rsidP="001C741C">
            <w:pPr>
              <w:jc w:val="right"/>
            </w:pPr>
            <w:r>
              <w:t>91.0</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bottom w:val="single" w:sz="18" w:space="0" w:color="auto"/>
            </w:tcBorders>
          </w:tcPr>
          <w:p w:rsidR="00A86593" w:rsidRDefault="00A86593" w:rsidP="001C741C">
            <w:pPr>
              <w:jc w:val="right"/>
            </w:pPr>
            <w:r>
              <w:t>78.6</w:t>
            </w:r>
          </w:p>
        </w:tc>
      </w:tr>
      <w:tr w:rsidR="00A86593" w:rsidRPr="007A07AD" w:rsidTr="001C741C">
        <w:tc>
          <w:tcPr>
            <w:tcW w:w="5058" w:type="dxa"/>
          </w:tcPr>
          <w:p w:rsidR="00A86593" w:rsidRDefault="00A86593" w:rsidP="001C741C"/>
        </w:tc>
        <w:tc>
          <w:tcPr>
            <w:tcW w:w="1559" w:type="dxa"/>
            <w:tcBorders>
              <w:top w:val="single" w:sz="18" w:space="0" w:color="auto"/>
              <w:bottom w:val="single" w:sz="18" w:space="0" w:color="auto"/>
            </w:tcBorders>
          </w:tcPr>
          <w:p w:rsidR="00A86593" w:rsidRPr="007A07AD" w:rsidRDefault="00A86593" w:rsidP="001C741C">
            <w:pPr>
              <w:jc w:val="right"/>
            </w:pPr>
            <w:r>
              <w:t>383.9</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top w:val="single" w:sz="18" w:space="0" w:color="auto"/>
              <w:left w:val="single" w:sz="4" w:space="0" w:color="FFFFFF" w:themeColor="background1"/>
              <w:bottom w:val="single" w:sz="18" w:space="0" w:color="auto"/>
            </w:tcBorders>
          </w:tcPr>
          <w:p w:rsidR="00A86593" w:rsidRDefault="00A86593" w:rsidP="001C741C">
            <w:pPr>
              <w:jc w:val="right"/>
            </w:pPr>
            <w:r>
              <w:t>397.5</w:t>
            </w:r>
          </w:p>
        </w:tc>
      </w:tr>
    </w:tbl>
    <w:p w:rsidR="00A86593" w:rsidRDefault="00A86593" w:rsidP="00A86593"/>
    <w:p w:rsidR="00A86593" w:rsidRDefault="00A86593" w:rsidP="00A86593"/>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1559"/>
        <w:gridCol w:w="430"/>
        <w:gridCol w:w="1696"/>
      </w:tblGrid>
      <w:tr w:rsidR="00A86593" w:rsidTr="001C741C">
        <w:tc>
          <w:tcPr>
            <w:tcW w:w="5058" w:type="dxa"/>
          </w:tcPr>
          <w:p w:rsidR="00A86593" w:rsidRDefault="00A86593" w:rsidP="001C741C">
            <w:pPr>
              <w:rPr>
                <w:b/>
              </w:rPr>
            </w:pPr>
          </w:p>
        </w:tc>
        <w:tc>
          <w:tcPr>
            <w:tcW w:w="1559" w:type="dxa"/>
          </w:tcPr>
          <w:p w:rsidR="00A86593" w:rsidRDefault="00A86593" w:rsidP="001C741C">
            <w:pPr>
              <w:jc w:val="right"/>
              <w:rPr>
                <w:b/>
              </w:rPr>
            </w:pPr>
            <w:r>
              <w:rPr>
                <w:b/>
              </w:rPr>
              <w:t>2011/12</w:t>
            </w:r>
          </w:p>
          <w:p w:rsidR="00A86593" w:rsidRDefault="00A86593" w:rsidP="001C741C">
            <w:pPr>
              <w:jc w:val="right"/>
              <w:rPr>
                <w:b/>
              </w:rPr>
            </w:pPr>
            <w:r>
              <w:rPr>
                <w:b/>
              </w:rPr>
              <w:t>£m</w:t>
            </w:r>
          </w:p>
        </w:tc>
        <w:tc>
          <w:tcPr>
            <w:tcW w:w="430" w:type="dxa"/>
            <w:tcBorders>
              <w:right w:val="single" w:sz="4" w:space="0" w:color="FFFFFF" w:themeColor="background1"/>
            </w:tcBorders>
          </w:tcPr>
          <w:p w:rsidR="00A86593" w:rsidRDefault="00A86593" w:rsidP="001C741C">
            <w:pPr>
              <w:jc w:val="right"/>
              <w:rPr>
                <w:b/>
              </w:rPr>
            </w:pPr>
          </w:p>
          <w:p w:rsidR="00A86593" w:rsidRDefault="00A86593" w:rsidP="001C741C">
            <w:pPr>
              <w:jc w:val="right"/>
              <w:rPr>
                <w:b/>
              </w:rPr>
            </w:pPr>
          </w:p>
        </w:tc>
        <w:tc>
          <w:tcPr>
            <w:tcW w:w="1696" w:type="dxa"/>
            <w:tcBorders>
              <w:left w:val="single" w:sz="4" w:space="0" w:color="FFFFFF" w:themeColor="background1"/>
            </w:tcBorders>
          </w:tcPr>
          <w:p w:rsidR="00A86593" w:rsidRDefault="00A86593" w:rsidP="001C741C">
            <w:pPr>
              <w:jc w:val="right"/>
              <w:rPr>
                <w:b/>
              </w:rPr>
            </w:pPr>
            <w:r>
              <w:rPr>
                <w:b/>
              </w:rPr>
              <w:t>2010/11</w:t>
            </w:r>
          </w:p>
          <w:p w:rsidR="00A86593" w:rsidRDefault="00A86593" w:rsidP="001C741C">
            <w:pPr>
              <w:jc w:val="right"/>
              <w:rPr>
                <w:b/>
              </w:rPr>
            </w:pPr>
            <w:r>
              <w:rPr>
                <w:b/>
              </w:rPr>
              <w:t>£m</w:t>
            </w:r>
          </w:p>
          <w:p w:rsidR="00A86593" w:rsidRDefault="00A86593" w:rsidP="001C741C">
            <w:pPr>
              <w:jc w:val="right"/>
              <w:rPr>
                <w:b/>
              </w:rPr>
            </w:pPr>
          </w:p>
        </w:tc>
      </w:tr>
      <w:tr w:rsidR="00A86593" w:rsidRPr="007A07AD" w:rsidTr="001C741C">
        <w:tc>
          <w:tcPr>
            <w:tcW w:w="5058" w:type="dxa"/>
          </w:tcPr>
          <w:p w:rsidR="00A86593" w:rsidRPr="007A07AD" w:rsidRDefault="00A86593" w:rsidP="001C741C">
            <w:r>
              <w:t>Balance at start of the year</w:t>
            </w:r>
          </w:p>
        </w:tc>
        <w:tc>
          <w:tcPr>
            <w:tcW w:w="1559" w:type="dxa"/>
          </w:tcPr>
          <w:p w:rsidR="00A86593" w:rsidRPr="007A07AD" w:rsidRDefault="00A86593" w:rsidP="001C741C">
            <w:pPr>
              <w:jc w:val="right"/>
            </w:pPr>
            <w:r>
              <w:t>397.5</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r>
              <w:t>306.1</w:t>
            </w:r>
          </w:p>
        </w:tc>
      </w:tr>
      <w:tr w:rsidR="00A86593" w:rsidRPr="007A07AD" w:rsidTr="001C741C">
        <w:tc>
          <w:tcPr>
            <w:tcW w:w="5058" w:type="dxa"/>
          </w:tcPr>
          <w:p w:rsidR="00A86593" w:rsidRDefault="00A86593" w:rsidP="001C741C">
            <w:r>
              <w:t>Additions</w:t>
            </w:r>
          </w:p>
        </w:tc>
        <w:tc>
          <w:tcPr>
            <w:tcW w:w="1559" w:type="dxa"/>
          </w:tcPr>
          <w:p w:rsidR="00A86593" w:rsidRPr="007A07AD" w:rsidRDefault="00A86593" w:rsidP="001C741C">
            <w:pPr>
              <w:jc w:val="right"/>
            </w:pPr>
            <w:r>
              <w:t>24.2</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r>
              <w:t>89.9</w:t>
            </w:r>
          </w:p>
        </w:tc>
      </w:tr>
      <w:tr w:rsidR="00A86593" w:rsidRPr="007A07AD" w:rsidTr="001C741C">
        <w:tc>
          <w:tcPr>
            <w:tcW w:w="5058" w:type="dxa"/>
          </w:tcPr>
          <w:p w:rsidR="00A86593" w:rsidRDefault="00A86593" w:rsidP="001C741C">
            <w:r>
              <w:t>Disposals</w:t>
            </w:r>
          </w:p>
        </w:tc>
        <w:tc>
          <w:tcPr>
            <w:tcW w:w="1559" w:type="dxa"/>
          </w:tcPr>
          <w:p w:rsidR="00A86593" w:rsidRPr="007A07AD" w:rsidRDefault="00A86593" w:rsidP="001C741C">
            <w:pPr>
              <w:jc w:val="right"/>
            </w:pPr>
            <w:r>
              <w:t>(34.1)</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r>
              <w:t>(9.1)</w:t>
            </w:r>
          </w:p>
        </w:tc>
      </w:tr>
      <w:tr w:rsidR="00A86593" w:rsidRPr="007A07AD" w:rsidTr="001C741C">
        <w:tc>
          <w:tcPr>
            <w:tcW w:w="5058" w:type="dxa"/>
          </w:tcPr>
          <w:p w:rsidR="00A86593" w:rsidRDefault="00A86593" w:rsidP="001C741C">
            <w:r>
              <w:t>Net gain/loss on fair value</w:t>
            </w:r>
          </w:p>
        </w:tc>
        <w:tc>
          <w:tcPr>
            <w:tcW w:w="1559" w:type="dxa"/>
          </w:tcPr>
          <w:p w:rsidR="00A86593" w:rsidRPr="007A07AD" w:rsidRDefault="00A86593" w:rsidP="001C741C">
            <w:pPr>
              <w:jc w:val="right"/>
            </w:pPr>
            <w:r>
              <w:t>(3.7)</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r>
              <w:t>10.6</w:t>
            </w:r>
          </w:p>
        </w:tc>
      </w:tr>
      <w:tr w:rsidR="00A86593" w:rsidRPr="007A07AD" w:rsidTr="001C741C">
        <w:tc>
          <w:tcPr>
            <w:tcW w:w="5058" w:type="dxa"/>
          </w:tcPr>
          <w:p w:rsidR="00A86593" w:rsidRDefault="00A86593" w:rsidP="001C741C">
            <w:r>
              <w:t>Transfers in/out</w:t>
            </w:r>
          </w:p>
        </w:tc>
        <w:tc>
          <w:tcPr>
            <w:tcW w:w="1559" w:type="dxa"/>
          </w:tcPr>
          <w:p w:rsidR="00A86593" w:rsidRPr="007A07AD" w:rsidRDefault="00A86593" w:rsidP="001C741C">
            <w:pPr>
              <w:jc w:val="right"/>
            </w:pPr>
            <w:r>
              <w:t>-</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r>
              <w:t>-</w:t>
            </w:r>
          </w:p>
        </w:tc>
      </w:tr>
      <w:tr w:rsidR="00A86593" w:rsidRPr="007A07AD" w:rsidTr="001C741C">
        <w:tc>
          <w:tcPr>
            <w:tcW w:w="5058" w:type="dxa"/>
          </w:tcPr>
          <w:p w:rsidR="00A86593" w:rsidRDefault="00A86593" w:rsidP="001C741C">
            <w:r>
              <w:t>Other changes in fair value</w:t>
            </w:r>
          </w:p>
        </w:tc>
        <w:tc>
          <w:tcPr>
            <w:tcW w:w="1559" w:type="dxa"/>
            <w:tcBorders>
              <w:bottom w:val="single" w:sz="18" w:space="0" w:color="auto"/>
            </w:tcBorders>
          </w:tcPr>
          <w:p w:rsidR="00A86593" w:rsidRPr="007A07AD" w:rsidRDefault="00A86593" w:rsidP="001C741C">
            <w:pPr>
              <w:jc w:val="right"/>
            </w:pPr>
            <w:r>
              <w:t>-</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bottom w:val="single" w:sz="18" w:space="0" w:color="auto"/>
            </w:tcBorders>
          </w:tcPr>
          <w:p w:rsidR="00A86593" w:rsidRPr="007A07AD" w:rsidRDefault="00A86593" w:rsidP="001C741C">
            <w:pPr>
              <w:jc w:val="right"/>
            </w:pPr>
            <w:r>
              <w:t>-</w:t>
            </w:r>
          </w:p>
        </w:tc>
      </w:tr>
      <w:tr w:rsidR="00A86593" w:rsidRPr="007A07AD" w:rsidTr="001C741C">
        <w:tc>
          <w:tcPr>
            <w:tcW w:w="5058" w:type="dxa"/>
          </w:tcPr>
          <w:p w:rsidR="00A86593" w:rsidRDefault="00A86593" w:rsidP="001C741C">
            <w:r>
              <w:t>Balance at the end of the year</w:t>
            </w:r>
          </w:p>
        </w:tc>
        <w:tc>
          <w:tcPr>
            <w:tcW w:w="1559" w:type="dxa"/>
            <w:tcBorders>
              <w:top w:val="single" w:sz="18" w:space="0" w:color="auto"/>
              <w:bottom w:val="single" w:sz="18" w:space="0" w:color="auto"/>
            </w:tcBorders>
          </w:tcPr>
          <w:p w:rsidR="00A86593" w:rsidRPr="007A07AD" w:rsidRDefault="00A86593" w:rsidP="001C741C">
            <w:pPr>
              <w:jc w:val="right"/>
            </w:pPr>
            <w:r>
              <w:t>383.9</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top w:val="single" w:sz="18" w:space="0" w:color="auto"/>
              <w:left w:val="single" w:sz="4" w:space="0" w:color="FFFFFF" w:themeColor="background1"/>
              <w:bottom w:val="single" w:sz="18" w:space="0" w:color="auto"/>
            </w:tcBorders>
          </w:tcPr>
          <w:p w:rsidR="00A86593" w:rsidRPr="007A07AD" w:rsidRDefault="00A86593" w:rsidP="001C741C">
            <w:pPr>
              <w:jc w:val="right"/>
            </w:pPr>
            <w:r>
              <w:t>397.5</w:t>
            </w:r>
          </w:p>
        </w:tc>
      </w:tr>
    </w:tbl>
    <w:p w:rsidR="00A86593" w:rsidRDefault="00A86593" w:rsidP="00A86593"/>
    <w:p w:rsidR="00A86593" w:rsidRDefault="00A86593" w:rsidP="00A86593"/>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1559"/>
        <w:gridCol w:w="430"/>
        <w:gridCol w:w="1696"/>
      </w:tblGrid>
      <w:tr w:rsidR="00A86593" w:rsidTr="001C741C">
        <w:tc>
          <w:tcPr>
            <w:tcW w:w="5058" w:type="dxa"/>
          </w:tcPr>
          <w:p w:rsidR="00A86593" w:rsidRDefault="00A86593" w:rsidP="001C741C">
            <w:pPr>
              <w:rPr>
                <w:b/>
              </w:rPr>
            </w:pPr>
          </w:p>
        </w:tc>
        <w:tc>
          <w:tcPr>
            <w:tcW w:w="1559" w:type="dxa"/>
          </w:tcPr>
          <w:p w:rsidR="00A86593" w:rsidRDefault="00A86593" w:rsidP="001C741C">
            <w:pPr>
              <w:jc w:val="right"/>
              <w:rPr>
                <w:b/>
              </w:rPr>
            </w:pPr>
            <w:r>
              <w:rPr>
                <w:b/>
              </w:rPr>
              <w:t>2011/12</w:t>
            </w:r>
          </w:p>
          <w:p w:rsidR="00A86593" w:rsidRDefault="00A86593" w:rsidP="001C741C">
            <w:pPr>
              <w:jc w:val="right"/>
              <w:rPr>
                <w:b/>
              </w:rPr>
            </w:pPr>
            <w:r>
              <w:rPr>
                <w:b/>
              </w:rPr>
              <w:t>£m</w:t>
            </w:r>
          </w:p>
        </w:tc>
        <w:tc>
          <w:tcPr>
            <w:tcW w:w="430" w:type="dxa"/>
            <w:tcBorders>
              <w:right w:val="single" w:sz="4" w:space="0" w:color="FFFFFF" w:themeColor="background1"/>
            </w:tcBorders>
          </w:tcPr>
          <w:p w:rsidR="00A86593" w:rsidRDefault="00A86593" w:rsidP="001C741C">
            <w:pPr>
              <w:jc w:val="right"/>
              <w:rPr>
                <w:b/>
              </w:rPr>
            </w:pPr>
          </w:p>
          <w:p w:rsidR="00A86593" w:rsidRDefault="00A86593" w:rsidP="001C741C">
            <w:pPr>
              <w:jc w:val="right"/>
              <w:rPr>
                <w:b/>
              </w:rPr>
            </w:pPr>
          </w:p>
        </w:tc>
        <w:tc>
          <w:tcPr>
            <w:tcW w:w="1696" w:type="dxa"/>
            <w:tcBorders>
              <w:left w:val="single" w:sz="4" w:space="0" w:color="FFFFFF" w:themeColor="background1"/>
            </w:tcBorders>
          </w:tcPr>
          <w:p w:rsidR="00A86593" w:rsidRDefault="00A86593" w:rsidP="001C741C">
            <w:pPr>
              <w:jc w:val="right"/>
              <w:rPr>
                <w:b/>
              </w:rPr>
            </w:pPr>
            <w:r>
              <w:rPr>
                <w:b/>
              </w:rPr>
              <w:t>2010/11</w:t>
            </w:r>
          </w:p>
          <w:p w:rsidR="00A86593" w:rsidRDefault="00A86593" w:rsidP="001C741C">
            <w:pPr>
              <w:jc w:val="right"/>
              <w:rPr>
                <w:b/>
              </w:rPr>
            </w:pPr>
            <w:r>
              <w:rPr>
                <w:b/>
              </w:rPr>
              <w:t>£m</w:t>
            </w:r>
          </w:p>
          <w:p w:rsidR="00A86593" w:rsidRDefault="00A86593" w:rsidP="001C741C">
            <w:pPr>
              <w:jc w:val="right"/>
              <w:rPr>
                <w:b/>
              </w:rPr>
            </w:pPr>
          </w:p>
        </w:tc>
      </w:tr>
      <w:tr w:rsidR="00A86593" w:rsidRPr="007A07AD" w:rsidTr="001C741C">
        <w:tc>
          <w:tcPr>
            <w:tcW w:w="5058" w:type="dxa"/>
          </w:tcPr>
          <w:p w:rsidR="00A86593" w:rsidRPr="00601704" w:rsidRDefault="00A86593" w:rsidP="001C741C">
            <w:pPr>
              <w:rPr>
                <w:b/>
              </w:rPr>
            </w:pPr>
            <w:r w:rsidRPr="00601704">
              <w:rPr>
                <w:b/>
              </w:rPr>
              <w:t>Derivatives Contracts</w:t>
            </w:r>
          </w:p>
        </w:tc>
        <w:tc>
          <w:tcPr>
            <w:tcW w:w="1559" w:type="dxa"/>
          </w:tcPr>
          <w:p w:rsidR="00A86593" w:rsidRPr="007A07AD" w:rsidRDefault="00A86593" w:rsidP="001C741C">
            <w:pPr>
              <w:jc w:val="right"/>
            </w:pP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p>
        </w:tc>
      </w:tr>
      <w:tr w:rsidR="00A86593" w:rsidRPr="007A07AD" w:rsidTr="001C741C">
        <w:tc>
          <w:tcPr>
            <w:tcW w:w="5058" w:type="dxa"/>
          </w:tcPr>
          <w:p w:rsidR="00A86593" w:rsidRDefault="00A86593" w:rsidP="001C741C">
            <w:r>
              <w:t>Futures Contracts</w:t>
            </w:r>
          </w:p>
        </w:tc>
        <w:tc>
          <w:tcPr>
            <w:tcW w:w="1559" w:type="dxa"/>
            <w:tcBorders>
              <w:bottom w:val="single" w:sz="18" w:space="0" w:color="auto"/>
            </w:tcBorders>
          </w:tcPr>
          <w:p w:rsidR="00A86593" w:rsidRPr="007A07AD" w:rsidRDefault="00A86593" w:rsidP="001C741C">
            <w:pPr>
              <w:jc w:val="right"/>
            </w:pPr>
            <w:r>
              <w:t>0.2</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bottom w:val="single" w:sz="18" w:space="0" w:color="auto"/>
            </w:tcBorders>
          </w:tcPr>
          <w:p w:rsidR="00A86593" w:rsidRPr="007A07AD" w:rsidRDefault="00A86593" w:rsidP="001C741C">
            <w:pPr>
              <w:jc w:val="right"/>
            </w:pPr>
            <w:r>
              <w:t>0.9</w:t>
            </w:r>
          </w:p>
        </w:tc>
      </w:tr>
      <w:tr w:rsidR="00A86593" w:rsidRPr="007A07AD" w:rsidTr="001C741C">
        <w:tc>
          <w:tcPr>
            <w:tcW w:w="5058" w:type="dxa"/>
          </w:tcPr>
          <w:p w:rsidR="00A86593" w:rsidRDefault="00A86593" w:rsidP="001C741C"/>
        </w:tc>
        <w:tc>
          <w:tcPr>
            <w:tcW w:w="1559" w:type="dxa"/>
            <w:tcBorders>
              <w:top w:val="single" w:sz="18" w:space="0" w:color="auto"/>
              <w:bottom w:val="single" w:sz="18" w:space="0" w:color="auto"/>
            </w:tcBorders>
          </w:tcPr>
          <w:p w:rsidR="00A86593" w:rsidRPr="007A07AD" w:rsidRDefault="00A86593" w:rsidP="001C741C">
            <w:pPr>
              <w:jc w:val="right"/>
            </w:pPr>
            <w:r>
              <w:t>0.2</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top w:val="single" w:sz="18" w:space="0" w:color="auto"/>
              <w:left w:val="single" w:sz="4" w:space="0" w:color="FFFFFF" w:themeColor="background1"/>
              <w:bottom w:val="single" w:sz="18" w:space="0" w:color="auto"/>
            </w:tcBorders>
          </w:tcPr>
          <w:p w:rsidR="00A86593" w:rsidRPr="007A07AD" w:rsidRDefault="00A86593" w:rsidP="001C741C">
            <w:pPr>
              <w:jc w:val="right"/>
            </w:pPr>
            <w:r>
              <w:t>0.9</w:t>
            </w:r>
          </w:p>
        </w:tc>
      </w:tr>
    </w:tbl>
    <w:p w:rsidR="00A86593" w:rsidRDefault="00A86593" w:rsidP="00A86593"/>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27"/>
        <w:gridCol w:w="2433"/>
        <w:gridCol w:w="1541"/>
        <w:gridCol w:w="1501"/>
        <w:gridCol w:w="413"/>
        <w:gridCol w:w="1647"/>
      </w:tblGrid>
      <w:tr w:rsidR="00A86593" w:rsidTr="001C741C">
        <w:tc>
          <w:tcPr>
            <w:tcW w:w="2528" w:type="dxa"/>
          </w:tcPr>
          <w:p w:rsidR="00A86593" w:rsidRDefault="00A86593" w:rsidP="001C741C">
            <w:pPr>
              <w:rPr>
                <w:b/>
              </w:rPr>
            </w:pPr>
          </w:p>
        </w:tc>
        <w:tc>
          <w:tcPr>
            <w:tcW w:w="2528" w:type="dxa"/>
          </w:tcPr>
          <w:p w:rsidR="00A86593" w:rsidRDefault="00A86593" w:rsidP="001C741C">
            <w:pPr>
              <w:rPr>
                <w:b/>
              </w:rPr>
            </w:pPr>
          </w:p>
        </w:tc>
        <w:tc>
          <w:tcPr>
            <w:tcW w:w="1557" w:type="dxa"/>
          </w:tcPr>
          <w:p w:rsidR="00A86593" w:rsidRDefault="00A86593" w:rsidP="001C741C">
            <w:pPr>
              <w:jc w:val="right"/>
              <w:rPr>
                <w:b/>
              </w:rPr>
            </w:pPr>
            <w:r>
              <w:rPr>
                <w:b/>
              </w:rPr>
              <w:t>Economic</w:t>
            </w:r>
          </w:p>
        </w:tc>
        <w:tc>
          <w:tcPr>
            <w:tcW w:w="1558" w:type="dxa"/>
          </w:tcPr>
          <w:p w:rsidR="00A86593" w:rsidRDefault="00A86593" w:rsidP="001C741C">
            <w:pPr>
              <w:jc w:val="right"/>
              <w:rPr>
                <w:b/>
              </w:rPr>
            </w:pPr>
          </w:p>
        </w:tc>
        <w:tc>
          <w:tcPr>
            <w:tcW w:w="430" w:type="dxa"/>
            <w:tcBorders>
              <w:right w:val="single" w:sz="4" w:space="0" w:color="FFFFFF" w:themeColor="background1"/>
            </w:tcBorders>
          </w:tcPr>
          <w:p w:rsidR="00A86593" w:rsidRDefault="00A86593" w:rsidP="001C741C">
            <w:pPr>
              <w:jc w:val="right"/>
              <w:rPr>
                <w:b/>
              </w:rPr>
            </w:pPr>
          </w:p>
        </w:tc>
        <w:tc>
          <w:tcPr>
            <w:tcW w:w="1695" w:type="dxa"/>
            <w:tcBorders>
              <w:left w:val="single" w:sz="4" w:space="0" w:color="FFFFFF" w:themeColor="background1"/>
            </w:tcBorders>
          </w:tcPr>
          <w:p w:rsidR="00A86593" w:rsidRDefault="00A86593" w:rsidP="001C741C">
            <w:pPr>
              <w:jc w:val="right"/>
              <w:rPr>
                <w:b/>
              </w:rPr>
            </w:pPr>
          </w:p>
        </w:tc>
      </w:tr>
      <w:tr w:rsidR="00A86593" w:rsidTr="001C741C">
        <w:tc>
          <w:tcPr>
            <w:tcW w:w="2528" w:type="dxa"/>
          </w:tcPr>
          <w:p w:rsidR="00A86593" w:rsidRDefault="00A86593" w:rsidP="001C741C">
            <w:pPr>
              <w:rPr>
                <w:b/>
              </w:rPr>
            </w:pPr>
            <w:r>
              <w:rPr>
                <w:b/>
              </w:rPr>
              <w:t>Type of Future</w:t>
            </w:r>
          </w:p>
        </w:tc>
        <w:tc>
          <w:tcPr>
            <w:tcW w:w="2528" w:type="dxa"/>
          </w:tcPr>
          <w:p w:rsidR="00A86593" w:rsidRDefault="00A86593" w:rsidP="001C741C">
            <w:pPr>
              <w:rPr>
                <w:b/>
              </w:rPr>
            </w:pPr>
            <w:r>
              <w:rPr>
                <w:b/>
              </w:rPr>
              <w:t>Expiration</w:t>
            </w:r>
          </w:p>
        </w:tc>
        <w:tc>
          <w:tcPr>
            <w:tcW w:w="1557" w:type="dxa"/>
          </w:tcPr>
          <w:p w:rsidR="00A86593" w:rsidRDefault="00A86593" w:rsidP="001C741C">
            <w:pPr>
              <w:jc w:val="right"/>
              <w:rPr>
                <w:b/>
              </w:rPr>
            </w:pPr>
            <w:r>
              <w:rPr>
                <w:b/>
              </w:rPr>
              <w:t>Exposure</w:t>
            </w:r>
          </w:p>
          <w:p w:rsidR="00A86593" w:rsidRDefault="00A86593" w:rsidP="001C741C">
            <w:pPr>
              <w:jc w:val="right"/>
              <w:rPr>
                <w:b/>
              </w:rPr>
            </w:pPr>
            <w:r>
              <w:rPr>
                <w:b/>
              </w:rPr>
              <w:t>£m</w:t>
            </w:r>
          </w:p>
        </w:tc>
        <w:tc>
          <w:tcPr>
            <w:tcW w:w="1558" w:type="dxa"/>
          </w:tcPr>
          <w:p w:rsidR="00A86593" w:rsidRDefault="00A86593" w:rsidP="001C741C">
            <w:pPr>
              <w:jc w:val="right"/>
              <w:rPr>
                <w:b/>
              </w:rPr>
            </w:pPr>
            <w:r>
              <w:rPr>
                <w:b/>
              </w:rPr>
              <w:t>Asset</w:t>
            </w:r>
          </w:p>
          <w:p w:rsidR="00A86593" w:rsidRDefault="00A86593" w:rsidP="001C741C">
            <w:pPr>
              <w:jc w:val="right"/>
              <w:rPr>
                <w:b/>
              </w:rPr>
            </w:pPr>
            <w:r>
              <w:rPr>
                <w:b/>
              </w:rPr>
              <w:t>£m</w:t>
            </w:r>
          </w:p>
        </w:tc>
        <w:tc>
          <w:tcPr>
            <w:tcW w:w="430" w:type="dxa"/>
            <w:tcBorders>
              <w:right w:val="single" w:sz="4" w:space="0" w:color="FFFFFF" w:themeColor="background1"/>
            </w:tcBorders>
          </w:tcPr>
          <w:p w:rsidR="00A86593" w:rsidRDefault="00A86593" w:rsidP="001C741C">
            <w:pPr>
              <w:jc w:val="right"/>
              <w:rPr>
                <w:b/>
              </w:rPr>
            </w:pPr>
          </w:p>
          <w:p w:rsidR="00A86593" w:rsidRDefault="00A86593" w:rsidP="001C741C">
            <w:pPr>
              <w:jc w:val="right"/>
              <w:rPr>
                <w:b/>
              </w:rPr>
            </w:pPr>
          </w:p>
        </w:tc>
        <w:tc>
          <w:tcPr>
            <w:tcW w:w="1695" w:type="dxa"/>
            <w:tcBorders>
              <w:left w:val="single" w:sz="4" w:space="0" w:color="FFFFFF" w:themeColor="background1"/>
            </w:tcBorders>
          </w:tcPr>
          <w:p w:rsidR="00A86593" w:rsidRDefault="00A86593" w:rsidP="001C741C">
            <w:pPr>
              <w:jc w:val="right"/>
              <w:rPr>
                <w:b/>
              </w:rPr>
            </w:pPr>
            <w:r>
              <w:rPr>
                <w:b/>
              </w:rPr>
              <w:t>Liability</w:t>
            </w:r>
          </w:p>
          <w:p w:rsidR="00A86593" w:rsidRDefault="00A86593" w:rsidP="001C741C">
            <w:pPr>
              <w:jc w:val="right"/>
              <w:rPr>
                <w:b/>
              </w:rPr>
            </w:pPr>
            <w:r>
              <w:rPr>
                <w:b/>
              </w:rPr>
              <w:t>£m</w:t>
            </w:r>
          </w:p>
          <w:p w:rsidR="00A86593" w:rsidRDefault="00A86593" w:rsidP="001C741C">
            <w:pPr>
              <w:jc w:val="right"/>
              <w:rPr>
                <w:b/>
              </w:rPr>
            </w:pPr>
          </w:p>
        </w:tc>
      </w:tr>
      <w:tr w:rsidR="00A86593" w:rsidRPr="007A07AD" w:rsidTr="001C741C">
        <w:tc>
          <w:tcPr>
            <w:tcW w:w="2528" w:type="dxa"/>
          </w:tcPr>
          <w:p w:rsidR="00A86593" w:rsidRPr="007A07AD" w:rsidRDefault="00A86593" w:rsidP="001C741C">
            <w:pPr>
              <w:spacing w:after="120"/>
            </w:pPr>
            <w:r>
              <w:t>UK gilt exchange traded</w:t>
            </w:r>
          </w:p>
        </w:tc>
        <w:tc>
          <w:tcPr>
            <w:tcW w:w="2528" w:type="dxa"/>
          </w:tcPr>
          <w:p w:rsidR="00A86593" w:rsidRPr="007A07AD" w:rsidRDefault="00A86593" w:rsidP="001C741C">
            <w:pPr>
              <w:spacing w:after="120"/>
            </w:pPr>
            <w:r>
              <w:t>3 months</w:t>
            </w:r>
          </w:p>
        </w:tc>
        <w:tc>
          <w:tcPr>
            <w:tcW w:w="1557" w:type="dxa"/>
          </w:tcPr>
          <w:p w:rsidR="00A86593" w:rsidRPr="007A07AD" w:rsidRDefault="00A86593" w:rsidP="001C741C">
            <w:pPr>
              <w:spacing w:after="120"/>
              <w:jc w:val="right"/>
            </w:pPr>
            <w:r>
              <w:t>9.6</w:t>
            </w:r>
          </w:p>
        </w:tc>
        <w:tc>
          <w:tcPr>
            <w:tcW w:w="1558" w:type="dxa"/>
          </w:tcPr>
          <w:p w:rsidR="00A86593" w:rsidRPr="007A07AD" w:rsidRDefault="00A86593" w:rsidP="001C741C">
            <w:pPr>
              <w:spacing w:after="120"/>
              <w:jc w:val="right"/>
            </w:pPr>
          </w:p>
        </w:tc>
        <w:tc>
          <w:tcPr>
            <w:tcW w:w="430" w:type="dxa"/>
            <w:tcBorders>
              <w:right w:val="single" w:sz="4" w:space="0" w:color="FFFFFF" w:themeColor="background1"/>
            </w:tcBorders>
          </w:tcPr>
          <w:p w:rsidR="00A86593" w:rsidRPr="007A07AD" w:rsidRDefault="00A86593" w:rsidP="001C741C">
            <w:pPr>
              <w:spacing w:after="120"/>
              <w:jc w:val="right"/>
            </w:pPr>
          </w:p>
        </w:tc>
        <w:tc>
          <w:tcPr>
            <w:tcW w:w="1695" w:type="dxa"/>
            <w:tcBorders>
              <w:left w:val="single" w:sz="4" w:space="0" w:color="FFFFFF" w:themeColor="background1"/>
            </w:tcBorders>
          </w:tcPr>
          <w:p w:rsidR="00A86593" w:rsidRPr="007A07AD" w:rsidRDefault="00A86593" w:rsidP="001C741C">
            <w:pPr>
              <w:spacing w:after="120"/>
              <w:jc w:val="right"/>
            </w:pPr>
            <w:r>
              <w:t>-</w:t>
            </w:r>
          </w:p>
        </w:tc>
      </w:tr>
      <w:tr w:rsidR="00A86593" w:rsidRPr="007A07AD" w:rsidTr="001C741C">
        <w:tc>
          <w:tcPr>
            <w:tcW w:w="2528" w:type="dxa"/>
          </w:tcPr>
          <w:p w:rsidR="00A86593" w:rsidRDefault="00A86593" w:rsidP="001C741C">
            <w:pPr>
              <w:spacing w:after="120"/>
            </w:pPr>
            <w:r>
              <w:t>Hang Seng (HKG)</w:t>
            </w:r>
          </w:p>
        </w:tc>
        <w:tc>
          <w:tcPr>
            <w:tcW w:w="2528" w:type="dxa"/>
          </w:tcPr>
          <w:p w:rsidR="00A86593" w:rsidRDefault="00A86593" w:rsidP="001C741C">
            <w:pPr>
              <w:spacing w:after="120"/>
            </w:pPr>
            <w:r>
              <w:t>1 month</w:t>
            </w:r>
          </w:p>
        </w:tc>
        <w:tc>
          <w:tcPr>
            <w:tcW w:w="1557" w:type="dxa"/>
          </w:tcPr>
          <w:p w:rsidR="00A86593" w:rsidRPr="007A07AD" w:rsidRDefault="00A86593" w:rsidP="001C741C">
            <w:pPr>
              <w:spacing w:after="120"/>
              <w:jc w:val="right"/>
            </w:pPr>
            <w:r>
              <w:t>4.7</w:t>
            </w:r>
          </w:p>
        </w:tc>
        <w:tc>
          <w:tcPr>
            <w:tcW w:w="1558" w:type="dxa"/>
          </w:tcPr>
          <w:p w:rsidR="00A86593" w:rsidRPr="007A07AD" w:rsidRDefault="00A86593" w:rsidP="001C741C">
            <w:pPr>
              <w:spacing w:after="120"/>
              <w:jc w:val="right"/>
            </w:pPr>
          </w:p>
        </w:tc>
        <w:tc>
          <w:tcPr>
            <w:tcW w:w="430" w:type="dxa"/>
            <w:tcBorders>
              <w:right w:val="single" w:sz="4" w:space="0" w:color="FFFFFF" w:themeColor="background1"/>
            </w:tcBorders>
          </w:tcPr>
          <w:p w:rsidR="00A86593" w:rsidRPr="007A07AD" w:rsidRDefault="00A86593" w:rsidP="001C741C">
            <w:pPr>
              <w:spacing w:after="120"/>
              <w:jc w:val="right"/>
            </w:pPr>
          </w:p>
        </w:tc>
        <w:tc>
          <w:tcPr>
            <w:tcW w:w="1695" w:type="dxa"/>
            <w:tcBorders>
              <w:left w:val="single" w:sz="4" w:space="0" w:color="FFFFFF" w:themeColor="background1"/>
            </w:tcBorders>
          </w:tcPr>
          <w:p w:rsidR="00A86593" w:rsidRPr="007A07AD" w:rsidRDefault="00A86593" w:rsidP="001C741C">
            <w:pPr>
              <w:spacing w:after="120"/>
              <w:jc w:val="right"/>
            </w:pPr>
            <w:r>
              <w:t>0.1</w:t>
            </w:r>
          </w:p>
        </w:tc>
      </w:tr>
      <w:tr w:rsidR="00A86593" w:rsidRPr="007A07AD" w:rsidTr="001C741C">
        <w:tc>
          <w:tcPr>
            <w:tcW w:w="2528" w:type="dxa"/>
          </w:tcPr>
          <w:p w:rsidR="00A86593" w:rsidRDefault="00A86593" w:rsidP="001C741C">
            <w:pPr>
              <w:spacing w:after="120"/>
            </w:pPr>
            <w:r>
              <w:t>MSCI Singapore Index</w:t>
            </w:r>
          </w:p>
        </w:tc>
        <w:tc>
          <w:tcPr>
            <w:tcW w:w="2528" w:type="dxa"/>
          </w:tcPr>
          <w:p w:rsidR="00A86593" w:rsidRDefault="00A86593" w:rsidP="001C741C">
            <w:pPr>
              <w:spacing w:after="120"/>
            </w:pPr>
            <w:r>
              <w:t>1 month</w:t>
            </w:r>
          </w:p>
        </w:tc>
        <w:tc>
          <w:tcPr>
            <w:tcW w:w="1557" w:type="dxa"/>
          </w:tcPr>
          <w:p w:rsidR="00A86593" w:rsidRPr="007A07AD" w:rsidRDefault="00A86593" w:rsidP="001C741C">
            <w:pPr>
              <w:spacing w:after="120"/>
              <w:jc w:val="right"/>
            </w:pPr>
            <w:r>
              <w:t>4.4</w:t>
            </w:r>
          </w:p>
        </w:tc>
        <w:tc>
          <w:tcPr>
            <w:tcW w:w="1558" w:type="dxa"/>
          </w:tcPr>
          <w:p w:rsidR="00A86593" w:rsidRPr="007A07AD" w:rsidRDefault="00A86593" w:rsidP="001C741C">
            <w:pPr>
              <w:spacing w:after="120"/>
              <w:jc w:val="right"/>
            </w:pPr>
          </w:p>
        </w:tc>
        <w:tc>
          <w:tcPr>
            <w:tcW w:w="430" w:type="dxa"/>
            <w:tcBorders>
              <w:right w:val="single" w:sz="4" w:space="0" w:color="FFFFFF" w:themeColor="background1"/>
            </w:tcBorders>
          </w:tcPr>
          <w:p w:rsidR="00A86593" w:rsidRPr="007A07AD" w:rsidRDefault="00A86593" w:rsidP="001C741C">
            <w:pPr>
              <w:spacing w:after="120"/>
              <w:jc w:val="right"/>
            </w:pPr>
          </w:p>
        </w:tc>
        <w:tc>
          <w:tcPr>
            <w:tcW w:w="1695" w:type="dxa"/>
            <w:tcBorders>
              <w:left w:val="single" w:sz="4" w:space="0" w:color="FFFFFF" w:themeColor="background1"/>
            </w:tcBorders>
          </w:tcPr>
          <w:p w:rsidR="00A86593" w:rsidRPr="007A07AD" w:rsidRDefault="00A86593" w:rsidP="001C741C">
            <w:pPr>
              <w:spacing w:after="120"/>
              <w:jc w:val="right"/>
            </w:pPr>
            <w:r>
              <w:t>-</w:t>
            </w:r>
          </w:p>
        </w:tc>
      </w:tr>
      <w:tr w:rsidR="00A86593" w:rsidRPr="007A07AD" w:rsidTr="001C741C">
        <w:tc>
          <w:tcPr>
            <w:tcW w:w="2528" w:type="dxa"/>
          </w:tcPr>
          <w:p w:rsidR="00A86593" w:rsidRDefault="00A86593" w:rsidP="001C741C">
            <w:pPr>
              <w:spacing w:after="120"/>
            </w:pPr>
            <w:r>
              <w:t>SPI 200 Index</w:t>
            </w:r>
          </w:p>
        </w:tc>
        <w:tc>
          <w:tcPr>
            <w:tcW w:w="2528" w:type="dxa"/>
          </w:tcPr>
          <w:p w:rsidR="00A86593" w:rsidRDefault="00A86593" w:rsidP="001C741C">
            <w:pPr>
              <w:spacing w:after="120"/>
            </w:pPr>
            <w:r>
              <w:t>3 months</w:t>
            </w:r>
          </w:p>
        </w:tc>
        <w:tc>
          <w:tcPr>
            <w:tcW w:w="1557" w:type="dxa"/>
          </w:tcPr>
          <w:p w:rsidR="00A86593" w:rsidRDefault="00A86593" w:rsidP="001C741C">
            <w:pPr>
              <w:spacing w:after="120"/>
              <w:jc w:val="right"/>
            </w:pPr>
            <w:r>
              <w:t>12.5</w:t>
            </w:r>
          </w:p>
        </w:tc>
        <w:tc>
          <w:tcPr>
            <w:tcW w:w="1558" w:type="dxa"/>
          </w:tcPr>
          <w:p w:rsidR="00A86593" w:rsidRPr="007A07AD" w:rsidRDefault="00A86593" w:rsidP="001C741C">
            <w:pPr>
              <w:spacing w:after="120"/>
              <w:jc w:val="right"/>
            </w:pPr>
            <w:r>
              <w:t>0.3</w:t>
            </w:r>
          </w:p>
        </w:tc>
        <w:tc>
          <w:tcPr>
            <w:tcW w:w="430" w:type="dxa"/>
            <w:tcBorders>
              <w:right w:val="single" w:sz="4" w:space="0" w:color="FFFFFF" w:themeColor="background1"/>
            </w:tcBorders>
          </w:tcPr>
          <w:p w:rsidR="00A86593" w:rsidRPr="007A07AD" w:rsidRDefault="00A86593" w:rsidP="001C741C">
            <w:pPr>
              <w:spacing w:after="120"/>
              <w:jc w:val="right"/>
            </w:pPr>
          </w:p>
        </w:tc>
        <w:tc>
          <w:tcPr>
            <w:tcW w:w="1695" w:type="dxa"/>
            <w:tcBorders>
              <w:left w:val="single" w:sz="4" w:space="0" w:color="FFFFFF" w:themeColor="background1"/>
            </w:tcBorders>
          </w:tcPr>
          <w:p w:rsidR="00A86593" w:rsidRPr="007A07AD" w:rsidRDefault="00A86593" w:rsidP="001C741C">
            <w:pPr>
              <w:spacing w:after="120"/>
              <w:jc w:val="right"/>
            </w:pPr>
          </w:p>
        </w:tc>
      </w:tr>
      <w:tr w:rsidR="00A86593" w:rsidRPr="007A07AD" w:rsidTr="001C741C">
        <w:tc>
          <w:tcPr>
            <w:tcW w:w="2528" w:type="dxa"/>
          </w:tcPr>
          <w:p w:rsidR="00A86593" w:rsidRDefault="00A86593" w:rsidP="001C741C">
            <w:pPr>
              <w:spacing w:after="120"/>
            </w:pPr>
            <w:r>
              <w:t>Total</w:t>
            </w:r>
          </w:p>
        </w:tc>
        <w:tc>
          <w:tcPr>
            <w:tcW w:w="2528" w:type="dxa"/>
          </w:tcPr>
          <w:p w:rsidR="00A86593" w:rsidRDefault="00A86593" w:rsidP="001C741C">
            <w:pPr>
              <w:spacing w:after="120"/>
            </w:pPr>
          </w:p>
        </w:tc>
        <w:tc>
          <w:tcPr>
            <w:tcW w:w="1557" w:type="dxa"/>
          </w:tcPr>
          <w:p w:rsidR="00A86593" w:rsidRDefault="00A86593" w:rsidP="001C741C">
            <w:pPr>
              <w:spacing w:after="120"/>
              <w:jc w:val="right"/>
            </w:pPr>
          </w:p>
        </w:tc>
        <w:tc>
          <w:tcPr>
            <w:tcW w:w="1558" w:type="dxa"/>
          </w:tcPr>
          <w:p w:rsidR="00A86593" w:rsidRPr="00E813BC" w:rsidRDefault="00A86593" w:rsidP="001C741C">
            <w:pPr>
              <w:spacing w:after="120"/>
              <w:jc w:val="right"/>
              <w:rPr>
                <w:b/>
              </w:rPr>
            </w:pPr>
            <w:r w:rsidRPr="00E813BC">
              <w:rPr>
                <w:b/>
              </w:rPr>
              <w:t>0.3</w:t>
            </w:r>
          </w:p>
        </w:tc>
        <w:tc>
          <w:tcPr>
            <w:tcW w:w="430" w:type="dxa"/>
            <w:tcBorders>
              <w:right w:val="single" w:sz="4" w:space="0" w:color="FFFFFF" w:themeColor="background1"/>
            </w:tcBorders>
          </w:tcPr>
          <w:p w:rsidR="00A86593" w:rsidRPr="00E813BC" w:rsidRDefault="00A86593" w:rsidP="001C741C">
            <w:pPr>
              <w:spacing w:after="120"/>
              <w:jc w:val="right"/>
              <w:rPr>
                <w:b/>
              </w:rPr>
            </w:pPr>
          </w:p>
        </w:tc>
        <w:tc>
          <w:tcPr>
            <w:tcW w:w="1695" w:type="dxa"/>
            <w:tcBorders>
              <w:left w:val="single" w:sz="4" w:space="0" w:color="FFFFFF" w:themeColor="background1"/>
            </w:tcBorders>
          </w:tcPr>
          <w:p w:rsidR="00A86593" w:rsidRPr="00E813BC" w:rsidRDefault="00A86593" w:rsidP="001C741C">
            <w:pPr>
              <w:spacing w:after="120"/>
              <w:jc w:val="right"/>
              <w:rPr>
                <w:b/>
              </w:rPr>
            </w:pPr>
            <w:r>
              <w:rPr>
                <w:b/>
              </w:rPr>
              <w:t>0.1</w:t>
            </w:r>
          </w:p>
        </w:tc>
      </w:tr>
    </w:tbl>
    <w:p w:rsidR="00A86593" w:rsidRDefault="00A86593" w:rsidP="00A86593">
      <w:pPr>
        <w:ind w:left="720"/>
      </w:pPr>
    </w:p>
    <w:p w:rsidR="00A86593" w:rsidRDefault="00A86593" w:rsidP="003B314A">
      <w:pPr>
        <w:ind w:left="720"/>
        <w:jc w:val="both"/>
      </w:pPr>
      <w:r w:rsidRPr="00166665">
        <w:t xml:space="preserve">The economic exposure represents the notional value of stock purchased under the futures contract and therefore the value is subject to market movements.  Derivative receipts and payments represent the realised gains and losses on futures contracts.  Derivatives are held to manage economic exposure to markets, enhance </w:t>
      </w:r>
      <w:r>
        <w:t>i</w:t>
      </w:r>
      <w:r w:rsidRPr="00166665">
        <w:t>nvestment returns and manage risk.  Futures are used by the Pension Fund's bond manager to reallocate risk and exposures within the bonds portfolio.</w:t>
      </w:r>
    </w:p>
    <w:p w:rsidR="00A86593" w:rsidRDefault="00A86593" w:rsidP="00A86593">
      <w:pPr>
        <w:ind w:left="720"/>
      </w:pPr>
    </w:p>
    <w:p w:rsidR="00A86593" w:rsidRDefault="00A86593" w:rsidP="00A86593">
      <w:pPr>
        <w:ind w:left="720"/>
      </w:pPr>
      <w:r w:rsidRPr="00AA58CA">
        <w:rPr>
          <w:b/>
        </w:rPr>
        <w:lastRenderedPageBreak/>
        <w:t>Derivative contracts (forward currency positions</w:t>
      </w:r>
      <w:r>
        <w:t>)</w:t>
      </w:r>
    </w:p>
    <w:p w:rsidR="00A86593" w:rsidRDefault="00A86593" w:rsidP="00A86593">
      <w:pPr>
        <w:ind w:left="72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9"/>
        <w:gridCol w:w="2529"/>
        <w:gridCol w:w="1559"/>
        <w:gridCol w:w="430"/>
        <w:gridCol w:w="1696"/>
      </w:tblGrid>
      <w:tr w:rsidR="00A86593" w:rsidTr="001C741C">
        <w:trPr>
          <w:trHeight w:val="866"/>
        </w:trPr>
        <w:tc>
          <w:tcPr>
            <w:tcW w:w="2529" w:type="dxa"/>
          </w:tcPr>
          <w:p w:rsidR="00A86593" w:rsidRDefault="00A86593" w:rsidP="001C741C">
            <w:pPr>
              <w:rPr>
                <w:b/>
              </w:rPr>
            </w:pPr>
            <w:r>
              <w:rPr>
                <w:b/>
              </w:rPr>
              <w:t>Settlement date</w:t>
            </w:r>
          </w:p>
        </w:tc>
        <w:tc>
          <w:tcPr>
            <w:tcW w:w="2529" w:type="dxa"/>
          </w:tcPr>
          <w:p w:rsidR="00A86593" w:rsidRDefault="00A86593" w:rsidP="001C741C">
            <w:pPr>
              <w:jc w:val="right"/>
              <w:rPr>
                <w:b/>
              </w:rPr>
            </w:pPr>
            <w:r>
              <w:rPr>
                <w:b/>
              </w:rPr>
              <w:t>Bought</w:t>
            </w:r>
          </w:p>
          <w:p w:rsidR="00A86593" w:rsidRDefault="00A86593" w:rsidP="001C741C">
            <w:pPr>
              <w:jc w:val="right"/>
              <w:rPr>
                <w:b/>
              </w:rPr>
            </w:pPr>
            <w:r>
              <w:rPr>
                <w:b/>
              </w:rPr>
              <w:t>£m EQV</w:t>
            </w:r>
          </w:p>
        </w:tc>
        <w:tc>
          <w:tcPr>
            <w:tcW w:w="1559" w:type="dxa"/>
          </w:tcPr>
          <w:p w:rsidR="00A86593" w:rsidRDefault="00A86593" w:rsidP="001C741C">
            <w:pPr>
              <w:jc w:val="right"/>
              <w:rPr>
                <w:b/>
              </w:rPr>
            </w:pPr>
            <w:r>
              <w:rPr>
                <w:b/>
              </w:rPr>
              <w:t>Sold</w:t>
            </w:r>
          </w:p>
          <w:p w:rsidR="00A86593" w:rsidRDefault="00A86593" w:rsidP="001C741C">
            <w:pPr>
              <w:jc w:val="right"/>
              <w:rPr>
                <w:b/>
              </w:rPr>
            </w:pPr>
            <w:r>
              <w:rPr>
                <w:b/>
              </w:rPr>
              <w:t>£m EQV</w:t>
            </w:r>
          </w:p>
        </w:tc>
        <w:tc>
          <w:tcPr>
            <w:tcW w:w="430" w:type="dxa"/>
            <w:tcBorders>
              <w:right w:val="single" w:sz="4" w:space="0" w:color="FFFFFF" w:themeColor="background1"/>
            </w:tcBorders>
          </w:tcPr>
          <w:p w:rsidR="00A86593" w:rsidRDefault="00A86593" w:rsidP="001C741C">
            <w:pPr>
              <w:jc w:val="right"/>
              <w:rPr>
                <w:b/>
              </w:rPr>
            </w:pPr>
          </w:p>
          <w:p w:rsidR="00A86593" w:rsidRDefault="00A86593" w:rsidP="001C741C">
            <w:pPr>
              <w:jc w:val="right"/>
              <w:rPr>
                <w:b/>
              </w:rPr>
            </w:pPr>
          </w:p>
        </w:tc>
        <w:tc>
          <w:tcPr>
            <w:tcW w:w="1696" w:type="dxa"/>
            <w:tcBorders>
              <w:left w:val="single" w:sz="4" w:space="0" w:color="FFFFFF" w:themeColor="background1"/>
            </w:tcBorders>
          </w:tcPr>
          <w:p w:rsidR="00A86593" w:rsidRDefault="00A86593" w:rsidP="001C741C">
            <w:pPr>
              <w:jc w:val="right"/>
              <w:rPr>
                <w:b/>
              </w:rPr>
            </w:pPr>
          </w:p>
          <w:p w:rsidR="00A86593" w:rsidRDefault="00A86593" w:rsidP="001C741C">
            <w:pPr>
              <w:jc w:val="right"/>
              <w:rPr>
                <w:b/>
              </w:rPr>
            </w:pPr>
            <w:r>
              <w:rPr>
                <w:b/>
              </w:rPr>
              <w:t>£m</w:t>
            </w:r>
          </w:p>
          <w:p w:rsidR="00A86593" w:rsidRDefault="00A86593" w:rsidP="001C741C">
            <w:pPr>
              <w:jc w:val="right"/>
              <w:rPr>
                <w:b/>
              </w:rPr>
            </w:pPr>
          </w:p>
        </w:tc>
      </w:tr>
      <w:tr w:rsidR="00A86593" w:rsidRPr="00AA58CA" w:rsidTr="001C741C">
        <w:tc>
          <w:tcPr>
            <w:tcW w:w="2529" w:type="dxa"/>
          </w:tcPr>
          <w:p w:rsidR="00A86593" w:rsidRPr="00AA58CA" w:rsidRDefault="00A86593" w:rsidP="001C741C">
            <w:pPr>
              <w:rPr>
                <w:b/>
              </w:rPr>
            </w:pPr>
            <w:r>
              <w:rPr>
                <w:b/>
              </w:rPr>
              <w:t>Investment</w:t>
            </w:r>
            <w:r w:rsidRPr="00AA58CA">
              <w:rPr>
                <w:b/>
              </w:rPr>
              <w:t xml:space="preserve"> assets</w:t>
            </w:r>
          </w:p>
        </w:tc>
        <w:tc>
          <w:tcPr>
            <w:tcW w:w="2529" w:type="dxa"/>
          </w:tcPr>
          <w:p w:rsidR="00A86593" w:rsidRPr="00AA58CA" w:rsidRDefault="00A86593" w:rsidP="001C741C">
            <w:pPr>
              <w:jc w:val="right"/>
            </w:pPr>
          </w:p>
        </w:tc>
        <w:tc>
          <w:tcPr>
            <w:tcW w:w="1559" w:type="dxa"/>
          </w:tcPr>
          <w:p w:rsidR="00A86593" w:rsidRPr="00AA58CA" w:rsidRDefault="00A86593" w:rsidP="001C741C">
            <w:pPr>
              <w:jc w:val="right"/>
            </w:pPr>
          </w:p>
        </w:tc>
        <w:tc>
          <w:tcPr>
            <w:tcW w:w="430" w:type="dxa"/>
            <w:tcBorders>
              <w:right w:val="single" w:sz="4" w:space="0" w:color="FFFFFF" w:themeColor="background1"/>
            </w:tcBorders>
          </w:tcPr>
          <w:p w:rsidR="00A86593" w:rsidRPr="00AA58CA" w:rsidRDefault="00A86593" w:rsidP="001C741C">
            <w:pPr>
              <w:jc w:val="right"/>
            </w:pPr>
          </w:p>
        </w:tc>
        <w:tc>
          <w:tcPr>
            <w:tcW w:w="1696" w:type="dxa"/>
            <w:tcBorders>
              <w:left w:val="single" w:sz="4" w:space="0" w:color="FFFFFF" w:themeColor="background1"/>
            </w:tcBorders>
          </w:tcPr>
          <w:p w:rsidR="00A86593" w:rsidRPr="00AA58CA" w:rsidRDefault="00A86593" w:rsidP="001C741C">
            <w:pPr>
              <w:jc w:val="right"/>
            </w:pPr>
          </w:p>
        </w:tc>
      </w:tr>
      <w:tr w:rsidR="00A86593" w:rsidRPr="00AA58CA" w:rsidTr="001C741C">
        <w:tc>
          <w:tcPr>
            <w:tcW w:w="2529" w:type="dxa"/>
          </w:tcPr>
          <w:p w:rsidR="00A86593" w:rsidRDefault="00A86593" w:rsidP="001C741C">
            <w:pPr>
              <w:spacing w:after="120"/>
            </w:pPr>
            <w:r>
              <w:t>6 months and under</w:t>
            </w:r>
          </w:p>
        </w:tc>
        <w:tc>
          <w:tcPr>
            <w:tcW w:w="2529" w:type="dxa"/>
          </w:tcPr>
          <w:p w:rsidR="00A86593" w:rsidRPr="00AA58CA" w:rsidRDefault="00A86593" w:rsidP="001C741C">
            <w:pPr>
              <w:spacing w:after="120"/>
              <w:jc w:val="right"/>
            </w:pPr>
            <w:r>
              <w:t>108.6</w:t>
            </w:r>
          </w:p>
        </w:tc>
        <w:tc>
          <w:tcPr>
            <w:tcW w:w="1559" w:type="dxa"/>
          </w:tcPr>
          <w:p w:rsidR="00A86593" w:rsidRPr="00AA58CA" w:rsidRDefault="00A86593" w:rsidP="001C741C">
            <w:pPr>
              <w:spacing w:after="120"/>
              <w:jc w:val="right"/>
            </w:pPr>
            <w:r>
              <w:t>105.5</w:t>
            </w:r>
          </w:p>
        </w:tc>
        <w:tc>
          <w:tcPr>
            <w:tcW w:w="430" w:type="dxa"/>
            <w:tcBorders>
              <w:right w:val="single" w:sz="4" w:space="0" w:color="FFFFFF" w:themeColor="background1"/>
            </w:tcBorders>
          </w:tcPr>
          <w:p w:rsidR="00A86593" w:rsidRPr="00AA58CA" w:rsidRDefault="00A86593" w:rsidP="001C741C">
            <w:pPr>
              <w:spacing w:after="120"/>
              <w:jc w:val="right"/>
            </w:pPr>
          </w:p>
        </w:tc>
        <w:tc>
          <w:tcPr>
            <w:tcW w:w="1696" w:type="dxa"/>
            <w:tcBorders>
              <w:left w:val="single" w:sz="4" w:space="0" w:color="FFFFFF" w:themeColor="background1"/>
              <w:bottom w:val="single" w:sz="18" w:space="0" w:color="auto"/>
            </w:tcBorders>
          </w:tcPr>
          <w:p w:rsidR="00A86593" w:rsidRPr="00AA58CA" w:rsidRDefault="00A86593" w:rsidP="001C741C">
            <w:pPr>
              <w:spacing w:after="120"/>
              <w:jc w:val="right"/>
            </w:pPr>
            <w:r>
              <w:t>3.1</w:t>
            </w:r>
          </w:p>
        </w:tc>
      </w:tr>
      <w:tr w:rsidR="00A86593" w:rsidRPr="00AA58CA" w:rsidTr="001C7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9" w:type="dxa"/>
            <w:tcBorders>
              <w:top w:val="nil"/>
              <w:left w:val="nil"/>
              <w:bottom w:val="nil"/>
              <w:right w:val="nil"/>
            </w:tcBorders>
          </w:tcPr>
          <w:p w:rsidR="00A86593" w:rsidRPr="00AA58CA" w:rsidRDefault="00A86593" w:rsidP="001C741C">
            <w:pPr>
              <w:rPr>
                <w:b/>
              </w:rPr>
            </w:pPr>
            <w:r>
              <w:rPr>
                <w:b/>
              </w:rPr>
              <w:t>Investment</w:t>
            </w:r>
            <w:r w:rsidRPr="00AA58CA">
              <w:rPr>
                <w:b/>
              </w:rPr>
              <w:t xml:space="preserve"> </w:t>
            </w:r>
            <w:r>
              <w:rPr>
                <w:b/>
              </w:rPr>
              <w:t>liabilities</w:t>
            </w:r>
          </w:p>
        </w:tc>
        <w:tc>
          <w:tcPr>
            <w:tcW w:w="2529" w:type="dxa"/>
            <w:tcBorders>
              <w:top w:val="nil"/>
              <w:left w:val="nil"/>
              <w:bottom w:val="nil"/>
              <w:right w:val="nil"/>
            </w:tcBorders>
          </w:tcPr>
          <w:p w:rsidR="00A86593" w:rsidRPr="00AA58CA" w:rsidRDefault="00A86593" w:rsidP="001C741C">
            <w:pPr>
              <w:jc w:val="right"/>
            </w:pPr>
          </w:p>
        </w:tc>
        <w:tc>
          <w:tcPr>
            <w:tcW w:w="1559" w:type="dxa"/>
            <w:tcBorders>
              <w:top w:val="nil"/>
              <w:left w:val="nil"/>
              <w:bottom w:val="nil"/>
              <w:right w:val="nil"/>
            </w:tcBorders>
          </w:tcPr>
          <w:p w:rsidR="00A86593" w:rsidRPr="00AA58CA" w:rsidRDefault="00A86593" w:rsidP="001C741C">
            <w:pPr>
              <w:jc w:val="right"/>
            </w:pPr>
          </w:p>
        </w:tc>
        <w:tc>
          <w:tcPr>
            <w:tcW w:w="430" w:type="dxa"/>
            <w:tcBorders>
              <w:top w:val="nil"/>
              <w:left w:val="nil"/>
              <w:bottom w:val="nil"/>
              <w:right w:val="nil"/>
            </w:tcBorders>
          </w:tcPr>
          <w:p w:rsidR="00A86593" w:rsidRPr="00AA58CA" w:rsidRDefault="00A86593" w:rsidP="001C741C">
            <w:pPr>
              <w:jc w:val="right"/>
            </w:pPr>
          </w:p>
        </w:tc>
        <w:tc>
          <w:tcPr>
            <w:tcW w:w="1696" w:type="dxa"/>
            <w:tcBorders>
              <w:top w:val="single" w:sz="18" w:space="0" w:color="auto"/>
              <w:left w:val="nil"/>
              <w:bottom w:val="nil"/>
              <w:right w:val="nil"/>
            </w:tcBorders>
          </w:tcPr>
          <w:p w:rsidR="00A86593" w:rsidRPr="00AA58CA" w:rsidRDefault="00A86593" w:rsidP="001C741C">
            <w:pPr>
              <w:jc w:val="right"/>
            </w:pPr>
          </w:p>
        </w:tc>
      </w:tr>
      <w:tr w:rsidR="00A86593" w:rsidRPr="00AA58CA" w:rsidTr="001C7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9" w:type="dxa"/>
            <w:tcBorders>
              <w:top w:val="nil"/>
              <w:left w:val="nil"/>
              <w:bottom w:val="nil"/>
              <w:right w:val="nil"/>
            </w:tcBorders>
          </w:tcPr>
          <w:p w:rsidR="00A86593" w:rsidRDefault="00A86593" w:rsidP="001C741C">
            <w:r>
              <w:t>6 months and under</w:t>
            </w:r>
          </w:p>
        </w:tc>
        <w:tc>
          <w:tcPr>
            <w:tcW w:w="2529" w:type="dxa"/>
            <w:tcBorders>
              <w:top w:val="nil"/>
              <w:left w:val="nil"/>
              <w:bottom w:val="nil"/>
              <w:right w:val="nil"/>
            </w:tcBorders>
          </w:tcPr>
          <w:p w:rsidR="00A86593" w:rsidRPr="00AA58CA" w:rsidRDefault="00A86593" w:rsidP="001C741C">
            <w:pPr>
              <w:jc w:val="right"/>
            </w:pPr>
            <w:r>
              <w:t>58.2</w:t>
            </w:r>
          </w:p>
        </w:tc>
        <w:tc>
          <w:tcPr>
            <w:tcW w:w="1559" w:type="dxa"/>
            <w:tcBorders>
              <w:top w:val="nil"/>
              <w:left w:val="nil"/>
              <w:bottom w:val="nil"/>
              <w:right w:val="nil"/>
            </w:tcBorders>
          </w:tcPr>
          <w:p w:rsidR="00A86593" w:rsidRPr="00AA58CA" w:rsidRDefault="00A86593" w:rsidP="001C741C">
            <w:pPr>
              <w:jc w:val="right"/>
            </w:pPr>
            <w:r>
              <w:t>59.7</w:t>
            </w:r>
          </w:p>
        </w:tc>
        <w:tc>
          <w:tcPr>
            <w:tcW w:w="430" w:type="dxa"/>
            <w:tcBorders>
              <w:top w:val="nil"/>
              <w:left w:val="nil"/>
              <w:bottom w:val="nil"/>
              <w:right w:val="nil"/>
            </w:tcBorders>
          </w:tcPr>
          <w:p w:rsidR="00A86593" w:rsidRPr="00AA58CA" w:rsidRDefault="00A86593" w:rsidP="001C741C">
            <w:pPr>
              <w:jc w:val="right"/>
            </w:pPr>
          </w:p>
        </w:tc>
        <w:tc>
          <w:tcPr>
            <w:tcW w:w="1696" w:type="dxa"/>
            <w:tcBorders>
              <w:top w:val="nil"/>
              <w:left w:val="nil"/>
              <w:bottom w:val="single" w:sz="18" w:space="0" w:color="auto"/>
              <w:right w:val="nil"/>
            </w:tcBorders>
          </w:tcPr>
          <w:p w:rsidR="00A86593" w:rsidRPr="00AA58CA" w:rsidRDefault="00A86593" w:rsidP="001C741C">
            <w:pPr>
              <w:jc w:val="right"/>
            </w:pPr>
            <w:r>
              <w:t>(1.5)</w:t>
            </w:r>
          </w:p>
        </w:tc>
      </w:tr>
    </w:tbl>
    <w:p w:rsidR="00A86593" w:rsidRPr="00166665" w:rsidRDefault="00A86593" w:rsidP="00A86593">
      <w:pPr>
        <w:ind w:left="720"/>
      </w:pPr>
    </w:p>
    <w:p w:rsidR="00A86593" w:rsidRDefault="00A86593" w:rsidP="00A86593">
      <w:pPr>
        <w:spacing w:after="240"/>
        <w:ind w:left="720"/>
      </w:pPr>
      <w:r w:rsidRPr="00166665">
        <w:t>Forward Foreign currency contracts are used to hedge against foreign currency movements.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1559"/>
        <w:gridCol w:w="430"/>
        <w:gridCol w:w="1696"/>
      </w:tblGrid>
      <w:tr w:rsidR="00A86593" w:rsidTr="001C741C">
        <w:tc>
          <w:tcPr>
            <w:tcW w:w="5058" w:type="dxa"/>
          </w:tcPr>
          <w:p w:rsidR="00A86593" w:rsidRDefault="00A86593" w:rsidP="001C741C">
            <w:pPr>
              <w:rPr>
                <w:b/>
              </w:rPr>
            </w:pPr>
          </w:p>
        </w:tc>
        <w:tc>
          <w:tcPr>
            <w:tcW w:w="1559" w:type="dxa"/>
          </w:tcPr>
          <w:p w:rsidR="00A86593" w:rsidRDefault="00A86593" w:rsidP="001C741C">
            <w:pPr>
              <w:jc w:val="right"/>
              <w:rPr>
                <w:b/>
              </w:rPr>
            </w:pPr>
            <w:r>
              <w:rPr>
                <w:b/>
              </w:rPr>
              <w:t>2011/12</w:t>
            </w:r>
          </w:p>
          <w:p w:rsidR="00A86593" w:rsidRDefault="00A86593" w:rsidP="001C741C">
            <w:pPr>
              <w:jc w:val="right"/>
              <w:rPr>
                <w:b/>
              </w:rPr>
            </w:pPr>
            <w:r>
              <w:rPr>
                <w:b/>
              </w:rPr>
              <w:t>£m</w:t>
            </w:r>
          </w:p>
        </w:tc>
        <w:tc>
          <w:tcPr>
            <w:tcW w:w="430" w:type="dxa"/>
            <w:tcBorders>
              <w:right w:val="single" w:sz="4" w:space="0" w:color="FFFFFF" w:themeColor="background1"/>
            </w:tcBorders>
          </w:tcPr>
          <w:p w:rsidR="00A86593" w:rsidRDefault="00A86593" w:rsidP="001C741C">
            <w:pPr>
              <w:jc w:val="right"/>
              <w:rPr>
                <w:b/>
              </w:rPr>
            </w:pPr>
          </w:p>
          <w:p w:rsidR="00A86593" w:rsidRDefault="00A86593" w:rsidP="001C741C">
            <w:pPr>
              <w:jc w:val="right"/>
              <w:rPr>
                <w:b/>
              </w:rPr>
            </w:pPr>
          </w:p>
        </w:tc>
        <w:tc>
          <w:tcPr>
            <w:tcW w:w="1696" w:type="dxa"/>
            <w:tcBorders>
              <w:left w:val="single" w:sz="4" w:space="0" w:color="FFFFFF" w:themeColor="background1"/>
            </w:tcBorders>
          </w:tcPr>
          <w:p w:rsidR="00A86593" w:rsidRDefault="00A86593" w:rsidP="001C741C">
            <w:pPr>
              <w:jc w:val="right"/>
              <w:rPr>
                <w:b/>
              </w:rPr>
            </w:pPr>
            <w:r>
              <w:rPr>
                <w:b/>
              </w:rPr>
              <w:t>2010/11</w:t>
            </w:r>
          </w:p>
          <w:p w:rsidR="00A86593" w:rsidRDefault="00A86593" w:rsidP="001C741C">
            <w:pPr>
              <w:jc w:val="right"/>
              <w:rPr>
                <w:b/>
              </w:rPr>
            </w:pPr>
            <w:r>
              <w:rPr>
                <w:b/>
              </w:rPr>
              <w:t>£m</w:t>
            </w:r>
          </w:p>
          <w:p w:rsidR="00A86593" w:rsidRDefault="00A86593" w:rsidP="001C741C">
            <w:pPr>
              <w:jc w:val="right"/>
              <w:rPr>
                <w:b/>
              </w:rPr>
            </w:pPr>
          </w:p>
        </w:tc>
      </w:tr>
      <w:tr w:rsidR="00A86593" w:rsidRPr="007A07AD" w:rsidTr="001C741C">
        <w:tc>
          <w:tcPr>
            <w:tcW w:w="5058" w:type="dxa"/>
          </w:tcPr>
          <w:p w:rsidR="00A86593" w:rsidRPr="00AA58CA" w:rsidRDefault="00A86593" w:rsidP="001C741C">
            <w:pPr>
              <w:rPr>
                <w:b/>
              </w:rPr>
            </w:pPr>
            <w:r w:rsidRPr="00AA58CA">
              <w:rPr>
                <w:b/>
              </w:rPr>
              <w:t>Cash Deposits</w:t>
            </w:r>
          </w:p>
        </w:tc>
        <w:tc>
          <w:tcPr>
            <w:tcW w:w="1559" w:type="dxa"/>
          </w:tcPr>
          <w:p w:rsidR="00A86593" w:rsidRPr="007A07AD" w:rsidRDefault="00A86593" w:rsidP="001C741C">
            <w:pPr>
              <w:jc w:val="right"/>
            </w:pP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p>
        </w:tc>
      </w:tr>
      <w:tr w:rsidR="00A86593" w:rsidRPr="007A07AD" w:rsidTr="001C741C">
        <w:tc>
          <w:tcPr>
            <w:tcW w:w="5058" w:type="dxa"/>
          </w:tcPr>
          <w:p w:rsidR="00A86593" w:rsidRDefault="00A86593" w:rsidP="001C741C">
            <w:r>
              <w:t>Sterling</w:t>
            </w:r>
          </w:p>
        </w:tc>
        <w:tc>
          <w:tcPr>
            <w:tcW w:w="1559" w:type="dxa"/>
          </w:tcPr>
          <w:p w:rsidR="00A86593" w:rsidRPr="007A07AD" w:rsidRDefault="00A86593" w:rsidP="001C741C">
            <w:pPr>
              <w:jc w:val="right"/>
            </w:pPr>
            <w:r>
              <w:t>110.9</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r>
              <w:t>33.5</w:t>
            </w:r>
          </w:p>
        </w:tc>
      </w:tr>
      <w:tr w:rsidR="00A86593" w:rsidRPr="007A07AD" w:rsidTr="001C741C">
        <w:tc>
          <w:tcPr>
            <w:tcW w:w="5058" w:type="dxa"/>
          </w:tcPr>
          <w:p w:rsidR="00A86593" w:rsidRDefault="00A86593" w:rsidP="001C741C">
            <w:r>
              <w:t>Foreign currency</w:t>
            </w:r>
          </w:p>
        </w:tc>
        <w:tc>
          <w:tcPr>
            <w:tcW w:w="1559" w:type="dxa"/>
            <w:tcBorders>
              <w:bottom w:val="single" w:sz="18" w:space="0" w:color="auto"/>
            </w:tcBorders>
          </w:tcPr>
          <w:p w:rsidR="00A86593" w:rsidRPr="007A07AD" w:rsidRDefault="00A86593" w:rsidP="001C741C">
            <w:pPr>
              <w:jc w:val="right"/>
            </w:pPr>
            <w:r>
              <w:t>15.9</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bottom w:val="single" w:sz="18" w:space="0" w:color="auto"/>
            </w:tcBorders>
          </w:tcPr>
          <w:p w:rsidR="00A86593" w:rsidRDefault="00A86593" w:rsidP="001C741C">
            <w:pPr>
              <w:jc w:val="right"/>
            </w:pPr>
            <w:r>
              <w:t>3.1</w:t>
            </w:r>
          </w:p>
        </w:tc>
      </w:tr>
      <w:tr w:rsidR="00A86593" w:rsidRPr="007A07AD" w:rsidTr="001C741C">
        <w:tc>
          <w:tcPr>
            <w:tcW w:w="5058" w:type="dxa"/>
          </w:tcPr>
          <w:p w:rsidR="00A86593" w:rsidRDefault="00A86593" w:rsidP="001C741C"/>
        </w:tc>
        <w:tc>
          <w:tcPr>
            <w:tcW w:w="1559" w:type="dxa"/>
            <w:tcBorders>
              <w:top w:val="single" w:sz="18" w:space="0" w:color="auto"/>
              <w:bottom w:val="single" w:sz="18" w:space="0" w:color="auto"/>
            </w:tcBorders>
          </w:tcPr>
          <w:p w:rsidR="00A86593" w:rsidRPr="007A07AD" w:rsidRDefault="00A86593" w:rsidP="001C741C">
            <w:pPr>
              <w:jc w:val="right"/>
            </w:pPr>
            <w:r>
              <w:t>126.8</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top w:val="single" w:sz="18" w:space="0" w:color="auto"/>
              <w:left w:val="single" w:sz="4" w:space="0" w:color="FFFFFF" w:themeColor="background1"/>
              <w:bottom w:val="single" w:sz="18" w:space="0" w:color="auto"/>
            </w:tcBorders>
          </w:tcPr>
          <w:p w:rsidR="00A86593" w:rsidRDefault="00A86593" w:rsidP="001C741C">
            <w:pPr>
              <w:jc w:val="right"/>
            </w:pPr>
            <w:r>
              <w:t>36.6</w:t>
            </w:r>
          </w:p>
        </w:tc>
      </w:tr>
    </w:tbl>
    <w:p w:rsidR="00A86593" w:rsidRDefault="00A86593" w:rsidP="00A86593">
      <w:pPr>
        <w:pStyle w:val="ListParagraph"/>
        <w:spacing w:after="120"/>
        <w:jc w:val="both"/>
        <w:rPr>
          <w:b/>
        </w:rPr>
      </w:pPr>
    </w:p>
    <w:p w:rsidR="00A86593" w:rsidRDefault="00A86593" w:rsidP="00A86593">
      <w:pPr>
        <w:pStyle w:val="ListParagraph"/>
        <w:numPr>
          <w:ilvl w:val="0"/>
          <w:numId w:val="60"/>
        </w:numPr>
        <w:spacing w:after="120"/>
        <w:contextualSpacing/>
        <w:jc w:val="both"/>
        <w:rPr>
          <w:b/>
        </w:rPr>
      </w:pPr>
      <w:r w:rsidRPr="009B3187">
        <w:rPr>
          <w:b/>
        </w:rPr>
        <w:t>Financial Instruments classification</w:t>
      </w:r>
    </w:p>
    <w:p w:rsidR="00A86593" w:rsidRDefault="00A86593" w:rsidP="00A86593">
      <w:pPr>
        <w:pStyle w:val="ListParagraph"/>
        <w:spacing w:after="120"/>
        <w:jc w:val="both"/>
        <w:rPr>
          <w:b/>
        </w:rPr>
      </w:pPr>
    </w:p>
    <w:p w:rsidR="00A86593" w:rsidRDefault="00A86593" w:rsidP="003B314A">
      <w:pPr>
        <w:pStyle w:val="ListParagraph"/>
        <w:jc w:val="both"/>
        <w:rPr>
          <w:sz w:val="20"/>
        </w:rPr>
      </w:pPr>
      <w:r w:rsidRPr="00AA58CA">
        <w:t>Accounting policy describes how different asset classes of financial instruments are measured, and how income and expenses, including fair value gains and losses are recognised.  The following table analyses the carrying amounts of financial assets and liabilities by category and net asset statement heading.</w:t>
      </w:r>
      <w:r w:rsidRPr="00AA58CA">
        <w:rPr>
          <w:sz w:val="20"/>
        </w:rPr>
        <w:t xml:space="preserve"> </w:t>
      </w:r>
    </w:p>
    <w:p w:rsidR="00A86593" w:rsidRPr="00AA58CA" w:rsidRDefault="00A86593" w:rsidP="00A86593">
      <w:pPr>
        <w:pStyle w:val="ListParagraph"/>
        <w:rPr>
          <w:sz w:val="20"/>
        </w:rPr>
      </w:pPr>
    </w:p>
    <w:tbl>
      <w:tblPr>
        <w:tblStyle w:val="TableGrid"/>
        <w:tblW w:w="1074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7"/>
        <w:gridCol w:w="1017"/>
        <w:gridCol w:w="1343"/>
        <w:gridCol w:w="817"/>
        <w:gridCol w:w="1405"/>
        <w:gridCol w:w="550"/>
        <w:gridCol w:w="1270"/>
        <w:gridCol w:w="550"/>
      </w:tblGrid>
      <w:tr w:rsidR="00A86593" w:rsidTr="001C741C">
        <w:trPr>
          <w:gridAfter w:val="1"/>
          <w:wAfter w:w="550" w:type="dxa"/>
        </w:trPr>
        <w:tc>
          <w:tcPr>
            <w:tcW w:w="3797" w:type="dxa"/>
          </w:tcPr>
          <w:p w:rsidR="00A86593" w:rsidRDefault="00A86593" w:rsidP="001C741C">
            <w:pPr>
              <w:rPr>
                <w:b/>
              </w:rPr>
            </w:pPr>
            <w:r>
              <w:rPr>
                <w:b/>
              </w:rPr>
              <w:t>2012</w:t>
            </w:r>
          </w:p>
        </w:tc>
        <w:tc>
          <w:tcPr>
            <w:tcW w:w="2360" w:type="dxa"/>
            <w:gridSpan w:val="2"/>
          </w:tcPr>
          <w:p w:rsidR="00A86593" w:rsidRDefault="00A86593" w:rsidP="001C741C">
            <w:pPr>
              <w:spacing w:after="120"/>
              <w:jc w:val="right"/>
              <w:rPr>
                <w:b/>
              </w:rPr>
            </w:pPr>
            <w:r>
              <w:rPr>
                <w:b/>
              </w:rPr>
              <w:t>Designated at fair value through profit or loss</w:t>
            </w:r>
          </w:p>
        </w:tc>
        <w:tc>
          <w:tcPr>
            <w:tcW w:w="2222" w:type="dxa"/>
            <w:gridSpan w:val="2"/>
          </w:tcPr>
          <w:p w:rsidR="00A86593" w:rsidRDefault="00A86593" w:rsidP="001C741C">
            <w:pPr>
              <w:jc w:val="right"/>
              <w:rPr>
                <w:b/>
              </w:rPr>
            </w:pPr>
            <w:r>
              <w:rPr>
                <w:b/>
              </w:rPr>
              <w:t>Loans and receivables</w:t>
            </w:r>
          </w:p>
        </w:tc>
        <w:tc>
          <w:tcPr>
            <w:tcW w:w="1820" w:type="dxa"/>
            <w:gridSpan w:val="2"/>
          </w:tcPr>
          <w:p w:rsidR="00A86593" w:rsidRDefault="00A86593" w:rsidP="001C741C">
            <w:pPr>
              <w:jc w:val="right"/>
              <w:rPr>
                <w:b/>
              </w:rPr>
            </w:pPr>
            <w:r>
              <w:rPr>
                <w:b/>
              </w:rPr>
              <w:t>Financial liabilities at amortised cost</w:t>
            </w:r>
          </w:p>
        </w:tc>
      </w:tr>
      <w:tr w:rsidR="00A86593" w:rsidTr="001C741C">
        <w:trPr>
          <w:gridAfter w:val="1"/>
          <w:wAfter w:w="550" w:type="dxa"/>
        </w:trPr>
        <w:tc>
          <w:tcPr>
            <w:tcW w:w="3797" w:type="dxa"/>
          </w:tcPr>
          <w:p w:rsidR="00A86593" w:rsidRDefault="00A86593" w:rsidP="001C741C">
            <w:pPr>
              <w:jc w:val="both"/>
              <w:rPr>
                <w:b/>
              </w:rPr>
            </w:pPr>
          </w:p>
        </w:tc>
        <w:tc>
          <w:tcPr>
            <w:tcW w:w="2360" w:type="dxa"/>
            <w:gridSpan w:val="2"/>
          </w:tcPr>
          <w:p w:rsidR="00A86593" w:rsidRDefault="00A86593" w:rsidP="001C741C">
            <w:pPr>
              <w:jc w:val="right"/>
              <w:rPr>
                <w:b/>
              </w:rPr>
            </w:pPr>
            <w:r>
              <w:rPr>
                <w:b/>
              </w:rPr>
              <w:t>£m</w:t>
            </w:r>
          </w:p>
        </w:tc>
        <w:tc>
          <w:tcPr>
            <w:tcW w:w="2222" w:type="dxa"/>
            <w:gridSpan w:val="2"/>
          </w:tcPr>
          <w:p w:rsidR="00A86593" w:rsidRDefault="00A86593" w:rsidP="001C741C">
            <w:pPr>
              <w:jc w:val="right"/>
              <w:rPr>
                <w:b/>
              </w:rPr>
            </w:pPr>
            <w:r>
              <w:rPr>
                <w:b/>
              </w:rPr>
              <w:t>£m</w:t>
            </w:r>
          </w:p>
        </w:tc>
        <w:tc>
          <w:tcPr>
            <w:tcW w:w="1820" w:type="dxa"/>
            <w:gridSpan w:val="2"/>
          </w:tcPr>
          <w:p w:rsidR="00A86593" w:rsidRDefault="00A86593" w:rsidP="001C741C">
            <w:pPr>
              <w:jc w:val="right"/>
              <w:rPr>
                <w:b/>
              </w:rPr>
            </w:pPr>
            <w:r>
              <w:rPr>
                <w:b/>
              </w:rPr>
              <w:t>£m</w:t>
            </w:r>
          </w:p>
        </w:tc>
      </w:tr>
      <w:tr w:rsidR="00A86593" w:rsidRPr="00AA58CA" w:rsidTr="001C741C">
        <w:trPr>
          <w:gridAfter w:val="1"/>
          <w:wAfter w:w="550" w:type="dxa"/>
        </w:trPr>
        <w:tc>
          <w:tcPr>
            <w:tcW w:w="3797" w:type="dxa"/>
          </w:tcPr>
          <w:p w:rsidR="00A86593" w:rsidRPr="00EB2694" w:rsidRDefault="00A86593" w:rsidP="001C741C">
            <w:pPr>
              <w:jc w:val="both"/>
              <w:rPr>
                <w:b/>
              </w:rPr>
            </w:pPr>
            <w:r w:rsidRPr="00EB2694">
              <w:rPr>
                <w:b/>
              </w:rPr>
              <w:t>Financial assets</w:t>
            </w:r>
          </w:p>
        </w:tc>
        <w:tc>
          <w:tcPr>
            <w:tcW w:w="1017" w:type="dxa"/>
            <w:tcBorders>
              <w:right w:val="single" w:sz="18" w:space="0" w:color="FFFFFF" w:themeColor="background1"/>
            </w:tcBorders>
          </w:tcPr>
          <w:p w:rsidR="00A86593" w:rsidRPr="00AA58CA" w:rsidRDefault="00A86593" w:rsidP="001C741C">
            <w:pPr>
              <w:jc w:val="right"/>
            </w:pPr>
          </w:p>
        </w:tc>
        <w:tc>
          <w:tcPr>
            <w:tcW w:w="1343" w:type="dxa"/>
            <w:tcBorders>
              <w:left w:val="single" w:sz="18" w:space="0" w:color="FFFFFF" w:themeColor="background1"/>
            </w:tcBorders>
          </w:tcPr>
          <w:p w:rsidR="00A86593" w:rsidRPr="00AA58CA" w:rsidRDefault="00A86593" w:rsidP="001C741C">
            <w:pPr>
              <w:jc w:val="right"/>
            </w:pPr>
          </w:p>
        </w:tc>
        <w:tc>
          <w:tcPr>
            <w:tcW w:w="817" w:type="dxa"/>
            <w:tcBorders>
              <w:right w:val="single" w:sz="18" w:space="0" w:color="FFFFFF" w:themeColor="background1"/>
            </w:tcBorders>
          </w:tcPr>
          <w:p w:rsidR="00A86593" w:rsidRPr="00AA58CA" w:rsidRDefault="00A86593" w:rsidP="001C741C">
            <w:pPr>
              <w:jc w:val="right"/>
            </w:pPr>
          </w:p>
        </w:tc>
        <w:tc>
          <w:tcPr>
            <w:tcW w:w="1405" w:type="dxa"/>
            <w:tcBorders>
              <w:left w:val="single" w:sz="18" w:space="0" w:color="FFFFFF" w:themeColor="background1"/>
            </w:tcBorders>
          </w:tcPr>
          <w:p w:rsidR="00A86593" w:rsidRPr="00AA58CA" w:rsidRDefault="00A86593" w:rsidP="001C741C">
            <w:pPr>
              <w:jc w:val="right"/>
            </w:pPr>
          </w:p>
        </w:tc>
        <w:tc>
          <w:tcPr>
            <w:tcW w:w="550" w:type="dxa"/>
            <w:tcBorders>
              <w:right w:val="single" w:sz="18" w:space="0" w:color="FFFFFF" w:themeColor="background1"/>
            </w:tcBorders>
          </w:tcPr>
          <w:p w:rsidR="00A86593" w:rsidRPr="00AA58CA" w:rsidRDefault="00A86593" w:rsidP="001C741C">
            <w:pPr>
              <w:jc w:val="right"/>
            </w:pPr>
          </w:p>
        </w:tc>
        <w:tc>
          <w:tcPr>
            <w:tcW w:w="1270" w:type="dxa"/>
            <w:tcBorders>
              <w:left w:val="single" w:sz="18" w:space="0" w:color="FFFFFF" w:themeColor="background1"/>
            </w:tcBorders>
          </w:tcPr>
          <w:p w:rsidR="00A86593" w:rsidRPr="00AA58CA" w:rsidRDefault="00A86593" w:rsidP="001C741C">
            <w:pPr>
              <w:jc w:val="right"/>
            </w:pPr>
          </w:p>
        </w:tc>
      </w:tr>
      <w:tr w:rsidR="00A86593" w:rsidRPr="00AA58CA" w:rsidTr="001C741C">
        <w:trPr>
          <w:gridAfter w:val="1"/>
          <w:wAfter w:w="550" w:type="dxa"/>
        </w:trPr>
        <w:tc>
          <w:tcPr>
            <w:tcW w:w="3797" w:type="dxa"/>
          </w:tcPr>
          <w:p w:rsidR="00A86593" w:rsidRDefault="00A86593" w:rsidP="001C741C">
            <w:pPr>
              <w:jc w:val="both"/>
            </w:pPr>
            <w:r>
              <w:t>Fixed interest securities</w:t>
            </w:r>
          </w:p>
        </w:tc>
        <w:tc>
          <w:tcPr>
            <w:tcW w:w="1017" w:type="dxa"/>
            <w:tcBorders>
              <w:right w:val="single" w:sz="18" w:space="0" w:color="FFFFFF" w:themeColor="background1"/>
            </w:tcBorders>
          </w:tcPr>
          <w:p w:rsidR="00A86593" w:rsidRPr="00AA58CA" w:rsidRDefault="00A86593" w:rsidP="001C741C">
            <w:pPr>
              <w:jc w:val="right"/>
            </w:pPr>
          </w:p>
        </w:tc>
        <w:tc>
          <w:tcPr>
            <w:tcW w:w="1343" w:type="dxa"/>
            <w:tcBorders>
              <w:left w:val="single" w:sz="18" w:space="0" w:color="FFFFFF" w:themeColor="background1"/>
            </w:tcBorders>
          </w:tcPr>
          <w:p w:rsidR="00A86593" w:rsidRPr="00AA58CA" w:rsidRDefault="00A86593" w:rsidP="001C741C">
            <w:pPr>
              <w:jc w:val="right"/>
            </w:pPr>
            <w:r>
              <w:t>623.4</w:t>
            </w:r>
          </w:p>
        </w:tc>
        <w:tc>
          <w:tcPr>
            <w:tcW w:w="817" w:type="dxa"/>
            <w:tcBorders>
              <w:right w:val="single" w:sz="18" w:space="0" w:color="FFFFFF" w:themeColor="background1"/>
            </w:tcBorders>
          </w:tcPr>
          <w:p w:rsidR="00A86593" w:rsidRPr="00AA58CA" w:rsidRDefault="00A86593" w:rsidP="001C741C">
            <w:pPr>
              <w:jc w:val="right"/>
            </w:pPr>
          </w:p>
        </w:tc>
        <w:tc>
          <w:tcPr>
            <w:tcW w:w="1405" w:type="dxa"/>
            <w:tcBorders>
              <w:left w:val="single" w:sz="18" w:space="0" w:color="FFFFFF" w:themeColor="background1"/>
            </w:tcBorders>
          </w:tcPr>
          <w:p w:rsidR="00A86593" w:rsidRPr="00AA58CA" w:rsidRDefault="00A86593" w:rsidP="001C741C">
            <w:pPr>
              <w:jc w:val="right"/>
            </w:pPr>
            <w:r>
              <w:t>-</w:t>
            </w:r>
          </w:p>
        </w:tc>
        <w:tc>
          <w:tcPr>
            <w:tcW w:w="550" w:type="dxa"/>
            <w:tcBorders>
              <w:right w:val="single" w:sz="18" w:space="0" w:color="FFFFFF" w:themeColor="background1"/>
            </w:tcBorders>
          </w:tcPr>
          <w:p w:rsidR="00A86593" w:rsidRPr="00AA58CA" w:rsidRDefault="00A86593" w:rsidP="001C741C">
            <w:pPr>
              <w:jc w:val="right"/>
            </w:pPr>
          </w:p>
        </w:tc>
        <w:tc>
          <w:tcPr>
            <w:tcW w:w="1270" w:type="dxa"/>
            <w:tcBorders>
              <w:left w:val="single" w:sz="18" w:space="0" w:color="FFFFFF" w:themeColor="background1"/>
            </w:tcBorders>
          </w:tcPr>
          <w:p w:rsidR="00A86593" w:rsidRPr="00AA58CA" w:rsidRDefault="00A86593" w:rsidP="001C741C">
            <w:pPr>
              <w:jc w:val="right"/>
            </w:pPr>
            <w:r>
              <w:t>-</w:t>
            </w:r>
          </w:p>
        </w:tc>
      </w:tr>
      <w:tr w:rsidR="00A86593" w:rsidRPr="00AA58CA" w:rsidTr="001C741C">
        <w:trPr>
          <w:gridAfter w:val="1"/>
          <w:wAfter w:w="550" w:type="dxa"/>
        </w:trPr>
        <w:tc>
          <w:tcPr>
            <w:tcW w:w="3797" w:type="dxa"/>
          </w:tcPr>
          <w:p w:rsidR="00A86593" w:rsidRDefault="00A86593" w:rsidP="001C741C">
            <w:pPr>
              <w:jc w:val="both"/>
            </w:pPr>
            <w:r>
              <w:t>Equities</w:t>
            </w:r>
          </w:p>
        </w:tc>
        <w:tc>
          <w:tcPr>
            <w:tcW w:w="1017" w:type="dxa"/>
            <w:tcBorders>
              <w:right w:val="single" w:sz="18" w:space="0" w:color="FFFFFF" w:themeColor="background1"/>
            </w:tcBorders>
          </w:tcPr>
          <w:p w:rsidR="00A86593" w:rsidRPr="00AA58CA" w:rsidRDefault="00A86593" w:rsidP="001C741C">
            <w:pPr>
              <w:jc w:val="right"/>
            </w:pPr>
          </w:p>
        </w:tc>
        <w:tc>
          <w:tcPr>
            <w:tcW w:w="1343" w:type="dxa"/>
            <w:tcBorders>
              <w:left w:val="single" w:sz="18" w:space="0" w:color="FFFFFF" w:themeColor="background1"/>
            </w:tcBorders>
          </w:tcPr>
          <w:p w:rsidR="00A86593" w:rsidRPr="00AA58CA" w:rsidRDefault="00A86593" w:rsidP="001C741C">
            <w:pPr>
              <w:jc w:val="right"/>
            </w:pPr>
            <w:r>
              <w:t>1,613.7</w:t>
            </w:r>
          </w:p>
        </w:tc>
        <w:tc>
          <w:tcPr>
            <w:tcW w:w="817" w:type="dxa"/>
            <w:tcBorders>
              <w:right w:val="single" w:sz="18" w:space="0" w:color="FFFFFF" w:themeColor="background1"/>
            </w:tcBorders>
          </w:tcPr>
          <w:p w:rsidR="00A86593" w:rsidRPr="00AA58CA" w:rsidRDefault="00A86593" w:rsidP="001C741C">
            <w:pPr>
              <w:jc w:val="right"/>
            </w:pPr>
          </w:p>
        </w:tc>
        <w:tc>
          <w:tcPr>
            <w:tcW w:w="1405" w:type="dxa"/>
            <w:tcBorders>
              <w:left w:val="single" w:sz="18" w:space="0" w:color="FFFFFF" w:themeColor="background1"/>
            </w:tcBorders>
          </w:tcPr>
          <w:p w:rsidR="00A86593" w:rsidRPr="00AA58CA" w:rsidRDefault="00A86593" w:rsidP="001C741C">
            <w:pPr>
              <w:jc w:val="right"/>
            </w:pPr>
            <w:r>
              <w:t>-</w:t>
            </w:r>
          </w:p>
        </w:tc>
        <w:tc>
          <w:tcPr>
            <w:tcW w:w="550" w:type="dxa"/>
            <w:tcBorders>
              <w:right w:val="single" w:sz="18" w:space="0" w:color="FFFFFF" w:themeColor="background1"/>
            </w:tcBorders>
          </w:tcPr>
          <w:p w:rsidR="00A86593" w:rsidRPr="00AA58CA" w:rsidRDefault="00A86593" w:rsidP="001C741C">
            <w:pPr>
              <w:jc w:val="right"/>
            </w:pPr>
          </w:p>
        </w:tc>
        <w:tc>
          <w:tcPr>
            <w:tcW w:w="1270" w:type="dxa"/>
            <w:tcBorders>
              <w:left w:val="single" w:sz="18" w:space="0" w:color="FFFFFF" w:themeColor="background1"/>
            </w:tcBorders>
          </w:tcPr>
          <w:p w:rsidR="00A86593" w:rsidRPr="00AA58CA" w:rsidRDefault="00A86593" w:rsidP="001C741C">
            <w:pPr>
              <w:jc w:val="right"/>
            </w:pPr>
            <w:r>
              <w:t>-</w:t>
            </w:r>
          </w:p>
        </w:tc>
      </w:tr>
      <w:tr w:rsidR="00A86593" w:rsidRPr="00AA58CA" w:rsidTr="001C741C">
        <w:trPr>
          <w:gridAfter w:val="1"/>
          <w:wAfter w:w="550" w:type="dxa"/>
        </w:trPr>
        <w:tc>
          <w:tcPr>
            <w:tcW w:w="3797" w:type="dxa"/>
          </w:tcPr>
          <w:p w:rsidR="00A86593" w:rsidRDefault="00A86593" w:rsidP="001C741C">
            <w:pPr>
              <w:jc w:val="both"/>
            </w:pPr>
            <w:r>
              <w:t>Index linked securities</w:t>
            </w:r>
          </w:p>
        </w:tc>
        <w:tc>
          <w:tcPr>
            <w:tcW w:w="1017" w:type="dxa"/>
            <w:tcBorders>
              <w:right w:val="single" w:sz="18" w:space="0" w:color="FFFFFF" w:themeColor="background1"/>
            </w:tcBorders>
          </w:tcPr>
          <w:p w:rsidR="00A86593" w:rsidRPr="00AA58CA" w:rsidRDefault="00A86593" w:rsidP="001C741C">
            <w:pPr>
              <w:jc w:val="right"/>
            </w:pPr>
          </w:p>
        </w:tc>
        <w:tc>
          <w:tcPr>
            <w:tcW w:w="1343" w:type="dxa"/>
            <w:tcBorders>
              <w:left w:val="single" w:sz="18" w:space="0" w:color="FFFFFF" w:themeColor="background1"/>
            </w:tcBorders>
          </w:tcPr>
          <w:p w:rsidR="00A86593" w:rsidRPr="00AA58CA" w:rsidRDefault="00A86593" w:rsidP="001C741C">
            <w:pPr>
              <w:jc w:val="right"/>
            </w:pPr>
            <w:r>
              <w:t>124.6</w:t>
            </w:r>
          </w:p>
        </w:tc>
        <w:tc>
          <w:tcPr>
            <w:tcW w:w="817" w:type="dxa"/>
            <w:tcBorders>
              <w:right w:val="single" w:sz="18" w:space="0" w:color="FFFFFF" w:themeColor="background1"/>
            </w:tcBorders>
          </w:tcPr>
          <w:p w:rsidR="00A86593" w:rsidRPr="00AA58CA" w:rsidRDefault="00A86593" w:rsidP="001C741C">
            <w:pPr>
              <w:jc w:val="right"/>
            </w:pPr>
          </w:p>
        </w:tc>
        <w:tc>
          <w:tcPr>
            <w:tcW w:w="1405" w:type="dxa"/>
            <w:tcBorders>
              <w:left w:val="single" w:sz="18" w:space="0" w:color="FFFFFF" w:themeColor="background1"/>
            </w:tcBorders>
          </w:tcPr>
          <w:p w:rsidR="00A86593" w:rsidRPr="00AA58CA" w:rsidRDefault="00A86593" w:rsidP="001C741C">
            <w:pPr>
              <w:jc w:val="right"/>
            </w:pPr>
            <w:r>
              <w:t>-</w:t>
            </w:r>
          </w:p>
        </w:tc>
        <w:tc>
          <w:tcPr>
            <w:tcW w:w="550" w:type="dxa"/>
            <w:tcBorders>
              <w:right w:val="single" w:sz="18" w:space="0" w:color="FFFFFF" w:themeColor="background1"/>
            </w:tcBorders>
          </w:tcPr>
          <w:p w:rsidR="00A86593" w:rsidRPr="00AA58CA" w:rsidRDefault="00A86593" w:rsidP="001C741C">
            <w:pPr>
              <w:jc w:val="right"/>
            </w:pPr>
          </w:p>
        </w:tc>
        <w:tc>
          <w:tcPr>
            <w:tcW w:w="1270" w:type="dxa"/>
            <w:tcBorders>
              <w:left w:val="single" w:sz="18" w:space="0" w:color="FFFFFF" w:themeColor="background1"/>
            </w:tcBorders>
          </w:tcPr>
          <w:p w:rsidR="00A86593" w:rsidRPr="00AA58CA" w:rsidRDefault="00A86593" w:rsidP="001C741C">
            <w:pPr>
              <w:jc w:val="right"/>
            </w:pPr>
            <w:r>
              <w:t>-</w:t>
            </w:r>
          </w:p>
        </w:tc>
      </w:tr>
      <w:tr w:rsidR="00A86593" w:rsidRPr="00AA58CA" w:rsidTr="001C741C">
        <w:trPr>
          <w:gridAfter w:val="1"/>
          <w:wAfter w:w="550" w:type="dxa"/>
        </w:trPr>
        <w:tc>
          <w:tcPr>
            <w:tcW w:w="3797" w:type="dxa"/>
          </w:tcPr>
          <w:p w:rsidR="00A86593" w:rsidRDefault="00A86593" w:rsidP="001C741C">
            <w:pPr>
              <w:jc w:val="both"/>
            </w:pPr>
            <w:r>
              <w:t>Pooled investment vehicles</w:t>
            </w:r>
          </w:p>
        </w:tc>
        <w:tc>
          <w:tcPr>
            <w:tcW w:w="1017" w:type="dxa"/>
            <w:tcBorders>
              <w:right w:val="single" w:sz="18" w:space="0" w:color="FFFFFF" w:themeColor="background1"/>
            </w:tcBorders>
          </w:tcPr>
          <w:p w:rsidR="00A86593" w:rsidRPr="00AA58CA" w:rsidRDefault="00A86593" w:rsidP="001C741C">
            <w:pPr>
              <w:jc w:val="right"/>
            </w:pPr>
          </w:p>
        </w:tc>
        <w:tc>
          <w:tcPr>
            <w:tcW w:w="1343" w:type="dxa"/>
            <w:tcBorders>
              <w:left w:val="single" w:sz="18" w:space="0" w:color="FFFFFF" w:themeColor="background1"/>
            </w:tcBorders>
          </w:tcPr>
          <w:p w:rsidR="00A86593" w:rsidRPr="00AA58CA" w:rsidRDefault="00A86593" w:rsidP="001C741C">
            <w:pPr>
              <w:jc w:val="right"/>
            </w:pPr>
            <w:r>
              <w:t>1,466.3</w:t>
            </w:r>
          </w:p>
        </w:tc>
        <w:tc>
          <w:tcPr>
            <w:tcW w:w="817" w:type="dxa"/>
            <w:tcBorders>
              <w:right w:val="single" w:sz="18" w:space="0" w:color="FFFFFF" w:themeColor="background1"/>
            </w:tcBorders>
          </w:tcPr>
          <w:p w:rsidR="00A86593" w:rsidRPr="00AA58CA" w:rsidRDefault="00A86593" w:rsidP="001C741C">
            <w:pPr>
              <w:jc w:val="right"/>
            </w:pPr>
          </w:p>
        </w:tc>
        <w:tc>
          <w:tcPr>
            <w:tcW w:w="1405" w:type="dxa"/>
            <w:tcBorders>
              <w:left w:val="single" w:sz="18" w:space="0" w:color="FFFFFF" w:themeColor="background1"/>
            </w:tcBorders>
          </w:tcPr>
          <w:p w:rsidR="00A86593" w:rsidRPr="00AA58CA" w:rsidRDefault="00A86593" w:rsidP="001C741C">
            <w:pPr>
              <w:jc w:val="right"/>
            </w:pPr>
            <w:r>
              <w:t>-</w:t>
            </w:r>
          </w:p>
        </w:tc>
        <w:tc>
          <w:tcPr>
            <w:tcW w:w="550" w:type="dxa"/>
            <w:tcBorders>
              <w:right w:val="single" w:sz="18" w:space="0" w:color="FFFFFF" w:themeColor="background1"/>
            </w:tcBorders>
          </w:tcPr>
          <w:p w:rsidR="00A86593" w:rsidRPr="00AA58CA" w:rsidRDefault="00A86593" w:rsidP="001C741C">
            <w:pPr>
              <w:jc w:val="right"/>
            </w:pPr>
          </w:p>
        </w:tc>
        <w:tc>
          <w:tcPr>
            <w:tcW w:w="1270" w:type="dxa"/>
            <w:tcBorders>
              <w:left w:val="single" w:sz="18" w:space="0" w:color="FFFFFF" w:themeColor="background1"/>
            </w:tcBorders>
          </w:tcPr>
          <w:p w:rsidR="00A86593" w:rsidRPr="00AA58CA" w:rsidRDefault="00A86593" w:rsidP="001C741C">
            <w:pPr>
              <w:jc w:val="right"/>
            </w:pPr>
            <w:r>
              <w:t>-</w:t>
            </w:r>
          </w:p>
        </w:tc>
      </w:tr>
      <w:tr w:rsidR="00A86593" w:rsidRPr="00AA58CA" w:rsidTr="001C741C">
        <w:trPr>
          <w:gridAfter w:val="1"/>
          <w:wAfter w:w="550" w:type="dxa"/>
        </w:trPr>
        <w:tc>
          <w:tcPr>
            <w:tcW w:w="3797" w:type="dxa"/>
          </w:tcPr>
          <w:p w:rsidR="00A86593" w:rsidRDefault="00A86593" w:rsidP="001C741C">
            <w:pPr>
              <w:jc w:val="both"/>
            </w:pPr>
            <w:r>
              <w:t>Derivative contracts</w:t>
            </w:r>
          </w:p>
        </w:tc>
        <w:tc>
          <w:tcPr>
            <w:tcW w:w="1017" w:type="dxa"/>
            <w:tcBorders>
              <w:right w:val="single" w:sz="18" w:space="0" w:color="FFFFFF" w:themeColor="background1"/>
            </w:tcBorders>
          </w:tcPr>
          <w:p w:rsidR="00A86593" w:rsidRPr="00AA58CA" w:rsidRDefault="00A86593" w:rsidP="001C741C">
            <w:pPr>
              <w:jc w:val="right"/>
            </w:pPr>
          </w:p>
        </w:tc>
        <w:tc>
          <w:tcPr>
            <w:tcW w:w="1343" w:type="dxa"/>
            <w:tcBorders>
              <w:left w:val="single" w:sz="18" w:space="0" w:color="FFFFFF" w:themeColor="background1"/>
            </w:tcBorders>
          </w:tcPr>
          <w:p w:rsidR="00A86593" w:rsidRPr="00AA58CA" w:rsidRDefault="00A86593" w:rsidP="001C741C">
            <w:pPr>
              <w:jc w:val="right"/>
            </w:pPr>
            <w:r>
              <w:t>3.4</w:t>
            </w:r>
          </w:p>
        </w:tc>
        <w:tc>
          <w:tcPr>
            <w:tcW w:w="817" w:type="dxa"/>
            <w:tcBorders>
              <w:right w:val="single" w:sz="18" w:space="0" w:color="FFFFFF" w:themeColor="background1"/>
            </w:tcBorders>
          </w:tcPr>
          <w:p w:rsidR="00A86593" w:rsidRPr="00AA58CA" w:rsidRDefault="00A86593" w:rsidP="001C741C">
            <w:pPr>
              <w:jc w:val="right"/>
            </w:pPr>
          </w:p>
        </w:tc>
        <w:tc>
          <w:tcPr>
            <w:tcW w:w="1405" w:type="dxa"/>
            <w:tcBorders>
              <w:left w:val="single" w:sz="18" w:space="0" w:color="FFFFFF" w:themeColor="background1"/>
            </w:tcBorders>
          </w:tcPr>
          <w:p w:rsidR="00A86593" w:rsidRPr="00AA58CA" w:rsidRDefault="00A86593" w:rsidP="001C741C">
            <w:pPr>
              <w:jc w:val="right"/>
            </w:pPr>
            <w:r>
              <w:t>-</w:t>
            </w:r>
          </w:p>
        </w:tc>
        <w:tc>
          <w:tcPr>
            <w:tcW w:w="550" w:type="dxa"/>
            <w:tcBorders>
              <w:right w:val="single" w:sz="18" w:space="0" w:color="FFFFFF" w:themeColor="background1"/>
            </w:tcBorders>
          </w:tcPr>
          <w:p w:rsidR="00A86593" w:rsidRPr="00AA58CA" w:rsidRDefault="00A86593" w:rsidP="001C741C">
            <w:pPr>
              <w:jc w:val="right"/>
            </w:pPr>
          </w:p>
        </w:tc>
        <w:tc>
          <w:tcPr>
            <w:tcW w:w="1270" w:type="dxa"/>
            <w:tcBorders>
              <w:left w:val="single" w:sz="18" w:space="0" w:color="FFFFFF" w:themeColor="background1"/>
            </w:tcBorders>
          </w:tcPr>
          <w:p w:rsidR="00A86593" w:rsidRPr="00AA58CA" w:rsidRDefault="00A86593" w:rsidP="001C741C">
            <w:pPr>
              <w:jc w:val="right"/>
            </w:pPr>
            <w:r>
              <w:t>-</w:t>
            </w:r>
          </w:p>
        </w:tc>
      </w:tr>
      <w:tr w:rsidR="00A86593" w:rsidRPr="00AA58CA" w:rsidTr="001C741C">
        <w:trPr>
          <w:gridAfter w:val="1"/>
          <w:wAfter w:w="550" w:type="dxa"/>
        </w:trPr>
        <w:tc>
          <w:tcPr>
            <w:tcW w:w="3797" w:type="dxa"/>
          </w:tcPr>
          <w:p w:rsidR="00A86593" w:rsidRDefault="00A86593" w:rsidP="001C741C">
            <w:pPr>
              <w:jc w:val="both"/>
            </w:pPr>
            <w:r>
              <w:t>Cash deposits</w:t>
            </w:r>
          </w:p>
        </w:tc>
        <w:tc>
          <w:tcPr>
            <w:tcW w:w="1017" w:type="dxa"/>
            <w:tcBorders>
              <w:right w:val="single" w:sz="18" w:space="0" w:color="FFFFFF" w:themeColor="background1"/>
            </w:tcBorders>
          </w:tcPr>
          <w:p w:rsidR="00A86593" w:rsidRPr="00AA58CA" w:rsidRDefault="00A86593" w:rsidP="001C741C">
            <w:pPr>
              <w:jc w:val="right"/>
            </w:pPr>
          </w:p>
        </w:tc>
        <w:tc>
          <w:tcPr>
            <w:tcW w:w="1343" w:type="dxa"/>
            <w:tcBorders>
              <w:left w:val="single" w:sz="18" w:space="0" w:color="FFFFFF" w:themeColor="background1"/>
            </w:tcBorders>
          </w:tcPr>
          <w:p w:rsidR="00A86593" w:rsidRPr="00AA58CA" w:rsidRDefault="00A86593" w:rsidP="001C741C">
            <w:pPr>
              <w:jc w:val="right"/>
            </w:pPr>
            <w:r>
              <w:t>-</w:t>
            </w:r>
          </w:p>
        </w:tc>
        <w:tc>
          <w:tcPr>
            <w:tcW w:w="817" w:type="dxa"/>
            <w:tcBorders>
              <w:right w:val="single" w:sz="18" w:space="0" w:color="FFFFFF" w:themeColor="background1"/>
            </w:tcBorders>
          </w:tcPr>
          <w:p w:rsidR="00A86593" w:rsidRPr="00AA58CA" w:rsidRDefault="00A86593" w:rsidP="001C741C">
            <w:pPr>
              <w:jc w:val="right"/>
            </w:pPr>
          </w:p>
        </w:tc>
        <w:tc>
          <w:tcPr>
            <w:tcW w:w="1405" w:type="dxa"/>
            <w:tcBorders>
              <w:left w:val="single" w:sz="18" w:space="0" w:color="FFFFFF" w:themeColor="background1"/>
            </w:tcBorders>
          </w:tcPr>
          <w:p w:rsidR="00A86593" w:rsidRPr="00AA58CA" w:rsidRDefault="00A86593" w:rsidP="001C741C">
            <w:pPr>
              <w:jc w:val="right"/>
            </w:pPr>
            <w:r>
              <w:t>126.8</w:t>
            </w:r>
          </w:p>
        </w:tc>
        <w:tc>
          <w:tcPr>
            <w:tcW w:w="550" w:type="dxa"/>
            <w:tcBorders>
              <w:right w:val="single" w:sz="18" w:space="0" w:color="FFFFFF" w:themeColor="background1"/>
            </w:tcBorders>
          </w:tcPr>
          <w:p w:rsidR="00A86593" w:rsidRPr="00AA58CA" w:rsidRDefault="00A86593" w:rsidP="001C741C">
            <w:pPr>
              <w:jc w:val="right"/>
            </w:pPr>
          </w:p>
        </w:tc>
        <w:tc>
          <w:tcPr>
            <w:tcW w:w="1270" w:type="dxa"/>
            <w:tcBorders>
              <w:left w:val="single" w:sz="18" w:space="0" w:color="FFFFFF" w:themeColor="background1"/>
            </w:tcBorders>
          </w:tcPr>
          <w:p w:rsidR="00A86593" w:rsidRPr="00AA58CA" w:rsidRDefault="00A86593" w:rsidP="001C741C">
            <w:pPr>
              <w:jc w:val="right"/>
            </w:pPr>
            <w:r>
              <w:t>-</w:t>
            </w:r>
          </w:p>
        </w:tc>
      </w:tr>
      <w:tr w:rsidR="00A86593" w:rsidRPr="00AA58CA" w:rsidTr="001C741C">
        <w:trPr>
          <w:gridAfter w:val="1"/>
          <w:wAfter w:w="550" w:type="dxa"/>
        </w:trPr>
        <w:tc>
          <w:tcPr>
            <w:tcW w:w="3797" w:type="dxa"/>
          </w:tcPr>
          <w:p w:rsidR="00A86593" w:rsidRDefault="00A86593" w:rsidP="001C741C">
            <w:pPr>
              <w:jc w:val="both"/>
            </w:pPr>
            <w:r>
              <w:t>Other investment balances</w:t>
            </w:r>
          </w:p>
        </w:tc>
        <w:tc>
          <w:tcPr>
            <w:tcW w:w="1017" w:type="dxa"/>
            <w:tcBorders>
              <w:right w:val="single" w:sz="18" w:space="0" w:color="FFFFFF" w:themeColor="background1"/>
            </w:tcBorders>
          </w:tcPr>
          <w:p w:rsidR="00A86593" w:rsidRPr="00AA58CA" w:rsidRDefault="00A86593" w:rsidP="001C741C">
            <w:pPr>
              <w:jc w:val="right"/>
            </w:pPr>
          </w:p>
        </w:tc>
        <w:tc>
          <w:tcPr>
            <w:tcW w:w="1343" w:type="dxa"/>
            <w:tcBorders>
              <w:left w:val="single" w:sz="18" w:space="0" w:color="FFFFFF" w:themeColor="background1"/>
            </w:tcBorders>
          </w:tcPr>
          <w:p w:rsidR="00A86593" w:rsidRPr="00AA58CA" w:rsidRDefault="00A86593" w:rsidP="001C741C">
            <w:pPr>
              <w:jc w:val="right"/>
            </w:pPr>
            <w:r>
              <w:t>19.4</w:t>
            </w:r>
          </w:p>
        </w:tc>
        <w:tc>
          <w:tcPr>
            <w:tcW w:w="817" w:type="dxa"/>
            <w:tcBorders>
              <w:right w:val="single" w:sz="18" w:space="0" w:color="FFFFFF" w:themeColor="background1"/>
            </w:tcBorders>
          </w:tcPr>
          <w:p w:rsidR="00A86593" w:rsidRPr="00AA58CA" w:rsidRDefault="00A86593" w:rsidP="001C741C">
            <w:pPr>
              <w:jc w:val="right"/>
            </w:pPr>
          </w:p>
        </w:tc>
        <w:tc>
          <w:tcPr>
            <w:tcW w:w="1405" w:type="dxa"/>
            <w:tcBorders>
              <w:left w:val="single" w:sz="18" w:space="0" w:color="FFFFFF" w:themeColor="background1"/>
            </w:tcBorders>
          </w:tcPr>
          <w:p w:rsidR="00A86593" w:rsidRPr="00AA58CA" w:rsidRDefault="00A86593" w:rsidP="001C741C">
            <w:pPr>
              <w:jc w:val="right"/>
            </w:pPr>
            <w:r>
              <w:t>-</w:t>
            </w:r>
          </w:p>
        </w:tc>
        <w:tc>
          <w:tcPr>
            <w:tcW w:w="550" w:type="dxa"/>
            <w:tcBorders>
              <w:right w:val="single" w:sz="18" w:space="0" w:color="FFFFFF" w:themeColor="background1"/>
            </w:tcBorders>
          </w:tcPr>
          <w:p w:rsidR="00A86593" w:rsidRPr="00AA58CA" w:rsidRDefault="00A86593" w:rsidP="001C741C">
            <w:pPr>
              <w:jc w:val="right"/>
            </w:pPr>
          </w:p>
        </w:tc>
        <w:tc>
          <w:tcPr>
            <w:tcW w:w="1270" w:type="dxa"/>
            <w:tcBorders>
              <w:left w:val="single" w:sz="18" w:space="0" w:color="FFFFFF" w:themeColor="background1"/>
            </w:tcBorders>
          </w:tcPr>
          <w:p w:rsidR="00A86593" w:rsidRPr="00AA58CA" w:rsidRDefault="00A86593" w:rsidP="001C741C">
            <w:pPr>
              <w:jc w:val="right"/>
            </w:pPr>
            <w:r>
              <w:t>-</w:t>
            </w:r>
          </w:p>
        </w:tc>
      </w:tr>
      <w:tr w:rsidR="00A86593" w:rsidRPr="00AA58CA" w:rsidTr="001C741C">
        <w:trPr>
          <w:gridAfter w:val="1"/>
          <w:wAfter w:w="550" w:type="dxa"/>
        </w:trPr>
        <w:tc>
          <w:tcPr>
            <w:tcW w:w="3797" w:type="dxa"/>
          </w:tcPr>
          <w:p w:rsidR="00A86593" w:rsidRDefault="00A86593" w:rsidP="001C741C">
            <w:pPr>
              <w:jc w:val="both"/>
            </w:pPr>
            <w:r>
              <w:t>Debtors</w:t>
            </w:r>
          </w:p>
        </w:tc>
        <w:tc>
          <w:tcPr>
            <w:tcW w:w="1017" w:type="dxa"/>
            <w:tcBorders>
              <w:right w:val="single" w:sz="18" w:space="0" w:color="FFFFFF" w:themeColor="background1"/>
            </w:tcBorders>
          </w:tcPr>
          <w:p w:rsidR="00A86593" w:rsidRPr="00AA58CA" w:rsidRDefault="00A86593" w:rsidP="001C741C">
            <w:pPr>
              <w:jc w:val="right"/>
            </w:pPr>
          </w:p>
        </w:tc>
        <w:tc>
          <w:tcPr>
            <w:tcW w:w="1343" w:type="dxa"/>
            <w:tcBorders>
              <w:left w:val="single" w:sz="18" w:space="0" w:color="FFFFFF" w:themeColor="background1"/>
            </w:tcBorders>
          </w:tcPr>
          <w:p w:rsidR="00A86593" w:rsidRPr="00AA58CA" w:rsidRDefault="00A86593" w:rsidP="001C741C">
            <w:pPr>
              <w:jc w:val="right"/>
            </w:pPr>
            <w:r>
              <w:t>-</w:t>
            </w:r>
          </w:p>
        </w:tc>
        <w:tc>
          <w:tcPr>
            <w:tcW w:w="817" w:type="dxa"/>
            <w:tcBorders>
              <w:right w:val="single" w:sz="18" w:space="0" w:color="FFFFFF" w:themeColor="background1"/>
            </w:tcBorders>
          </w:tcPr>
          <w:p w:rsidR="00A86593" w:rsidRPr="00AA58CA" w:rsidRDefault="00A86593" w:rsidP="001C741C">
            <w:pPr>
              <w:jc w:val="right"/>
            </w:pPr>
          </w:p>
        </w:tc>
        <w:tc>
          <w:tcPr>
            <w:tcW w:w="1405" w:type="dxa"/>
            <w:tcBorders>
              <w:left w:val="single" w:sz="18" w:space="0" w:color="FFFFFF" w:themeColor="background1"/>
            </w:tcBorders>
          </w:tcPr>
          <w:p w:rsidR="00A86593" w:rsidRPr="00AA58CA" w:rsidRDefault="00A86593" w:rsidP="001C741C">
            <w:pPr>
              <w:jc w:val="right"/>
            </w:pPr>
            <w:r>
              <w:t>23.3</w:t>
            </w:r>
          </w:p>
        </w:tc>
        <w:tc>
          <w:tcPr>
            <w:tcW w:w="550" w:type="dxa"/>
            <w:tcBorders>
              <w:right w:val="single" w:sz="18" w:space="0" w:color="FFFFFF" w:themeColor="background1"/>
            </w:tcBorders>
          </w:tcPr>
          <w:p w:rsidR="00A86593" w:rsidRPr="00AA58CA" w:rsidRDefault="00A86593" w:rsidP="001C741C">
            <w:pPr>
              <w:jc w:val="right"/>
            </w:pPr>
          </w:p>
        </w:tc>
        <w:tc>
          <w:tcPr>
            <w:tcW w:w="1270" w:type="dxa"/>
            <w:tcBorders>
              <w:left w:val="single" w:sz="18" w:space="0" w:color="FFFFFF" w:themeColor="background1"/>
            </w:tcBorders>
          </w:tcPr>
          <w:p w:rsidR="00A86593" w:rsidRPr="00AA58CA" w:rsidRDefault="00A86593" w:rsidP="001C741C">
            <w:pPr>
              <w:jc w:val="right"/>
            </w:pPr>
            <w:r>
              <w:t>-</w:t>
            </w:r>
          </w:p>
        </w:tc>
      </w:tr>
      <w:tr w:rsidR="00A86593" w:rsidRPr="00AA58CA" w:rsidTr="001C741C">
        <w:trPr>
          <w:gridAfter w:val="1"/>
          <w:wAfter w:w="550" w:type="dxa"/>
        </w:trPr>
        <w:tc>
          <w:tcPr>
            <w:tcW w:w="3797" w:type="dxa"/>
          </w:tcPr>
          <w:p w:rsidR="00A86593" w:rsidRPr="00EB2694" w:rsidRDefault="00A86593" w:rsidP="001C741C">
            <w:pPr>
              <w:jc w:val="both"/>
              <w:rPr>
                <w:b/>
              </w:rPr>
            </w:pPr>
            <w:r w:rsidRPr="00EB2694">
              <w:rPr>
                <w:b/>
              </w:rPr>
              <w:t>Total Financial Assets</w:t>
            </w:r>
          </w:p>
          <w:p w:rsidR="00A86593" w:rsidRDefault="00A86593" w:rsidP="001C741C">
            <w:pPr>
              <w:jc w:val="both"/>
            </w:pPr>
          </w:p>
        </w:tc>
        <w:tc>
          <w:tcPr>
            <w:tcW w:w="1017" w:type="dxa"/>
            <w:tcBorders>
              <w:right w:val="single" w:sz="18" w:space="0" w:color="FFFFFF" w:themeColor="background1"/>
            </w:tcBorders>
          </w:tcPr>
          <w:p w:rsidR="00A86593" w:rsidRPr="00B736A4" w:rsidRDefault="00A86593" w:rsidP="001C741C">
            <w:pPr>
              <w:jc w:val="right"/>
              <w:rPr>
                <w:b/>
              </w:rPr>
            </w:pPr>
          </w:p>
        </w:tc>
        <w:tc>
          <w:tcPr>
            <w:tcW w:w="1343" w:type="dxa"/>
            <w:tcBorders>
              <w:left w:val="single" w:sz="18" w:space="0" w:color="FFFFFF" w:themeColor="background1"/>
            </w:tcBorders>
          </w:tcPr>
          <w:p w:rsidR="00A86593" w:rsidRPr="00B736A4" w:rsidRDefault="00A86593" w:rsidP="001C741C">
            <w:pPr>
              <w:jc w:val="right"/>
              <w:rPr>
                <w:b/>
              </w:rPr>
            </w:pPr>
            <w:r w:rsidRPr="00B736A4">
              <w:rPr>
                <w:b/>
              </w:rPr>
              <w:t>3,850.</w:t>
            </w:r>
            <w:r>
              <w:rPr>
                <w:b/>
              </w:rPr>
              <w:t>8</w:t>
            </w:r>
          </w:p>
        </w:tc>
        <w:tc>
          <w:tcPr>
            <w:tcW w:w="817" w:type="dxa"/>
            <w:tcBorders>
              <w:right w:val="single" w:sz="18" w:space="0" w:color="FFFFFF" w:themeColor="background1"/>
            </w:tcBorders>
          </w:tcPr>
          <w:p w:rsidR="00A86593" w:rsidRPr="00B736A4" w:rsidRDefault="00A86593" w:rsidP="001C741C">
            <w:pPr>
              <w:jc w:val="right"/>
              <w:rPr>
                <w:b/>
              </w:rPr>
            </w:pPr>
          </w:p>
        </w:tc>
        <w:tc>
          <w:tcPr>
            <w:tcW w:w="1405" w:type="dxa"/>
            <w:tcBorders>
              <w:left w:val="single" w:sz="18" w:space="0" w:color="FFFFFF" w:themeColor="background1"/>
            </w:tcBorders>
          </w:tcPr>
          <w:p w:rsidR="00A86593" w:rsidRPr="00B736A4" w:rsidRDefault="00A86593" w:rsidP="001C741C">
            <w:pPr>
              <w:jc w:val="right"/>
              <w:rPr>
                <w:b/>
              </w:rPr>
            </w:pPr>
            <w:r w:rsidRPr="00B736A4">
              <w:rPr>
                <w:b/>
              </w:rPr>
              <w:t>150.</w:t>
            </w:r>
            <w:r>
              <w:rPr>
                <w:b/>
              </w:rPr>
              <w:t>1</w:t>
            </w:r>
          </w:p>
        </w:tc>
        <w:tc>
          <w:tcPr>
            <w:tcW w:w="550" w:type="dxa"/>
            <w:tcBorders>
              <w:right w:val="single" w:sz="18" w:space="0" w:color="FFFFFF" w:themeColor="background1"/>
            </w:tcBorders>
          </w:tcPr>
          <w:p w:rsidR="00A86593" w:rsidRPr="00B736A4" w:rsidRDefault="00A86593" w:rsidP="001C741C">
            <w:pPr>
              <w:jc w:val="right"/>
              <w:rPr>
                <w:b/>
              </w:rPr>
            </w:pPr>
          </w:p>
        </w:tc>
        <w:tc>
          <w:tcPr>
            <w:tcW w:w="1270" w:type="dxa"/>
            <w:tcBorders>
              <w:left w:val="single" w:sz="18" w:space="0" w:color="FFFFFF" w:themeColor="background1"/>
            </w:tcBorders>
          </w:tcPr>
          <w:p w:rsidR="00A86593" w:rsidRPr="00B736A4" w:rsidRDefault="00A86593" w:rsidP="001C741C">
            <w:pPr>
              <w:jc w:val="right"/>
              <w:rPr>
                <w:b/>
              </w:rPr>
            </w:pPr>
            <w:r w:rsidRPr="00B736A4">
              <w:rPr>
                <w:b/>
              </w:rPr>
              <w:t>-</w:t>
            </w:r>
          </w:p>
        </w:tc>
      </w:tr>
      <w:tr w:rsidR="00A86593" w:rsidRPr="00AA58CA" w:rsidTr="001C741C">
        <w:trPr>
          <w:gridAfter w:val="1"/>
          <w:wAfter w:w="550" w:type="dxa"/>
        </w:trPr>
        <w:tc>
          <w:tcPr>
            <w:tcW w:w="3797" w:type="dxa"/>
          </w:tcPr>
          <w:p w:rsidR="00A86593" w:rsidRPr="00EB2694" w:rsidRDefault="00A86593" w:rsidP="001C741C">
            <w:pPr>
              <w:jc w:val="both"/>
            </w:pPr>
            <w:r>
              <w:rPr>
                <w:b/>
              </w:rPr>
              <w:t>Financial liabilities</w:t>
            </w:r>
          </w:p>
        </w:tc>
        <w:tc>
          <w:tcPr>
            <w:tcW w:w="1017" w:type="dxa"/>
            <w:tcBorders>
              <w:right w:val="single" w:sz="18" w:space="0" w:color="FFFFFF" w:themeColor="background1"/>
            </w:tcBorders>
          </w:tcPr>
          <w:p w:rsidR="00A86593" w:rsidRPr="00AA58CA" w:rsidRDefault="00A86593" w:rsidP="001C741C">
            <w:pPr>
              <w:jc w:val="right"/>
            </w:pPr>
          </w:p>
        </w:tc>
        <w:tc>
          <w:tcPr>
            <w:tcW w:w="1343" w:type="dxa"/>
            <w:tcBorders>
              <w:left w:val="single" w:sz="18" w:space="0" w:color="FFFFFF" w:themeColor="background1"/>
            </w:tcBorders>
          </w:tcPr>
          <w:p w:rsidR="00A86593" w:rsidRPr="00AA58CA" w:rsidRDefault="00A86593" w:rsidP="001C741C">
            <w:pPr>
              <w:jc w:val="right"/>
            </w:pPr>
          </w:p>
        </w:tc>
        <w:tc>
          <w:tcPr>
            <w:tcW w:w="817" w:type="dxa"/>
            <w:tcBorders>
              <w:right w:val="single" w:sz="18" w:space="0" w:color="FFFFFF" w:themeColor="background1"/>
            </w:tcBorders>
          </w:tcPr>
          <w:p w:rsidR="00A86593" w:rsidRPr="00AA58CA" w:rsidRDefault="00A86593" w:rsidP="001C741C">
            <w:pPr>
              <w:jc w:val="right"/>
            </w:pPr>
          </w:p>
        </w:tc>
        <w:tc>
          <w:tcPr>
            <w:tcW w:w="1405" w:type="dxa"/>
            <w:tcBorders>
              <w:left w:val="single" w:sz="18" w:space="0" w:color="FFFFFF" w:themeColor="background1"/>
            </w:tcBorders>
          </w:tcPr>
          <w:p w:rsidR="00A86593" w:rsidRPr="00AA58CA" w:rsidRDefault="00A86593" w:rsidP="001C741C">
            <w:pPr>
              <w:jc w:val="right"/>
            </w:pPr>
          </w:p>
        </w:tc>
        <w:tc>
          <w:tcPr>
            <w:tcW w:w="550" w:type="dxa"/>
            <w:tcBorders>
              <w:right w:val="single" w:sz="18" w:space="0" w:color="FFFFFF" w:themeColor="background1"/>
            </w:tcBorders>
          </w:tcPr>
          <w:p w:rsidR="00A86593" w:rsidRPr="00AA58CA" w:rsidRDefault="00A86593" w:rsidP="001C741C">
            <w:pPr>
              <w:jc w:val="right"/>
            </w:pPr>
          </w:p>
        </w:tc>
        <w:tc>
          <w:tcPr>
            <w:tcW w:w="1270" w:type="dxa"/>
            <w:tcBorders>
              <w:left w:val="single" w:sz="18" w:space="0" w:color="FFFFFF" w:themeColor="background1"/>
            </w:tcBorders>
          </w:tcPr>
          <w:p w:rsidR="00A86593" w:rsidRPr="00AA58CA" w:rsidRDefault="00A86593" w:rsidP="001C741C">
            <w:pPr>
              <w:jc w:val="right"/>
            </w:pPr>
          </w:p>
        </w:tc>
      </w:tr>
      <w:tr w:rsidR="00A86593" w:rsidRPr="00AA58CA" w:rsidTr="001C741C">
        <w:trPr>
          <w:gridAfter w:val="1"/>
          <w:wAfter w:w="550" w:type="dxa"/>
        </w:trPr>
        <w:tc>
          <w:tcPr>
            <w:tcW w:w="3797" w:type="dxa"/>
          </w:tcPr>
          <w:p w:rsidR="00A86593" w:rsidRDefault="00A86593" w:rsidP="001C741C">
            <w:pPr>
              <w:jc w:val="both"/>
              <w:rPr>
                <w:b/>
              </w:rPr>
            </w:pPr>
            <w:r>
              <w:t>Derivative contracts</w:t>
            </w:r>
          </w:p>
        </w:tc>
        <w:tc>
          <w:tcPr>
            <w:tcW w:w="1017" w:type="dxa"/>
            <w:tcBorders>
              <w:right w:val="single" w:sz="18" w:space="0" w:color="FFFFFF" w:themeColor="background1"/>
            </w:tcBorders>
          </w:tcPr>
          <w:p w:rsidR="00A86593" w:rsidRPr="00AA58CA" w:rsidRDefault="00A86593" w:rsidP="001C741C">
            <w:pPr>
              <w:jc w:val="right"/>
            </w:pPr>
          </w:p>
        </w:tc>
        <w:tc>
          <w:tcPr>
            <w:tcW w:w="1343" w:type="dxa"/>
            <w:tcBorders>
              <w:left w:val="single" w:sz="18" w:space="0" w:color="FFFFFF" w:themeColor="background1"/>
            </w:tcBorders>
          </w:tcPr>
          <w:p w:rsidR="00A86593" w:rsidRPr="00AA58CA" w:rsidRDefault="00A86593" w:rsidP="001C741C">
            <w:pPr>
              <w:jc w:val="right"/>
            </w:pPr>
            <w:r>
              <w:t>1.6</w:t>
            </w:r>
          </w:p>
        </w:tc>
        <w:tc>
          <w:tcPr>
            <w:tcW w:w="817" w:type="dxa"/>
            <w:tcBorders>
              <w:right w:val="single" w:sz="18" w:space="0" w:color="FFFFFF" w:themeColor="background1"/>
            </w:tcBorders>
          </w:tcPr>
          <w:p w:rsidR="00A86593" w:rsidRPr="00AA58CA" w:rsidRDefault="00A86593" w:rsidP="001C741C">
            <w:pPr>
              <w:jc w:val="right"/>
            </w:pPr>
          </w:p>
        </w:tc>
        <w:tc>
          <w:tcPr>
            <w:tcW w:w="1405" w:type="dxa"/>
            <w:tcBorders>
              <w:left w:val="single" w:sz="18" w:space="0" w:color="FFFFFF" w:themeColor="background1"/>
            </w:tcBorders>
          </w:tcPr>
          <w:p w:rsidR="00A86593" w:rsidRPr="00AA58CA" w:rsidRDefault="00A86593" w:rsidP="001C741C">
            <w:pPr>
              <w:jc w:val="right"/>
            </w:pPr>
            <w:r>
              <w:t>-</w:t>
            </w:r>
          </w:p>
        </w:tc>
        <w:tc>
          <w:tcPr>
            <w:tcW w:w="550" w:type="dxa"/>
            <w:tcBorders>
              <w:right w:val="single" w:sz="18" w:space="0" w:color="FFFFFF" w:themeColor="background1"/>
            </w:tcBorders>
          </w:tcPr>
          <w:p w:rsidR="00A86593" w:rsidRPr="00AA58CA" w:rsidRDefault="00A86593" w:rsidP="001C741C">
            <w:pPr>
              <w:jc w:val="right"/>
            </w:pPr>
          </w:p>
        </w:tc>
        <w:tc>
          <w:tcPr>
            <w:tcW w:w="1270" w:type="dxa"/>
            <w:tcBorders>
              <w:left w:val="single" w:sz="18" w:space="0" w:color="FFFFFF" w:themeColor="background1"/>
            </w:tcBorders>
          </w:tcPr>
          <w:p w:rsidR="00A86593" w:rsidRPr="00AA58CA" w:rsidRDefault="00A86593" w:rsidP="001C741C">
            <w:pPr>
              <w:jc w:val="right"/>
            </w:pPr>
            <w:r>
              <w:t>-</w:t>
            </w:r>
          </w:p>
        </w:tc>
      </w:tr>
      <w:tr w:rsidR="00A86593" w:rsidRPr="00AA58CA" w:rsidTr="001C741C">
        <w:trPr>
          <w:gridAfter w:val="1"/>
          <w:wAfter w:w="550" w:type="dxa"/>
        </w:trPr>
        <w:tc>
          <w:tcPr>
            <w:tcW w:w="3797" w:type="dxa"/>
          </w:tcPr>
          <w:p w:rsidR="00A86593" w:rsidRDefault="00A86593" w:rsidP="001C741C">
            <w:pPr>
              <w:jc w:val="both"/>
            </w:pPr>
            <w:r>
              <w:t>Creditors</w:t>
            </w:r>
          </w:p>
        </w:tc>
        <w:tc>
          <w:tcPr>
            <w:tcW w:w="1017" w:type="dxa"/>
            <w:tcBorders>
              <w:right w:val="single" w:sz="18" w:space="0" w:color="FFFFFF" w:themeColor="background1"/>
            </w:tcBorders>
          </w:tcPr>
          <w:p w:rsidR="00A86593" w:rsidRPr="00AA58CA" w:rsidRDefault="00A86593" w:rsidP="001C741C">
            <w:pPr>
              <w:jc w:val="right"/>
            </w:pPr>
          </w:p>
        </w:tc>
        <w:tc>
          <w:tcPr>
            <w:tcW w:w="1343" w:type="dxa"/>
            <w:tcBorders>
              <w:left w:val="single" w:sz="18" w:space="0" w:color="FFFFFF" w:themeColor="background1"/>
            </w:tcBorders>
          </w:tcPr>
          <w:p w:rsidR="00A86593" w:rsidRPr="00AA58CA" w:rsidRDefault="00A86593" w:rsidP="001C741C">
            <w:pPr>
              <w:jc w:val="right"/>
            </w:pPr>
            <w:r>
              <w:t>-</w:t>
            </w:r>
          </w:p>
        </w:tc>
        <w:tc>
          <w:tcPr>
            <w:tcW w:w="817" w:type="dxa"/>
            <w:tcBorders>
              <w:right w:val="single" w:sz="18" w:space="0" w:color="FFFFFF" w:themeColor="background1"/>
            </w:tcBorders>
          </w:tcPr>
          <w:p w:rsidR="00A86593" w:rsidRPr="00AA58CA" w:rsidRDefault="00A86593" w:rsidP="001C741C">
            <w:pPr>
              <w:jc w:val="right"/>
            </w:pPr>
          </w:p>
        </w:tc>
        <w:tc>
          <w:tcPr>
            <w:tcW w:w="1405" w:type="dxa"/>
            <w:tcBorders>
              <w:left w:val="single" w:sz="18" w:space="0" w:color="FFFFFF" w:themeColor="background1"/>
            </w:tcBorders>
          </w:tcPr>
          <w:p w:rsidR="00A86593" w:rsidRPr="00AA58CA" w:rsidRDefault="00A86593" w:rsidP="001C741C">
            <w:pPr>
              <w:jc w:val="right"/>
            </w:pPr>
            <w:r>
              <w:t>-</w:t>
            </w:r>
          </w:p>
        </w:tc>
        <w:tc>
          <w:tcPr>
            <w:tcW w:w="550" w:type="dxa"/>
            <w:tcBorders>
              <w:right w:val="single" w:sz="18" w:space="0" w:color="FFFFFF" w:themeColor="background1"/>
            </w:tcBorders>
          </w:tcPr>
          <w:p w:rsidR="00A86593" w:rsidRPr="00AA58CA" w:rsidRDefault="00A86593" w:rsidP="001C741C">
            <w:pPr>
              <w:jc w:val="right"/>
            </w:pPr>
          </w:p>
        </w:tc>
        <w:tc>
          <w:tcPr>
            <w:tcW w:w="1270" w:type="dxa"/>
            <w:tcBorders>
              <w:left w:val="single" w:sz="18" w:space="0" w:color="FFFFFF" w:themeColor="background1"/>
            </w:tcBorders>
          </w:tcPr>
          <w:p w:rsidR="00A86593" w:rsidRPr="00AA58CA" w:rsidRDefault="00A86593" w:rsidP="001C741C">
            <w:pPr>
              <w:jc w:val="right"/>
            </w:pPr>
            <w:r>
              <w:t>3.2</w:t>
            </w:r>
          </w:p>
        </w:tc>
      </w:tr>
      <w:tr w:rsidR="00A86593" w:rsidRPr="00AA58CA" w:rsidTr="001C741C">
        <w:tc>
          <w:tcPr>
            <w:tcW w:w="4814" w:type="dxa"/>
            <w:gridSpan w:val="2"/>
          </w:tcPr>
          <w:p w:rsidR="00A86593" w:rsidRPr="006018C2" w:rsidRDefault="00A86593" w:rsidP="001C741C">
            <w:pPr>
              <w:jc w:val="both"/>
              <w:rPr>
                <w:b/>
              </w:rPr>
            </w:pPr>
            <w:r w:rsidRPr="006018C2">
              <w:rPr>
                <w:b/>
              </w:rPr>
              <w:t>Total Financial Liabilities</w:t>
            </w:r>
          </w:p>
        </w:tc>
        <w:tc>
          <w:tcPr>
            <w:tcW w:w="1343" w:type="dxa"/>
          </w:tcPr>
          <w:p w:rsidR="00A86593" w:rsidRPr="006018C2" w:rsidRDefault="00A86593" w:rsidP="001C741C">
            <w:pPr>
              <w:jc w:val="right"/>
              <w:rPr>
                <w:b/>
              </w:rPr>
            </w:pPr>
            <w:r>
              <w:rPr>
                <w:b/>
              </w:rPr>
              <w:t>1.6</w:t>
            </w:r>
          </w:p>
        </w:tc>
        <w:tc>
          <w:tcPr>
            <w:tcW w:w="817" w:type="dxa"/>
            <w:tcBorders>
              <w:right w:val="single" w:sz="18" w:space="0" w:color="FFFFFF" w:themeColor="background1"/>
            </w:tcBorders>
          </w:tcPr>
          <w:p w:rsidR="00A86593" w:rsidRPr="006018C2" w:rsidRDefault="00A86593" w:rsidP="001C741C">
            <w:pPr>
              <w:jc w:val="right"/>
              <w:rPr>
                <w:b/>
              </w:rPr>
            </w:pPr>
          </w:p>
        </w:tc>
        <w:tc>
          <w:tcPr>
            <w:tcW w:w="1405" w:type="dxa"/>
            <w:tcBorders>
              <w:left w:val="single" w:sz="18" w:space="0" w:color="FFFFFF" w:themeColor="background1"/>
            </w:tcBorders>
          </w:tcPr>
          <w:p w:rsidR="00A86593" w:rsidRPr="006018C2" w:rsidRDefault="00A86593" w:rsidP="001C741C">
            <w:pPr>
              <w:jc w:val="right"/>
              <w:rPr>
                <w:b/>
              </w:rPr>
            </w:pPr>
            <w:r>
              <w:rPr>
                <w:b/>
              </w:rPr>
              <w:t>-</w:t>
            </w:r>
          </w:p>
        </w:tc>
        <w:tc>
          <w:tcPr>
            <w:tcW w:w="550" w:type="dxa"/>
            <w:tcBorders>
              <w:right w:val="single" w:sz="18" w:space="0" w:color="FFFFFF" w:themeColor="background1"/>
            </w:tcBorders>
          </w:tcPr>
          <w:p w:rsidR="00A86593" w:rsidRPr="006018C2" w:rsidRDefault="00A86593" w:rsidP="001C741C">
            <w:pPr>
              <w:jc w:val="right"/>
              <w:rPr>
                <w:b/>
              </w:rPr>
            </w:pPr>
          </w:p>
        </w:tc>
        <w:tc>
          <w:tcPr>
            <w:tcW w:w="1270" w:type="dxa"/>
            <w:tcBorders>
              <w:left w:val="single" w:sz="18" w:space="0" w:color="FFFFFF" w:themeColor="background1"/>
            </w:tcBorders>
          </w:tcPr>
          <w:p w:rsidR="00A86593" w:rsidRPr="006018C2" w:rsidRDefault="00A86593" w:rsidP="001C741C">
            <w:pPr>
              <w:jc w:val="right"/>
              <w:rPr>
                <w:b/>
              </w:rPr>
            </w:pPr>
            <w:r>
              <w:rPr>
                <w:b/>
              </w:rPr>
              <w:t>3.2</w:t>
            </w:r>
          </w:p>
        </w:tc>
        <w:tc>
          <w:tcPr>
            <w:tcW w:w="550" w:type="dxa"/>
          </w:tcPr>
          <w:p w:rsidR="00A86593" w:rsidRPr="00B736A4" w:rsidRDefault="00A86593" w:rsidP="001C741C">
            <w:pPr>
              <w:jc w:val="right"/>
              <w:rPr>
                <w:b/>
              </w:rPr>
            </w:pPr>
          </w:p>
        </w:tc>
      </w:tr>
    </w:tbl>
    <w:p w:rsidR="00A86593" w:rsidRDefault="00A86593" w:rsidP="00A86593"/>
    <w:p w:rsidR="00A86593" w:rsidRPr="00AA58CA" w:rsidRDefault="00A86593" w:rsidP="00A86593">
      <w:pPr>
        <w:spacing w:after="120"/>
        <w:jc w:val="both"/>
      </w:pPr>
    </w:p>
    <w:tbl>
      <w:tblPr>
        <w:tblStyle w:val="TableGrid"/>
        <w:tblW w:w="1019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gridCol w:w="709"/>
        <w:gridCol w:w="1276"/>
        <w:gridCol w:w="709"/>
        <w:gridCol w:w="1275"/>
        <w:gridCol w:w="709"/>
        <w:gridCol w:w="1127"/>
      </w:tblGrid>
      <w:tr w:rsidR="00A86593" w:rsidTr="001C741C">
        <w:tc>
          <w:tcPr>
            <w:tcW w:w="4394" w:type="dxa"/>
          </w:tcPr>
          <w:p w:rsidR="00A86593" w:rsidRDefault="00A86593" w:rsidP="001C741C">
            <w:pPr>
              <w:jc w:val="both"/>
              <w:rPr>
                <w:b/>
              </w:rPr>
            </w:pPr>
            <w:r>
              <w:rPr>
                <w:b/>
              </w:rPr>
              <w:t>2011</w:t>
            </w:r>
          </w:p>
        </w:tc>
        <w:tc>
          <w:tcPr>
            <w:tcW w:w="1985" w:type="dxa"/>
            <w:gridSpan w:val="2"/>
          </w:tcPr>
          <w:p w:rsidR="00A86593" w:rsidRDefault="00A86593" w:rsidP="001C741C">
            <w:pPr>
              <w:jc w:val="right"/>
              <w:rPr>
                <w:b/>
              </w:rPr>
            </w:pPr>
            <w:r>
              <w:rPr>
                <w:b/>
              </w:rPr>
              <w:t>Designated at fair value through profit or loss</w:t>
            </w:r>
          </w:p>
        </w:tc>
        <w:tc>
          <w:tcPr>
            <w:tcW w:w="1984" w:type="dxa"/>
            <w:gridSpan w:val="2"/>
          </w:tcPr>
          <w:p w:rsidR="00A86593" w:rsidRDefault="00A86593" w:rsidP="001C741C">
            <w:pPr>
              <w:jc w:val="right"/>
              <w:rPr>
                <w:b/>
              </w:rPr>
            </w:pPr>
            <w:r>
              <w:rPr>
                <w:b/>
              </w:rPr>
              <w:t>Loans and receivables</w:t>
            </w:r>
          </w:p>
        </w:tc>
        <w:tc>
          <w:tcPr>
            <w:tcW w:w="1836" w:type="dxa"/>
            <w:gridSpan w:val="2"/>
          </w:tcPr>
          <w:p w:rsidR="00A86593" w:rsidRDefault="00A86593" w:rsidP="001C741C">
            <w:pPr>
              <w:jc w:val="right"/>
              <w:rPr>
                <w:b/>
              </w:rPr>
            </w:pPr>
            <w:r>
              <w:rPr>
                <w:b/>
              </w:rPr>
              <w:t>Financial liabilities at amortised cost</w:t>
            </w:r>
          </w:p>
        </w:tc>
      </w:tr>
      <w:tr w:rsidR="00A86593" w:rsidTr="001C741C">
        <w:tc>
          <w:tcPr>
            <w:tcW w:w="4394" w:type="dxa"/>
          </w:tcPr>
          <w:p w:rsidR="00A86593" w:rsidRDefault="00A86593" w:rsidP="001C741C">
            <w:pPr>
              <w:jc w:val="both"/>
              <w:rPr>
                <w:b/>
              </w:rPr>
            </w:pPr>
          </w:p>
        </w:tc>
        <w:tc>
          <w:tcPr>
            <w:tcW w:w="1985" w:type="dxa"/>
            <w:gridSpan w:val="2"/>
          </w:tcPr>
          <w:p w:rsidR="00A86593" w:rsidRDefault="00A86593" w:rsidP="001C741C">
            <w:pPr>
              <w:jc w:val="right"/>
              <w:rPr>
                <w:b/>
              </w:rPr>
            </w:pPr>
            <w:r>
              <w:rPr>
                <w:b/>
              </w:rPr>
              <w:t>£m</w:t>
            </w:r>
          </w:p>
          <w:p w:rsidR="00A86593" w:rsidRDefault="00A86593" w:rsidP="001C741C">
            <w:pPr>
              <w:jc w:val="right"/>
              <w:rPr>
                <w:b/>
              </w:rPr>
            </w:pPr>
          </w:p>
        </w:tc>
        <w:tc>
          <w:tcPr>
            <w:tcW w:w="1984" w:type="dxa"/>
            <w:gridSpan w:val="2"/>
          </w:tcPr>
          <w:p w:rsidR="00A86593" w:rsidRDefault="00A86593" w:rsidP="001C741C">
            <w:pPr>
              <w:jc w:val="right"/>
              <w:rPr>
                <w:b/>
              </w:rPr>
            </w:pPr>
            <w:r>
              <w:rPr>
                <w:b/>
              </w:rPr>
              <w:t>£m</w:t>
            </w:r>
          </w:p>
        </w:tc>
        <w:tc>
          <w:tcPr>
            <w:tcW w:w="1836" w:type="dxa"/>
            <w:gridSpan w:val="2"/>
          </w:tcPr>
          <w:p w:rsidR="00A86593" w:rsidRDefault="00A86593" w:rsidP="001C741C">
            <w:pPr>
              <w:jc w:val="right"/>
              <w:rPr>
                <w:b/>
              </w:rPr>
            </w:pPr>
            <w:r>
              <w:rPr>
                <w:b/>
              </w:rPr>
              <w:t>£m</w:t>
            </w:r>
          </w:p>
        </w:tc>
      </w:tr>
      <w:tr w:rsidR="00A86593" w:rsidRPr="00AA58CA" w:rsidTr="001C741C">
        <w:tc>
          <w:tcPr>
            <w:tcW w:w="4394" w:type="dxa"/>
          </w:tcPr>
          <w:p w:rsidR="00A86593" w:rsidRPr="00EB2694" w:rsidRDefault="00A86593" w:rsidP="001C741C">
            <w:pPr>
              <w:jc w:val="both"/>
              <w:rPr>
                <w:b/>
              </w:rPr>
            </w:pPr>
            <w:r w:rsidRPr="00EB2694">
              <w:rPr>
                <w:b/>
              </w:rPr>
              <w:t>Financial assets</w:t>
            </w:r>
          </w:p>
        </w:tc>
        <w:tc>
          <w:tcPr>
            <w:tcW w:w="709" w:type="dxa"/>
            <w:tcBorders>
              <w:right w:val="single" w:sz="18" w:space="0" w:color="FFFFFF" w:themeColor="background1"/>
            </w:tcBorders>
          </w:tcPr>
          <w:p w:rsidR="00A86593" w:rsidRPr="00AA58CA" w:rsidRDefault="00A86593" w:rsidP="001C741C">
            <w:pPr>
              <w:jc w:val="right"/>
            </w:pPr>
          </w:p>
        </w:tc>
        <w:tc>
          <w:tcPr>
            <w:tcW w:w="1276" w:type="dxa"/>
            <w:tcBorders>
              <w:left w:val="single" w:sz="18" w:space="0" w:color="FFFFFF" w:themeColor="background1"/>
            </w:tcBorders>
          </w:tcPr>
          <w:p w:rsidR="00A86593" w:rsidRPr="00AA58CA" w:rsidRDefault="00A86593" w:rsidP="001C741C">
            <w:pPr>
              <w:jc w:val="right"/>
            </w:pPr>
          </w:p>
        </w:tc>
        <w:tc>
          <w:tcPr>
            <w:tcW w:w="709" w:type="dxa"/>
            <w:tcBorders>
              <w:right w:val="single" w:sz="18" w:space="0" w:color="FFFFFF" w:themeColor="background1"/>
            </w:tcBorders>
          </w:tcPr>
          <w:p w:rsidR="00A86593" w:rsidRPr="00AA58CA" w:rsidRDefault="00A86593" w:rsidP="001C741C">
            <w:pPr>
              <w:jc w:val="right"/>
            </w:pPr>
          </w:p>
        </w:tc>
        <w:tc>
          <w:tcPr>
            <w:tcW w:w="1275" w:type="dxa"/>
            <w:tcBorders>
              <w:left w:val="single" w:sz="18" w:space="0" w:color="FFFFFF" w:themeColor="background1"/>
            </w:tcBorders>
          </w:tcPr>
          <w:p w:rsidR="00A86593" w:rsidRPr="00AA58CA" w:rsidRDefault="00A86593" w:rsidP="001C741C">
            <w:pPr>
              <w:jc w:val="right"/>
            </w:pPr>
            <w:r>
              <w:t>-</w:t>
            </w:r>
          </w:p>
        </w:tc>
        <w:tc>
          <w:tcPr>
            <w:tcW w:w="709" w:type="dxa"/>
            <w:tcBorders>
              <w:right w:val="single" w:sz="18" w:space="0" w:color="FFFFFF" w:themeColor="background1"/>
            </w:tcBorders>
          </w:tcPr>
          <w:p w:rsidR="00A86593" w:rsidRPr="00AA58CA" w:rsidRDefault="00A86593" w:rsidP="001C741C">
            <w:pPr>
              <w:jc w:val="right"/>
            </w:pPr>
          </w:p>
        </w:tc>
        <w:tc>
          <w:tcPr>
            <w:tcW w:w="1127" w:type="dxa"/>
            <w:tcBorders>
              <w:left w:val="single" w:sz="18" w:space="0" w:color="FFFFFF" w:themeColor="background1"/>
            </w:tcBorders>
          </w:tcPr>
          <w:p w:rsidR="00A86593" w:rsidRPr="00AA58CA" w:rsidRDefault="00A86593" w:rsidP="001C741C">
            <w:pPr>
              <w:jc w:val="right"/>
            </w:pPr>
            <w:r>
              <w:t>-</w:t>
            </w:r>
          </w:p>
        </w:tc>
      </w:tr>
      <w:tr w:rsidR="00A86593" w:rsidRPr="00AA58CA" w:rsidTr="001C741C">
        <w:tc>
          <w:tcPr>
            <w:tcW w:w="4394" w:type="dxa"/>
          </w:tcPr>
          <w:p w:rsidR="00A86593" w:rsidRDefault="00A86593" w:rsidP="001C741C">
            <w:pPr>
              <w:jc w:val="both"/>
            </w:pPr>
            <w:r>
              <w:t>Fixed interest securities</w:t>
            </w:r>
          </w:p>
        </w:tc>
        <w:tc>
          <w:tcPr>
            <w:tcW w:w="709" w:type="dxa"/>
            <w:tcBorders>
              <w:right w:val="single" w:sz="18" w:space="0" w:color="FFFFFF" w:themeColor="background1"/>
            </w:tcBorders>
          </w:tcPr>
          <w:p w:rsidR="00A86593" w:rsidRPr="00AA58CA" w:rsidRDefault="00A86593" w:rsidP="001C741C">
            <w:pPr>
              <w:jc w:val="right"/>
            </w:pPr>
          </w:p>
        </w:tc>
        <w:tc>
          <w:tcPr>
            <w:tcW w:w="1276" w:type="dxa"/>
            <w:tcBorders>
              <w:left w:val="single" w:sz="18" w:space="0" w:color="FFFFFF" w:themeColor="background1"/>
            </w:tcBorders>
          </w:tcPr>
          <w:p w:rsidR="00A86593" w:rsidRPr="00AA58CA" w:rsidRDefault="00A86593" w:rsidP="001C741C">
            <w:pPr>
              <w:jc w:val="right"/>
            </w:pPr>
            <w:r>
              <w:t>559.1</w:t>
            </w:r>
          </w:p>
        </w:tc>
        <w:tc>
          <w:tcPr>
            <w:tcW w:w="709" w:type="dxa"/>
            <w:tcBorders>
              <w:right w:val="single" w:sz="18" w:space="0" w:color="FFFFFF" w:themeColor="background1"/>
            </w:tcBorders>
          </w:tcPr>
          <w:p w:rsidR="00A86593" w:rsidRPr="00AA58CA" w:rsidRDefault="00A86593" w:rsidP="001C741C">
            <w:pPr>
              <w:jc w:val="right"/>
            </w:pPr>
          </w:p>
        </w:tc>
        <w:tc>
          <w:tcPr>
            <w:tcW w:w="1275" w:type="dxa"/>
            <w:tcBorders>
              <w:left w:val="single" w:sz="18" w:space="0" w:color="FFFFFF" w:themeColor="background1"/>
            </w:tcBorders>
          </w:tcPr>
          <w:p w:rsidR="00A86593" w:rsidRPr="00AA58CA" w:rsidRDefault="00A86593" w:rsidP="001C741C">
            <w:pPr>
              <w:jc w:val="right"/>
            </w:pPr>
            <w:r>
              <w:t>-</w:t>
            </w:r>
          </w:p>
        </w:tc>
        <w:tc>
          <w:tcPr>
            <w:tcW w:w="709" w:type="dxa"/>
            <w:tcBorders>
              <w:bottom w:val="single" w:sz="18" w:space="0" w:color="FFFFFF" w:themeColor="background1"/>
              <w:right w:val="single" w:sz="18" w:space="0" w:color="FFFFFF" w:themeColor="background1"/>
            </w:tcBorders>
          </w:tcPr>
          <w:p w:rsidR="00A86593" w:rsidRPr="00AA58CA" w:rsidRDefault="00A86593" w:rsidP="001C741C">
            <w:pPr>
              <w:jc w:val="right"/>
            </w:pPr>
          </w:p>
        </w:tc>
        <w:tc>
          <w:tcPr>
            <w:tcW w:w="1127" w:type="dxa"/>
            <w:tcBorders>
              <w:left w:val="single" w:sz="18" w:space="0" w:color="FFFFFF" w:themeColor="background1"/>
            </w:tcBorders>
          </w:tcPr>
          <w:p w:rsidR="00A86593" w:rsidRPr="00AA58CA" w:rsidRDefault="00A86593" w:rsidP="001C741C">
            <w:pPr>
              <w:jc w:val="right"/>
            </w:pPr>
            <w:r>
              <w:t>-</w:t>
            </w:r>
          </w:p>
        </w:tc>
      </w:tr>
      <w:tr w:rsidR="00A86593" w:rsidRPr="00AA58CA" w:rsidTr="001C741C">
        <w:tc>
          <w:tcPr>
            <w:tcW w:w="4394" w:type="dxa"/>
          </w:tcPr>
          <w:p w:rsidR="00A86593" w:rsidRDefault="00A86593" w:rsidP="001C741C">
            <w:pPr>
              <w:jc w:val="both"/>
            </w:pPr>
            <w:r>
              <w:t>Equities</w:t>
            </w:r>
          </w:p>
        </w:tc>
        <w:tc>
          <w:tcPr>
            <w:tcW w:w="709" w:type="dxa"/>
            <w:tcBorders>
              <w:right w:val="single" w:sz="18" w:space="0" w:color="FFFFFF" w:themeColor="background1"/>
            </w:tcBorders>
          </w:tcPr>
          <w:p w:rsidR="00A86593" w:rsidRPr="00AA58CA" w:rsidRDefault="00A86593" w:rsidP="001C741C">
            <w:pPr>
              <w:jc w:val="right"/>
            </w:pPr>
          </w:p>
        </w:tc>
        <w:tc>
          <w:tcPr>
            <w:tcW w:w="1276" w:type="dxa"/>
            <w:tcBorders>
              <w:left w:val="single" w:sz="18" w:space="0" w:color="FFFFFF" w:themeColor="background1"/>
            </w:tcBorders>
          </w:tcPr>
          <w:p w:rsidR="00A86593" w:rsidRPr="00AA58CA" w:rsidRDefault="00A86593" w:rsidP="001C741C">
            <w:pPr>
              <w:jc w:val="right"/>
            </w:pPr>
            <w:r>
              <w:t>1,735.1</w:t>
            </w:r>
          </w:p>
        </w:tc>
        <w:tc>
          <w:tcPr>
            <w:tcW w:w="709" w:type="dxa"/>
            <w:tcBorders>
              <w:right w:val="single" w:sz="18" w:space="0" w:color="FFFFFF" w:themeColor="background1"/>
            </w:tcBorders>
          </w:tcPr>
          <w:p w:rsidR="00A86593" w:rsidRPr="00AA58CA" w:rsidRDefault="00A86593" w:rsidP="001C741C">
            <w:pPr>
              <w:jc w:val="right"/>
            </w:pPr>
          </w:p>
        </w:tc>
        <w:tc>
          <w:tcPr>
            <w:tcW w:w="1275" w:type="dxa"/>
            <w:tcBorders>
              <w:left w:val="single" w:sz="18" w:space="0" w:color="FFFFFF" w:themeColor="background1"/>
            </w:tcBorders>
          </w:tcPr>
          <w:p w:rsidR="00A86593" w:rsidRPr="00AA58CA" w:rsidRDefault="00A86593" w:rsidP="001C741C">
            <w:pPr>
              <w:jc w:val="right"/>
            </w:pPr>
            <w:r>
              <w:t>-</w:t>
            </w:r>
          </w:p>
        </w:tc>
        <w:tc>
          <w:tcPr>
            <w:tcW w:w="709" w:type="dxa"/>
            <w:tcBorders>
              <w:top w:val="single" w:sz="18" w:space="0" w:color="FFFFFF" w:themeColor="background1"/>
              <w:right w:val="single" w:sz="18" w:space="0" w:color="FFFFFF" w:themeColor="background1"/>
            </w:tcBorders>
          </w:tcPr>
          <w:p w:rsidR="00A86593" w:rsidRPr="00AA58CA" w:rsidRDefault="00A86593" w:rsidP="001C741C">
            <w:pPr>
              <w:jc w:val="right"/>
            </w:pPr>
          </w:p>
        </w:tc>
        <w:tc>
          <w:tcPr>
            <w:tcW w:w="1127" w:type="dxa"/>
            <w:tcBorders>
              <w:left w:val="single" w:sz="18" w:space="0" w:color="FFFFFF" w:themeColor="background1"/>
            </w:tcBorders>
          </w:tcPr>
          <w:p w:rsidR="00A86593" w:rsidRPr="00AA58CA" w:rsidRDefault="00A86593" w:rsidP="001C741C">
            <w:pPr>
              <w:jc w:val="right"/>
            </w:pPr>
            <w:r>
              <w:t>-</w:t>
            </w:r>
          </w:p>
        </w:tc>
      </w:tr>
      <w:tr w:rsidR="00A86593" w:rsidRPr="00AA58CA" w:rsidTr="001C741C">
        <w:tc>
          <w:tcPr>
            <w:tcW w:w="4394" w:type="dxa"/>
          </w:tcPr>
          <w:p w:rsidR="00A86593" w:rsidRDefault="00A86593" w:rsidP="001C741C">
            <w:pPr>
              <w:jc w:val="both"/>
            </w:pPr>
            <w:r>
              <w:t>Index linked securities</w:t>
            </w:r>
          </w:p>
        </w:tc>
        <w:tc>
          <w:tcPr>
            <w:tcW w:w="709" w:type="dxa"/>
            <w:tcBorders>
              <w:right w:val="single" w:sz="18" w:space="0" w:color="FFFFFF" w:themeColor="background1"/>
            </w:tcBorders>
          </w:tcPr>
          <w:p w:rsidR="00A86593" w:rsidRPr="00AA58CA" w:rsidRDefault="00A86593" w:rsidP="001C741C">
            <w:pPr>
              <w:jc w:val="right"/>
            </w:pPr>
          </w:p>
        </w:tc>
        <w:tc>
          <w:tcPr>
            <w:tcW w:w="1276" w:type="dxa"/>
            <w:tcBorders>
              <w:left w:val="single" w:sz="18" w:space="0" w:color="FFFFFF" w:themeColor="background1"/>
            </w:tcBorders>
          </w:tcPr>
          <w:p w:rsidR="00A86593" w:rsidRPr="00AA58CA" w:rsidRDefault="00A86593" w:rsidP="001C741C">
            <w:pPr>
              <w:jc w:val="right"/>
            </w:pPr>
            <w:r>
              <w:t>141.0</w:t>
            </w:r>
          </w:p>
        </w:tc>
        <w:tc>
          <w:tcPr>
            <w:tcW w:w="709" w:type="dxa"/>
            <w:tcBorders>
              <w:right w:val="single" w:sz="18" w:space="0" w:color="FFFFFF" w:themeColor="background1"/>
            </w:tcBorders>
          </w:tcPr>
          <w:p w:rsidR="00A86593" w:rsidRPr="00AA58CA" w:rsidRDefault="00A86593" w:rsidP="001C741C">
            <w:pPr>
              <w:jc w:val="right"/>
            </w:pPr>
          </w:p>
        </w:tc>
        <w:tc>
          <w:tcPr>
            <w:tcW w:w="1275" w:type="dxa"/>
            <w:tcBorders>
              <w:left w:val="single" w:sz="18" w:space="0" w:color="FFFFFF" w:themeColor="background1"/>
            </w:tcBorders>
          </w:tcPr>
          <w:p w:rsidR="00A86593" w:rsidRPr="00AA58CA" w:rsidRDefault="00A86593" w:rsidP="001C741C">
            <w:pPr>
              <w:jc w:val="right"/>
            </w:pPr>
            <w:r>
              <w:t>-</w:t>
            </w:r>
          </w:p>
        </w:tc>
        <w:tc>
          <w:tcPr>
            <w:tcW w:w="709" w:type="dxa"/>
            <w:tcBorders>
              <w:right w:val="single" w:sz="18" w:space="0" w:color="FFFFFF" w:themeColor="background1"/>
            </w:tcBorders>
          </w:tcPr>
          <w:p w:rsidR="00A86593" w:rsidRPr="00AA58CA" w:rsidRDefault="00A86593" w:rsidP="001C741C">
            <w:pPr>
              <w:jc w:val="right"/>
            </w:pPr>
          </w:p>
        </w:tc>
        <w:tc>
          <w:tcPr>
            <w:tcW w:w="1127" w:type="dxa"/>
            <w:tcBorders>
              <w:left w:val="single" w:sz="18" w:space="0" w:color="FFFFFF" w:themeColor="background1"/>
            </w:tcBorders>
          </w:tcPr>
          <w:p w:rsidR="00A86593" w:rsidRPr="00AA58CA" w:rsidRDefault="00A86593" w:rsidP="001C741C">
            <w:pPr>
              <w:jc w:val="right"/>
            </w:pPr>
            <w:r>
              <w:t>-</w:t>
            </w:r>
          </w:p>
        </w:tc>
      </w:tr>
      <w:tr w:rsidR="00A86593" w:rsidRPr="00AA58CA" w:rsidTr="001C741C">
        <w:tc>
          <w:tcPr>
            <w:tcW w:w="4394" w:type="dxa"/>
          </w:tcPr>
          <w:p w:rsidR="00A86593" w:rsidRDefault="00A86593" w:rsidP="001C741C">
            <w:pPr>
              <w:jc w:val="both"/>
            </w:pPr>
            <w:r>
              <w:t>Pooled investment vehicles</w:t>
            </w:r>
          </w:p>
        </w:tc>
        <w:tc>
          <w:tcPr>
            <w:tcW w:w="709" w:type="dxa"/>
            <w:tcBorders>
              <w:right w:val="single" w:sz="18" w:space="0" w:color="FFFFFF" w:themeColor="background1"/>
            </w:tcBorders>
          </w:tcPr>
          <w:p w:rsidR="00A86593" w:rsidRPr="00AA58CA" w:rsidRDefault="00A86593" w:rsidP="001C741C">
            <w:pPr>
              <w:jc w:val="right"/>
            </w:pPr>
          </w:p>
        </w:tc>
        <w:tc>
          <w:tcPr>
            <w:tcW w:w="1276" w:type="dxa"/>
            <w:tcBorders>
              <w:left w:val="single" w:sz="18" w:space="0" w:color="FFFFFF" w:themeColor="background1"/>
            </w:tcBorders>
          </w:tcPr>
          <w:p w:rsidR="00A86593" w:rsidRPr="00AA58CA" w:rsidRDefault="00A86593" w:rsidP="001C741C">
            <w:pPr>
              <w:jc w:val="right"/>
            </w:pPr>
            <w:r>
              <w:t>1,395.5</w:t>
            </w:r>
          </w:p>
        </w:tc>
        <w:tc>
          <w:tcPr>
            <w:tcW w:w="709" w:type="dxa"/>
            <w:tcBorders>
              <w:right w:val="single" w:sz="18" w:space="0" w:color="FFFFFF" w:themeColor="background1"/>
            </w:tcBorders>
          </w:tcPr>
          <w:p w:rsidR="00A86593" w:rsidRPr="00AA58CA" w:rsidRDefault="00A86593" w:rsidP="001C741C">
            <w:pPr>
              <w:jc w:val="right"/>
            </w:pPr>
          </w:p>
        </w:tc>
        <w:tc>
          <w:tcPr>
            <w:tcW w:w="1275" w:type="dxa"/>
            <w:tcBorders>
              <w:left w:val="single" w:sz="18" w:space="0" w:color="FFFFFF" w:themeColor="background1"/>
            </w:tcBorders>
          </w:tcPr>
          <w:p w:rsidR="00A86593" w:rsidRPr="00AA58CA" w:rsidRDefault="00A86593" w:rsidP="001C741C">
            <w:pPr>
              <w:jc w:val="right"/>
            </w:pPr>
            <w:r>
              <w:t>-</w:t>
            </w:r>
          </w:p>
        </w:tc>
        <w:tc>
          <w:tcPr>
            <w:tcW w:w="709" w:type="dxa"/>
            <w:tcBorders>
              <w:right w:val="single" w:sz="18" w:space="0" w:color="FFFFFF" w:themeColor="background1"/>
            </w:tcBorders>
          </w:tcPr>
          <w:p w:rsidR="00A86593" w:rsidRPr="00AA58CA" w:rsidRDefault="00A86593" w:rsidP="001C741C">
            <w:pPr>
              <w:jc w:val="right"/>
            </w:pPr>
          </w:p>
        </w:tc>
        <w:tc>
          <w:tcPr>
            <w:tcW w:w="1127" w:type="dxa"/>
            <w:tcBorders>
              <w:left w:val="single" w:sz="18" w:space="0" w:color="FFFFFF" w:themeColor="background1"/>
            </w:tcBorders>
          </w:tcPr>
          <w:p w:rsidR="00A86593" w:rsidRPr="00AA58CA" w:rsidRDefault="00A86593" w:rsidP="001C741C">
            <w:pPr>
              <w:jc w:val="right"/>
            </w:pPr>
            <w:r>
              <w:t>-</w:t>
            </w:r>
          </w:p>
        </w:tc>
      </w:tr>
      <w:tr w:rsidR="00A86593" w:rsidRPr="00AA58CA" w:rsidTr="001C741C">
        <w:tc>
          <w:tcPr>
            <w:tcW w:w="4394" w:type="dxa"/>
          </w:tcPr>
          <w:p w:rsidR="00A86593" w:rsidRDefault="00A86593" w:rsidP="001C741C">
            <w:pPr>
              <w:jc w:val="both"/>
            </w:pPr>
            <w:r>
              <w:t>Derivative contracts</w:t>
            </w:r>
          </w:p>
        </w:tc>
        <w:tc>
          <w:tcPr>
            <w:tcW w:w="709" w:type="dxa"/>
            <w:tcBorders>
              <w:right w:val="single" w:sz="18" w:space="0" w:color="FFFFFF" w:themeColor="background1"/>
            </w:tcBorders>
          </w:tcPr>
          <w:p w:rsidR="00A86593" w:rsidRPr="00AA58CA" w:rsidRDefault="00A86593" w:rsidP="001C741C">
            <w:pPr>
              <w:jc w:val="right"/>
            </w:pPr>
          </w:p>
        </w:tc>
        <w:tc>
          <w:tcPr>
            <w:tcW w:w="1276" w:type="dxa"/>
            <w:tcBorders>
              <w:left w:val="single" w:sz="18" w:space="0" w:color="FFFFFF" w:themeColor="background1"/>
            </w:tcBorders>
          </w:tcPr>
          <w:p w:rsidR="00A86593" w:rsidRPr="00AA58CA" w:rsidRDefault="00A86593" w:rsidP="001C741C">
            <w:pPr>
              <w:jc w:val="right"/>
            </w:pPr>
            <w:r>
              <w:t>2.7</w:t>
            </w:r>
          </w:p>
        </w:tc>
        <w:tc>
          <w:tcPr>
            <w:tcW w:w="709" w:type="dxa"/>
            <w:tcBorders>
              <w:right w:val="single" w:sz="18" w:space="0" w:color="FFFFFF" w:themeColor="background1"/>
            </w:tcBorders>
          </w:tcPr>
          <w:p w:rsidR="00A86593" w:rsidRPr="00AA58CA" w:rsidRDefault="00A86593" w:rsidP="001C741C">
            <w:pPr>
              <w:jc w:val="right"/>
            </w:pPr>
          </w:p>
        </w:tc>
        <w:tc>
          <w:tcPr>
            <w:tcW w:w="1275" w:type="dxa"/>
            <w:tcBorders>
              <w:left w:val="single" w:sz="18" w:space="0" w:color="FFFFFF" w:themeColor="background1"/>
            </w:tcBorders>
          </w:tcPr>
          <w:p w:rsidR="00A86593" w:rsidRPr="00AA58CA" w:rsidRDefault="00A86593" w:rsidP="001C741C">
            <w:pPr>
              <w:jc w:val="right"/>
            </w:pPr>
            <w:r>
              <w:t>-</w:t>
            </w:r>
          </w:p>
        </w:tc>
        <w:tc>
          <w:tcPr>
            <w:tcW w:w="709" w:type="dxa"/>
            <w:tcBorders>
              <w:right w:val="single" w:sz="18" w:space="0" w:color="FFFFFF" w:themeColor="background1"/>
            </w:tcBorders>
          </w:tcPr>
          <w:p w:rsidR="00A86593" w:rsidRPr="00AA58CA" w:rsidRDefault="00A86593" w:rsidP="001C741C">
            <w:pPr>
              <w:jc w:val="right"/>
            </w:pPr>
          </w:p>
        </w:tc>
        <w:tc>
          <w:tcPr>
            <w:tcW w:w="1127" w:type="dxa"/>
            <w:tcBorders>
              <w:left w:val="single" w:sz="18" w:space="0" w:color="FFFFFF" w:themeColor="background1"/>
            </w:tcBorders>
          </w:tcPr>
          <w:p w:rsidR="00A86593" w:rsidRPr="00AA58CA" w:rsidRDefault="00A86593" w:rsidP="001C741C">
            <w:pPr>
              <w:jc w:val="right"/>
            </w:pPr>
            <w:r>
              <w:t>-</w:t>
            </w:r>
          </w:p>
        </w:tc>
      </w:tr>
      <w:tr w:rsidR="00A86593" w:rsidRPr="00AA58CA" w:rsidTr="001C741C">
        <w:tc>
          <w:tcPr>
            <w:tcW w:w="4394" w:type="dxa"/>
          </w:tcPr>
          <w:p w:rsidR="00A86593" w:rsidRDefault="00A86593" w:rsidP="001C741C">
            <w:pPr>
              <w:jc w:val="both"/>
            </w:pPr>
            <w:r>
              <w:t>Cash deposits</w:t>
            </w:r>
          </w:p>
        </w:tc>
        <w:tc>
          <w:tcPr>
            <w:tcW w:w="709" w:type="dxa"/>
            <w:tcBorders>
              <w:right w:val="single" w:sz="18" w:space="0" w:color="FFFFFF" w:themeColor="background1"/>
            </w:tcBorders>
          </w:tcPr>
          <w:p w:rsidR="00A86593" w:rsidRPr="00AA58CA" w:rsidRDefault="00A86593" w:rsidP="001C741C">
            <w:pPr>
              <w:jc w:val="right"/>
            </w:pPr>
          </w:p>
        </w:tc>
        <w:tc>
          <w:tcPr>
            <w:tcW w:w="1276" w:type="dxa"/>
            <w:tcBorders>
              <w:left w:val="single" w:sz="18" w:space="0" w:color="FFFFFF" w:themeColor="background1"/>
            </w:tcBorders>
          </w:tcPr>
          <w:p w:rsidR="00A86593" w:rsidRPr="00AA58CA" w:rsidRDefault="00A86593" w:rsidP="001C741C">
            <w:pPr>
              <w:jc w:val="right"/>
            </w:pPr>
            <w:r>
              <w:t>-</w:t>
            </w:r>
          </w:p>
        </w:tc>
        <w:tc>
          <w:tcPr>
            <w:tcW w:w="709" w:type="dxa"/>
            <w:tcBorders>
              <w:right w:val="single" w:sz="18" w:space="0" w:color="FFFFFF" w:themeColor="background1"/>
            </w:tcBorders>
          </w:tcPr>
          <w:p w:rsidR="00A86593" w:rsidRPr="00AA58CA" w:rsidRDefault="00A86593" w:rsidP="001C741C">
            <w:pPr>
              <w:jc w:val="right"/>
            </w:pPr>
          </w:p>
        </w:tc>
        <w:tc>
          <w:tcPr>
            <w:tcW w:w="1275" w:type="dxa"/>
            <w:tcBorders>
              <w:left w:val="single" w:sz="18" w:space="0" w:color="FFFFFF" w:themeColor="background1"/>
            </w:tcBorders>
          </w:tcPr>
          <w:p w:rsidR="00A86593" w:rsidRPr="00AA58CA" w:rsidRDefault="00A86593" w:rsidP="001C741C">
            <w:pPr>
              <w:jc w:val="right"/>
            </w:pPr>
            <w:r>
              <w:t>36.6</w:t>
            </w:r>
          </w:p>
        </w:tc>
        <w:tc>
          <w:tcPr>
            <w:tcW w:w="709" w:type="dxa"/>
            <w:tcBorders>
              <w:right w:val="single" w:sz="18" w:space="0" w:color="FFFFFF" w:themeColor="background1"/>
            </w:tcBorders>
          </w:tcPr>
          <w:p w:rsidR="00A86593" w:rsidRPr="00AA58CA" w:rsidRDefault="00A86593" w:rsidP="001C741C">
            <w:pPr>
              <w:jc w:val="right"/>
            </w:pPr>
          </w:p>
        </w:tc>
        <w:tc>
          <w:tcPr>
            <w:tcW w:w="1127" w:type="dxa"/>
            <w:tcBorders>
              <w:left w:val="single" w:sz="18" w:space="0" w:color="FFFFFF" w:themeColor="background1"/>
            </w:tcBorders>
          </w:tcPr>
          <w:p w:rsidR="00A86593" w:rsidRPr="00AA58CA" w:rsidRDefault="00A86593" w:rsidP="001C741C">
            <w:pPr>
              <w:jc w:val="right"/>
            </w:pPr>
            <w:r>
              <w:t>-</w:t>
            </w:r>
          </w:p>
        </w:tc>
      </w:tr>
      <w:tr w:rsidR="00A86593" w:rsidRPr="00AA58CA" w:rsidTr="001C741C">
        <w:tc>
          <w:tcPr>
            <w:tcW w:w="4394" w:type="dxa"/>
          </w:tcPr>
          <w:p w:rsidR="00A86593" w:rsidRDefault="00A86593" w:rsidP="001C741C">
            <w:pPr>
              <w:jc w:val="both"/>
            </w:pPr>
            <w:r>
              <w:t>Other investment balances</w:t>
            </w:r>
          </w:p>
        </w:tc>
        <w:tc>
          <w:tcPr>
            <w:tcW w:w="709" w:type="dxa"/>
            <w:tcBorders>
              <w:right w:val="single" w:sz="18" w:space="0" w:color="FFFFFF" w:themeColor="background1"/>
            </w:tcBorders>
          </w:tcPr>
          <w:p w:rsidR="00A86593" w:rsidRPr="00AA58CA" w:rsidRDefault="00A86593" w:rsidP="001C741C">
            <w:pPr>
              <w:jc w:val="right"/>
            </w:pPr>
          </w:p>
        </w:tc>
        <w:tc>
          <w:tcPr>
            <w:tcW w:w="1276" w:type="dxa"/>
            <w:tcBorders>
              <w:left w:val="single" w:sz="18" w:space="0" w:color="FFFFFF" w:themeColor="background1"/>
            </w:tcBorders>
          </w:tcPr>
          <w:p w:rsidR="00A86593" w:rsidRPr="00AA58CA" w:rsidRDefault="00A86593" w:rsidP="001C741C">
            <w:pPr>
              <w:jc w:val="right"/>
            </w:pPr>
            <w:r>
              <w:t>14.6</w:t>
            </w:r>
          </w:p>
        </w:tc>
        <w:tc>
          <w:tcPr>
            <w:tcW w:w="709" w:type="dxa"/>
            <w:tcBorders>
              <w:right w:val="single" w:sz="18" w:space="0" w:color="FFFFFF" w:themeColor="background1"/>
            </w:tcBorders>
          </w:tcPr>
          <w:p w:rsidR="00A86593" w:rsidRPr="00AA58CA" w:rsidRDefault="00A86593" w:rsidP="001C741C">
            <w:pPr>
              <w:jc w:val="right"/>
            </w:pPr>
          </w:p>
        </w:tc>
        <w:tc>
          <w:tcPr>
            <w:tcW w:w="1275" w:type="dxa"/>
            <w:tcBorders>
              <w:left w:val="single" w:sz="18" w:space="0" w:color="FFFFFF" w:themeColor="background1"/>
            </w:tcBorders>
          </w:tcPr>
          <w:p w:rsidR="00A86593" w:rsidRPr="00AA58CA" w:rsidRDefault="00A86593" w:rsidP="001C741C">
            <w:pPr>
              <w:jc w:val="right"/>
            </w:pPr>
            <w:r>
              <w:t>-</w:t>
            </w:r>
          </w:p>
        </w:tc>
        <w:tc>
          <w:tcPr>
            <w:tcW w:w="709" w:type="dxa"/>
            <w:tcBorders>
              <w:right w:val="single" w:sz="18" w:space="0" w:color="FFFFFF" w:themeColor="background1"/>
            </w:tcBorders>
          </w:tcPr>
          <w:p w:rsidR="00A86593" w:rsidRPr="00AA58CA" w:rsidRDefault="00A86593" w:rsidP="001C741C">
            <w:pPr>
              <w:jc w:val="right"/>
            </w:pPr>
          </w:p>
        </w:tc>
        <w:tc>
          <w:tcPr>
            <w:tcW w:w="1127" w:type="dxa"/>
            <w:tcBorders>
              <w:left w:val="single" w:sz="18" w:space="0" w:color="FFFFFF" w:themeColor="background1"/>
            </w:tcBorders>
          </w:tcPr>
          <w:p w:rsidR="00A86593" w:rsidRPr="00AA58CA" w:rsidRDefault="00A86593" w:rsidP="001C741C">
            <w:pPr>
              <w:jc w:val="right"/>
            </w:pPr>
            <w:r>
              <w:t>-</w:t>
            </w:r>
          </w:p>
        </w:tc>
      </w:tr>
      <w:tr w:rsidR="00A86593" w:rsidRPr="00AA58CA" w:rsidTr="001C741C">
        <w:tc>
          <w:tcPr>
            <w:tcW w:w="4394" w:type="dxa"/>
          </w:tcPr>
          <w:p w:rsidR="00A86593" w:rsidRDefault="00A86593" w:rsidP="001C741C">
            <w:pPr>
              <w:jc w:val="both"/>
            </w:pPr>
            <w:r>
              <w:t>Debtors</w:t>
            </w:r>
          </w:p>
        </w:tc>
        <w:tc>
          <w:tcPr>
            <w:tcW w:w="709" w:type="dxa"/>
            <w:tcBorders>
              <w:right w:val="single" w:sz="18" w:space="0" w:color="FFFFFF" w:themeColor="background1"/>
            </w:tcBorders>
          </w:tcPr>
          <w:p w:rsidR="00A86593" w:rsidRPr="00AA58CA" w:rsidRDefault="00A86593" w:rsidP="001C741C">
            <w:pPr>
              <w:jc w:val="right"/>
            </w:pPr>
          </w:p>
        </w:tc>
        <w:tc>
          <w:tcPr>
            <w:tcW w:w="1276" w:type="dxa"/>
            <w:tcBorders>
              <w:left w:val="single" w:sz="18" w:space="0" w:color="FFFFFF" w:themeColor="background1"/>
            </w:tcBorders>
          </w:tcPr>
          <w:p w:rsidR="00A86593" w:rsidRPr="00AA58CA" w:rsidRDefault="00A86593" w:rsidP="001C741C">
            <w:pPr>
              <w:jc w:val="right"/>
            </w:pPr>
            <w:r>
              <w:t>-</w:t>
            </w:r>
          </w:p>
        </w:tc>
        <w:tc>
          <w:tcPr>
            <w:tcW w:w="709" w:type="dxa"/>
            <w:tcBorders>
              <w:right w:val="single" w:sz="18" w:space="0" w:color="FFFFFF" w:themeColor="background1"/>
            </w:tcBorders>
          </w:tcPr>
          <w:p w:rsidR="00A86593" w:rsidRPr="00AA58CA" w:rsidRDefault="00A86593" w:rsidP="001C741C">
            <w:pPr>
              <w:jc w:val="right"/>
            </w:pPr>
          </w:p>
        </w:tc>
        <w:tc>
          <w:tcPr>
            <w:tcW w:w="1275" w:type="dxa"/>
            <w:tcBorders>
              <w:left w:val="single" w:sz="18" w:space="0" w:color="FFFFFF" w:themeColor="background1"/>
            </w:tcBorders>
          </w:tcPr>
          <w:p w:rsidR="00A86593" w:rsidRPr="00AA58CA" w:rsidRDefault="00A86593" w:rsidP="001C741C">
            <w:pPr>
              <w:jc w:val="right"/>
            </w:pPr>
            <w:r>
              <w:t>21.6</w:t>
            </w:r>
          </w:p>
        </w:tc>
        <w:tc>
          <w:tcPr>
            <w:tcW w:w="709" w:type="dxa"/>
            <w:tcBorders>
              <w:right w:val="single" w:sz="18" w:space="0" w:color="FFFFFF" w:themeColor="background1"/>
            </w:tcBorders>
          </w:tcPr>
          <w:p w:rsidR="00A86593" w:rsidRPr="00AA58CA" w:rsidRDefault="00A86593" w:rsidP="001C741C">
            <w:pPr>
              <w:jc w:val="right"/>
            </w:pPr>
          </w:p>
        </w:tc>
        <w:tc>
          <w:tcPr>
            <w:tcW w:w="1127" w:type="dxa"/>
            <w:tcBorders>
              <w:left w:val="single" w:sz="18" w:space="0" w:color="FFFFFF" w:themeColor="background1"/>
            </w:tcBorders>
          </w:tcPr>
          <w:p w:rsidR="00A86593" w:rsidRPr="00AA58CA" w:rsidRDefault="00A86593" w:rsidP="001C741C">
            <w:pPr>
              <w:jc w:val="right"/>
            </w:pPr>
            <w:r>
              <w:t>-</w:t>
            </w:r>
          </w:p>
        </w:tc>
      </w:tr>
      <w:tr w:rsidR="00A86593" w:rsidRPr="00AA58CA" w:rsidTr="001C741C">
        <w:tc>
          <w:tcPr>
            <w:tcW w:w="4394" w:type="dxa"/>
          </w:tcPr>
          <w:p w:rsidR="00A86593" w:rsidRPr="00EB2694" w:rsidRDefault="00A86593" w:rsidP="001C741C">
            <w:pPr>
              <w:jc w:val="both"/>
              <w:rPr>
                <w:b/>
              </w:rPr>
            </w:pPr>
            <w:r w:rsidRPr="00EB2694">
              <w:rPr>
                <w:b/>
              </w:rPr>
              <w:t>Total Financial Assets</w:t>
            </w:r>
          </w:p>
          <w:p w:rsidR="00A86593" w:rsidRDefault="00A86593" w:rsidP="001C741C">
            <w:pPr>
              <w:jc w:val="both"/>
            </w:pPr>
          </w:p>
        </w:tc>
        <w:tc>
          <w:tcPr>
            <w:tcW w:w="709" w:type="dxa"/>
            <w:tcBorders>
              <w:right w:val="single" w:sz="18" w:space="0" w:color="FFFFFF" w:themeColor="background1"/>
            </w:tcBorders>
          </w:tcPr>
          <w:p w:rsidR="00A86593" w:rsidRPr="00AA58CA" w:rsidRDefault="00A86593" w:rsidP="001C741C">
            <w:pPr>
              <w:jc w:val="right"/>
            </w:pPr>
          </w:p>
        </w:tc>
        <w:tc>
          <w:tcPr>
            <w:tcW w:w="1276" w:type="dxa"/>
            <w:tcBorders>
              <w:left w:val="single" w:sz="18" w:space="0" w:color="FFFFFF" w:themeColor="background1"/>
            </w:tcBorders>
          </w:tcPr>
          <w:p w:rsidR="00A86593" w:rsidRPr="006018C2" w:rsidRDefault="00A86593" w:rsidP="001C741C">
            <w:pPr>
              <w:jc w:val="right"/>
              <w:rPr>
                <w:b/>
              </w:rPr>
            </w:pPr>
            <w:r w:rsidRPr="006018C2">
              <w:rPr>
                <w:b/>
              </w:rPr>
              <w:t>3,84</w:t>
            </w:r>
            <w:r>
              <w:rPr>
                <w:b/>
              </w:rPr>
              <w:t>8</w:t>
            </w:r>
            <w:r w:rsidRPr="006018C2">
              <w:rPr>
                <w:b/>
              </w:rPr>
              <w:t>.</w:t>
            </w:r>
            <w:r>
              <w:rPr>
                <w:b/>
              </w:rPr>
              <w:t>0</w:t>
            </w:r>
          </w:p>
        </w:tc>
        <w:tc>
          <w:tcPr>
            <w:tcW w:w="709" w:type="dxa"/>
            <w:tcBorders>
              <w:right w:val="single" w:sz="18" w:space="0" w:color="FFFFFF" w:themeColor="background1"/>
            </w:tcBorders>
          </w:tcPr>
          <w:p w:rsidR="00A86593" w:rsidRPr="006018C2" w:rsidRDefault="00A86593" w:rsidP="001C741C">
            <w:pPr>
              <w:jc w:val="right"/>
              <w:rPr>
                <w:b/>
              </w:rPr>
            </w:pPr>
          </w:p>
        </w:tc>
        <w:tc>
          <w:tcPr>
            <w:tcW w:w="1275" w:type="dxa"/>
            <w:tcBorders>
              <w:left w:val="single" w:sz="18" w:space="0" w:color="FFFFFF" w:themeColor="background1"/>
            </w:tcBorders>
          </w:tcPr>
          <w:p w:rsidR="00A86593" w:rsidRPr="006018C2" w:rsidRDefault="00A86593" w:rsidP="001C741C">
            <w:pPr>
              <w:jc w:val="right"/>
              <w:rPr>
                <w:b/>
              </w:rPr>
            </w:pPr>
            <w:r>
              <w:rPr>
                <w:b/>
              </w:rPr>
              <w:t>58.2</w:t>
            </w:r>
          </w:p>
        </w:tc>
        <w:tc>
          <w:tcPr>
            <w:tcW w:w="709" w:type="dxa"/>
            <w:tcBorders>
              <w:right w:val="single" w:sz="18" w:space="0" w:color="FFFFFF" w:themeColor="background1"/>
            </w:tcBorders>
          </w:tcPr>
          <w:p w:rsidR="00A86593" w:rsidRPr="006018C2" w:rsidRDefault="00A86593" w:rsidP="001C741C">
            <w:pPr>
              <w:jc w:val="right"/>
              <w:rPr>
                <w:b/>
              </w:rPr>
            </w:pPr>
          </w:p>
        </w:tc>
        <w:tc>
          <w:tcPr>
            <w:tcW w:w="1127" w:type="dxa"/>
            <w:tcBorders>
              <w:left w:val="single" w:sz="18" w:space="0" w:color="FFFFFF" w:themeColor="background1"/>
            </w:tcBorders>
          </w:tcPr>
          <w:p w:rsidR="00A86593" w:rsidRPr="006018C2" w:rsidRDefault="00A86593" w:rsidP="001C741C">
            <w:pPr>
              <w:jc w:val="right"/>
              <w:rPr>
                <w:b/>
              </w:rPr>
            </w:pPr>
            <w:r>
              <w:rPr>
                <w:b/>
              </w:rPr>
              <w:t>-</w:t>
            </w:r>
          </w:p>
        </w:tc>
      </w:tr>
      <w:tr w:rsidR="00A86593" w:rsidRPr="00AA58CA" w:rsidTr="001C741C">
        <w:tc>
          <w:tcPr>
            <w:tcW w:w="4394" w:type="dxa"/>
          </w:tcPr>
          <w:p w:rsidR="00A86593" w:rsidRPr="00EB2694" w:rsidRDefault="00A86593" w:rsidP="001C741C">
            <w:pPr>
              <w:jc w:val="both"/>
            </w:pPr>
            <w:r>
              <w:rPr>
                <w:b/>
              </w:rPr>
              <w:t>Financial liabilities</w:t>
            </w:r>
          </w:p>
        </w:tc>
        <w:tc>
          <w:tcPr>
            <w:tcW w:w="709" w:type="dxa"/>
            <w:tcBorders>
              <w:right w:val="single" w:sz="18" w:space="0" w:color="FFFFFF" w:themeColor="background1"/>
            </w:tcBorders>
          </w:tcPr>
          <w:p w:rsidR="00A86593" w:rsidRPr="00AA58CA" w:rsidRDefault="00A86593" w:rsidP="001C741C">
            <w:pPr>
              <w:jc w:val="right"/>
            </w:pPr>
          </w:p>
        </w:tc>
        <w:tc>
          <w:tcPr>
            <w:tcW w:w="1276" w:type="dxa"/>
            <w:tcBorders>
              <w:left w:val="single" w:sz="18" w:space="0" w:color="FFFFFF" w:themeColor="background1"/>
            </w:tcBorders>
          </w:tcPr>
          <w:p w:rsidR="00A86593" w:rsidRPr="00AA58CA" w:rsidRDefault="00A86593" w:rsidP="001C741C">
            <w:pPr>
              <w:jc w:val="right"/>
            </w:pPr>
          </w:p>
        </w:tc>
        <w:tc>
          <w:tcPr>
            <w:tcW w:w="709" w:type="dxa"/>
            <w:tcBorders>
              <w:right w:val="single" w:sz="18" w:space="0" w:color="FFFFFF" w:themeColor="background1"/>
            </w:tcBorders>
          </w:tcPr>
          <w:p w:rsidR="00A86593" w:rsidRPr="00AA58CA" w:rsidRDefault="00A86593" w:rsidP="001C741C">
            <w:pPr>
              <w:jc w:val="right"/>
            </w:pPr>
          </w:p>
        </w:tc>
        <w:tc>
          <w:tcPr>
            <w:tcW w:w="1275" w:type="dxa"/>
            <w:tcBorders>
              <w:left w:val="single" w:sz="18" w:space="0" w:color="FFFFFF" w:themeColor="background1"/>
            </w:tcBorders>
          </w:tcPr>
          <w:p w:rsidR="00A86593" w:rsidRPr="00AA58CA" w:rsidRDefault="00A86593" w:rsidP="001C741C">
            <w:pPr>
              <w:jc w:val="right"/>
            </w:pPr>
          </w:p>
        </w:tc>
        <w:tc>
          <w:tcPr>
            <w:tcW w:w="709" w:type="dxa"/>
            <w:tcBorders>
              <w:right w:val="single" w:sz="18" w:space="0" w:color="FFFFFF" w:themeColor="background1"/>
            </w:tcBorders>
          </w:tcPr>
          <w:p w:rsidR="00A86593" w:rsidRPr="00AA58CA" w:rsidRDefault="00A86593" w:rsidP="001C741C">
            <w:pPr>
              <w:jc w:val="right"/>
            </w:pPr>
          </w:p>
        </w:tc>
        <w:tc>
          <w:tcPr>
            <w:tcW w:w="1127" w:type="dxa"/>
            <w:tcBorders>
              <w:left w:val="single" w:sz="18" w:space="0" w:color="FFFFFF" w:themeColor="background1"/>
            </w:tcBorders>
          </w:tcPr>
          <w:p w:rsidR="00A86593" w:rsidRPr="00AA58CA" w:rsidRDefault="00A86593" w:rsidP="001C741C">
            <w:pPr>
              <w:jc w:val="right"/>
            </w:pPr>
          </w:p>
        </w:tc>
      </w:tr>
      <w:tr w:rsidR="00A86593" w:rsidRPr="00AA58CA" w:rsidTr="001C741C">
        <w:tc>
          <w:tcPr>
            <w:tcW w:w="4394" w:type="dxa"/>
          </w:tcPr>
          <w:p w:rsidR="00A86593" w:rsidRDefault="00A86593" w:rsidP="001C741C">
            <w:pPr>
              <w:jc w:val="both"/>
              <w:rPr>
                <w:b/>
              </w:rPr>
            </w:pPr>
            <w:r>
              <w:t>Derivative contracts</w:t>
            </w:r>
          </w:p>
        </w:tc>
        <w:tc>
          <w:tcPr>
            <w:tcW w:w="709" w:type="dxa"/>
            <w:tcBorders>
              <w:right w:val="single" w:sz="18" w:space="0" w:color="FFFFFF" w:themeColor="background1"/>
            </w:tcBorders>
          </w:tcPr>
          <w:p w:rsidR="00A86593" w:rsidRPr="00AA58CA" w:rsidRDefault="00A86593" w:rsidP="001C741C">
            <w:pPr>
              <w:jc w:val="right"/>
            </w:pPr>
          </w:p>
        </w:tc>
        <w:tc>
          <w:tcPr>
            <w:tcW w:w="1276" w:type="dxa"/>
            <w:tcBorders>
              <w:left w:val="single" w:sz="18" w:space="0" w:color="FFFFFF" w:themeColor="background1"/>
            </w:tcBorders>
          </w:tcPr>
          <w:p w:rsidR="00A86593" w:rsidRPr="00AA58CA" w:rsidRDefault="00A86593" w:rsidP="001C741C">
            <w:pPr>
              <w:jc w:val="right"/>
            </w:pPr>
            <w:r>
              <w:t>0.9</w:t>
            </w:r>
          </w:p>
        </w:tc>
        <w:tc>
          <w:tcPr>
            <w:tcW w:w="709" w:type="dxa"/>
            <w:tcBorders>
              <w:right w:val="single" w:sz="18" w:space="0" w:color="FFFFFF" w:themeColor="background1"/>
            </w:tcBorders>
          </w:tcPr>
          <w:p w:rsidR="00A86593" w:rsidRPr="00AA58CA" w:rsidRDefault="00A86593" w:rsidP="001C741C">
            <w:pPr>
              <w:jc w:val="right"/>
            </w:pPr>
          </w:p>
        </w:tc>
        <w:tc>
          <w:tcPr>
            <w:tcW w:w="1275" w:type="dxa"/>
            <w:tcBorders>
              <w:left w:val="single" w:sz="18" w:space="0" w:color="FFFFFF" w:themeColor="background1"/>
            </w:tcBorders>
          </w:tcPr>
          <w:p w:rsidR="00A86593" w:rsidRPr="00AA58CA" w:rsidRDefault="00A86593" w:rsidP="001C741C">
            <w:pPr>
              <w:jc w:val="right"/>
            </w:pPr>
            <w:r>
              <w:t>-</w:t>
            </w:r>
          </w:p>
        </w:tc>
        <w:tc>
          <w:tcPr>
            <w:tcW w:w="709" w:type="dxa"/>
            <w:tcBorders>
              <w:right w:val="single" w:sz="18" w:space="0" w:color="FFFFFF" w:themeColor="background1"/>
            </w:tcBorders>
          </w:tcPr>
          <w:p w:rsidR="00A86593" w:rsidRPr="00AA58CA" w:rsidRDefault="00A86593" w:rsidP="001C741C">
            <w:pPr>
              <w:jc w:val="right"/>
            </w:pPr>
          </w:p>
        </w:tc>
        <w:tc>
          <w:tcPr>
            <w:tcW w:w="1127" w:type="dxa"/>
            <w:tcBorders>
              <w:left w:val="single" w:sz="18" w:space="0" w:color="FFFFFF" w:themeColor="background1"/>
            </w:tcBorders>
          </w:tcPr>
          <w:p w:rsidR="00A86593" w:rsidRPr="00AA58CA" w:rsidRDefault="00A86593" w:rsidP="001C741C">
            <w:pPr>
              <w:jc w:val="right"/>
            </w:pPr>
            <w:r>
              <w:t>-</w:t>
            </w:r>
          </w:p>
        </w:tc>
      </w:tr>
      <w:tr w:rsidR="00A86593" w:rsidRPr="00AA58CA" w:rsidTr="001C741C">
        <w:tc>
          <w:tcPr>
            <w:tcW w:w="4394" w:type="dxa"/>
          </w:tcPr>
          <w:p w:rsidR="00A86593" w:rsidRDefault="00A86593" w:rsidP="001C741C">
            <w:pPr>
              <w:jc w:val="both"/>
            </w:pPr>
            <w:r>
              <w:t>Creditors</w:t>
            </w:r>
          </w:p>
        </w:tc>
        <w:tc>
          <w:tcPr>
            <w:tcW w:w="709" w:type="dxa"/>
            <w:tcBorders>
              <w:right w:val="single" w:sz="18" w:space="0" w:color="FFFFFF" w:themeColor="background1"/>
            </w:tcBorders>
          </w:tcPr>
          <w:p w:rsidR="00A86593" w:rsidRPr="00AA58CA" w:rsidRDefault="00A86593" w:rsidP="001C741C">
            <w:pPr>
              <w:jc w:val="right"/>
            </w:pPr>
          </w:p>
        </w:tc>
        <w:tc>
          <w:tcPr>
            <w:tcW w:w="1276" w:type="dxa"/>
            <w:tcBorders>
              <w:left w:val="single" w:sz="18" w:space="0" w:color="FFFFFF" w:themeColor="background1"/>
            </w:tcBorders>
          </w:tcPr>
          <w:p w:rsidR="00A86593" w:rsidRPr="00AA58CA" w:rsidRDefault="00A86593" w:rsidP="001C741C">
            <w:pPr>
              <w:jc w:val="right"/>
            </w:pPr>
            <w:r>
              <w:t>-</w:t>
            </w:r>
          </w:p>
        </w:tc>
        <w:tc>
          <w:tcPr>
            <w:tcW w:w="709" w:type="dxa"/>
            <w:tcBorders>
              <w:right w:val="single" w:sz="18" w:space="0" w:color="FFFFFF" w:themeColor="background1"/>
            </w:tcBorders>
          </w:tcPr>
          <w:p w:rsidR="00A86593" w:rsidRPr="00AA58CA" w:rsidRDefault="00A86593" w:rsidP="001C741C">
            <w:pPr>
              <w:jc w:val="right"/>
            </w:pPr>
          </w:p>
        </w:tc>
        <w:tc>
          <w:tcPr>
            <w:tcW w:w="1275" w:type="dxa"/>
            <w:tcBorders>
              <w:left w:val="single" w:sz="18" w:space="0" w:color="FFFFFF" w:themeColor="background1"/>
            </w:tcBorders>
          </w:tcPr>
          <w:p w:rsidR="00A86593" w:rsidRPr="00AA58CA" w:rsidRDefault="00A86593" w:rsidP="001C741C">
            <w:pPr>
              <w:jc w:val="right"/>
            </w:pPr>
            <w:r>
              <w:t>-</w:t>
            </w:r>
          </w:p>
        </w:tc>
        <w:tc>
          <w:tcPr>
            <w:tcW w:w="709" w:type="dxa"/>
            <w:tcBorders>
              <w:right w:val="single" w:sz="18" w:space="0" w:color="FFFFFF" w:themeColor="background1"/>
            </w:tcBorders>
          </w:tcPr>
          <w:p w:rsidR="00A86593" w:rsidRPr="00AA58CA" w:rsidRDefault="00A86593" w:rsidP="001C741C">
            <w:pPr>
              <w:jc w:val="right"/>
            </w:pPr>
          </w:p>
        </w:tc>
        <w:tc>
          <w:tcPr>
            <w:tcW w:w="1127" w:type="dxa"/>
            <w:tcBorders>
              <w:left w:val="single" w:sz="18" w:space="0" w:color="FFFFFF" w:themeColor="background1"/>
            </w:tcBorders>
          </w:tcPr>
          <w:p w:rsidR="00A86593" w:rsidRPr="00AA58CA" w:rsidRDefault="00A86593" w:rsidP="001C741C">
            <w:pPr>
              <w:jc w:val="right"/>
            </w:pPr>
            <w:r>
              <w:t>9.2</w:t>
            </w:r>
          </w:p>
        </w:tc>
      </w:tr>
      <w:tr w:rsidR="00A86593" w:rsidRPr="006018C2" w:rsidTr="001C741C">
        <w:tc>
          <w:tcPr>
            <w:tcW w:w="4394" w:type="dxa"/>
          </w:tcPr>
          <w:p w:rsidR="00A86593" w:rsidRPr="006018C2" w:rsidRDefault="00A86593" w:rsidP="001C741C">
            <w:pPr>
              <w:jc w:val="both"/>
              <w:rPr>
                <w:b/>
              </w:rPr>
            </w:pPr>
            <w:r w:rsidRPr="006018C2">
              <w:rPr>
                <w:b/>
              </w:rPr>
              <w:t>Total Financial Liabilities</w:t>
            </w:r>
          </w:p>
        </w:tc>
        <w:tc>
          <w:tcPr>
            <w:tcW w:w="709" w:type="dxa"/>
            <w:tcBorders>
              <w:right w:val="single" w:sz="18" w:space="0" w:color="FFFFFF" w:themeColor="background1"/>
            </w:tcBorders>
          </w:tcPr>
          <w:p w:rsidR="00A86593" w:rsidRPr="006018C2" w:rsidRDefault="00A86593" w:rsidP="001C741C">
            <w:pPr>
              <w:jc w:val="right"/>
              <w:rPr>
                <w:b/>
              </w:rPr>
            </w:pPr>
          </w:p>
        </w:tc>
        <w:tc>
          <w:tcPr>
            <w:tcW w:w="1276" w:type="dxa"/>
            <w:tcBorders>
              <w:left w:val="single" w:sz="18" w:space="0" w:color="FFFFFF" w:themeColor="background1"/>
            </w:tcBorders>
          </w:tcPr>
          <w:p w:rsidR="00A86593" w:rsidRPr="006018C2" w:rsidRDefault="00A86593" w:rsidP="001C741C">
            <w:pPr>
              <w:jc w:val="right"/>
              <w:rPr>
                <w:b/>
              </w:rPr>
            </w:pPr>
            <w:r w:rsidRPr="006018C2">
              <w:rPr>
                <w:b/>
              </w:rPr>
              <w:t>0.</w:t>
            </w:r>
            <w:r>
              <w:rPr>
                <w:b/>
              </w:rPr>
              <w:t>9</w:t>
            </w:r>
          </w:p>
        </w:tc>
        <w:tc>
          <w:tcPr>
            <w:tcW w:w="709" w:type="dxa"/>
            <w:tcBorders>
              <w:right w:val="single" w:sz="18" w:space="0" w:color="FFFFFF" w:themeColor="background1"/>
            </w:tcBorders>
          </w:tcPr>
          <w:p w:rsidR="00A86593" w:rsidRPr="006018C2" w:rsidRDefault="00A86593" w:rsidP="001C741C">
            <w:pPr>
              <w:jc w:val="right"/>
              <w:rPr>
                <w:b/>
              </w:rPr>
            </w:pPr>
          </w:p>
        </w:tc>
        <w:tc>
          <w:tcPr>
            <w:tcW w:w="1275" w:type="dxa"/>
            <w:tcBorders>
              <w:left w:val="single" w:sz="18" w:space="0" w:color="FFFFFF" w:themeColor="background1"/>
            </w:tcBorders>
          </w:tcPr>
          <w:p w:rsidR="00A86593" w:rsidRPr="006018C2" w:rsidRDefault="00A86593" w:rsidP="001C741C">
            <w:pPr>
              <w:jc w:val="right"/>
              <w:rPr>
                <w:b/>
              </w:rPr>
            </w:pPr>
            <w:r>
              <w:rPr>
                <w:b/>
              </w:rPr>
              <w:t>-</w:t>
            </w:r>
          </w:p>
        </w:tc>
        <w:tc>
          <w:tcPr>
            <w:tcW w:w="709" w:type="dxa"/>
            <w:tcBorders>
              <w:right w:val="single" w:sz="18" w:space="0" w:color="FFFFFF" w:themeColor="background1"/>
            </w:tcBorders>
          </w:tcPr>
          <w:p w:rsidR="00A86593" w:rsidRPr="006018C2" w:rsidRDefault="00A86593" w:rsidP="001C741C">
            <w:pPr>
              <w:jc w:val="right"/>
              <w:rPr>
                <w:b/>
              </w:rPr>
            </w:pPr>
          </w:p>
        </w:tc>
        <w:tc>
          <w:tcPr>
            <w:tcW w:w="1127" w:type="dxa"/>
            <w:tcBorders>
              <w:left w:val="single" w:sz="18" w:space="0" w:color="FFFFFF" w:themeColor="background1"/>
            </w:tcBorders>
          </w:tcPr>
          <w:p w:rsidR="00A86593" w:rsidRPr="006018C2" w:rsidRDefault="00A86593" w:rsidP="001C741C">
            <w:pPr>
              <w:jc w:val="right"/>
              <w:rPr>
                <w:b/>
              </w:rPr>
            </w:pPr>
            <w:r w:rsidRPr="006018C2">
              <w:rPr>
                <w:b/>
              </w:rPr>
              <w:t>9.2</w:t>
            </w:r>
          </w:p>
        </w:tc>
      </w:tr>
    </w:tbl>
    <w:p w:rsidR="00A86593" w:rsidRPr="006018C2" w:rsidRDefault="00A86593" w:rsidP="00A86593">
      <w:pPr>
        <w:spacing w:after="120"/>
        <w:rPr>
          <w:b/>
        </w:rPr>
      </w:pPr>
    </w:p>
    <w:p w:rsidR="00A86593" w:rsidRDefault="00A86593" w:rsidP="00A86593">
      <w:pPr>
        <w:pStyle w:val="ListParagraph"/>
        <w:numPr>
          <w:ilvl w:val="0"/>
          <w:numId w:val="60"/>
        </w:numPr>
        <w:contextualSpacing/>
        <w:rPr>
          <w:b/>
          <w:bCs/>
          <w:color w:val="000000"/>
        </w:rPr>
      </w:pPr>
      <w:r w:rsidRPr="00407552">
        <w:rPr>
          <w:b/>
          <w:bCs/>
          <w:color w:val="000000"/>
        </w:rPr>
        <w:t>Net gains and losses on financial instruments</w:t>
      </w:r>
    </w:p>
    <w:p w:rsidR="00A86593" w:rsidRDefault="00A86593" w:rsidP="00A86593">
      <w:pPr>
        <w:pStyle w:val="ListParagraph"/>
        <w:rPr>
          <w:b/>
          <w:bCs/>
          <w:color w:val="000000"/>
        </w:rPr>
      </w:pPr>
    </w:p>
    <w:tbl>
      <w:tblPr>
        <w:tblStyle w:val="TableGrid"/>
        <w:tblW w:w="0" w:type="auto"/>
        <w:tblInd w:w="720" w:type="dxa"/>
        <w:tblLook w:val="04A0"/>
      </w:tblPr>
      <w:tblGrid>
        <w:gridCol w:w="4491"/>
        <w:gridCol w:w="2127"/>
        <w:gridCol w:w="1701"/>
      </w:tblGrid>
      <w:tr w:rsidR="00A86593" w:rsidTr="001C741C">
        <w:tc>
          <w:tcPr>
            <w:tcW w:w="4491" w:type="dxa"/>
            <w:tcBorders>
              <w:top w:val="nil"/>
              <w:left w:val="nil"/>
              <w:bottom w:val="nil"/>
              <w:right w:val="nil"/>
            </w:tcBorders>
          </w:tcPr>
          <w:p w:rsidR="00A86593" w:rsidRPr="00FB0F1F" w:rsidRDefault="00A86593" w:rsidP="001C741C">
            <w:pPr>
              <w:pStyle w:val="ListParagraph"/>
              <w:ind w:left="0"/>
              <w:rPr>
                <w:b/>
                <w:bCs/>
                <w:color w:val="000000"/>
              </w:rPr>
            </w:pPr>
          </w:p>
        </w:tc>
        <w:tc>
          <w:tcPr>
            <w:tcW w:w="2127" w:type="dxa"/>
            <w:tcBorders>
              <w:top w:val="nil"/>
              <w:left w:val="nil"/>
              <w:bottom w:val="nil"/>
              <w:right w:val="nil"/>
            </w:tcBorders>
            <w:vAlign w:val="center"/>
          </w:tcPr>
          <w:p w:rsidR="00A86593" w:rsidRPr="00FB0F1F" w:rsidRDefault="00A86593" w:rsidP="001C741C">
            <w:pPr>
              <w:pStyle w:val="ListParagraph"/>
              <w:ind w:left="0"/>
              <w:jc w:val="right"/>
              <w:rPr>
                <w:b/>
                <w:bCs/>
                <w:color w:val="000000"/>
              </w:rPr>
            </w:pPr>
            <w:r>
              <w:rPr>
                <w:b/>
                <w:bCs/>
                <w:color w:val="000000"/>
              </w:rPr>
              <w:t>2012</w:t>
            </w:r>
          </w:p>
        </w:tc>
        <w:tc>
          <w:tcPr>
            <w:tcW w:w="1701" w:type="dxa"/>
            <w:tcBorders>
              <w:top w:val="nil"/>
              <w:left w:val="nil"/>
              <w:bottom w:val="nil"/>
              <w:right w:val="nil"/>
            </w:tcBorders>
          </w:tcPr>
          <w:p w:rsidR="00A86593" w:rsidRDefault="00A86593" w:rsidP="001C741C">
            <w:pPr>
              <w:pStyle w:val="ListParagraph"/>
              <w:ind w:left="0"/>
              <w:jc w:val="right"/>
              <w:rPr>
                <w:b/>
                <w:bCs/>
                <w:color w:val="000000"/>
              </w:rPr>
            </w:pPr>
            <w:r>
              <w:rPr>
                <w:b/>
                <w:bCs/>
                <w:color w:val="000000"/>
              </w:rPr>
              <w:t>2011</w:t>
            </w:r>
          </w:p>
        </w:tc>
      </w:tr>
      <w:tr w:rsidR="00A86593" w:rsidRPr="00875B23" w:rsidTr="001C7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1" w:type="dxa"/>
          </w:tcPr>
          <w:p w:rsidR="00A86593" w:rsidRPr="00D60D26" w:rsidRDefault="00A86593" w:rsidP="001C741C">
            <w:pPr>
              <w:pStyle w:val="ListParagraph"/>
              <w:ind w:left="0"/>
              <w:rPr>
                <w:b/>
                <w:bCs/>
                <w:color w:val="000000"/>
              </w:rPr>
            </w:pPr>
          </w:p>
        </w:tc>
        <w:tc>
          <w:tcPr>
            <w:tcW w:w="2127" w:type="dxa"/>
            <w:vAlign w:val="center"/>
          </w:tcPr>
          <w:p w:rsidR="00A86593" w:rsidRPr="00D60D26" w:rsidRDefault="00A86593" w:rsidP="001C741C">
            <w:pPr>
              <w:pStyle w:val="ListParagraph"/>
              <w:ind w:left="0"/>
              <w:jc w:val="right"/>
              <w:rPr>
                <w:b/>
                <w:bCs/>
                <w:color w:val="000000"/>
              </w:rPr>
            </w:pPr>
            <w:r w:rsidRPr="00D60D26">
              <w:rPr>
                <w:b/>
                <w:bCs/>
                <w:color w:val="000000"/>
              </w:rPr>
              <w:t>£m</w:t>
            </w:r>
          </w:p>
        </w:tc>
        <w:tc>
          <w:tcPr>
            <w:tcW w:w="1701" w:type="dxa"/>
          </w:tcPr>
          <w:p w:rsidR="00A86593" w:rsidRPr="00D60D26" w:rsidRDefault="00A86593" w:rsidP="001C741C">
            <w:pPr>
              <w:pStyle w:val="ListParagraph"/>
              <w:ind w:left="0"/>
              <w:jc w:val="right"/>
              <w:rPr>
                <w:b/>
                <w:bCs/>
                <w:color w:val="000000"/>
              </w:rPr>
            </w:pPr>
            <w:r w:rsidRPr="00D60D26">
              <w:rPr>
                <w:b/>
                <w:bCs/>
                <w:color w:val="000000"/>
              </w:rPr>
              <w:t>£m</w:t>
            </w:r>
          </w:p>
        </w:tc>
      </w:tr>
      <w:tr w:rsidR="00A86593" w:rsidRPr="00875B23" w:rsidTr="001C7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1" w:type="dxa"/>
          </w:tcPr>
          <w:p w:rsidR="00A86593" w:rsidRPr="00D60D26" w:rsidRDefault="00A86593" w:rsidP="001C741C">
            <w:pPr>
              <w:pStyle w:val="ListParagraph"/>
              <w:ind w:left="0"/>
              <w:rPr>
                <w:b/>
                <w:bCs/>
                <w:color w:val="000000"/>
              </w:rPr>
            </w:pPr>
            <w:r w:rsidRPr="00D60D26">
              <w:rPr>
                <w:b/>
                <w:bCs/>
                <w:color w:val="000000"/>
              </w:rPr>
              <w:t>Financial assets</w:t>
            </w:r>
          </w:p>
        </w:tc>
        <w:tc>
          <w:tcPr>
            <w:tcW w:w="2127" w:type="dxa"/>
            <w:vAlign w:val="center"/>
          </w:tcPr>
          <w:p w:rsidR="00A86593" w:rsidRPr="00D60D26" w:rsidRDefault="00A86593" w:rsidP="001C741C">
            <w:pPr>
              <w:pStyle w:val="ListParagraph"/>
              <w:ind w:left="0"/>
              <w:jc w:val="right"/>
              <w:rPr>
                <w:bCs/>
                <w:color w:val="000000"/>
              </w:rPr>
            </w:pPr>
          </w:p>
        </w:tc>
        <w:tc>
          <w:tcPr>
            <w:tcW w:w="1701" w:type="dxa"/>
          </w:tcPr>
          <w:p w:rsidR="00A86593" w:rsidRPr="00D60D26" w:rsidRDefault="00A86593" w:rsidP="001C741C">
            <w:pPr>
              <w:pStyle w:val="ListParagraph"/>
              <w:ind w:left="0"/>
              <w:jc w:val="right"/>
              <w:rPr>
                <w:bCs/>
                <w:color w:val="000000"/>
              </w:rPr>
            </w:pPr>
          </w:p>
        </w:tc>
      </w:tr>
      <w:tr w:rsidR="00A86593" w:rsidRPr="00875B23" w:rsidTr="001C7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1" w:type="dxa"/>
          </w:tcPr>
          <w:p w:rsidR="00A86593" w:rsidRPr="00D60D26" w:rsidRDefault="00A86593" w:rsidP="001C741C">
            <w:pPr>
              <w:pStyle w:val="ListParagraph"/>
              <w:ind w:left="0"/>
              <w:rPr>
                <w:bCs/>
                <w:color w:val="000000"/>
              </w:rPr>
            </w:pPr>
            <w:r w:rsidRPr="00D60D26">
              <w:rPr>
                <w:bCs/>
                <w:color w:val="000000"/>
              </w:rPr>
              <w:t>Fair value through profit and loss</w:t>
            </w:r>
          </w:p>
        </w:tc>
        <w:tc>
          <w:tcPr>
            <w:tcW w:w="2127" w:type="dxa"/>
            <w:vAlign w:val="center"/>
          </w:tcPr>
          <w:p w:rsidR="00A86593" w:rsidRPr="00D60D26" w:rsidRDefault="00A86593" w:rsidP="001C741C">
            <w:pPr>
              <w:pStyle w:val="ListParagraph"/>
              <w:ind w:left="0"/>
              <w:jc w:val="right"/>
              <w:rPr>
                <w:bCs/>
                <w:color w:val="000000"/>
              </w:rPr>
            </w:pPr>
            <w:r>
              <w:rPr>
                <w:bCs/>
                <w:color w:val="000000"/>
              </w:rPr>
              <w:t>7.9</w:t>
            </w:r>
          </w:p>
        </w:tc>
        <w:tc>
          <w:tcPr>
            <w:tcW w:w="1701" w:type="dxa"/>
          </w:tcPr>
          <w:p w:rsidR="00A86593" w:rsidRPr="00D60D26" w:rsidRDefault="00A86593" w:rsidP="001C741C">
            <w:pPr>
              <w:pStyle w:val="ListParagraph"/>
              <w:ind w:left="0"/>
              <w:jc w:val="right"/>
              <w:rPr>
                <w:bCs/>
                <w:color w:val="000000"/>
              </w:rPr>
            </w:pPr>
            <w:r>
              <w:rPr>
                <w:bCs/>
                <w:color w:val="000000"/>
              </w:rPr>
              <w:t>238.8</w:t>
            </w:r>
          </w:p>
        </w:tc>
      </w:tr>
      <w:tr w:rsidR="00A86593" w:rsidRPr="00875B23" w:rsidTr="001C7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1" w:type="dxa"/>
          </w:tcPr>
          <w:p w:rsidR="00A86593" w:rsidRPr="00D60D26" w:rsidRDefault="00A86593" w:rsidP="001C741C">
            <w:pPr>
              <w:pStyle w:val="ListParagraph"/>
              <w:ind w:left="0"/>
              <w:rPr>
                <w:bCs/>
                <w:color w:val="000000"/>
              </w:rPr>
            </w:pPr>
            <w:r w:rsidRPr="00D60D26">
              <w:rPr>
                <w:bCs/>
                <w:color w:val="000000"/>
              </w:rPr>
              <w:t>Loans and Receivables</w:t>
            </w:r>
          </w:p>
        </w:tc>
        <w:tc>
          <w:tcPr>
            <w:tcW w:w="2127" w:type="dxa"/>
            <w:vAlign w:val="center"/>
          </w:tcPr>
          <w:p w:rsidR="00A86593" w:rsidRPr="00D60D26" w:rsidRDefault="00A86593" w:rsidP="001C741C">
            <w:pPr>
              <w:pStyle w:val="ListParagraph"/>
              <w:ind w:left="0"/>
              <w:jc w:val="right"/>
              <w:rPr>
                <w:bCs/>
                <w:color w:val="000000"/>
              </w:rPr>
            </w:pPr>
            <w:r>
              <w:rPr>
                <w:bCs/>
                <w:color w:val="000000"/>
              </w:rPr>
              <w:t>-</w:t>
            </w:r>
          </w:p>
        </w:tc>
        <w:tc>
          <w:tcPr>
            <w:tcW w:w="1701" w:type="dxa"/>
          </w:tcPr>
          <w:p w:rsidR="00A86593" w:rsidRPr="00D60D26" w:rsidRDefault="00A86593" w:rsidP="001C741C">
            <w:pPr>
              <w:pStyle w:val="ListParagraph"/>
              <w:ind w:left="0"/>
              <w:jc w:val="right"/>
              <w:rPr>
                <w:bCs/>
                <w:color w:val="000000"/>
              </w:rPr>
            </w:pPr>
            <w:r>
              <w:rPr>
                <w:bCs/>
                <w:color w:val="000000"/>
              </w:rPr>
              <w:t>-</w:t>
            </w:r>
          </w:p>
        </w:tc>
      </w:tr>
      <w:tr w:rsidR="00A86593" w:rsidRPr="00875B23" w:rsidTr="001C7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1" w:type="dxa"/>
          </w:tcPr>
          <w:p w:rsidR="00A86593" w:rsidRPr="00D60D26" w:rsidRDefault="00A86593" w:rsidP="001C741C">
            <w:pPr>
              <w:pStyle w:val="ListParagraph"/>
              <w:ind w:left="0"/>
              <w:rPr>
                <w:b/>
                <w:bCs/>
                <w:color w:val="000000"/>
              </w:rPr>
            </w:pPr>
            <w:r w:rsidRPr="00D60D26">
              <w:rPr>
                <w:b/>
                <w:bCs/>
                <w:color w:val="000000"/>
              </w:rPr>
              <w:t>Financial Liabilities</w:t>
            </w:r>
          </w:p>
        </w:tc>
        <w:tc>
          <w:tcPr>
            <w:tcW w:w="2127" w:type="dxa"/>
            <w:vAlign w:val="center"/>
          </w:tcPr>
          <w:p w:rsidR="00A86593" w:rsidRPr="00D60D26" w:rsidRDefault="00A86593" w:rsidP="001C741C">
            <w:pPr>
              <w:pStyle w:val="ListParagraph"/>
              <w:ind w:left="0"/>
              <w:jc w:val="right"/>
              <w:rPr>
                <w:bCs/>
                <w:color w:val="000000"/>
              </w:rPr>
            </w:pPr>
          </w:p>
        </w:tc>
        <w:tc>
          <w:tcPr>
            <w:tcW w:w="1701" w:type="dxa"/>
          </w:tcPr>
          <w:p w:rsidR="00A86593" w:rsidRPr="00D60D26" w:rsidRDefault="00A86593" w:rsidP="001C741C">
            <w:pPr>
              <w:pStyle w:val="ListParagraph"/>
              <w:ind w:left="0"/>
              <w:jc w:val="right"/>
              <w:rPr>
                <w:bCs/>
                <w:color w:val="000000"/>
              </w:rPr>
            </w:pPr>
          </w:p>
        </w:tc>
      </w:tr>
      <w:tr w:rsidR="00A86593" w:rsidRPr="00875B23" w:rsidTr="001C7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1" w:type="dxa"/>
          </w:tcPr>
          <w:p w:rsidR="00A86593" w:rsidRPr="00D60D26" w:rsidRDefault="00A86593" w:rsidP="001C741C">
            <w:pPr>
              <w:pStyle w:val="ListParagraph"/>
              <w:ind w:left="0"/>
              <w:rPr>
                <w:bCs/>
                <w:color w:val="000000"/>
              </w:rPr>
            </w:pPr>
            <w:r w:rsidRPr="00D60D26">
              <w:rPr>
                <w:bCs/>
                <w:color w:val="000000"/>
              </w:rPr>
              <w:t>Fair value through profit and loss</w:t>
            </w:r>
          </w:p>
        </w:tc>
        <w:tc>
          <w:tcPr>
            <w:tcW w:w="2127" w:type="dxa"/>
            <w:vAlign w:val="center"/>
          </w:tcPr>
          <w:p w:rsidR="00A86593" w:rsidRPr="00D60D26" w:rsidRDefault="00A86593" w:rsidP="001C741C">
            <w:pPr>
              <w:pStyle w:val="ListParagraph"/>
              <w:ind w:left="0"/>
              <w:jc w:val="right"/>
              <w:rPr>
                <w:bCs/>
                <w:color w:val="000000"/>
              </w:rPr>
            </w:pPr>
            <w:r>
              <w:rPr>
                <w:bCs/>
                <w:color w:val="000000"/>
              </w:rPr>
              <w:t>-</w:t>
            </w:r>
          </w:p>
        </w:tc>
        <w:tc>
          <w:tcPr>
            <w:tcW w:w="1701" w:type="dxa"/>
          </w:tcPr>
          <w:p w:rsidR="00A86593" w:rsidRPr="00D60D26" w:rsidRDefault="00A86593" w:rsidP="001C741C">
            <w:pPr>
              <w:pStyle w:val="ListParagraph"/>
              <w:ind w:left="0"/>
              <w:jc w:val="right"/>
              <w:rPr>
                <w:bCs/>
                <w:color w:val="000000"/>
              </w:rPr>
            </w:pPr>
            <w:r>
              <w:rPr>
                <w:bCs/>
                <w:color w:val="000000"/>
              </w:rPr>
              <w:t>-</w:t>
            </w:r>
          </w:p>
        </w:tc>
      </w:tr>
      <w:tr w:rsidR="00A86593" w:rsidRPr="00875B23" w:rsidTr="001C7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1" w:type="dxa"/>
          </w:tcPr>
          <w:p w:rsidR="00A86593" w:rsidRPr="00D60D26" w:rsidRDefault="00A86593" w:rsidP="001C741C">
            <w:pPr>
              <w:pStyle w:val="ListParagraph"/>
              <w:ind w:left="0"/>
              <w:rPr>
                <w:bCs/>
                <w:color w:val="000000"/>
              </w:rPr>
            </w:pPr>
            <w:r w:rsidRPr="00D60D26">
              <w:rPr>
                <w:bCs/>
                <w:color w:val="000000"/>
              </w:rPr>
              <w:t>Loans and Receivables</w:t>
            </w:r>
          </w:p>
        </w:tc>
        <w:tc>
          <w:tcPr>
            <w:tcW w:w="2127" w:type="dxa"/>
            <w:vAlign w:val="center"/>
          </w:tcPr>
          <w:p w:rsidR="00A86593" w:rsidRPr="00D60D26" w:rsidRDefault="00A86593" w:rsidP="001C741C">
            <w:pPr>
              <w:pStyle w:val="ListParagraph"/>
              <w:ind w:left="0"/>
              <w:jc w:val="right"/>
              <w:rPr>
                <w:bCs/>
                <w:color w:val="000000"/>
              </w:rPr>
            </w:pPr>
          </w:p>
        </w:tc>
        <w:tc>
          <w:tcPr>
            <w:tcW w:w="1701" w:type="dxa"/>
          </w:tcPr>
          <w:p w:rsidR="00A86593" w:rsidRPr="00D60D26" w:rsidRDefault="00A86593" w:rsidP="001C741C">
            <w:pPr>
              <w:pStyle w:val="ListParagraph"/>
              <w:ind w:left="0"/>
              <w:jc w:val="right"/>
              <w:rPr>
                <w:bCs/>
                <w:color w:val="000000"/>
              </w:rPr>
            </w:pPr>
          </w:p>
        </w:tc>
      </w:tr>
      <w:tr w:rsidR="00A86593" w:rsidRPr="00875B23" w:rsidTr="001C7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1" w:type="dxa"/>
          </w:tcPr>
          <w:p w:rsidR="00A86593" w:rsidRPr="00D60D26" w:rsidRDefault="00A86593" w:rsidP="001C741C">
            <w:pPr>
              <w:pStyle w:val="ListParagraph"/>
              <w:ind w:left="0"/>
              <w:rPr>
                <w:bCs/>
                <w:color w:val="000000"/>
              </w:rPr>
            </w:pPr>
            <w:r w:rsidRPr="00D60D26">
              <w:rPr>
                <w:bCs/>
                <w:color w:val="000000"/>
              </w:rPr>
              <w:t>Financial liabilities at amortised cost</w:t>
            </w:r>
          </w:p>
        </w:tc>
        <w:tc>
          <w:tcPr>
            <w:tcW w:w="2127" w:type="dxa"/>
            <w:vAlign w:val="center"/>
          </w:tcPr>
          <w:p w:rsidR="00A86593" w:rsidRPr="00D60D26" w:rsidRDefault="00A86593" w:rsidP="001C741C">
            <w:pPr>
              <w:pStyle w:val="ListParagraph"/>
              <w:ind w:left="0"/>
              <w:jc w:val="right"/>
              <w:rPr>
                <w:bCs/>
                <w:color w:val="000000"/>
              </w:rPr>
            </w:pPr>
            <w:r>
              <w:rPr>
                <w:bCs/>
                <w:color w:val="000000"/>
              </w:rPr>
              <w:t>-</w:t>
            </w:r>
          </w:p>
        </w:tc>
        <w:tc>
          <w:tcPr>
            <w:tcW w:w="1701" w:type="dxa"/>
          </w:tcPr>
          <w:p w:rsidR="00A86593" w:rsidRPr="00D60D26" w:rsidRDefault="00A86593" w:rsidP="001C741C">
            <w:pPr>
              <w:pStyle w:val="ListParagraph"/>
              <w:ind w:left="0"/>
              <w:jc w:val="right"/>
              <w:rPr>
                <w:bCs/>
                <w:color w:val="000000"/>
              </w:rPr>
            </w:pPr>
            <w:r>
              <w:rPr>
                <w:bCs/>
                <w:color w:val="000000"/>
              </w:rPr>
              <w:t>-</w:t>
            </w:r>
          </w:p>
        </w:tc>
      </w:tr>
      <w:tr w:rsidR="00A86593" w:rsidRPr="00875B23" w:rsidTr="001C7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1" w:type="dxa"/>
          </w:tcPr>
          <w:p w:rsidR="00A86593" w:rsidRPr="00D60D26" w:rsidRDefault="00A86593" w:rsidP="001C741C">
            <w:pPr>
              <w:pStyle w:val="ListParagraph"/>
              <w:ind w:left="0"/>
              <w:rPr>
                <w:b/>
                <w:bCs/>
                <w:color w:val="000000"/>
              </w:rPr>
            </w:pPr>
            <w:r w:rsidRPr="00D60D26">
              <w:rPr>
                <w:b/>
                <w:bCs/>
                <w:color w:val="000000"/>
              </w:rPr>
              <w:t>Total</w:t>
            </w:r>
          </w:p>
        </w:tc>
        <w:tc>
          <w:tcPr>
            <w:tcW w:w="2127" w:type="dxa"/>
            <w:vAlign w:val="center"/>
          </w:tcPr>
          <w:p w:rsidR="00A86593" w:rsidRPr="00D60D26" w:rsidRDefault="00A86593" w:rsidP="001C741C">
            <w:pPr>
              <w:pStyle w:val="ListParagraph"/>
              <w:ind w:left="0"/>
              <w:jc w:val="right"/>
              <w:rPr>
                <w:b/>
                <w:bCs/>
                <w:color w:val="000000"/>
              </w:rPr>
            </w:pPr>
            <w:r w:rsidRPr="00D60D26">
              <w:rPr>
                <w:b/>
                <w:bCs/>
                <w:color w:val="000000"/>
              </w:rPr>
              <w:t>7.9</w:t>
            </w:r>
          </w:p>
        </w:tc>
        <w:tc>
          <w:tcPr>
            <w:tcW w:w="1701" w:type="dxa"/>
          </w:tcPr>
          <w:p w:rsidR="00A86593" w:rsidRPr="00D60D26" w:rsidRDefault="00A86593" w:rsidP="001C741C">
            <w:pPr>
              <w:pStyle w:val="ListParagraph"/>
              <w:ind w:left="0"/>
              <w:jc w:val="right"/>
              <w:rPr>
                <w:b/>
                <w:bCs/>
                <w:color w:val="000000"/>
              </w:rPr>
            </w:pPr>
            <w:r w:rsidRPr="00D60D26">
              <w:rPr>
                <w:b/>
                <w:bCs/>
                <w:color w:val="000000"/>
              </w:rPr>
              <w:t>238.8</w:t>
            </w:r>
          </w:p>
        </w:tc>
      </w:tr>
    </w:tbl>
    <w:p w:rsidR="00A86593" w:rsidRDefault="00A86593" w:rsidP="00A86593">
      <w:pPr>
        <w:pStyle w:val="ListParagraph"/>
        <w:rPr>
          <w:b/>
          <w:bCs/>
          <w:color w:val="000000"/>
        </w:rPr>
      </w:pPr>
    </w:p>
    <w:p w:rsidR="00A86593" w:rsidRDefault="00A86593" w:rsidP="00A86593">
      <w:pPr>
        <w:pStyle w:val="ListParagraph"/>
        <w:rPr>
          <w:b/>
          <w:bCs/>
          <w:color w:val="000000"/>
        </w:rPr>
      </w:pPr>
    </w:p>
    <w:p w:rsidR="00A86593" w:rsidRPr="00407552" w:rsidRDefault="00A86593" w:rsidP="00A86593">
      <w:pPr>
        <w:pStyle w:val="ListParagraph"/>
        <w:rPr>
          <w:b/>
          <w:bCs/>
          <w:color w:val="000000"/>
        </w:rPr>
      </w:pPr>
    </w:p>
    <w:p w:rsidR="00A86593" w:rsidRDefault="00A86593" w:rsidP="00A86593">
      <w:pPr>
        <w:pStyle w:val="ListParagraph"/>
        <w:numPr>
          <w:ilvl w:val="0"/>
          <w:numId w:val="60"/>
        </w:numPr>
        <w:spacing w:after="120"/>
        <w:contextualSpacing/>
        <w:rPr>
          <w:b/>
        </w:rPr>
      </w:pPr>
      <w:r w:rsidRPr="009B3187">
        <w:rPr>
          <w:b/>
        </w:rPr>
        <w:t>Financial Instruments – Fair Value of Financial Instruments and Liabilitie</w:t>
      </w:r>
      <w:r>
        <w:rPr>
          <w:b/>
        </w:rPr>
        <w:t>s</w:t>
      </w:r>
    </w:p>
    <w:p w:rsidR="00A86593" w:rsidRDefault="00A86593" w:rsidP="003B314A">
      <w:pPr>
        <w:spacing w:after="120"/>
        <w:ind w:left="720"/>
        <w:jc w:val="both"/>
      </w:pPr>
      <w:r w:rsidRPr="000637CA">
        <w:t xml:space="preserve">The following table summarises the carrying values of the financial assets and liabilities presented in the Fund's net asset </w:t>
      </w:r>
      <w:r>
        <w:t xml:space="preserve">statement.  The fair values </w:t>
      </w:r>
      <w:r w:rsidRPr="000637CA">
        <w:t>presented in the table are at a specific date and may be significantly different from the amounts which were actually paid or received on the maturity or settlement date.</w:t>
      </w:r>
    </w:p>
    <w:p w:rsidR="00A86593" w:rsidRDefault="00A86593" w:rsidP="00A86593">
      <w:pPr>
        <w:spacing w:after="120"/>
        <w:ind w:left="720"/>
      </w:pPr>
    </w:p>
    <w:p w:rsidR="00A86593" w:rsidRDefault="00A86593" w:rsidP="00A86593">
      <w:r>
        <w:br w:type="page"/>
      </w:r>
    </w:p>
    <w:tbl>
      <w:tblPr>
        <w:tblStyle w:val="TableGrid"/>
        <w:tblW w:w="1030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57"/>
        <w:gridCol w:w="1985"/>
        <w:gridCol w:w="2095"/>
        <w:gridCol w:w="1449"/>
        <w:gridCol w:w="1417"/>
      </w:tblGrid>
      <w:tr w:rsidR="00A86593" w:rsidTr="001C741C">
        <w:tc>
          <w:tcPr>
            <w:tcW w:w="3357" w:type="dxa"/>
          </w:tcPr>
          <w:p w:rsidR="00A86593" w:rsidRPr="00FB0F1F" w:rsidRDefault="00A86593" w:rsidP="001C741C">
            <w:pPr>
              <w:rPr>
                <w:b/>
              </w:rPr>
            </w:pPr>
          </w:p>
        </w:tc>
        <w:tc>
          <w:tcPr>
            <w:tcW w:w="1985" w:type="dxa"/>
          </w:tcPr>
          <w:p w:rsidR="00A86593" w:rsidRDefault="00A86593" w:rsidP="001C741C">
            <w:pPr>
              <w:jc w:val="right"/>
              <w:rPr>
                <w:b/>
              </w:rPr>
            </w:pPr>
            <w:r>
              <w:rPr>
                <w:b/>
              </w:rPr>
              <w:t>Carrying Value</w:t>
            </w:r>
          </w:p>
          <w:p w:rsidR="00A86593" w:rsidRPr="00FB0F1F" w:rsidRDefault="00A86593" w:rsidP="001C741C">
            <w:pPr>
              <w:jc w:val="right"/>
              <w:rPr>
                <w:b/>
              </w:rPr>
            </w:pPr>
            <w:r>
              <w:rPr>
                <w:b/>
              </w:rPr>
              <w:t>2012</w:t>
            </w:r>
          </w:p>
        </w:tc>
        <w:tc>
          <w:tcPr>
            <w:tcW w:w="2095" w:type="dxa"/>
          </w:tcPr>
          <w:p w:rsidR="00A86593" w:rsidRDefault="00A86593" w:rsidP="001C741C">
            <w:pPr>
              <w:jc w:val="right"/>
              <w:rPr>
                <w:b/>
              </w:rPr>
            </w:pPr>
            <w:r>
              <w:rPr>
                <w:b/>
              </w:rPr>
              <w:t>Carrying value</w:t>
            </w:r>
          </w:p>
          <w:p w:rsidR="00A86593" w:rsidRPr="00FB0F1F" w:rsidRDefault="00A86593" w:rsidP="001C741C">
            <w:pPr>
              <w:jc w:val="right"/>
              <w:rPr>
                <w:b/>
              </w:rPr>
            </w:pPr>
            <w:r>
              <w:rPr>
                <w:b/>
              </w:rPr>
              <w:t>2011</w:t>
            </w:r>
          </w:p>
        </w:tc>
        <w:tc>
          <w:tcPr>
            <w:tcW w:w="1449" w:type="dxa"/>
          </w:tcPr>
          <w:p w:rsidR="00A86593" w:rsidRDefault="00A86593" w:rsidP="001C741C">
            <w:pPr>
              <w:jc w:val="right"/>
              <w:rPr>
                <w:b/>
              </w:rPr>
            </w:pPr>
            <w:r>
              <w:rPr>
                <w:b/>
              </w:rPr>
              <w:t>Fair Value</w:t>
            </w:r>
          </w:p>
          <w:p w:rsidR="00A86593" w:rsidRPr="00FB0F1F" w:rsidRDefault="00A86593" w:rsidP="001C741C">
            <w:pPr>
              <w:jc w:val="right"/>
              <w:rPr>
                <w:b/>
              </w:rPr>
            </w:pPr>
            <w:r>
              <w:rPr>
                <w:b/>
              </w:rPr>
              <w:t>2012</w:t>
            </w:r>
          </w:p>
        </w:tc>
        <w:tc>
          <w:tcPr>
            <w:tcW w:w="1417" w:type="dxa"/>
          </w:tcPr>
          <w:p w:rsidR="00A86593" w:rsidRDefault="00A86593" w:rsidP="001C741C">
            <w:pPr>
              <w:jc w:val="right"/>
              <w:rPr>
                <w:b/>
              </w:rPr>
            </w:pPr>
            <w:r>
              <w:rPr>
                <w:b/>
              </w:rPr>
              <w:t>Fair Value</w:t>
            </w:r>
          </w:p>
          <w:p w:rsidR="00A86593" w:rsidRPr="00FB0F1F" w:rsidRDefault="00A86593" w:rsidP="001C741C">
            <w:pPr>
              <w:jc w:val="right"/>
              <w:rPr>
                <w:b/>
              </w:rPr>
            </w:pPr>
            <w:r>
              <w:rPr>
                <w:b/>
              </w:rPr>
              <w:t>2011</w:t>
            </w:r>
          </w:p>
        </w:tc>
      </w:tr>
      <w:tr w:rsidR="00A86593" w:rsidTr="001C741C">
        <w:tc>
          <w:tcPr>
            <w:tcW w:w="3357" w:type="dxa"/>
          </w:tcPr>
          <w:p w:rsidR="00A86593" w:rsidRPr="00FB0F1F" w:rsidRDefault="00A86593" w:rsidP="001C741C">
            <w:pPr>
              <w:rPr>
                <w:b/>
              </w:rPr>
            </w:pPr>
          </w:p>
        </w:tc>
        <w:tc>
          <w:tcPr>
            <w:tcW w:w="1985" w:type="dxa"/>
          </w:tcPr>
          <w:p w:rsidR="00A86593" w:rsidRPr="00FB0F1F" w:rsidRDefault="00A86593" w:rsidP="001C741C">
            <w:pPr>
              <w:jc w:val="right"/>
              <w:rPr>
                <w:b/>
              </w:rPr>
            </w:pPr>
            <w:r>
              <w:rPr>
                <w:b/>
              </w:rPr>
              <w:t>£m</w:t>
            </w:r>
          </w:p>
        </w:tc>
        <w:tc>
          <w:tcPr>
            <w:tcW w:w="2095" w:type="dxa"/>
          </w:tcPr>
          <w:p w:rsidR="00A86593" w:rsidRPr="00FB0F1F" w:rsidRDefault="00A86593" w:rsidP="001C741C">
            <w:pPr>
              <w:jc w:val="right"/>
              <w:rPr>
                <w:b/>
              </w:rPr>
            </w:pPr>
            <w:r>
              <w:rPr>
                <w:b/>
              </w:rPr>
              <w:t>£m</w:t>
            </w:r>
          </w:p>
        </w:tc>
        <w:tc>
          <w:tcPr>
            <w:tcW w:w="1449" w:type="dxa"/>
          </w:tcPr>
          <w:p w:rsidR="00A86593" w:rsidRPr="00FB0F1F" w:rsidRDefault="00A86593" w:rsidP="001C741C">
            <w:pPr>
              <w:jc w:val="right"/>
              <w:rPr>
                <w:b/>
              </w:rPr>
            </w:pPr>
            <w:r>
              <w:rPr>
                <w:b/>
              </w:rPr>
              <w:t>£m</w:t>
            </w:r>
          </w:p>
        </w:tc>
        <w:tc>
          <w:tcPr>
            <w:tcW w:w="1417" w:type="dxa"/>
          </w:tcPr>
          <w:p w:rsidR="00A86593" w:rsidRPr="00FB0F1F" w:rsidRDefault="00A86593" w:rsidP="001C741C">
            <w:pPr>
              <w:jc w:val="right"/>
              <w:rPr>
                <w:b/>
              </w:rPr>
            </w:pPr>
            <w:r>
              <w:rPr>
                <w:b/>
              </w:rPr>
              <w:t>£m</w:t>
            </w:r>
          </w:p>
        </w:tc>
      </w:tr>
      <w:tr w:rsidR="00A86593" w:rsidTr="001C741C">
        <w:tc>
          <w:tcPr>
            <w:tcW w:w="3357" w:type="dxa"/>
          </w:tcPr>
          <w:p w:rsidR="00A86593" w:rsidRPr="002903B7" w:rsidRDefault="00A86593" w:rsidP="001C741C">
            <w:pPr>
              <w:spacing w:after="120"/>
              <w:rPr>
                <w:b/>
              </w:rPr>
            </w:pPr>
            <w:r w:rsidRPr="002903B7">
              <w:rPr>
                <w:b/>
              </w:rPr>
              <w:t>Financial assets</w:t>
            </w:r>
          </w:p>
        </w:tc>
        <w:tc>
          <w:tcPr>
            <w:tcW w:w="1985" w:type="dxa"/>
          </w:tcPr>
          <w:p w:rsidR="00A86593" w:rsidRDefault="00A86593" w:rsidP="001C741C">
            <w:pPr>
              <w:spacing w:after="120"/>
              <w:jc w:val="right"/>
            </w:pPr>
          </w:p>
        </w:tc>
        <w:tc>
          <w:tcPr>
            <w:tcW w:w="2095" w:type="dxa"/>
          </w:tcPr>
          <w:p w:rsidR="00A86593" w:rsidRDefault="00A86593" w:rsidP="001C741C">
            <w:pPr>
              <w:spacing w:after="120"/>
              <w:jc w:val="right"/>
            </w:pPr>
          </w:p>
        </w:tc>
        <w:tc>
          <w:tcPr>
            <w:tcW w:w="1449" w:type="dxa"/>
          </w:tcPr>
          <w:p w:rsidR="00A86593" w:rsidRDefault="00A86593" w:rsidP="001C741C">
            <w:pPr>
              <w:spacing w:after="120"/>
              <w:jc w:val="right"/>
            </w:pPr>
          </w:p>
        </w:tc>
        <w:tc>
          <w:tcPr>
            <w:tcW w:w="1417" w:type="dxa"/>
          </w:tcPr>
          <w:p w:rsidR="00A86593" w:rsidRDefault="00A86593" w:rsidP="001C741C">
            <w:pPr>
              <w:spacing w:after="120"/>
              <w:jc w:val="right"/>
            </w:pPr>
          </w:p>
        </w:tc>
      </w:tr>
      <w:tr w:rsidR="00A86593" w:rsidTr="001C741C">
        <w:tc>
          <w:tcPr>
            <w:tcW w:w="3357" w:type="dxa"/>
          </w:tcPr>
          <w:p w:rsidR="00A86593" w:rsidRDefault="00A86593" w:rsidP="001C741C">
            <w:pPr>
              <w:spacing w:after="120"/>
            </w:pPr>
            <w:r>
              <w:t>Trading and other financial assets at fair value through profit and loss</w:t>
            </w:r>
          </w:p>
        </w:tc>
        <w:tc>
          <w:tcPr>
            <w:tcW w:w="1985" w:type="dxa"/>
            <w:vAlign w:val="center"/>
          </w:tcPr>
          <w:p w:rsidR="00A86593" w:rsidRDefault="00A86593" w:rsidP="001C741C">
            <w:pPr>
              <w:spacing w:after="120"/>
              <w:jc w:val="right"/>
            </w:pPr>
            <w:r>
              <w:t>3,347.5</w:t>
            </w:r>
          </w:p>
        </w:tc>
        <w:tc>
          <w:tcPr>
            <w:tcW w:w="2095" w:type="dxa"/>
            <w:vAlign w:val="center"/>
          </w:tcPr>
          <w:p w:rsidR="00A86593" w:rsidRDefault="00A86593" w:rsidP="001C741C">
            <w:pPr>
              <w:spacing w:after="120"/>
              <w:jc w:val="right"/>
            </w:pPr>
            <w:r>
              <w:t>3,284.0</w:t>
            </w:r>
          </w:p>
        </w:tc>
        <w:tc>
          <w:tcPr>
            <w:tcW w:w="1449" w:type="dxa"/>
            <w:vAlign w:val="center"/>
          </w:tcPr>
          <w:p w:rsidR="00A86593" w:rsidRDefault="00A86593" w:rsidP="001C741C">
            <w:pPr>
              <w:spacing w:after="120"/>
              <w:jc w:val="right"/>
            </w:pPr>
            <w:r>
              <w:t>3,850.8</w:t>
            </w:r>
          </w:p>
        </w:tc>
        <w:tc>
          <w:tcPr>
            <w:tcW w:w="1417" w:type="dxa"/>
            <w:vAlign w:val="center"/>
          </w:tcPr>
          <w:p w:rsidR="00A86593" w:rsidRDefault="00A86593" w:rsidP="001C741C">
            <w:pPr>
              <w:spacing w:after="120"/>
              <w:jc w:val="right"/>
            </w:pPr>
            <w:r>
              <w:t>3,848.0</w:t>
            </w:r>
          </w:p>
        </w:tc>
      </w:tr>
      <w:tr w:rsidR="00A86593" w:rsidTr="001C741C">
        <w:tc>
          <w:tcPr>
            <w:tcW w:w="3357" w:type="dxa"/>
          </w:tcPr>
          <w:p w:rsidR="00A86593" w:rsidRDefault="00A86593" w:rsidP="001C741C">
            <w:pPr>
              <w:spacing w:after="120"/>
            </w:pPr>
            <w:r>
              <w:t>Loans and Receivables</w:t>
            </w:r>
          </w:p>
        </w:tc>
        <w:tc>
          <w:tcPr>
            <w:tcW w:w="1985" w:type="dxa"/>
          </w:tcPr>
          <w:p w:rsidR="00A86593" w:rsidRDefault="00A86593" w:rsidP="001C741C">
            <w:pPr>
              <w:spacing w:after="120"/>
              <w:jc w:val="right"/>
            </w:pPr>
            <w:r>
              <w:t>150.1</w:t>
            </w:r>
          </w:p>
        </w:tc>
        <w:tc>
          <w:tcPr>
            <w:tcW w:w="2095" w:type="dxa"/>
          </w:tcPr>
          <w:p w:rsidR="00A86593" w:rsidRDefault="00A86593" w:rsidP="001C741C">
            <w:pPr>
              <w:spacing w:after="120"/>
              <w:jc w:val="right"/>
            </w:pPr>
            <w:r>
              <w:t>58.2</w:t>
            </w:r>
          </w:p>
        </w:tc>
        <w:tc>
          <w:tcPr>
            <w:tcW w:w="1449" w:type="dxa"/>
          </w:tcPr>
          <w:p w:rsidR="00A86593" w:rsidRDefault="00A86593" w:rsidP="001C741C">
            <w:pPr>
              <w:spacing w:after="120"/>
              <w:jc w:val="right"/>
            </w:pPr>
            <w:r>
              <w:t>150.1</w:t>
            </w:r>
          </w:p>
        </w:tc>
        <w:tc>
          <w:tcPr>
            <w:tcW w:w="1417" w:type="dxa"/>
          </w:tcPr>
          <w:p w:rsidR="00A86593" w:rsidRDefault="00A86593" w:rsidP="001C741C">
            <w:pPr>
              <w:spacing w:after="120"/>
              <w:jc w:val="right"/>
            </w:pPr>
            <w:r>
              <w:t>58.2</w:t>
            </w:r>
          </w:p>
        </w:tc>
      </w:tr>
      <w:tr w:rsidR="00A86593" w:rsidTr="001C741C">
        <w:tc>
          <w:tcPr>
            <w:tcW w:w="3357" w:type="dxa"/>
          </w:tcPr>
          <w:p w:rsidR="00A86593" w:rsidRPr="002903B7" w:rsidRDefault="00A86593" w:rsidP="001C741C">
            <w:pPr>
              <w:spacing w:after="120"/>
              <w:rPr>
                <w:b/>
              </w:rPr>
            </w:pPr>
            <w:r w:rsidRPr="002903B7">
              <w:rPr>
                <w:b/>
              </w:rPr>
              <w:t>Total Financial Assets</w:t>
            </w:r>
          </w:p>
        </w:tc>
        <w:tc>
          <w:tcPr>
            <w:tcW w:w="1985" w:type="dxa"/>
          </w:tcPr>
          <w:p w:rsidR="00A86593" w:rsidRPr="002903B7" w:rsidRDefault="00A86593" w:rsidP="001C741C">
            <w:pPr>
              <w:spacing w:after="120"/>
              <w:jc w:val="right"/>
              <w:rPr>
                <w:b/>
              </w:rPr>
            </w:pPr>
            <w:r>
              <w:rPr>
                <w:b/>
              </w:rPr>
              <w:t>3,497.6</w:t>
            </w:r>
          </w:p>
        </w:tc>
        <w:tc>
          <w:tcPr>
            <w:tcW w:w="2095" w:type="dxa"/>
          </w:tcPr>
          <w:p w:rsidR="00A86593" w:rsidRPr="002903B7" w:rsidRDefault="00A86593" w:rsidP="001C741C">
            <w:pPr>
              <w:spacing w:after="120"/>
              <w:jc w:val="right"/>
              <w:rPr>
                <w:b/>
              </w:rPr>
            </w:pPr>
            <w:r w:rsidRPr="002903B7">
              <w:rPr>
                <w:b/>
              </w:rPr>
              <w:t>3,342</w:t>
            </w:r>
            <w:r>
              <w:rPr>
                <w:b/>
              </w:rPr>
              <w:t>.2</w:t>
            </w:r>
          </w:p>
        </w:tc>
        <w:tc>
          <w:tcPr>
            <w:tcW w:w="1449" w:type="dxa"/>
          </w:tcPr>
          <w:p w:rsidR="00A86593" w:rsidRPr="002903B7" w:rsidRDefault="00A86593" w:rsidP="001C741C">
            <w:pPr>
              <w:spacing w:after="120"/>
              <w:jc w:val="right"/>
              <w:rPr>
                <w:b/>
              </w:rPr>
            </w:pPr>
            <w:r>
              <w:rPr>
                <w:b/>
              </w:rPr>
              <w:t>4,</w:t>
            </w:r>
            <w:r w:rsidRPr="002903B7">
              <w:rPr>
                <w:b/>
              </w:rPr>
              <w:t>0</w:t>
            </w:r>
            <w:r>
              <w:rPr>
                <w:b/>
              </w:rPr>
              <w:t>00.9</w:t>
            </w:r>
          </w:p>
        </w:tc>
        <w:tc>
          <w:tcPr>
            <w:tcW w:w="1417" w:type="dxa"/>
          </w:tcPr>
          <w:p w:rsidR="00A86593" w:rsidRPr="002903B7" w:rsidRDefault="00A86593" w:rsidP="001C741C">
            <w:pPr>
              <w:spacing w:after="120"/>
              <w:jc w:val="right"/>
              <w:rPr>
                <w:b/>
              </w:rPr>
            </w:pPr>
            <w:r w:rsidRPr="002903B7">
              <w:rPr>
                <w:b/>
              </w:rPr>
              <w:t>3,906</w:t>
            </w:r>
            <w:r>
              <w:rPr>
                <w:b/>
              </w:rPr>
              <w:t>.2</w:t>
            </w:r>
          </w:p>
        </w:tc>
      </w:tr>
      <w:tr w:rsidR="00A86593" w:rsidTr="001C741C">
        <w:tc>
          <w:tcPr>
            <w:tcW w:w="3357" w:type="dxa"/>
          </w:tcPr>
          <w:p w:rsidR="00A86593" w:rsidRPr="002903B7" w:rsidRDefault="00A86593" w:rsidP="001C741C">
            <w:pPr>
              <w:spacing w:after="120"/>
              <w:rPr>
                <w:b/>
              </w:rPr>
            </w:pPr>
            <w:r w:rsidRPr="002903B7">
              <w:rPr>
                <w:b/>
              </w:rPr>
              <w:t>Financial Liabilities</w:t>
            </w:r>
          </w:p>
        </w:tc>
        <w:tc>
          <w:tcPr>
            <w:tcW w:w="1985" w:type="dxa"/>
          </w:tcPr>
          <w:p w:rsidR="00A86593" w:rsidRDefault="00A86593" w:rsidP="001C741C">
            <w:pPr>
              <w:spacing w:after="120"/>
              <w:jc w:val="right"/>
            </w:pPr>
          </w:p>
        </w:tc>
        <w:tc>
          <w:tcPr>
            <w:tcW w:w="2095" w:type="dxa"/>
          </w:tcPr>
          <w:p w:rsidR="00A86593" w:rsidRDefault="00A86593" w:rsidP="001C741C">
            <w:pPr>
              <w:spacing w:after="120"/>
              <w:jc w:val="right"/>
            </w:pPr>
          </w:p>
        </w:tc>
        <w:tc>
          <w:tcPr>
            <w:tcW w:w="1449" w:type="dxa"/>
          </w:tcPr>
          <w:p w:rsidR="00A86593" w:rsidRDefault="00A86593" w:rsidP="001C741C">
            <w:pPr>
              <w:spacing w:after="120"/>
              <w:jc w:val="right"/>
            </w:pPr>
          </w:p>
        </w:tc>
        <w:tc>
          <w:tcPr>
            <w:tcW w:w="1417" w:type="dxa"/>
          </w:tcPr>
          <w:p w:rsidR="00A86593" w:rsidRDefault="00A86593" w:rsidP="001C741C">
            <w:pPr>
              <w:spacing w:after="120"/>
              <w:jc w:val="right"/>
            </w:pPr>
          </w:p>
        </w:tc>
      </w:tr>
      <w:tr w:rsidR="00A86593" w:rsidTr="001C741C">
        <w:tc>
          <w:tcPr>
            <w:tcW w:w="3357" w:type="dxa"/>
          </w:tcPr>
          <w:p w:rsidR="00A86593" w:rsidRDefault="00A86593" w:rsidP="001C741C">
            <w:pPr>
              <w:spacing w:after="120"/>
            </w:pPr>
            <w:r>
              <w:t>Trading and other financial assets at fair value through profit and loss</w:t>
            </w:r>
          </w:p>
        </w:tc>
        <w:tc>
          <w:tcPr>
            <w:tcW w:w="1985" w:type="dxa"/>
            <w:vAlign w:val="center"/>
          </w:tcPr>
          <w:p w:rsidR="00A86593" w:rsidRDefault="00A86593" w:rsidP="001C741C">
            <w:pPr>
              <w:spacing w:after="120"/>
              <w:jc w:val="right"/>
            </w:pPr>
            <w:r>
              <w:t>1.6</w:t>
            </w:r>
          </w:p>
        </w:tc>
        <w:tc>
          <w:tcPr>
            <w:tcW w:w="2095" w:type="dxa"/>
            <w:vAlign w:val="center"/>
          </w:tcPr>
          <w:p w:rsidR="00A86593" w:rsidRDefault="00A86593" w:rsidP="001C741C">
            <w:pPr>
              <w:spacing w:after="120"/>
              <w:jc w:val="right"/>
            </w:pPr>
            <w:r>
              <w:t>0.9</w:t>
            </w:r>
          </w:p>
        </w:tc>
        <w:tc>
          <w:tcPr>
            <w:tcW w:w="1449" w:type="dxa"/>
            <w:vAlign w:val="center"/>
          </w:tcPr>
          <w:p w:rsidR="00A86593" w:rsidRDefault="00A86593" w:rsidP="001C741C">
            <w:pPr>
              <w:spacing w:after="120"/>
              <w:jc w:val="right"/>
            </w:pPr>
            <w:r>
              <w:t>1.6</w:t>
            </w:r>
          </w:p>
        </w:tc>
        <w:tc>
          <w:tcPr>
            <w:tcW w:w="1417" w:type="dxa"/>
            <w:vAlign w:val="center"/>
          </w:tcPr>
          <w:p w:rsidR="00A86593" w:rsidRDefault="00A86593" w:rsidP="001C741C">
            <w:pPr>
              <w:spacing w:after="120"/>
              <w:jc w:val="right"/>
            </w:pPr>
            <w:r>
              <w:t>0.9</w:t>
            </w:r>
          </w:p>
        </w:tc>
      </w:tr>
      <w:tr w:rsidR="00A86593" w:rsidTr="001C741C">
        <w:tc>
          <w:tcPr>
            <w:tcW w:w="3357" w:type="dxa"/>
          </w:tcPr>
          <w:p w:rsidR="00A86593" w:rsidRDefault="00A86593" w:rsidP="001C741C">
            <w:pPr>
              <w:spacing w:after="120"/>
            </w:pPr>
            <w:r>
              <w:t>Financial liabilities at amortised cost</w:t>
            </w:r>
          </w:p>
        </w:tc>
        <w:tc>
          <w:tcPr>
            <w:tcW w:w="1985" w:type="dxa"/>
          </w:tcPr>
          <w:p w:rsidR="00A86593" w:rsidRDefault="00A86593" w:rsidP="001C741C">
            <w:pPr>
              <w:spacing w:after="120"/>
              <w:jc w:val="right"/>
            </w:pPr>
            <w:r>
              <w:t>3.2</w:t>
            </w:r>
          </w:p>
        </w:tc>
        <w:tc>
          <w:tcPr>
            <w:tcW w:w="2095" w:type="dxa"/>
          </w:tcPr>
          <w:p w:rsidR="00A86593" w:rsidRDefault="00A86593" w:rsidP="001C741C">
            <w:pPr>
              <w:spacing w:after="120"/>
              <w:jc w:val="right"/>
            </w:pPr>
            <w:r>
              <w:t>9.2</w:t>
            </w:r>
          </w:p>
        </w:tc>
        <w:tc>
          <w:tcPr>
            <w:tcW w:w="1449" w:type="dxa"/>
          </w:tcPr>
          <w:p w:rsidR="00A86593" w:rsidRDefault="00A86593" w:rsidP="001C741C">
            <w:pPr>
              <w:spacing w:after="120"/>
              <w:jc w:val="right"/>
            </w:pPr>
            <w:r>
              <w:t>3.2</w:t>
            </w:r>
          </w:p>
        </w:tc>
        <w:tc>
          <w:tcPr>
            <w:tcW w:w="1417" w:type="dxa"/>
          </w:tcPr>
          <w:p w:rsidR="00A86593" w:rsidRDefault="00A86593" w:rsidP="001C741C">
            <w:pPr>
              <w:spacing w:after="120"/>
              <w:jc w:val="right"/>
            </w:pPr>
            <w:r>
              <w:t>9.2</w:t>
            </w:r>
          </w:p>
        </w:tc>
      </w:tr>
      <w:tr w:rsidR="00A86593" w:rsidRPr="002903B7" w:rsidTr="001C741C">
        <w:tc>
          <w:tcPr>
            <w:tcW w:w="3357" w:type="dxa"/>
          </w:tcPr>
          <w:p w:rsidR="00A86593" w:rsidRPr="002903B7" w:rsidRDefault="00A86593" w:rsidP="001C741C">
            <w:pPr>
              <w:spacing w:after="120"/>
              <w:rPr>
                <w:b/>
              </w:rPr>
            </w:pPr>
            <w:r w:rsidRPr="002903B7">
              <w:rPr>
                <w:b/>
              </w:rPr>
              <w:t>Total Financial Liabilities</w:t>
            </w:r>
          </w:p>
        </w:tc>
        <w:tc>
          <w:tcPr>
            <w:tcW w:w="1985" w:type="dxa"/>
          </w:tcPr>
          <w:p w:rsidR="00A86593" w:rsidRPr="002903B7" w:rsidRDefault="00A86593" w:rsidP="001C741C">
            <w:pPr>
              <w:spacing w:after="120"/>
              <w:jc w:val="right"/>
              <w:rPr>
                <w:b/>
              </w:rPr>
            </w:pPr>
            <w:r>
              <w:rPr>
                <w:b/>
              </w:rPr>
              <w:t>4.8</w:t>
            </w:r>
          </w:p>
        </w:tc>
        <w:tc>
          <w:tcPr>
            <w:tcW w:w="2095" w:type="dxa"/>
          </w:tcPr>
          <w:p w:rsidR="00A86593" w:rsidRPr="002903B7" w:rsidRDefault="00A86593" w:rsidP="001C741C">
            <w:pPr>
              <w:spacing w:after="120"/>
              <w:jc w:val="right"/>
              <w:rPr>
                <w:b/>
              </w:rPr>
            </w:pPr>
            <w:r>
              <w:rPr>
                <w:b/>
              </w:rPr>
              <w:t>10.1</w:t>
            </w:r>
          </w:p>
        </w:tc>
        <w:tc>
          <w:tcPr>
            <w:tcW w:w="1449" w:type="dxa"/>
          </w:tcPr>
          <w:p w:rsidR="00A86593" w:rsidRPr="002903B7" w:rsidRDefault="00A86593" w:rsidP="001C741C">
            <w:pPr>
              <w:spacing w:after="120"/>
              <w:jc w:val="right"/>
              <w:rPr>
                <w:b/>
              </w:rPr>
            </w:pPr>
            <w:r>
              <w:rPr>
                <w:b/>
              </w:rPr>
              <w:t>4.8</w:t>
            </w:r>
          </w:p>
        </w:tc>
        <w:tc>
          <w:tcPr>
            <w:tcW w:w="1417" w:type="dxa"/>
          </w:tcPr>
          <w:p w:rsidR="00A86593" w:rsidRPr="002903B7" w:rsidRDefault="00A86593" w:rsidP="001C741C">
            <w:pPr>
              <w:spacing w:after="120"/>
              <w:jc w:val="right"/>
              <w:rPr>
                <w:b/>
              </w:rPr>
            </w:pPr>
            <w:r>
              <w:rPr>
                <w:b/>
              </w:rPr>
              <w:t>10.1</w:t>
            </w:r>
          </w:p>
        </w:tc>
      </w:tr>
    </w:tbl>
    <w:p w:rsidR="00A86593" w:rsidRDefault="00A86593" w:rsidP="00A86593">
      <w:pPr>
        <w:spacing w:after="120"/>
        <w:ind w:left="720"/>
      </w:pPr>
    </w:p>
    <w:p w:rsidR="00A86593" w:rsidRDefault="00A86593" w:rsidP="00A86593">
      <w:pPr>
        <w:pStyle w:val="ListParagraph"/>
        <w:numPr>
          <w:ilvl w:val="0"/>
          <w:numId w:val="60"/>
        </w:numPr>
        <w:contextualSpacing/>
        <w:rPr>
          <w:b/>
        </w:rPr>
      </w:pPr>
      <w:r w:rsidRPr="000637CA">
        <w:rPr>
          <w:b/>
        </w:rPr>
        <w:t xml:space="preserve">Financial Instruments – Valuation </w:t>
      </w:r>
    </w:p>
    <w:p w:rsidR="00A86593" w:rsidRPr="000637CA" w:rsidRDefault="00A86593" w:rsidP="00A86593">
      <w:pPr>
        <w:pStyle w:val="ListParagraph"/>
        <w:rPr>
          <w:b/>
        </w:rPr>
      </w:pPr>
    </w:p>
    <w:p w:rsidR="00A86593" w:rsidRDefault="00A86593" w:rsidP="00A86593">
      <w:pPr>
        <w:ind w:left="720"/>
        <w:rPr>
          <w:b/>
        </w:rPr>
      </w:pPr>
      <w:r>
        <w:rPr>
          <w:b/>
        </w:rPr>
        <w:t>Valuation of financial instruments carried at fair value</w:t>
      </w:r>
    </w:p>
    <w:p w:rsidR="00A86593" w:rsidRDefault="00A86593" w:rsidP="00A86593">
      <w:pPr>
        <w:ind w:left="720"/>
        <w:rPr>
          <w:b/>
        </w:rPr>
      </w:pPr>
    </w:p>
    <w:p w:rsidR="00A86593" w:rsidRDefault="00A86593" w:rsidP="003B314A">
      <w:pPr>
        <w:ind w:left="720"/>
        <w:jc w:val="both"/>
      </w:pPr>
      <w:r w:rsidRPr="000637CA">
        <w:t>The valuation of financial instruments has been classified into three levels according to quality and reliability of information used to determine fair values.</w:t>
      </w:r>
    </w:p>
    <w:p w:rsidR="00A86593" w:rsidRPr="000637CA" w:rsidRDefault="00A86593" w:rsidP="003B314A">
      <w:pPr>
        <w:ind w:left="720"/>
        <w:jc w:val="both"/>
      </w:pPr>
    </w:p>
    <w:p w:rsidR="00A86593" w:rsidRDefault="00A86593" w:rsidP="003B314A">
      <w:pPr>
        <w:ind w:left="720"/>
        <w:jc w:val="both"/>
        <w:rPr>
          <w:b/>
          <w:sz w:val="22"/>
          <w:szCs w:val="22"/>
        </w:rPr>
      </w:pPr>
      <w:r w:rsidRPr="00C92E34">
        <w:rPr>
          <w:b/>
          <w:sz w:val="22"/>
          <w:szCs w:val="22"/>
        </w:rPr>
        <w:t>Level 1</w:t>
      </w:r>
    </w:p>
    <w:p w:rsidR="00A86593" w:rsidRDefault="00A86593" w:rsidP="003B314A">
      <w:pPr>
        <w:ind w:left="720"/>
        <w:jc w:val="both"/>
        <w:rPr>
          <w:b/>
          <w:sz w:val="22"/>
          <w:szCs w:val="22"/>
        </w:rPr>
      </w:pPr>
    </w:p>
    <w:p w:rsidR="00A86593" w:rsidRDefault="00A86593" w:rsidP="003B314A">
      <w:pPr>
        <w:ind w:left="720"/>
        <w:jc w:val="both"/>
      </w:pPr>
      <w:r w:rsidRPr="000637CA">
        <w:t>Level 1 fair value measurements are those derived from unadjusted quoted prices in active markets for identical assets or liabilities.  Products classified as level 1 comprise quoted equities, quoted fixed securities, quoted index linked securities and unit trusts.</w:t>
      </w:r>
    </w:p>
    <w:p w:rsidR="00A86593" w:rsidRPr="000637CA" w:rsidRDefault="00A86593" w:rsidP="003B314A">
      <w:pPr>
        <w:ind w:left="720"/>
        <w:jc w:val="both"/>
      </w:pPr>
    </w:p>
    <w:p w:rsidR="00A86593" w:rsidRDefault="00A86593" w:rsidP="003B314A">
      <w:pPr>
        <w:ind w:left="720"/>
        <w:jc w:val="both"/>
      </w:pPr>
      <w:r w:rsidRPr="000637CA">
        <w:t>Listed investments are shown at bid prices.  The bid value of the investment is based on the bid market quotation of the relevant stock exchange.</w:t>
      </w:r>
    </w:p>
    <w:p w:rsidR="00A86593" w:rsidRPr="000637CA" w:rsidRDefault="00A86593" w:rsidP="003B314A">
      <w:pPr>
        <w:ind w:left="720"/>
        <w:jc w:val="both"/>
      </w:pPr>
    </w:p>
    <w:p w:rsidR="00A86593" w:rsidRDefault="00A86593" w:rsidP="003B314A">
      <w:pPr>
        <w:ind w:left="720"/>
        <w:jc w:val="both"/>
        <w:rPr>
          <w:b/>
          <w:sz w:val="22"/>
          <w:szCs w:val="22"/>
        </w:rPr>
      </w:pPr>
      <w:r w:rsidRPr="00B94BBC">
        <w:rPr>
          <w:b/>
          <w:sz w:val="22"/>
          <w:szCs w:val="22"/>
        </w:rPr>
        <w:t>Level 2</w:t>
      </w:r>
    </w:p>
    <w:p w:rsidR="00A86593" w:rsidRPr="00B94BBC" w:rsidRDefault="00A86593" w:rsidP="003B314A">
      <w:pPr>
        <w:ind w:left="720"/>
        <w:jc w:val="both"/>
        <w:rPr>
          <w:b/>
          <w:sz w:val="22"/>
          <w:szCs w:val="22"/>
        </w:rPr>
      </w:pPr>
    </w:p>
    <w:p w:rsidR="00A86593" w:rsidRDefault="00A86593" w:rsidP="003B314A">
      <w:pPr>
        <w:ind w:left="720"/>
        <w:jc w:val="both"/>
      </w:pPr>
      <w:r w:rsidRPr="000637CA">
        <w:t xml:space="preserve">Level 2 investments are those where quoted market prices are not available, for example where an instrument is traded in a market that is not considered to be active or valuation techniques are used to determine fair value and where these techniques use inputs that are based significantly on observable market data.  </w:t>
      </w:r>
    </w:p>
    <w:p w:rsidR="00A86593" w:rsidRPr="00013491" w:rsidRDefault="00A86593" w:rsidP="003B314A">
      <w:pPr>
        <w:ind w:left="720"/>
        <w:jc w:val="both"/>
      </w:pPr>
    </w:p>
    <w:p w:rsidR="00A86593" w:rsidRDefault="00A86593" w:rsidP="003B314A">
      <w:pPr>
        <w:ind w:left="720"/>
        <w:jc w:val="both"/>
        <w:rPr>
          <w:b/>
          <w:sz w:val="22"/>
          <w:szCs w:val="22"/>
        </w:rPr>
      </w:pPr>
      <w:r w:rsidRPr="00B94BBC">
        <w:rPr>
          <w:b/>
          <w:sz w:val="22"/>
          <w:szCs w:val="22"/>
        </w:rPr>
        <w:t>Level 3</w:t>
      </w:r>
    </w:p>
    <w:p w:rsidR="00A86593" w:rsidRPr="00B94BBC" w:rsidRDefault="00A86593" w:rsidP="003B314A">
      <w:pPr>
        <w:ind w:left="720"/>
        <w:jc w:val="both"/>
        <w:rPr>
          <w:b/>
          <w:sz w:val="22"/>
          <w:szCs w:val="22"/>
        </w:rPr>
      </w:pPr>
    </w:p>
    <w:p w:rsidR="00A86593" w:rsidRDefault="00A86593" w:rsidP="003B314A">
      <w:pPr>
        <w:ind w:left="720"/>
        <w:jc w:val="both"/>
        <w:rPr>
          <w:sz w:val="22"/>
          <w:szCs w:val="22"/>
        </w:rPr>
      </w:pPr>
      <w:r w:rsidRPr="000637CA">
        <w:t>Level 3 portfolios are those where at least one input which could have a significant effect on the instrument's valuation is not based on observable market data.  Such instruments would include unquoted equity investments and hedge fund</w:t>
      </w:r>
      <w:r>
        <w:t xml:space="preserve"> of funds</w:t>
      </w:r>
      <w:r w:rsidRPr="000637CA">
        <w:t>, which are valued using various valuation techniques that require significant judgement in determining appropriate assumptions</w:t>
      </w:r>
      <w:r>
        <w:rPr>
          <w:sz w:val="22"/>
          <w:szCs w:val="22"/>
        </w:rPr>
        <w:t>.</w:t>
      </w:r>
    </w:p>
    <w:p w:rsidR="00A86593" w:rsidRDefault="00A86593" w:rsidP="00A86593">
      <w:pPr>
        <w:ind w:left="720"/>
        <w:rPr>
          <w:sz w:val="22"/>
          <w:szCs w:val="22"/>
        </w:rPr>
      </w:pPr>
    </w:p>
    <w:p w:rsidR="00A86593" w:rsidRDefault="00A86593" w:rsidP="003B314A">
      <w:pPr>
        <w:ind w:left="720"/>
        <w:jc w:val="both"/>
      </w:pPr>
      <w:r w:rsidRPr="000637CA">
        <w:t>The values of the investment in private equity are based on valuations provided by the general partners to the private equity funds in which Lancashire County Pension Fund has invested.  These valuations are prepared in accordance with the International Private Equity and Venture Capital Valuation Guidelines, which follow the valuation principles of IFRS and US GAAP.  Valuations are performed annually mainly</w:t>
      </w:r>
      <w:r>
        <w:t>,</w:t>
      </w:r>
      <w:r w:rsidRPr="000637CA">
        <w:t xml:space="preserve"> and </w:t>
      </w:r>
      <w:r>
        <w:t xml:space="preserve">at </w:t>
      </w:r>
      <w:r w:rsidRPr="000637CA">
        <w:t>the end of December.  Cash flow adjustments are used to roll forward the valuations to 31 March as appropriate.</w:t>
      </w:r>
    </w:p>
    <w:p w:rsidR="00A86593" w:rsidRPr="000637CA" w:rsidRDefault="00A86593" w:rsidP="003B314A">
      <w:pPr>
        <w:ind w:left="720"/>
        <w:jc w:val="both"/>
      </w:pPr>
    </w:p>
    <w:p w:rsidR="00A86593" w:rsidRDefault="00A86593" w:rsidP="003B314A">
      <w:pPr>
        <w:ind w:left="720"/>
        <w:jc w:val="both"/>
      </w:pPr>
      <w:r w:rsidRPr="000637CA">
        <w:t>The table below provides an analysis of the financial assets and liabilities of the Pension Fund grouped into level 1 to 3 based on the level of which the fair value is observable.</w:t>
      </w:r>
    </w:p>
    <w:p w:rsidR="00A86593" w:rsidRDefault="00A86593" w:rsidP="00A86593">
      <w:pPr>
        <w:ind w:left="720"/>
      </w:pPr>
    </w:p>
    <w:tbl>
      <w:tblPr>
        <w:tblStyle w:val="TableGrid"/>
        <w:tblW w:w="1030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57"/>
        <w:gridCol w:w="1985"/>
        <w:gridCol w:w="2095"/>
        <w:gridCol w:w="1449"/>
        <w:gridCol w:w="1417"/>
      </w:tblGrid>
      <w:tr w:rsidR="00A86593" w:rsidRPr="00FB0F1F" w:rsidTr="001C741C">
        <w:tc>
          <w:tcPr>
            <w:tcW w:w="3357" w:type="dxa"/>
          </w:tcPr>
          <w:p w:rsidR="00A86593" w:rsidRPr="00FB0F1F" w:rsidRDefault="00A86593" w:rsidP="001C741C">
            <w:pPr>
              <w:jc w:val="center"/>
              <w:rPr>
                <w:b/>
              </w:rPr>
            </w:pPr>
            <w:r>
              <w:rPr>
                <w:b/>
              </w:rPr>
              <w:t>2012</w:t>
            </w:r>
          </w:p>
        </w:tc>
        <w:tc>
          <w:tcPr>
            <w:tcW w:w="1985" w:type="dxa"/>
          </w:tcPr>
          <w:p w:rsidR="00A86593" w:rsidRPr="00FB0F1F" w:rsidRDefault="00A86593" w:rsidP="001C741C">
            <w:pPr>
              <w:jc w:val="right"/>
              <w:rPr>
                <w:b/>
              </w:rPr>
            </w:pPr>
            <w:r>
              <w:rPr>
                <w:b/>
              </w:rPr>
              <w:t>Level 1</w:t>
            </w:r>
          </w:p>
        </w:tc>
        <w:tc>
          <w:tcPr>
            <w:tcW w:w="2095" w:type="dxa"/>
          </w:tcPr>
          <w:p w:rsidR="00A86593" w:rsidRPr="00FB0F1F" w:rsidRDefault="00A86593" w:rsidP="001C741C">
            <w:pPr>
              <w:jc w:val="right"/>
              <w:rPr>
                <w:b/>
              </w:rPr>
            </w:pPr>
            <w:r>
              <w:rPr>
                <w:b/>
              </w:rPr>
              <w:t>Level 2</w:t>
            </w:r>
          </w:p>
        </w:tc>
        <w:tc>
          <w:tcPr>
            <w:tcW w:w="1449" w:type="dxa"/>
          </w:tcPr>
          <w:p w:rsidR="00A86593" w:rsidRPr="00FB0F1F" w:rsidRDefault="00A86593" w:rsidP="001C741C">
            <w:pPr>
              <w:jc w:val="right"/>
              <w:rPr>
                <w:b/>
              </w:rPr>
            </w:pPr>
            <w:r>
              <w:rPr>
                <w:b/>
              </w:rPr>
              <w:t>Level 3</w:t>
            </w:r>
          </w:p>
        </w:tc>
        <w:tc>
          <w:tcPr>
            <w:tcW w:w="1417" w:type="dxa"/>
          </w:tcPr>
          <w:p w:rsidR="00A86593" w:rsidRPr="00FB0F1F" w:rsidRDefault="00A86593" w:rsidP="001C741C">
            <w:pPr>
              <w:jc w:val="right"/>
              <w:rPr>
                <w:b/>
              </w:rPr>
            </w:pPr>
            <w:r>
              <w:rPr>
                <w:b/>
              </w:rPr>
              <w:t>Total</w:t>
            </w:r>
          </w:p>
        </w:tc>
      </w:tr>
      <w:tr w:rsidR="00A86593" w:rsidRPr="00FB0F1F" w:rsidTr="001C741C">
        <w:tc>
          <w:tcPr>
            <w:tcW w:w="3357" w:type="dxa"/>
          </w:tcPr>
          <w:p w:rsidR="00A86593" w:rsidRPr="00FB0F1F" w:rsidRDefault="00A86593" w:rsidP="001C741C">
            <w:pPr>
              <w:rPr>
                <w:b/>
              </w:rPr>
            </w:pPr>
          </w:p>
        </w:tc>
        <w:tc>
          <w:tcPr>
            <w:tcW w:w="1985" w:type="dxa"/>
          </w:tcPr>
          <w:p w:rsidR="00A86593" w:rsidRPr="00FB0F1F" w:rsidRDefault="00A86593" w:rsidP="001C741C">
            <w:pPr>
              <w:jc w:val="right"/>
              <w:rPr>
                <w:b/>
              </w:rPr>
            </w:pPr>
            <w:r>
              <w:rPr>
                <w:b/>
              </w:rPr>
              <w:t>£m</w:t>
            </w:r>
          </w:p>
        </w:tc>
        <w:tc>
          <w:tcPr>
            <w:tcW w:w="2095" w:type="dxa"/>
          </w:tcPr>
          <w:p w:rsidR="00A86593" w:rsidRPr="00FB0F1F" w:rsidRDefault="00A86593" w:rsidP="001C741C">
            <w:pPr>
              <w:jc w:val="right"/>
              <w:rPr>
                <w:b/>
              </w:rPr>
            </w:pPr>
            <w:r>
              <w:rPr>
                <w:b/>
              </w:rPr>
              <w:t>£m</w:t>
            </w:r>
          </w:p>
        </w:tc>
        <w:tc>
          <w:tcPr>
            <w:tcW w:w="1449" w:type="dxa"/>
          </w:tcPr>
          <w:p w:rsidR="00A86593" w:rsidRPr="00FB0F1F" w:rsidRDefault="00A86593" w:rsidP="001C741C">
            <w:pPr>
              <w:jc w:val="right"/>
              <w:rPr>
                <w:b/>
              </w:rPr>
            </w:pPr>
            <w:r>
              <w:rPr>
                <w:b/>
              </w:rPr>
              <w:t>£m</w:t>
            </w:r>
          </w:p>
        </w:tc>
        <w:tc>
          <w:tcPr>
            <w:tcW w:w="1417" w:type="dxa"/>
          </w:tcPr>
          <w:p w:rsidR="00A86593" w:rsidRPr="00FB0F1F" w:rsidRDefault="00A86593" w:rsidP="001C741C">
            <w:pPr>
              <w:jc w:val="right"/>
              <w:rPr>
                <w:b/>
              </w:rPr>
            </w:pPr>
            <w:r>
              <w:rPr>
                <w:b/>
              </w:rPr>
              <w:t>£m</w:t>
            </w:r>
          </w:p>
        </w:tc>
      </w:tr>
      <w:tr w:rsidR="00A86593" w:rsidTr="001C741C">
        <w:tc>
          <w:tcPr>
            <w:tcW w:w="3357" w:type="dxa"/>
          </w:tcPr>
          <w:p w:rsidR="00A86593" w:rsidRPr="002903B7" w:rsidRDefault="00A86593" w:rsidP="001C741C">
            <w:pPr>
              <w:spacing w:after="120"/>
              <w:rPr>
                <w:b/>
              </w:rPr>
            </w:pPr>
            <w:r w:rsidRPr="002903B7">
              <w:rPr>
                <w:b/>
              </w:rPr>
              <w:t>Financial assets</w:t>
            </w:r>
          </w:p>
        </w:tc>
        <w:tc>
          <w:tcPr>
            <w:tcW w:w="1985" w:type="dxa"/>
          </w:tcPr>
          <w:p w:rsidR="00A86593" w:rsidRDefault="00A86593" w:rsidP="001C741C">
            <w:pPr>
              <w:spacing w:after="120"/>
              <w:jc w:val="right"/>
            </w:pPr>
          </w:p>
        </w:tc>
        <w:tc>
          <w:tcPr>
            <w:tcW w:w="2095" w:type="dxa"/>
          </w:tcPr>
          <w:p w:rsidR="00A86593" w:rsidRDefault="00A86593" w:rsidP="001C741C">
            <w:pPr>
              <w:spacing w:after="120"/>
              <w:jc w:val="right"/>
            </w:pPr>
          </w:p>
        </w:tc>
        <w:tc>
          <w:tcPr>
            <w:tcW w:w="1449" w:type="dxa"/>
          </w:tcPr>
          <w:p w:rsidR="00A86593" w:rsidRDefault="00A86593" w:rsidP="001C741C">
            <w:pPr>
              <w:spacing w:after="120"/>
              <w:jc w:val="right"/>
            </w:pPr>
          </w:p>
        </w:tc>
        <w:tc>
          <w:tcPr>
            <w:tcW w:w="1417" w:type="dxa"/>
          </w:tcPr>
          <w:p w:rsidR="00A86593" w:rsidRDefault="00A86593" w:rsidP="001C741C">
            <w:pPr>
              <w:spacing w:after="120"/>
              <w:jc w:val="right"/>
            </w:pPr>
          </w:p>
        </w:tc>
      </w:tr>
      <w:tr w:rsidR="00A86593" w:rsidRPr="00CA707F" w:rsidTr="001C741C">
        <w:tc>
          <w:tcPr>
            <w:tcW w:w="3357" w:type="dxa"/>
          </w:tcPr>
          <w:p w:rsidR="00A86593" w:rsidRPr="00CA707F" w:rsidRDefault="00A86593" w:rsidP="001C741C">
            <w:pPr>
              <w:spacing w:after="120"/>
            </w:pPr>
            <w:r>
              <w:t>Financial assets at fair value through profit and loss</w:t>
            </w:r>
          </w:p>
        </w:tc>
        <w:tc>
          <w:tcPr>
            <w:tcW w:w="1985" w:type="dxa"/>
          </w:tcPr>
          <w:p w:rsidR="00A86593" w:rsidRPr="00CA707F" w:rsidRDefault="00A86593" w:rsidP="001C741C">
            <w:pPr>
              <w:spacing w:after="120"/>
              <w:jc w:val="right"/>
            </w:pPr>
            <w:r>
              <w:t xml:space="preserve">3563.3   </w:t>
            </w:r>
          </w:p>
        </w:tc>
        <w:tc>
          <w:tcPr>
            <w:tcW w:w="2095" w:type="dxa"/>
          </w:tcPr>
          <w:p w:rsidR="00A86593" w:rsidRPr="00CA707F" w:rsidRDefault="00A86593" w:rsidP="001C741C">
            <w:pPr>
              <w:spacing w:after="120"/>
              <w:jc w:val="right"/>
            </w:pPr>
            <w:r>
              <w:t>-</w:t>
            </w:r>
          </w:p>
        </w:tc>
        <w:tc>
          <w:tcPr>
            <w:tcW w:w="1449" w:type="dxa"/>
          </w:tcPr>
          <w:p w:rsidR="00A86593" w:rsidRPr="00CA707F" w:rsidRDefault="00A86593" w:rsidP="001C741C">
            <w:pPr>
              <w:spacing w:after="120"/>
              <w:jc w:val="right"/>
            </w:pPr>
            <w:r>
              <w:t>287.5</w:t>
            </w:r>
          </w:p>
        </w:tc>
        <w:tc>
          <w:tcPr>
            <w:tcW w:w="1417" w:type="dxa"/>
          </w:tcPr>
          <w:p w:rsidR="00A86593" w:rsidRPr="00CA707F" w:rsidRDefault="00A86593" w:rsidP="001C741C">
            <w:pPr>
              <w:spacing w:after="120"/>
              <w:jc w:val="right"/>
            </w:pPr>
            <w:r>
              <w:t>3850.8</w:t>
            </w:r>
          </w:p>
        </w:tc>
      </w:tr>
      <w:tr w:rsidR="00A86593" w:rsidRPr="00CA707F" w:rsidTr="001C741C">
        <w:tc>
          <w:tcPr>
            <w:tcW w:w="3357" w:type="dxa"/>
          </w:tcPr>
          <w:p w:rsidR="00A86593" w:rsidRDefault="00A86593" w:rsidP="001C741C">
            <w:pPr>
              <w:spacing w:after="120"/>
            </w:pPr>
            <w:r>
              <w:t>Loans and Receivables</w:t>
            </w:r>
          </w:p>
        </w:tc>
        <w:tc>
          <w:tcPr>
            <w:tcW w:w="1985" w:type="dxa"/>
          </w:tcPr>
          <w:p w:rsidR="00A86593" w:rsidRPr="00CA707F" w:rsidRDefault="00A86593" w:rsidP="001C741C">
            <w:pPr>
              <w:spacing w:after="120"/>
              <w:jc w:val="right"/>
            </w:pPr>
            <w:r>
              <w:t>150.1</w:t>
            </w:r>
          </w:p>
        </w:tc>
        <w:tc>
          <w:tcPr>
            <w:tcW w:w="2095" w:type="dxa"/>
          </w:tcPr>
          <w:p w:rsidR="00A86593" w:rsidRPr="00CA707F" w:rsidRDefault="00A86593" w:rsidP="001C741C">
            <w:pPr>
              <w:spacing w:after="120"/>
              <w:jc w:val="right"/>
            </w:pPr>
            <w:r>
              <w:t>-</w:t>
            </w:r>
          </w:p>
        </w:tc>
        <w:tc>
          <w:tcPr>
            <w:tcW w:w="1449" w:type="dxa"/>
          </w:tcPr>
          <w:p w:rsidR="00A86593" w:rsidRPr="00CA707F" w:rsidRDefault="00A86593" w:rsidP="001C741C">
            <w:pPr>
              <w:spacing w:after="120"/>
              <w:jc w:val="right"/>
            </w:pPr>
            <w:r>
              <w:t>-</w:t>
            </w:r>
          </w:p>
        </w:tc>
        <w:tc>
          <w:tcPr>
            <w:tcW w:w="1417" w:type="dxa"/>
          </w:tcPr>
          <w:p w:rsidR="00A86593" w:rsidRDefault="00A86593" w:rsidP="001C741C">
            <w:pPr>
              <w:spacing w:after="120"/>
              <w:jc w:val="right"/>
            </w:pPr>
            <w:r>
              <w:t>150.1</w:t>
            </w:r>
          </w:p>
        </w:tc>
      </w:tr>
      <w:tr w:rsidR="00A86593" w:rsidRPr="00CA707F" w:rsidTr="001C741C">
        <w:tc>
          <w:tcPr>
            <w:tcW w:w="3357" w:type="dxa"/>
          </w:tcPr>
          <w:p w:rsidR="00A86593" w:rsidRPr="00CA707F" w:rsidRDefault="00A86593" w:rsidP="001C741C">
            <w:pPr>
              <w:spacing w:after="360"/>
              <w:rPr>
                <w:b/>
              </w:rPr>
            </w:pPr>
            <w:r w:rsidRPr="00CA707F">
              <w:rPr>
                <w:b/>
              </w:rPr>
              <w:t>Total Financial assets</w:t>
            </w:r>
          </w:p>
        </w:tc>
        <w:tc>
          <w:tcPr>
            <w:tcW w:w="1985" w:type="dxa"/>
          </w:tcPr>
          <w:p w:rsidR="00A86593" w:rsidRPr="00CA707F" w:rsidRDefault="00A86593" w:rsidP="001C741C">
            <w:pPr>
              <w:spacing w:after="120"/>
              <w:jc w:val="right"/>
              <w:rPr>
                <w:b/>
              </w:rPr>
            </w:pPr>
            <w:r>
              <w:rPr>
                <w:b/>
              </w:rPr>
              <w:t>3713.4</w:t>
            </w:r>
          </w:p>
        </w:tc>
        <w:tc>
          <w:tcPr>
            <w:tcW w:w="2095" w:type="dxa"/>
          </w:tcPr>
          <w:p w:rsidR="00A86593" w:rsidRPr="00CA707F" w:rsidRDefault="00A86593" w:rsidP="001C741C">
            <w:pPr>
              <w:spacing w:after="120"/>
              <w:jc w:val="right"/>
              <w:rPr>
                <w:b/>
              </w:rPr>
            </w:pPr>
            <w:r w:rsidRPr="00CA707F">
              <w:rPr>
                <w:b/>
              </w:rPr>
              <w:t>0</w:t>
            </w:r>
          </w:p>
        </w:tc>
        <w:tc>
          <w:tcPr>
            <w:tcW w:w="1449" w:type="dxa"/>
          </w:tcPr>
          <w:p w:rsidR="00A86593" w:rsidRPr="00CA707F" w:rsidRDefault="00A86593" w:rsidP="001C741C">
            <w:pPr>
              <w:spacing w:after="120"/>
              <w:jc w:val="right"/>
              <w:rPr>
                <w:b/>
              </w:rPr>
            </w:pPr>
            <w:r>
              <w:rPr>
                <w:b/>
              </w:rPr>
              <w:t>287.5</w:t>
            </w:r>
          </w:p>
        </w:tc>
        <w:tc>
          <w:tcPr>
            <w:tcW w:w="1417" w:type="dxa"/>
          </w:tcPr>
          <w:p w:rsidR="00A86593" w:rsidRPr="00CA707F" w:rsidRDefault="00A86593" w:rsidP="001C741C">
            <w:pPr>
              <w:spacing w:after="120"/>
              <w:jc w:val="right"/>
              <w:rPr>
                <w:b/>
              </w:rPr>
            </w:pPr>
            <w:r>
              <w:rPr>
                <w:b/>
              </w:rPr>
              <w:t>4000.9</w:t>
            </w:r>
          </w:p>
        </w:tc>
      </w:tr>
      <w:tr w:rsidR="00A86593" w:rsidTr="001C7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57" w:type="dxa"/>
            <w:tcBorders>
              <w:top w:val="nil"/>
              <w:left w:val="nil"/>
              <w:bottom w:val="nil"/>
              <w:right w:val="nil"/>
            </w:tcBorders>
          </w:tcPr>
          <w:p w:rsidR="00A86593" w:rsidRPr="002903B7" w:rsidRDefault="00A86593" w:rsidP="001C741C">
            <w:pPr>
              <w:spacing w:after="120"/>
              <w:rPr>
                <w:b/>
              </w:rPr>
            </w:pPr>
            <w:r w:rsidRPr="002903B7">
              <w:rPr>
                <w:b/>
              </w:rPr>
              <w:t>Financial</w:t>
            </w:r>
            <w:r>
              <w:rPr>
                <w:b/>
              </w:rPr>
              <w:t xml:space="preserve"> Liabilities</w:t>
            </w:r>
          </w:p>
        </w:tc>
        <w:tc>
          <w:tcPr>
            <w:tcW w:w="1985" w:type="dxa"/>
            <w:tcBorders>
              <w:top w:val="nil"/>
              <w:left w:val="nil"/>
              <w:bottom w:val="nil"/>
              <w:right w:val="nil"/>
            </w:tcBorders>
          </w:tcPr>
          <w:p w:rsidR="00A86593" w:rsidRDefault="00A86593" w:rsidP="001C741C">
            <w:pPr>
              <w:spacing w:after="120"/>
              <w:jc w:val="right"/>
            </w:pPr>
          </w:p>
        </w:tc>
        <w:tc>
          <w:tcPr>
            <w:tcW w:w="2095" w:type="dxa"/>
            <w:tcBorders>
              <w:top w:val="nil"/>
              <w:left w:val="nil"/>
              <w:bottom w:val="nil"/>
              <w:right w:val="nil"/>
            </w:tcBorders>
          </w:tcPr>
          <w:p w:rsidR="00A86593" w:rsidRDefault="00A86593" w:rsidP="001C741C">
            <w:pPr>
              <w:spacing w:after="120"/>
              <w:jc w:val="right"/>
            </w:pPr>
          </w:p>
        </w:tc>
        <w:tc>
          <w:tcPr>
            <w:tcW w:w="1449" w:type="dxa"/>
            <w:tcBorders>
              <w:top w:val="nil"/>
              <w:left w:val="nil"/>
              <w:bottom w:val="nil"/>
              <w:right w:val="nil"/>
            </w:tcBorders>
          </w:tcPr>
          <w:p w:rsidR="00A86593" w:rsidRDefault="00A86593" w:rsidP="001C741C">
            <w:pPr>
              <w:spacing w:after="120"/>
              <w:jc w:val="right"/>
            </w:pPr>
          </w:p>
        </w:tc>
        <w:tc>
          <w:tcPr>
            <w:tcW w:w="1417" w:type="dxa"/>
            <w:tcBorders>
              <w:top w:val="nil"/>
              <w:left w:val="nil"/>
              <w:bottom w:val="nil"/>
              <w:right w:val="nil"/>
            </w:tcBorders>
          </w:tcPr>
          <w:p w:rsidR="00A86593" w:rsidRDefault="00A86593" w:rsidP="001C741C">
            <w:pPr>
              <w:spacing w:after="120"/>
              <w:jc w:val="right"/>
            </w:pPr>
          </w:p>
        </w:tc>
      </w:tr>
      <w:tr w:rsidR="00A86593" w:rsidRPr="00CA707F" w:rsidTr="001C7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57" w:type="dxa"/>
            <w:tcBorders>
              <w:top w:val="nil"/>
              <w:left w:val="nil"/>
              <w:bottom w:val="nil"/>
              <w:right w:val="nil"/>
            </w:tcBorders>
          </w:tcPr>
          <w:p w:rsidR="00A86593" w:rsidRPr="00CA707F" w:rsidRDefault="00A86593" w:rsidP="001C741C">
            <w:pPr>
              <w:spacing w:after="120"/>
            </w:pPr>
            <w:r>
              <w:t>Financial liabilities at fair value through profit and loss</w:t>
            </w:r>
          </w:p>
        </w:tc>
        <w:tc>
          <w:tcPr>
            <w:tcW w:w="1985" w:type="dxa"/>
            <w:tcBorders>
              <w:top w:val="nil"/>
              <w:left w:val="nil"/>
              <w:bottom w:val="nil"/>
              <w:right w:val="nil"/>
            </w:tcBorders>
          </w:tcPr>
          <w:p w:rsidR="00A86593" w:rsidRPr="00CA707F" w:rsidRDefault="00A86593" w:rsidP="001C741C">
            <w:pPr>
              <w:spacing w:after="120"/>
              <w:jc w:val="right"/>
            </w:pPr>
            <w:r>
              <w:t>1.6</w:t>
            </w:r>
          </w:p>
        </w:tc>
        <w:tc>
          <w:tcPr>
            <w:tcW w:w="2095" w:type="dxa"/>
            <w:tcBorders>
              <w:top w:val="nil"/>
              <w:left w:val="nil"/>
              <w:bottom w:val="nil"/>
              <w:right w:val="nil"/>
            </w:tcBorders>
          </w:tcPr>
          <w:p w:rsidR="00A86593" w:rsidRPr="00CA707F" w:rsidRDefault="00A86593" w:rsidP="001C741C">
            <w:pPr>
              <w:spacing w:after="120"/>
              <w:jc w:val="right"/>
            </w:pPr>
            <w:r>
              <w:t>-</w:t>
            </w:r>
          </w:p>
        </w:tc>
        <w:tc>
          <w:tcPr>
            <w:tcW w:w="1449" w:type="dxa"/>
            <w:tcBorders>
              <w:top w:val="nil"/>
              <w:left w:val="nil"/>
              <w:bottom w:val="nil"/>
              <w:right w:val="nil"/>
            </w:tcBorders>
          </w:tcPr>
          <w:p w:rsidR="00A86593" w:rsidRPr="00CA707F" w:rsidRDefault="00A86593" w:rsidP="001C741C">
            <w:pPr>
              <w:spacing w:after="120"/>
              <w:jc w:val="right"/>
            </w:pPr>
            <w:r>
              <w:t>-</w:t>
            </w:r>
          </w:p>
        </w:tc>
        <w:tc>
          <w:tcPr>
            <w:tcW w:w="1417" w:type="dxa"/>
            <w:tcBorders>
              <w:top w:val="nil"/>
              <w:left w:val="nil"/>
              <w:bottom w:val="nil"/>
              <w:right w:val="nil"/>
            </w:tcBorders>
          </w:tcPr>
          <w:p w:rsidR="00A86593" w:rsidRPr="00CA707F" w:rsidRDefault="00A86593" w:rsidP="001C741C">
            <w:pPr>
              <w:spacing w:after="120"/>
              <w:jc w:val="right"/>
            </w:pPr>
            <w:r>
              <w:t>1.6</w:t>
            </w:r>
          </w:p>
        </w:tc>
      </w:tr>
      <w:tr w:rsidR="00A86593" w:rsidTr="001C7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57" w:type="dxa"/>
            <w:tcBorders>
              <w:top w:val="nil"/>
              <w:left w:val="nil"/>
              <w:bottom w:val="nil"/>
              <w:right w:val="nil"/>
            </w:tcBorders>
          </w:tcPr>
          <w:p w:rsidR="00A86593" w:rsidRDefault="00A86593" w:rsidP="001C741C">
            <w:pPr>
              <w:spacing w:after="120"/>
            </w:pPr>
            <w:r>
              <w:t>Financial liabilities at amortised cost</w:t>
            </w:r>
          </w:p>
        </w:tc>
        <w:tc>
          <w:tcPr>
            <w:tcW w:w="1985" w:type="dxa"/>
            <w:tcBorders>
              <w:top w:val="nil"/>
              <w:left w:val="nil"/>
              <w:bottom w:val="nil"/>
              <w:right w:val="nil"/>
            </w:tcBorders>
          </w:tcPr>
          <w:p w:rsidR="00A86593" w:rsidRPr="00CA707F" w:rsidRDefault="00A86593" w:rsidP="001C741C">
            <w:pPr>
              <w:spacing w:after="120"/>
              <w:jc w:val="right"/>
            </w:pPr>
            <w:r>
              <w:t>3.2</w:t>
            </w:r>
          </w:p>
        </w:tc>
        <w:tc>
          <w:tcPr>
            <w:tcW w:w="2095" w:type="dxa"/>
            <w:tcBorders>
              <w:top w:val="nil"/>
              <w:left w:val="nil"/>
              <w:bottom w:val="nil"/>
              <w:right w:val="nil"/>
            </w:tcBorders>
          </w:tcPr>
          <w:p w:rsidR="00A86593" w:rsidRPr="00CA707F" w:rsidRDefault="00A86593" w:rsidP="001C741C">
            <w:pPr>
              <w:spacing w:after="120"/>
              <w:jc w:val="right"/>
            </w:pPr>
            <w:r>
              <w:t>-</w:t>
            </w:r>
          </w:p>
        </w:tc>
        <w:tc>
          <w:tcPr>
            <w:tcW w:w="1449" w:type="dxa"/>
            <w:tcBorders>
              <w:top w:val="nil"/>
              <w:left w:val="nil"/>
              <w:bottom w:val="nil"/>
              <w:right w:val="nil"/>
            </w:tcBorders>
          </w:tcPr>
          <w:p w:rsidR="00A86593" w:rsidRPr="00CA707F" w:rsidRDefault="00A86593" w:rsidP="001C741C">
            <w:pPr>
              <w:spacing w:after="120"/>
              <w:jc w:val="right"/>
            </w:pPr>
            <w:r>
              <w:t>-</w:t>
            </w:r>
          </w:p>
        </w:tc>
        <w:tc>
          <w:tcPr>
            <w:tcW w:w="1417" w:type="dxa"/>
            <w:tcBorders>
              <w:top w:val="nil"/>
              <w:left w:val="nil"/>
              <w:bottom w:val="nil"/>
              <w:right w:val="nil"/>
            </w:tcBorders>
          </w:tcPr>
          <w:p w:rsidR="00A86593" w:rsidRDefault="00A86593" w:rsidP="001C741C">
            <w:pPr>
              <w:spacing w:after="120"/>
              <w:jc w:val="right"/>
            </w:pPr>
            <w:r>
              <w:t>3.2</w:t>
            </w:r>
          </w:p>
        </w:tc>
      </w:tr>
      <w:tr w:rsidR="00A86593" w:rsidRPr="00CA707F" w:rsidTr="001C7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57" w:type="dxa"/>
            <w:tcBorders>
              <w:top w:val="nil"/>
              <w:left w:val="nil"/>
              <w:bottom w:val="nil"/>
              <w:right w:val="nil"/>
            </w:tcBorders>
          </w:tcPr>
          <w:p w:rsidR="00A86593" w:rsidRPr="00CA707F" w:rsidRDefault="00A86593" w:rsidP="001C741C">
            <w:pPr>
              <w:spacing w:after="120"/>
              <w:rPr>
                <w:b/>
              </w:rPr>
            </w:pPr>
            <w:r w:rsidRPr="00CA707F">
              <w:rPr>
                <w:b/>
              </w:rPr>
              <w:t>Total Financial assets</w:t>
            </w:r>
          </w:p>
        </w:tc>
        <w:tc>
          <w:tcPr>
            <w:tcW w:w="1985" w:type="dxa"/>
            <w:tcBorders>
              <w:top w:val="nil"/>
              <w:left w:val="nil"/>
              <w:bottom w:val="nil"/>
              <w:right w:val="nil"/>
            </w:tcBorders>
          </w:tcPr>
          <w:p w:rsidR="00A86593" w:rsidRPr="00CA707F" w:rsidRDefault="00A86593" w:rsidP="001C741C">
            <w:pPr>
              <w:spacing w:after="120"/>
              <w:jc w:val="right"/>
              <w:rPr>
                <w:b/>
              </w:rPr>
            </w:pPr>
            <w:r>
              <w:rPr>
                <w:b/>
              </w:rPr>
              <w:t>4.8</w:t>
            </w:r>
          </w:p>
        </w:tc>
        <w:tc>
          <w:tcPr>
            <w:tcW w:w="2095" w:type="dxa"/>
            <w:tcBorders>
              <w:top w:val="nil"/>
              <w:left w:val="nil"/>
              <w:bottom w:val="nil"/>
              <w:right w:val="nil"/>
            </w:tcBorders>
          </w:tcPr>
          <w:p w:rsidR="00A86593" w:rsidRPr="00CA707F" w:rsidRDefault="00A86593" w:rsidP="001C741C">
            <w:pPr>
              <w:spacing w:after="120"/>
              <w:jc w:val="right"/>
              <w:rPr>
                <w:b/>
              </w:rPr>
            </w:pPr>
            <w:r w:rsidRPr="00CA707F">
              <w:rPr>
                <w:b/>
              </w:rPr>
              <w:t>0</w:t>
            </w:r>
          </w:p>
        </w:tc>
        <w:tc>
          <w:tcPr>
            <w:tcW w:w="1449" w:type="dxa"/>
            <w:tcBorders>
              <w:top w:val="nil"/>
              <w:left w:val="nil"/>
              <w:bottom w:val="nil"/>
              <w:right w:val="nil"/>
            </w:tcBorders>
          </w:tcPr>
          <w:p w:rsidR="00A86593" w:rsidRPr="00CA707F" w:rsidRDefault="00A86593" w:rsidP="001C741C">
            <w:pPr>
              <w:spacing w:after="120"/>
              <w:jc w:val="right"/>
              <w:rPr>
                <w:b/>
              </w:rPr>
            </w:pPr>
            <w:r w:rsidRPr="00CA707F">
              <w:rPr>
                <w:b/>
              </w:rPr>
              <w:t>0</w:t>
            </w:r>
          </w:p>
        </w:tc>
        <w:tc>
          <w:tcPr>
            <w:tcW w:w="1417" w:type="dxa"/>
            <w:tcBorders>
              <w:top w:val="nil"/>
              <w:left w:val="nil"/>
              <w:bottom w:val="nil"/>
              <w:right w:val="nil"/>
            </w:tcBorders>
          </w:tcPr>
          <w:p w:rsidR="00A86593" w:rsidRPr="00CA707F" w:rsidRDefault="00A86593" w:rsidP="001C741C">
            <w:pPr>
              <w:spacing w:after="120"/>
              <w:jc w:val="right"/>
              <w:rPr>
                <w:b/>
              </w:rPr>
            </w:pPr>
            <w:r>
              <w:rPr>
                <w:b/>
              </w:rPr>
              <w:t>4.8</w:t>
            </w:r>
          </w:p>
        </w:tc>
      </w:tr>
    </w:tbl>
    <w:p w:rsidR="00A86593" w:rsidRPr="00CA707F" w:rsidRDefault="00A86593" w:rsidP="00A86593">
      <w:pPr>
        <w:ind w:left="720"/>
        <w:rPr>
          <w:b/>
        </w:rPr>
      </w:pPr>
    </w:p>
    <w:tbl>
      <w:tblPr>
        <w:tblStyle w:val="TableGrid"/>
        <w:tblW w:w="1030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57"/>
        <w:gridCol w:w="1985"/>
        <w:gridCol w:w="2095"/>
        <w:gridCol w:w="1449"/>
        <w:gridCol w:w="1417"/>
      </w:tblGrid>
      <w:tr w:rsidR="00A86593" w:rsidRPr="00FB0F1F" w:rsidTr="001C741C">
        <w:tc>
          <w:tcPr>
            <w:tcW w:w="3357" w:type="dxa"/>
          </w:tcPr>
          <w:p w:rsidR="00A86593" w:rsidRPr="00FB0F1F" w:rsidRDefault="00A86593" w:rsidP="001C741C">
            <w:pPr>
              <w:jc w:val="center"/>
              <w:rPr>
                <w:b/>
              </w:rPr>
            </w:pPr>
            <w:r>
              <w:rPr>
                <w:b/>
              </w:rPr>
              <w:t>2011</w:t>
            </w:r>
          </w:p>
        </w:tc>
        <w:tc>
          <w:tcPr>
            <w:tcW w:w="1985" w:type="dxa"/>
          </w:tcPr>
          <w:p w:rsidR="00A86593" w:rsidRPr="00FB0F1F" w:rsidRDefault="00A86593" w:rsidP="001C741C">
            <w:pPr>
              <w:jc w:val="right"/>
              <w:rPr>
                <w:b/>
              </w:rPr>
            </w:pPr>
            <w:r>
              <w:rPr>
                <w:b/>
              </w:rPr>
              <w:t>Level 1</w:t>
            </w:r>
          </w:p>
        </w:tc>
        <w:tc>
          <w:tcPr>
            <w:tcW w:w="2095" w:type="dxa"/>
          </w:tcPr>
          <w:p w:rsidR="00A86593" w:rsidRPr="00FB0F1F" w:rsidRDefault="00A86593" w:rsidP="001C741C">
            <w:pPr>
              <w:jc w:val="right"/>
              <w:rPr>
                <w:b/>
              </w:rPr>
            </w:pPr>
            <w:r>
              <w:rPr>
                <w:b/>
              </w:rPr>
              <w:t>Level 2</w:t>
            </w:r>
          </w:p>
        </w:tc>
        <w:tc>
          <w:tcPr>
            <w:tcW w:w="1449" w:type="dxa"/>
          </w:tcPr>
          <w:p w:rsidR="00A86593" w:rsidRPr="00FB0F1F" w:rsidRDefault="00A86593" w:rsidP="001C741C">
            <w:pPr>
              <w:jc w:val="right"/>
              <w:rPr>
                <w:b/>
              </w:rPr>
            </w:pPr>
            <w:r>
              <w:rPr>
                <w:b/>
              </w:rPr>
              <w:t>Level 3</w:t>
            </w:r>
          </w:p>
        </w:tc>
        <w:tc>
          <w:tcPr>
            <w:tcW w:w="1417" w:type="dxa"/>
          </w:tcPr>
          <w:p w:rsidR="00A86593" w:rsidRPr="00FB0F1F" w:rsidRDefault="00A86593" w:rsidP="001C741C">
            <w:pPr>
              <w:jc w:val="right"/>
              <w:rPr>
                <w:b/>
              </w:rPr>
            </w:pPr>
            <w:r>
              <w:rPr>
                <w:b/>
              </w:rPr>
              <w:t>Total</w:t>
            </w:r>
          </w:p>
        </w:tc>
      </w:tr>
      <w:tr w:rsidR="00A86593" w:rsidRPr="00FB0F1F" w:rsidTr="001C741C">
        <w:tc>
          <w:tcPr>
            <w:tcW w:w="3357" w:type="dxa"/>
          </w:tcPr>
          <w:p w:rsidR="00A86593" w:rsidRPr="00FB0F1F" w:rsidRDefault="00A86593" w:rsidP="001C741C">
            <w:pPr>
              <w:rPr>
                <w:b/>
              </w:rPr>
            </w:pPr>
          </w:p>
        </w:tc>
        <w:tc>
          <w:tcPr>
            <w:tcW w:w="1985" w:type="dxa"/>
          </w:tcPr>
          <w:p w:rsidR="00A86593" w:rsidRPr="00FB0F1F" w:rsidRDefault="00A86593" w:rsidP="001C741C">
            <w:pPr>
              <w:jc w:val="right"/>
              <w:rPr>
                <w:b/>
              </w:rPr>
            </w:pPr>
            <w:r>
              <w:rPr>
                <w:b/>
              </w:rPr>
              <w:t>£m</w:t>
            </w:r>
          </w:p>
        </w:tc>
        <w:tc>
          <w:tcPr>
            <w:tcW w:w="2095" w:type="dxa"/>
          </w:tcPr>
          <w:p w:rsidR="00A86593" w:rsidRPr="00FB0F1F" w:rsidRDefault="00A86593" w:rsidP="001C741C">
            <w:pPr>
              <w:jc w:val="right"/>
              <w:rPr>
                <w:b/>
              </w:rPr>
            </w:pPr>
            <w:r>
              <w:rPr>
                <w:b/>
              </w:rPr>
              <w:t>£m</w:t>
            </w:r>
          </w:p>
        </w:tc>
        <w:tc>
          <w:tcPr>
            <w:tcW w:w="1449" w:type="dxa"/>
          </w:tcPr>
          <w:p w:rsidR="00A86593" w:rsidRPr="00FB0F1F" w:rsidRDefault="00A86593" w:rsidP="001C741C">
            <w:pPr>
              <w:jc w:val="right"/>
              <w:rPr>
                <w:b/>
              </w:rPr>
            </w:pPr>
            <w:r>
              <w:rPr>
                <w:b/>
              </w:rPr>
              <w:t>£m</w:t>
            </w:r>
          </w:p>
        </w:tc>
        <w:tc>
          <w:tcPr>
            <w:tcW w:w="1417" w:type="dxa"/>
          </w:tcPr>
          <w:p w:rsidR="00A86593" w:rsidRPr="00FB0F1F" w:rsidRDefault="00A86593" w:rsidP="001C741C">
            <w:pPr>
              <w:jc w:val="right"/>
              <w:rPr>
                <w:b/>
              </w:rPr>
            </w:pPr>
            <w:r>
              <w:rPr>
                <w:b/>
              </w:rPr>
              <w:t>£m</w:t>
            </w:r>
          </w:p>
        </w:tc>
      </w:tr>
      <w:tr w:rsidR="00A86593" w:rsidTr="001C741C">
        <w:tc>
          <w:tcPr>
            <w:tcW w:w="3357" w:type="dxa"/>
          </w:tcPr>
          <w:p w:rsidR="00A86593" w:rsidRPr="002903B7" w:rsidRDefault="00A86593" w:rsidP="001C741C">
            <w:pPr>
              <w:spacing w:after="120"/>
              <w:rPr>
                <w:b/>
              </w:rPr>
            </w:pPr>
            <w:r w:rsidRPr="002903B7">
              <w:rPr>
                <w:b/>
              </w:rPr>
              <w:t>Financial assets</w:t>
            </w:r>
          </w:p>
        </w:tc>
        <w:tc>
          <w:tcPr>
            <w:tcW w:w="1985" w:type="dxa"/>
          </w:tcPr>
          <w:p w:rsidR="00A86593" w:rsidRDefault="00A86593" w:rsidP="001C741C">
            <w:pPr>
              <w:spacing w:after="120"/>
              <w:jc w:val="right"/>
            </w:pPr>
          </w:p>
        </w:tc>
        <w:tc>
          <w:tcPr>
            <w:tcW w:w="2095" w:type="dxa"/>
          </w:tcPr>
          <w:p w:rsidR="00A86593" w:rsidRDefault="00A86593" w:rsidP="001C741C">
            <w:pPr>
              <w:spacing w:after="120"/>
              <w:jc w:val="right"/>
            </w:pPr>
          </w:p>
        </w:tc>
        <w:tc>
          <w:tcPr>
            <w:tcW w:w="1449" w:type="dxa"/>
          </w:tcPr>
          <w:p w:rsidR="00A86593" w:rsidRDefault="00A86593" w:rsidP="001C741C">
            <w:pPr>
              <w:spacing w:after="120"/>
              <w:jc w:val="right"/>
            </w:pPr>
          </w:p>
        </w:tc>
        <w:tc>
          <w:tcPr>
            <w:tcW w:w="1417" w:type="dxa"/>
          </w:tcPr>
          <w:p w:rsidR="00A86593" w:rsidRDefault="00A86593" w:rsidP="001C741C">
            <w:pPr>
              <w:spacing w:after="120"/>
              <w:jc w:val="right"/>
            </w:pPr>
          </w:p>
        </w:tc>
      </w:tr>
      <w:tr w:rsidR="00A86593" w:rsidRPr="00CA707F" w:rsidTr="001C741C">
        <w:tc>
          <w:tcPr>
            <w:tcW w:w="3357" w:type="dxa"/>
          </w:tcPr>
          <w:p w:rsidR="00A86593" w:rsidRPr="00CA707F" w:rsidRDefault="00A86593" w:rsidP="001C741C">
            <w:pPr>
              <w:spacing w:after="120"/>
            </w:pPr>
            <w:r>
              <w:t>Financial assets at fair value through profit and loss</w:t>
            </w:r>
          </w:p>
        </w:tc>
        <w:tc>
          <w:tcPr>
            <w:tcW w:w="1985" w:type="dxa"/>
          </w:tcPr>
          <w:p w:rsidR="00A86593" w:rsidRPr="00CA707F" w:rsidRDefault="00A86593" w:rsidP="001C741C">
            <w:pPr>
              <w:spacing w:after="120"/>
              <w:jc w:val="right"/>
            </w:pPr>
            <w:r>
              <w:t>3,576.6</w:t>
            </w:r>
          </w:p>
        </w:tc>
        <w:tc>
          <w:tcPr>
            <w:tcW w:w="2095" w:type="dxa"/>
          </w:tcPr>
          <w:p w:rsidR="00A86593" w:rsidRPr="00CA707F" w:rsidRDefault="00A86593" w:rsidP="001C741C">
            <w:pPr>
              <w:spacing w:after="120"/>
              <w:jc w:val="right"/>
            </w:pPr>
            <w:r>
              <w:t>-</w:t>
            </w:r>
          </w:p>
        </w:tc>
        <w:tc>
          <w:tcPr>
            <w:tcW w:w="1449" w:type="dxa"/>
          </w:tcPr>
          <w:p w:rsidR="00A86593" w:rsidRPr="00CA707F" w:rsidRDefault="00A86593" w:rsidP="001C741C">
            <w:pPr>
              <w:spacing w:after="120"/>
              <w:jc w:val="right"/>
            </w:pPr>
            <w:r>
              <w:t>271.4</w:t>
            </w:r>
          </w:p>
        </w:tc>
        <w:tc>
          <w:tcPr>
            <w:tcW w:w="1417" w:type="dxa"/>
          </w:tcPr>
          <w:p w:rsidR="00A86593" w:rsidRPr="00CA707F" w:rsidRDefault="00A86593" w:rsidP="001C741C">
            <w:pPr>
              <w:spacing w:after="120"/>
              <w:jc w:val="right"/>
            </w:pPr>
            <w:r>
              <w:t>3,848.0</w:t>
            </w:r>
          </w:p>
        </w:tc>
      </w:tr>
      <w:tr w:rsidR="00A86593" w:rsidRPr="00CA707F" w:rsidTr="001C741C">
        <w:tc>
          <w:tcPr>
            <w:tcW w:w="3357" w:type="dxa"/>
          </w:tcPr>
          <w:p w:rsidR="00A86593" w:rsidRDefault="00A86593" w:rsidP="001C741C">
            <w:pPr>
              <w:spacing w:after="120"/>
            </w:pPr>
            <w:r>
              <w:t>Loans and Receivables</w:t>
            </w:r>
          </w:p>
        </w:tc>
        <w:tc>
          <w:tcPr>
            <w:tcW w:w="1985" w:type="dxa"/>
          </w:tcPr>
          <w:p w:rsidR="00A86593" w:rsidRPr="00CA707F" w:rsidRDefault="00A86593" w:rsidP="001C741C">
            <w:pPr>
              <w:spacing w:after="120"/>
              <w:jc w:val="right"/>
            </w:pPr>
            <w:r>
              <w:t>58.2</w:t>
            </w:r>
          </w:p>
        </w:tc>
        <w:tc>
          <w:tcPr>
            <w:tcW w:w="2095" w:type="dxa"/>
          </w:tcPr>
          <w:p w:rsidR="00A86593" w:rsidRPr="00CA707F" w:rsidRDefault="00A86593" w:rsidP="001C741C">
            <w:pPr>
              <w:spacing w:after="120"/>
              <w:jc w:val="right"/>
            </w:pPr>
            <w:r>
              <w:t>-</w:t>
            </w:r>
          </w:p>
        </w:tc>
        <w:tc>
          <w:tcPr>
            <w:tcW w:w="1449" w:type="dxa"/>
          </w:tcPr>
          <w:p w:rsidR="00A86593" w:rsidRPr="00CA707F" w:rsidRDefault="00A86593" w:rsidP="001C741C">
            <w:pPr>
              <w:spacing w:after="120"/>
              <w:jc w:val="right"/>
            </w:pPr>
            <w:r>
              <w:t>-</w:t>
            </w:r>
          </w:p>
        </w:tc>
        <w:tc>
          <w:tcPr>
            <w:tcW w:w="1417" w:type="dxa"/>
          </w:tcPr>
          <w:p w:rsidR="00A86593" w:rsidRDefault="00A86593" w:rsidP="001C741C">
            <w:pPr>
              <w:spacing w:after="120"/>
              <w:jc w:val="right"/>
            </w:pPr>
            <w:r>
              <w:t>58.2</w:t>
            </w:r>
          </w:p>
        </w:tc>
      </w:tr>
      <w:tr w:rsidR="00A86593" w:rsidRPr="00CA707F" w:rsidTr="001C741C">
        <w:tc>
          <w:tcPr>
            <w:tcW w:w="3357" w:type="dxa"/>
          </w:tcPr>
          <w:p w:rsidR="00A86593" w:rsidRPr="00CA707F" w:rsidRDefault="00A86593" w:rsidP="001C741C">
            <w:pPr>
              <w:spacing w:after="360"/>
              <w:rPr>
                <w:b/>
              </w:rPr>
            </w:pPr>
            <w:r w:rsidRPr="00CA707F">
              <w:rPr>
                <w:b/>
              </w:rPr>
              <w:t>Total Financial assets</w:t>
            </w:r>
          </w:p>
        </w:tc>
        <w:tc>
          <w:tcPr>
            <w:tcW w:w="1985" w:type="dxa"/>
          </w:tcPr>
          <w:p w:rsidR="00A86593" w:rsidRPr="00CA707F" w:rsidRDefault="00A86593" w:rsidP="001C741C">
            <w:pPr>
              <w:spacing w:after="120"/>
              <w:jc w:val="right"/>
              <w:rPr>
                <w:b/>
              </w:rPr>
            </w:pPr>
            <w:r>
              <w:rPr>
                <w:b/>
              </w:rPr>
              <w:t>3,634.8</w:t>
            </w:r>
          </w:p>
        </w:tc>
        <w:tc>
          <w:tcPr>
            <w:tcW w:w="2095" w:type="dxa"/>
          </w:tcPr>
          <w:p w:rsidR="00A86593" w:rsidRPr="00CA707F" w:rsidRDefault="00A86593" w:rsidP="001C741C">
            <w:pPr>
              <w:spacing w:after="120"/>
              <w:jc w:val="right"/>
              <w:rPr>
                <w:b/>
              </w:rPr>
            </w:pPr>
            <w:r w:rsidRPr="00CA707F">
              <w:rPr>
                <w:b/>
              </w:rPr>
              <w:t>0</w:t>
            </w:r>
          </w:p>
        </w:tc>
        <w:tc>
          <w:tcPr>
            <w:tcW w:w="1449" w:type="dxa"/>
          </w:tcPr>
          <w:p w:rsidR="00A86593" w:rsidRPr="00CA707F" w:rsidRDefault="00A86593" w:rsidP="001C741C">
            <w:pPr>
              <w:spacing w:after="120"/>
              <w:jc w:val="right"/>
              <w:rPr>
                <w:b/>
              </w:rPr>
            </w:pPr>
            <w:r>
              <w:rPr>
                <w:b/>
              </w:rPr>
              <w:t>271.4</w:t>
            </w:r>
          </w:p>
        </w:tc>
        <w:tc>
          <w:tcPr>
            <w:tcW w:w="1417" w:type="dxa"/>
          </w:tcPr>
          <w:p w:rsidR="00A86593" w:rsidRPr="00CA707F" w:rsidRDefault="00A86593" w:rsidP="001C741C">
            <w:pPr>
              <w:spacing w:after="120"/>
              <w:jc w:val="right"/>
              <w:rPr>
                <w:b/>
              </w:rPr>
            </w:pPr>
            <w:r>
              <w:rPr>
                <w:b/>
              </w:rPr>
              <w:t>3,906.2</w:t>
            </w:r>
          </w:p>
        </w:tc>
      </w:tr>
      <w:tr w:rsidR="00A86593" w:rsidTr="001C7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57" w:type="dxa"/>
            <w:tcBorders>
              <w:top w:val="nil"/>
              <w:left w:val="nil"/>
              <w:bottom w:val="nil"/>
              <w:right w:val="nil"/>
            </w:tcBorders>
          </w:tcPr>
          <w:p w:rsidR="00A86593" w:rsidRPr="002903B7" w:rsidRDefault="00A86593" w:rsidP="001C741C">
            <w:pPr>
              <w:spacing w:after="120"/>
              <w:rPr>
                <w:b/>
              </w:rPr>
            </w:pPr>
            <w:r w:rsidRPr="002903B7">
              <w:rPr>
                <w:b/>
              </w:rPr>
              <w:t>Financial</w:t>
            </w:r>
            <w:r>
              <w:rPr>
                <w:b/>
              </w:rPr>
              <w:t xml:space="preserve"> Liabilities</w:t>
            </w:r>
          </w:p>
        </w:tc>
        <w:tc>
          <w:tcPr>
            <w:tcW w:w="1985" w:type="dxa"/>
            <w:tcBorders>
              <w:top w:val="nil"/>
              <w:left w:val="nil"/>
              <w:bottom w:val="nil"/>
              <w:right w:val="nil"/>
            </w:tcBorders>
          </w:tcPr>
          <w:p w:rsidR="00A86593" w:rsidRDefault="00A86593" w:rsidP="001C741C">
            <w:pPr>
              <w:spacing w:after="120"/>
              <w:jc w:val="right"/>
            </w:pPr>
          </w:p>
        </w:tc>
        <w:tc>
          <w:tcPr>
            <w:tcW w:w="2095" w:type="dxa"/>
            <w:tcBorders>
              <w:top w:val="nil"/>
              <w:left w:val="nil"/>
              <w:bottom w:val="nil"/>
              <w:right w:val="nil"/>
            </w:tcBorders>
          </w:tcPr>
          <w:p w:rsidR="00A86593" w:rsidRDefault="00A86593" w:rsidP="001C741C">
            <w:pPr>
              <w:spacing w:after="120"/>
              <w:jc w:val="right"/>
            </w:pPr>
          </w:p>
        </w:tc>
        <w:tc>
          <w:tcPr>
            <w:tcW w:w="1449" w:type="dxa"/>
            <w:tcBorders>
              <w:top w:val="nil"/>
              <w:left w:val="nil"/>
              <w:bottom w:val="nil"/>
              <w:right w:val="nil"/>
            </w:tcBorders>
          </w:tcPr>
          <w:p w:rsidR="00A86593" w:rsidRDefault="00A86593" w:rsidP="001C741C">
            <w:pPr>
              <w:spacing w:after="120"/>
              <w:jc w:val="right"/>
            </w:pPr>
          </w:p>
        </w:tc>
        <w:tc>
          <w:tcPr>
            <w:tcW w:w="1417" w:type="dxa"/>
            <w:tcBorders>
              <w:top w:val="nil"/>
              <w:left w:val="nil"/>
              <w:bottom w:val="nil"/>
              <w:right w:val="nil"/>
            </w:tcBorders>
          </w:tcPr>
          <w:p w:rsidR="00A86593" w:rsidRDefault="00A86593" w:rsidP="001C741C">
            <w:pPr>
              <w:spacing w:after="120"/>
              <w:jc w:val="right"/>
            </w:pPr>
          </w:p>
        </w:tc>
      </w:tr>
      <w:tr w:rsidR="00A86593" w:rsidRPr="00CA707F" w:rsidTr="001C7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57" w:type="dxa"/>
            <w:tcBorders>
              <w:top w:val="nil"/>
              <w:left w:val="nil"/>
              <w:bottom w:val="nil"/>
              <w:right w:val="nil"/>
            </w:tcBorders>
          </w:tcPr>
          <w:p w:rsidR="00A86593" w:rsidRPr="00CA707F" w:rsidRDefault="00A86593" w:rsidP="001C741C">
            <w:pPr>
              <w:spacing w:after="120"/>
            </w:pPr>
            <w:r>
              <w:t>Financial liabilities at fair value through profit and loss</w:t>
            </w:r>
          </w:p>
        </w:tc>
        <w:tc>
          <w:tcPr>
            <w:tcW w:w="1985" w:type="dxa"/>
            <w:tcBorders>
              <w:top w:val="nil"/>
              <w:left w:val="nil"/>
              <w:bottom w:val="nil"/>
              <w:right w:val="nil"/>
            </w:tcBorders>
          </w:tcPr>
          <w:p w:rsidR="00A86593" w:rsidRPr="00CA707F" w:rsidRDefault="00A86593" w:rsidP="001C741C">
            <w:pPr>
              <w:spacing w:after="120"/>
              <w:jc w:val="right"/>
            </w:pPr>
            <w:r>
              <w:t>0.9</w:t>
            </w:r>
          </w:p>
        </w:tc>
        <w:tc>
          <w:tcPr>
            <w:tcW w:w="2095" w:type="dxa"/>
            <w:tcBorders>
              <w:top w:val="nil"/>
              <w:left w:val="nil"/>
              <w:bottom w:val="nil"/>
              <w:right w:val="nil"/>
            </w:tcBorders>
          </w:tcPr>
          <w:p w:rsidR="00A86593" w:rsidRPr="00CA707F" w:rsidRDefault="00A86593" w:rsidP="001C741C">
            <w:pPr>
              <w:spacing w:after="120"/>
              <w:jc w:val="right"/>
            </w:pPr>
            <w:r>
              <w:t>-</w:t>
            </w:r>
          </w:p>
        </w:tc>
        <w:tc>
          <w:tcPr>
            <w:tcW w:w="1449" w:type="dxa"/>
            <w:tcBorders>
              <w:top w:val="nil"/>
              <w:left w:val="nil"/>
              <w:bottom w:val="nil"/>
              <w:right w:val="nil"/>
            </w:tcBorders>
          </w:tcPr>
          <w:p w:rsidR="00A86593" w:rsidRPr="00CA707F" w:rsidRDefault="00A86593" w:rsidP="001C741C">
            <w:pPr>
              <w:spacing w:after="120"/>
              <w:jc w:val="right"/>
            </w:pPr>
            <w:r>
              <w:t>-</w:t>
            </w:r>
          </w:p>
        </w:tc>
        <w:tc>
          <w:tcPr>
            <w:tcW w:w="1417" w:type="dxa"/>
            <w:tcBorders>
              <w:top w:val="nil"/>
              <w:left w:val="nil"/>
              <w:bottom w:val="nil"/>
              <w:right w:val="nil"/>
            </w:tcBorders>
          </w:tcPr>
          <w:p w:rsidR="00A86593" w:rsidRPr="00CA707F" w:rsidRDefault="00A86593" w:rsidP="001C741C">
            <w:pPr>
              <w:spacing w:after="120"/>
              <w:jc w:val="right"/>
            </w:pPr>
            <w:r>
              <w:t>0.9</w:t>
            </w:r>
          </w:p>
        </w:tc>
      </w:tr>
      <w:tr w:rsidR="00A86593" w:rsidTr="001C7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57" w:type="dxa"/>
            <w:tcBorders>
              <w:top w:val="nil"/>
              <w:left w:val="nil"/>
              <w:bottom w:val="nil"/>
              <w:right w:val="nil"/>
            </w:tcBorders>
          </w:tcPr>
          <w:p w:rsidR="00A86593" w:rsidRDefault="00A86593" w:rsidP="001C741C">
            <w:pPr>
              <w:spacing w:after="120"/>
            </w:pPr>
            <w:r>
              <w:t>Financial liabilities at amortised cost</w:t>
            </w:r>
          </w:p>
        </w:tc>
        <w:tc>
          <w:tcPr>
            <w:tcW w:w="1985" w:type="dxa"/>
            <w:tcBorders>
              <w:top w:val="nil"/>
              <w:left w:val="nil"/>
              <w:bottom w:val="nil"/>
              <w:right w:val="nil"/>
            </w:tcBorders>
          </w:tcPr>
          <w:p w:rsidR="00A86593" w:rsidRPr="00CA707F" w:rsidRDefault="00A86593" w:rsidP="001C741C">
            <w:pPr>
              <w:spacing w:after="120"/>
              <w:jc w:val="right"/>
            </w:pPr>
            <w:r>
              <w:t>9.2</w:t>
            </w:r>
          </w:p>
        </w:tc>
        <w:tc>
          <w:tcPr>
            <w:tcW w:w="2095" w:type="dxa"/>
            <w:tcBorders>
              <w:top w:val="nil"/>
              <w:left w:val="nil"/>
              <w:bottom w:val="nil"/>
              <w:right w:val="nil"/>
            </w:tcBorders>
          </w:tcPr>
          <w:p w:rsidR="00A86593" w:rsidRPr="00CA707F" w:rsidRDefault="00A86593" w:rsidP="001C741C">
            <w:pPr>
              <w:spacing w:after="120"/>
              <w:jc w:val="right"/>
            </w:pPr>
            <w:r>
              <w:t>-</w:t>
            </w:r>
          </w:p>
        </w:tc>
        <w:tc>
          <w:tcPr>
            <w:tcW w:w="1449" w:type="dxa"/>
            <w:tcBorders>
              <w:top w:val="nil"/>
              <w:left w:val="nil"/>
              <w:bottom w:val="nil"/>
              <w:right w:val="nil"/>
            </w:tcBorders>
          </w:tcPr>
          <w:p w:rsidR="00A86593" w:rsidRPr="00CA707F" w:rsidRDefault="00A86593" w:rsidP="001C741C">
            <w:pPr>
              <w:spacing w:after="120"/>
              <w:jc w:val="right"/>
            </w:pPr>
            <w:r>
              <w:t>-</w:t>
            </w:r>
          </w:p>
        </w:tc>
        <w:tc>
          <w:tcPr>
            <w:tcW w:w="1417" w:type="dxa"/>
            <w:tcBorders>
              <w:top w:val="nil"/>
              <w:left w:val="nil"/>
              <w:bottom w:val="nil"/>
              <w:right w:val="nil"/>
            </w:tcBorders>
          </w:tcPr>
          <w:p w:rsidR="00A86593" w:rsidRDefault="00A86593" w:rsidP="001C741C">
            <w:pPr>
              <w:spacing w:after="120"/>
              <w:jc w:val="right"/>
            </w:pPr>
            <w:r>
              <w:t>9.2</w:t>
            </w:r>
          </w:p>
        </w:tc>
      </w:tr>
      <w:tr w:rsidR="00A86593" w:rsidRPr="00CA707F" w:rsidTr="001C7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57" w:type="dxa"/>
            <w:tcBorders>
              <w:top w:val="nil"/>
              <w:left w:val="nil"/>
              <w:bottom w:val="nil"/>
              <w:right w:val="nil"/>
            </w:tcBorders>
          </w:tcPr>
          <w:p w:rsidR="00A86593" w:rsidRPr="00CA707F" w:rsidRDefault="00A86593" w:rsidP="001C741C">
            <w:pPr>
              <w:spacing w:after="120"/>
              <w:rPr>
                <w:b/>
              </w:rPr>
            </w:pPr>
            <w:r w:rsidRPr="00CA707F">
              <w:rPr>
                <w:b/>
              </w:rPr>
              <w:t>Total Financial assets</w:t>
            </w:r>
          </w:p>
        </w:tc>
        <w:tc>
          <w:tcPr>
            <w:tcW w:w="1985" w:type="dxa"/>
            <w:tcBorders>
              <w:top w:val="nil"/>
              <w:left w:val="nil"/>
              <w:bottom w:val="nil"/>
              <w:right w:val="nil"/>
            </w:tcBorders>
          </w:tcPr>
          <w:p w:rsidR="00A86593" w:rsidRPr="00CA707F" w:rsidRDefault="00A86593" w:rsidP="001C741C">
            <w:pPr>
              <w:spacing w:after="120"/>
              <w:jc w:val="right"/>
              <w:rPr>
                <w:b/>
              </w:rPr>
            </w:pPr>
            <w:r>
              <w:rPr>
                <w:b/>
              </w:rPr>
              <w:t>10.1</w:t>
            </w:r>
          </w:p>
        </w:tc>
        <w:tc>
          <w:tcPr>
            <w:tcW w:w="2095" w:type="dxa"/>
            <w:tcBorders>
              <w:top w:val="nil"/>
              <w:left w:val="nil"/>
              <w:bottom w:val="nil"/>
              <w:right w:val="nil"/>
            </w:tcBorders>
          </w:tcPr>
          <w:p w:rsidR="00A86593" w:rsidRPr="00CA707F" w:rsidRDefault="00A86593" w:rsidP="001C741C">
            <w:pPr>
              <w:spacing w:after="120"/>
              <w:jc w:val="right"/>
              <w:rPr>
                <w:b/>
              </w:rPr>
            </w:pPr>
            <w:r w:rsidRPr="00CA707F">
              <w:rPr>
                <w:b/>
              </w:rPr>
              <w:t>0</w:t>
            </w:r>
          </w:p>
        </w:tc>
        <w:tc>
          <w:tcPr>
            <w:tcW w:w="1449" w:type="dxa"/>
            <w:tcBorders>
              <w:top w:val="nil"/>
              <w:left w:val="nil"/>
              <w:bottom w:val="nil"/>
              <w:right w:val="nil"/>
            </w:tcBorders>
          </w:tcPr>
          <w:p w:rsidR="00A86593" w:rsidRPr="00CA707F" w:rsidRDefault="00A86593" w:rsidP="001C741C">
            <w:pPr>
              <w:spacing w:after="120"/>
              <w:jc w:val="right"/>
              <w:rPr>
                <w:b/>
              </w:rPr>
            </w:pPr>
            <w:r w:rsidRPr="00CA707F">
              <w:rPr>
                <w:b/>
              </w:rPr>
              <w:t>0</w:t>
            </w:r>
          </w:p>
        </w:tc>
        <w:tc>
          <w:tcPr>
            <w:tcW w:w="1417" w:type="dxa"/>
            <w:tcBorders>
              <w:top w:val="nil"/>
              <w:left w:val="nil"/>
              <w:bottom w:val="nil"/>
              <w:right w:val="nil"/>
            </w:tcBorders>
          </w:tcPr>
          <w:p w:rsidR="00A86593" w:rsidRPr="00CA707F" w:rsidRDefault="00A86593" w:rsidP="001C741C">
            <w:pPr>
              <w:spacing w:after="120"/>
              <w:jc w:val="right"/>
              <w:rPr>
                <w:b/>
              </w:rPr>
            </w:pPr>
            <w:r>
              <w:rPr>
                <w:b/>
              </w:rPr>
              <w:t>10.1</w:t>
            </w:r>
          </w:p>
        </w:tc>
      </w:tr>
    </w:tbl>
    <w:p w:rsidR="00A86593" w:rsidRDefault="00A86593" w:rsidP="00A86593">
      <w:pPr>
        <w:ind w:left="720"/>
        <w:rPr>
          <w:b/>
        </w:rPr>
      </w:pPr>
    </w:p>
    <w:p w:rsidR="003B314A" w:rsidRDefault="003B314A" w:rsidP="00A86593">
      <w:pPr>
        <w:ind w:left="720"/>
        <w:rPr>
          <w:b/>
        </w:rPr>
      </w:pPr>
    </w:p>
    <w:p w:rsidR="003B314A" w:rsidRDefault="003B314A" w:rsidP="00A86593">
      <w:pPr>
        <w:ind w:left="720"/>
        <w:rPr>
          <w:b/>
        </w:rPr>
      </w:pPr>
    </w:p>
    <w:p w:rsidR="003B314A" w:rsidRPr="00CA707F" w:rsidRDefault="003B314A" w:rsidP="00A86593">
      <w:pPr>
        <w:ind w:left="720"/>
        <w:rPr>
          <w:b/>
        </w:rPr>
      </w:pPr>
    </w:p>
    <w:p w:rsidR="00A86593" w:rsidRPr="00E539D1" w:rsidRDefault="00A86593" w:rsidP="00A86593">
      <w:pPr>
        <w:numPr>
          <w:ilvl w:val="0"/>
          <w:numId w:val="60"/>
        </w:numPr>
        <w:spacing w:after="120"/>
        <w:rPr>
          <w:b/>
        </w:rPr>
      </w:pPr>
      <w:r>
        <w:rPr>
          <w:b/>
        </w:rPr>
        <w:lastRenderedPageBreak/>
        <w:t>Nature and extent of risks</w:t>
      </w:r>
      <w:r w:rsidRPr="004F60CA">
        <w:rPr>
          <w:b/>
        </w:rPr>
        <w:t xml:space="preserve"> </w:t>
      </w:r>
      <w:r w:rsidRPr="00DA13A5">
        <w:rPr>
          <w:b/>
        </w:rPr>
        <w:t>arising from Financial Instruments</w:t>
      </w:r>
    </w:p>
    <w:p w:rsidR="00A86593" w:rsidRPr="00E539D1" w:rsidRDefault="00A86593" w:rsidP="00A86593">
      <w:pPr>
        <w:ind w:firstLine="720"/>
      </w:pPr>
      <w:r w:rsidRPr="00E539D1">
        <w:t xml:space="preserve">Risk and risk management </w:t>
      </w:r>
    </w:p>
    <w:p w:rsidR="00A86593" w:rsidRPr="00E539D1" w:rsidRDefault="00A86593" w:rsidP="00A86593">
      <w:pPr>
        <w:rPr>
          <w:b/>
        </w:rPr>
      </w:pPr>
    </w:p>
    <w:p w:rsidR="00A86593" w:rsidRDefault="00A86593" w:rsidP="003B314A">
      <w:pPr>
        <w:ind w:left="720"/>
        <w:jc w:val="both"/>
      </w:pPr>
      <w:r>
        <w:t xml:space="preserve">The Fund's primary long-term risk is that the Fund's assets will fall short of its liabilities (i.e. promised benefits payable to members).  The aim of investment risk management is to balance the minimisation of the risk of an overall reduction in the value of the Fund with maximising the opportunity for gains across the whole Fund portfolio.  The Fund achieves this through asset diversification to reduce exposure to market risk (price risk, currency risk and interest rate risk) and keep credit risk to an acceptable level.  In addition, the Fund manages its liquidity risk to ensure there is sufficient liquidity to meet the Fund's forecast cash flow.  </w:t>
      </w:r>
    </w:p>
    <w:p w:rsidR="00A86593" w:rsidRDefault="00A86593" w:rsidP="003B314A">
      <w:pPr>
        <w:jc w:val="both"/>
      </w:pPr>
    </w:p>
    <w:p w:rsidR="00A86593" w:rsidRDefault="00A86593" w:rsidP="003B314A">
      <w:pPr>
        <w:ind w:left="720"/>
        <w:jc w:val="both"/>
      </w:pPr>
      <w:r>
        <w:t>Responsibility for the Fund's risk management strategy rests with the Pension Fund Committee.  Risk management policies are established to identify and analyse the risks faced by the Fund's operations.  Policies are reviewed regularly to reflect change in activity and in market conditions.</w:t>
      </w:r>
    </w:p>
    <w:p w:rsidR="00A86593" w:rsidRDefault="00A86593" w:rsidP="00A86593">
      <w:pPr>
        <w:spacing w:after="120"/>
        <w:ind w:left="720"/>
        <w:rPr>
          <w:b/>
        </w:rPr>
      </w:pPr>
    </w:p>
    <w:p w:rsidR="00A86593" w:rsidRDefault="00A86593" w:rsidP="00A86593">
      <w:pPr>
        <w:pStyle w:val="ListParagraph"/>
        <w:numPr>
          <w:ilvl w:val="0"/>
          <w:numId w:val="65"/>
        </w:numPr>
        <w:contextualSpacing/>
      </w:pPr>
      <w:r>
        <w:t xml:space="preserve">Market risk </w:t>
      </w:r>
    </w:p>
    <w:p w:rsidR="00A86593" w:rsidRDefault="00A86593" w:rsidP="00A86593"/>
    <w:p w:rsidR="00A86593" w:rsidRDefault="00A86593" w:rsidP="003B314A">
      <w:pPr>
        <w:ind w:left="709"/>
        <w:jc w:val="both"/>
      </w:pPr>
      <w:r>
        <w:t xml:space="preserve">Market risk is risk of loss from fluctuations in equity and commodity prices, interest and foreign exchange rates and credit spreads.  The Fund is exposed to market risk from its investment activities, particularly through its equity holdings.  </w:t>
      </w:r>
    </w:p>
    <w:p w:rsidR="00A86593" w:rsidRDefault="00A86593" w:rsidP="003B314A">
      <w:pPr>
        <w:ind w:left="709"/>
        <w:jc w:val="both"/>
      </w:pPr>
    </w:p>
    <w:p w:rsidR="00A86593" w:rsidRDefault="00A86593" w:rsidP="003B314A">
      <w:pPr>
        <w:ind w:left="709"/>
        <w:jc w:val="both"/>
      </w:pPr>
      <w:r>
        <w:t>The objective of the Fund's risk management strategy is to identify, manage and keep market risk exposure within acceptable parameters, whilst optimising the return on risk.</w:t>
      </w:r>
    </w:p>
    <w:p w:rsidR="00A86593" w:rsidRDefault="00A86593" w:rsidP="003B314A">
      <w:pPr>
        <w:ind w:left="709"/>
        <w:jc w:val="both"/>
      </w:pPr>
    </w:p>
    <w:p w:rsidR="00A86593" w:rsidRDefault="00A86593" w:rsidP="003B314A">
      <w:pPr>
        <w:ind w:left="709"/>
        <w:jc w:val="both"/>
      </w:pPr>
      <w:r>
        <w:t xml:space="preserve">In general, excessive volatility in market risk is managed through the diversification of the portfolio in terms of geographical and industry sectors and individual securities.  To mitigate market risk, the Fund and its investment advisors undertake appropriate monitoring of market conditions and benchmarking analysis. </w:t>
      </w:r>
    </w:p>
    <w:p w:rsidR="00A86593" w:rsidRDefault="00A86593" w:rsidP="003B314A">
      <w:pPr>
        <w:ind w:left="709"/>
        <w:jc w:val="both"/>
      </w:pPr>
    </w:p>
    <w:p w:rsidR="00A86593" w:rsidRDefault="00A86593" w:rsidP="00A86593">
      <w:pPr>
        <w:ind w:left="720"/>
      </w:pPr>
      <w:r>
        <w:rPr>
          <w:b/>
        </w:rPr>
        <w:t xml:space="preserve">Other price risk </w:t>
      </w:r>
      <w:r>
        <w:t xml:space="preserve"> </w:t>
      </w:r>
    </w:p>
    <w:p w:rsidR="00A86593" w:rsidRDefault="00A86593" w:rsidP="00A86593">
      <w:pPr>
        <w:ind w:left="720"/>
      </w:pPr>
    </w:p>
    <w:p w:rsidR="00A86593" w:rsidRPr="009245E4" w:rsidRDefault="00A86593" w:rsidP="003B314A">
      <w:pPr>
        <w:ind w:left="720"/>
        <w:jc w:val="both"/>
      </w:pPr>
      <w:r>
        <w:t xml:space="preserve">Other price risk represents the risk that the value of a financial instrument will fluctuate as a result of changes in market prices (other than those arising from interest rate risk or foreign exchange risk), whether those changes are caused by factors specific to the individual instrument or its issuer or factors affecting all such instruments in the market.     </w:t>
      </w:r>
    </w:p>
    <w:p w:rsidR="00A86593" w:rsidRDefault="00A86593" w:rsidP="003B314A">
      <w:pPr>
        <w:ind w:left="720"/>
        <w:jc w:val="both"/>
      </w:pPr>
    </w:p>
    <w:p w:rsidR="00A86593" w:rsidRDefault="00A86593" w:rsidP="003B314A">
      <w:pPr>
        <w:ind w:left="720"/>
        <w:jc w:val="both"/>
      </w:pPr>
      <w:r>
        <w:t xml:space="preserve">The Fund is exposed to share and derivatives price risk.  This arises from investments held by the Fund for which the future price is uncertain.  All securities investments present a risk of loss of capital.  Except for shares sold short, the maximum risk resulting from financial instruments is determined by the fair value of the financial instruments.  Possible losses from shares sold short is unlimited. </w:t>
      </w:r>
    </w:p>
    <w:p w:rsidR="00A86593" w:rsidRDefault="00A86593" w:rsidP="003B314A">
      <w:pPr>
        <w:ind w:left="720"/>
        <w:jc w:val="both"/>
      </w:pPr>
    </w:p>
    <w:p w:rsidR="00A86593" w:rsidRDefault="00A86593" w:rsidP="003B314A">
      <w:pPr>
        <w:ind w:left="720"/>
        <w:jc w:val="both"/>
      </w:pPr>
      <w:r>
        <w:t xml:space="preserve">The Fund's investment managers mitigate this price risk through diversification.  The selection of securities and other financial instruments is monitored by the Fund to ensure it is within limits specified in the fund investment strategy. </w:t>
      </w:r>
    </w:p>
    <w:p w:rsidR="00330C0F" w:rsidRDefault="00330C0F" w:rsidP="003B314A">
      <w:pPr>
        <w:ind w:left="720"/>
        <w:jc w:val="both"/>
      </w:pPr>
    </w:p>
    <w:p w:rsidR="00330C0F" w:rsidRDefault="00330C0F" w:rsidP="003B314A">
      <w:pPr>
        <w:ind w:left="720"/>
        <w:jc w:val="both"/>
      </w:pPr>
    </w:p>
    <w:p w:rsidR="00A86593" w:rsidRDefault="00A86593" w:rsidP="003B314A">
      <w:pPr>
        <w:ind w:left="720"/>
        <w:jc w:val="both"/>
      </w:pPr>
    </w:p>
    <w:p w:rsidR="00A86593" w:rsidRDefault="00A86593" w:rsidP="00A86593">
      <w:pPr>
        <w:ind w:left="720"/>
        <w:rPr>
          <w:b/>
        </w:rPr>
      </w:pPr>
      <w:r>
        <w:rPr>
          <w:b/>
        </w:rPr>
        <w:lastRenderedPageBreak/>
        <w:t>Other price risk – sensitivity analysis</w:t>
      </w:r>
    </w:p>
    <w:p w:rsidR="00A86593" w:rsidRDefault="00A86593" w:rsidP="00A86593">
      <w:pPr>
        <w:ind w:left="720"/>
        <w:rPr>
          <w:b/>
        </w:rPr>
      </w:pPr>
    </w:p>
    <w:p w:rsidR="00A86593" w:rsidRDefault="00A86593" w:rsidP="003B314A">
      <w:pPr>
        <w:ind w:left="720"/>
        <w:jc w:val="both"/>
      </w:pPr>
      <w:r>
        <w:t xml:space="preserve">Following analysis of historical data and expected investment return movement during the financial year, in consultation with the Fund's investment advisors, the Fund has determined that the following movements in market price risks are reasonably possible for the 2012-13 reporting period. </w:t>
      </w:r>
    </w:p>
    <w:p w:rsidR="00A86593" w:rsidRDefault="00A86593" w:rsidP="00A86593">
      <w:pPr>
        <w:ind w:left="720"/>
      </w:pPr>
    </w:p>
    <w:tbl>
      <w:tblPr>
        <w:tblStyle w:val="TableGrid"/>
        <w:tblW w:w="0" w:type="auto"/>
        <w:tblInd w:w="720" w:type="dxa"/>
        <w:tblBorders>
          <w:left w:val="none" w:sz="0" w:space="0" w:color="auto"/>
          <w:right w:val="none" w:sz="0" w:space="0" w:color="auto"/>
          <w:insideV w:val="none" w:sz="0" w:space="0" w:color="auto"/>
        </w:tblBorders>
        <w:tblLook w:val="04A0"/>
      </w:tblPr>
      <w:tblGrid>
        <w:gridCol w:w="4982"/>
        <w:gridCol w:w="4980"/>
      </w:tblGrid>
      <w:tr w:rsidR="00A86593" w:rsidTr="001C741C">
        <w:tc>
          <w:tcPr>
            <w:tcW w:w="5149" w:type="dxa"/>
          </w:tcPr>
          <w:p w:rsidR="00A86593" w:rsidRDefault="00A86593" w:rsidP="001C741C">
            <w:r>
              <w:t xml:space="preserve">Asset Type </w:t>
            </w:r>
          </w:p>
        </w:tc>
        <w:tc>
          <w:tcPr>
            <w:tcW w:w="5147" w:type="dxa"/>
          </w:tcPr>
          <w:p w:rsidR="00A86593" w:rsidRDefault="00A86593" w:rsidP="001C741C">
            <w:pPr>
              <w:jc w:val="right"/>
            </w:pPr>
            <w:r>
              <w:t>Potential market movements (+/</w:t>
            </w:r>
            <w:r>
              <w:softHyphen/>
              <w:t>-)</w:t>
            </w:r>
          </w:p>
        </w:tc>
      </w:tr>
      <w:tr w:rsidR="00A86593" w:rsidTr="001C741C">
        <w:tc>
          <w:tcPr>
            <w:tcW w:w="5149" w:type="dxa"/>
          </w:tcPr>
          <w:p w:rsidR="00A86593" w:rsidRDefault="00A86593" w:rsidP="001C741C">
            <w:r>
              <w:t>UK Bonds</w:t>
            </w:r>
          </w:p>
        </w:tc>
        <w:tc>
          <w:tcPr>
            <w:tcW w:w="5147" w:type="dxa"/>
          </w:tcPr>
          <w:p w:rsidR="00A86593" w:rsidRDefault="00A86593" w:rsidP="001C741C">
            <w:pPr>
              <w:jc w:val="right"/>
            </w:pPr>
            <w:r>
              <w:t>5.7%</w:t>
            </w:r>
          </w:p>
        </w:tc>
      </w:tr>
      <w:tr w:rsidR="00A86593" w:rsidTr="001C741C">
        <w:tc>
          <w:tcPr>
            <w:tcW w:w="5149" w:type="dxa"/>
          </w:tcPr>
          <w:p w:rsidR="00A86593" w:rsidRDefault="00A86593" w:rsidP="001C741C">
            <w:r>
              <w:t xml:space="preserve">Overseas bonds </w:t>
            </w:r>
          </w:p>
        </w:tc>
        <w:tc>
          <w:tcPr>
            <w:tcW w:w="5147" w:type="dxa"/>
          </w:tcPr>
          <w:p w:rsidR="00A86593" w:rsidRDefault="00A86593" w:rsidP="001C741C">
            <w:pPr>
              <w:jc w:val="right"/>
            </w:pPr>
            <w:r>
              <w:t>11.8%</w:t>
            </w:r>
          </w:p>
        </w:tc>
      </w:tr>
      <w:tr w:rsidR="00A86593" w:rsidTr="001C741C">
        <w:tc>
          <w:tcPr>
            <w:tcW w:w="5149" w:type="dxa"/>
          </w:tcPr>
          <w:p w:rsidR="00A86593" w:rsidRDefault="00A86593" w:rsidP="001C741C">
            <w:r>
              <w:t xml:space="preserve">UK equities </w:t>
            </w:r>
          </w:p>
        </w:tc>
        <w:tc>
          <w:tcPr>
            <w:tcW w:w="5147" w:type="dxa"/>
          </w:tcPr>
          <w:p w:rsidR="00A86593" w:rsidRDefault="00A86593" w:rsidP="001C741C">
            <w:pPr>
              <w:jc w:val="right"/>
            </w:pPr>
            <w:r>
              <w:t>15.3%</w:t>
            </w:r>
          </w:p>
        </w:tc>
      </w:tr>
      <w:tr w:rsidR="00A86593" w:rsidTr="001C741C">
        <w:tc>
          <w:tcPr>
            <w:tcW w:w="5149" w:type="dxa"/>
          </w:tcPr>
          <w:p w:rsidR="00A86593" w:rsidRDefault="00A86593" w:rsidP="001C741C">
            <w:r>
              <w:t xml:space="preserve">Overseas equities </w:t>
            </w:r>
          </w:p>
        </w:tc>
        <w:tc>
          <w:tcPr>
            <w:tcW w:w="5147" w:type="dxa"/>
          </w:tcPr>
          <w:p w:rsidR="00A86593" w:rsidRDefault="00A86593" w:rsidP="001C741C">
            <w:pPr>
              <w:jc w:val="right"/>
            </w:pPr>
            <w:r>
              <w:t>14.8%</w:t>
            </w:r>
          </w:p>
        </w:tc>
      </w:tr>
      <w:tr w:rsidR="00A86593" w:rsidTr="001C741C">
        <w:tc>
          <w:tcPr>
            <w:tcW w:w="5149" w:type="dxa"/>
          </w:tcPr>
          <w:p w:rsidR="00A86593" w:rsidRDefault="00A86593" w:rsidP="001C741C">
            <w:r>
              <w:t xml:space="preserve">Index linked Gilts </w:t>
            </w:r>
          </w:p>
        </w:tc>
        <w:tc>
          <w:tcPr>
            <w:tcW w:w="5147" w:type="dxa"/>
          </w:tcPr>
          <w:p w:rsidR="00A86593" w:rsidRDefault="00A86593" w:rsidP="001C741C">
            <w:pPr>
              <w:jc w:val="right"/>
            </w:pPr>
            <w:r>
              <w:t>7.6%</w:t>
            </w:r>
          </w:p>
        </w:tc>
      </w:tr>
      <w:tr w:rsidR="00A86593" w:rsidTr="001C741C">
        <w:tc>
          <w:tcPr>
            <w:tcW w:w="5149" w:type="dxa"/>
          </w:tcPr>
          <w:p w:rsidR="00A86593" w:rsidRDefault="00A86593" w:rsidP="001C741C">
            <w:r>
              <w:t>Cash</w:t>
            </w:r>
          </w:p>
        </w:tc>
        <w:tc>
          <w:tcPr>
            <w:tcW w:w="5147" w:type="dxa"/>
          </w:tcPr>
          <w:p w:rsidR="00A86593" w:rsidRDefault="00A86593" w:rsidP="001C741C">
            <w:pPr>
              <w:jc w:val="right"/>
            </w:pPr>
            <w:r>
              <w:t>0%</w:t>
            </w:r>
          </w:p>
        </w:tc>
      </w:tr>
      <w:tr w:rsidR="00A86593" w:rsidTr="001C741C">
        <w:tc>
          <w:tcPr>
            <w:tcW w:w="5149" w:type="dxa"/>
          </w:tcPr>
          <w:p w:rsidR="00A86593" w:rsidRDefault="00A86593" w:rsidP="001C741C">
            <w:r>
              <w:t xml:space="preserve">Alternatives </w:t>
            </w:r>
          </w:p>
        </w:tc>
        <w:tc>
          <w:tcPr>
            <w:tcW w:w="5147" w:type="dxa"/>
          </w:tcPr>
          <w:p w:rsidR="00A86593" w:rsidRDefault="00A86593" w:rsidP="001C741C">
            <w:pPr>
              <w:jc w:val="right"/>
            </w:pPr>
            <w:r>
              <w:t>7.7%</w:t>
            </w:r>
          </w:p>
        </w:tc>
      </w:tr>
      <w:tr w:rsidR="00A86593" w:rsidTr="001C741C">
        <w:tc>
          <w:tcPr>
            <w:tcW w:w="5149" w:type="dxa"/>
          </w:tcPr>
          <w:p w:rsidR="00A86593" w:rsidRDefault="00A86593" w:rsidP="001C741C">
            <w:r>
              <w:t>Property</w:t>
            </w:r>
          </w:p>
        </w:tc>
        <w:tc>
          <w:tcPr>
            <w:tcW w:w="5147" w:type="dxa"/>
          </w:tcPr>
          <w:p w:rsidR="00A86593" w:rsidRDefault="00A86593" w:rsidP="001C741C">
            <w:pPr>
              <w:jc w:val="right"/>
            </w:pPr>
            <w:r>
              <w:t>9.4%</w:t>
            </w:r>
          </w:p>
        </w:tc>
      </w:tr>
    </w:tbl>
    <w:p w:rsidR="00A86593" w:rsidRDefault="00A86593" w:rsidP="00A86593">
      <w:pPr>
        <w:ind w:left="720"/>
      </w:pPr>
      <w:r>
        <w:t xml:space="preserve"> </w:t>
      </w:r>
    </w:p>
    <w:p w:rsidR="00A86593" w:rsidRDefault="00A86593" w:rsidP="003B314A">
      <w:pPr>
        <w:ind w:left="720"/>
        <w:jc w:val="both"/>
      </w:pPr>
      <w:r>
        <w:t xml:space="preserve">The potential price changes disclosed above are broadly consistent with a one-standard deviation movement in value of the asset.  The sensitivities are consistent with the assumption contained in the investment advisors' most recent review.  This analysis assumes that all other variables, in particular foreign currency exchange rates and interest rates, remain the same. </w:t>
      </w:r>
    </w:p>
    <w:p w:rsidR="00A86593" w:rsidRDefault="00A86593" w:rsidP="003B314A">
      <w:pPr>
        <w:ind w:left="720"/>
        <w:jc w:val="both"/>
      </w:pPr>
    </w:p>
    <w:p w:rsidR="00A86593" w:rsidRDefault="00A86593" w:rsidP="003B314A">
      <w:pPr>
        <w:ind w:left="720"/>
        <w:jc w:val="both"/>
      </w:pPr>
      <w:r>
        <w:t>Had the market of the Fund's investments increased/decreased in line with the above, the change in the net assets available to pay benefits in the market place would have been as follows (the prior year comparator is shown below):</w:t>
      </w:r>
    </w:p>
    <w:p w:rsidR="00A86593" w:rsidRDefault="00A86593" w:rsidP="003B314A">
      <w:pPr>
        <w:ind w:left="720"/>
        <w:jc w:val="both"/>
      </w:pPr>
    </w:p>
    <w:tbl>
      <w:tblPr>
        <w:tblStyle w:val="TableGrid"/>
        <w:tblW w:w="0" w:type="auto"/>
        <w:tblInd w:w="720" w:type="dxa"/>
        <w:tblLook w:val="04A0"/>
      </w:tblPr>
      <w:tblGrid>
        <w:gridCol w:w="4115"/>
        <w:gridCol w:w="1743"/>
        <w:gridCol w:w="1444"/>
        <w:gridCol w:w="1264"/>
        <w:gridCol w:w="1396"/>
      </w:tblGrid>
      <w:tr w:rsidR="00A86593" w:rsidTr="001C741C">
        <w:tc>
          <w:tcPr>
            <w:tcW w:w="4350" w:type="dxa"/>
            <w:tcBorders>
              <w:top w:val="single" w:sz="4" w:space="0" w:color="auto"/>
              <w:left w:val="nil"/>
              <w:bottom w:val="single" w:sz="4" w:space="0" w:color="auto"/>
              <w:right w:val="nil"/>
            </w:tcBorders>
          </w:tcPr>
          <w:p w:rsidR="00A86593" w:rsidRDefault="00A86593" w:rsidP="001C741C">
            <w:r>
              <w:t>Asset Type</w:t>
            </w:r>
          </w:p>
        </w:tc>
        <w:tc>
          <w:tcPr>
            <w:tcW w:w="1816" w:type="dxa"/>
            <w:tcBorders>
              <w:top w:val="single" w:sz="4" w:space="0" w:color="auto"/>
              <w:left w:val="nil"/>
              <w:bottom w:val="single" w:sz="4" w:space="0" w:color="auto"/>
              <w:right w:val="nil"/>
            </w:tcBorders>
          </w:tcPr>
          <w:p w:rsidR="00A86593" w:rsidRDefault="00A86593" w:rsidP="001C741C">
            <w:pPr>
              <w:jc w:val="right"/>
            </w:pPr>
            <w:r>
              <w:t>Value as at 31</w:t>
            </w:r>
          </w:p>
          <w:p w:rsidR="00A86593" w:rsidRDefault="00A86593" w:rsidP="001C741C">
            <w:pPr>
              <w:jc w:val="right"/>
            </w:pPr>
            <w:r>
              <w:t>March 2012</w:t>
            </w:r>
          </w:p>
        </w:tc>
        <w:tc>
          <w:tcPr>
            <w:tcW w:w="1444" w:type="dxa"/>
            <w:tcBorders>
              <w:top w:val="single" w:sz="4" w:space="0" w:color="auto"/>
              <w:left w:val="nil"/>
              <w:bottom w:val="single" w:sz="4" w:space="0" w:color="auto"/>
              <w:right w:val="nil"/>
            </w:tcBorders>
          </w:tcPr>
          <w:p w:rsidR="00A86593" w:rsidRDefault="00A86593" w:rsidP="001C741C">
            <w:pPr>
              <w:jc w:val="right"/>
            </w:pPr>
            <w:r>
              <w:t xml:space="preserve">Percentage Change </w:t>
            </w:r>
          </w:p>
        </w:tc>
        <w:tc>
          <w:tcPr>
            <w:tcW w:w="1276" w:type="dxa"/>
            <w:tcBorders>
              <w:top w:val="single" w:sz="4" w:space="0" w:color="auto"/>
              <w:left w:val="nil"/>
              <w:bottom w:val="single" w:sz="4" w:space="0" w:color="auto"/>
              <w:right w:val="nil"/>
            </w:tcBorders>
          </w:tcPr>
          <w:p w:rsidR="00A86593" w:rsidRDefault="00A86593" w:rsidP="001C741C">
            <w:pPr>
              <w:jc w:val="right"/>
            </w:pPr>
            <w:r>
              <w:t xml:space="preserve">Value on Increase </w:t>
            </w:r>
          </w:p>
        </w:tc>
        <w:tc>
          <w:tcPr>
            <w:tcW w:w="1410" w:type="dxa"/>
            <w:tcBorders>
              <w:top w:val="single" w:sz="4" w:space="0" w:color="auto"/>
              <w:left w:val="nil"/>
              <w:bottom w:val="single" w:sz="4" w:space="0" w:color="auto"/>
              <w:right w:val="nil"/>
            </w:tcBorders>
          </w:tcPr>
          <w:p w:rsidR="00A86593" w:rsidRDefault="00A86593" w:rsidP="001C741C">
            <w:pPr>
              <w:jc w:val="right"/>
            </w:pPr>
            <w:r>
              <w:t xml:space="preserve">Value on </w:t>
            </w:r>
          </w:p>
          <w:p w:rsidR="00A86593" w:rsidRDefault="00A86593" w:rsidP="001C741C">
            <w:pPr>
              <w:jc w:val="right"/>
            </w:pPr>
            <w:r>
              <w:t xml:space="preserve">Decrease </w:t>
            </w:r>
          </w:p>
        </w:tc>
      </w:tr>
      <w:tr w:rsidR="00A86593" w:rsidTr="001C741C">
        <w:tc>
          <w:tcPr>
            <w:tcW w:w="4350" w:type="dxa"/>
            <w:tcBorders>
              <w:top w:val="single" w:sz="4" w:space="0" w:color="auto"/>
              <w:left w:val="nil"/>
              <w:bottom w:val="single" w:sz="4" w:space="0" w:color="auto"/>
              <w:right w:val="nil"/>
            </w:tcBorders>
          </w:tcPr>
          <w:p w:rsidR="00A86593" w:rsidRDefault="00A86593" w:rsidP="001C741C">
            <w:pPr>
              <w:rPr>
                <w:b/>
              </w:rPr>
            </w:pPr>
          </w:p>
        </w:tc>
        <w:tc>
          <w:tcPr>
            <w:tcW w:w="1816" w:type="dxa"/>
            <w:tcBorders>
              <w:top w:val="single" w:sz="4" w:space="0" w:color="auto"/>
              <w:left w:val="nil"/>
              <w:bottom w:val="single" w:sz="4" w:space="0" w:color="auto"/>
              <w:right w:val="nil"/>
            </w:tcBorders>
          </w:tcPr>
          <w:p w:rsidR="00A86593" w:rsidRDefault="00A86593" w:rsidP="001C741C">
            <w:pPr>
              <w:jc w:val="right"/>
            </w:pPr>
            <w:r>
              <w:t>£m</w:t>
            </w:r>
          </w:p>
        </w:tc>
        <w:tc>
          <w:tcPr>
            <w:tcW w:w="1444" w:type="dxa"/>
            <w:tcBorders>
              <w:top w:val="single" w:sz="4" w:space="0" w:color="auto"/>
              <w:left w:val="nil"/>
              <w:bottom w:val="single" w:sz="4" w:space="0" w:color="auto"/>
              <w:right w:val="nil"/>
            </w:tcBorders>
          </w:tcPr>
          <w:p w:rsidR="00A86593" w:rsidRDefault="00A86593" w:rsidP="001C741C">
            <w:pPr>
              <w:jc w:val="right"/>
            </w:pPr>
            <w:r>
              <w:t>%</w:t>
            </w:r>
          </w:p>
        </w:tc>
        <w:tc>
          <w:tcPr>
            <w:tcW w:w="1276" w:type="dxa"/>
            <w:tcBorders>
              <w:top w:val="single" w:sz="4" w:space="0" w:color="auto"/>
              <w:left w:val="nil"/>
              <w:bottom w:val="single" w:sz="4" w:space="0" w:color="auto"/>
              <w:right w:val="nil"/>
            </w:tcBorders>
          </w:tcPr>
          <w:p w:rsidR="00A86593" w:rsidRDefault="00A86593" w:rsidP="001C741C">
            <w:pPr>
              <w:jc w:val="right"/>
            </w:pPr>
            <w:r>
              <w:t>£m</w:t>
            </w:r>
          </w:p>
        </w:tc>
        <w:tc>
          <w:tcPr>
            <w:tcW w:w="1410" w:type="dxa"/>
            <w:tcBorders>
              <w:top w:val="single" w:sz="4" w:space="0" w:color="auto"/>
              <w:left w:val="nil"/>
              <w:bottom w:val="single" w:sz="4" w:space="0" w:color="auto"/>
              <w:right w:val="nil"/>
            </w:tcBorders>
          </w:tcPr>
          <w:p w:rsidR="00A86593" w:rsidRDefault="00A86593" w:rsidP="001C741C">
            <w:pPr>
              <w:jc w:val="right"/>
            </w:pPr>
            <w:r>
              <w:t xml:space="preserve">£m </w:t>
            </w:r>
          </w:p>
        </w:tc>
      </w:tr>
      <w:tr w:rsidR="00A86593" w:rsidTr="001C741C">
        <w:tc>
          <w:tcPr>
            <w:tcW w:w="4350" w:type="dxa"/>
            <w:tcBorders>
              <w:top w:val="single" w:sz="4" w:space="0" w:color="auto"/>
              <w:left w:val="nil"/>
              <w:bottom w:val="single" w:sz="4" w:space="0" w:color="auto"/>
              <w:right w:val="nil"/>
            </w:tcBorders>
          </w:tcPr>
          <w:p w:rsidR="00A86593" w:rsidRPr="007D6045" w:rsidRDefault="00A86593" w:rsidP="001C741C">
            <w:pPr>
              <w:rPr>
                <w:b/>
              </w:rPr>
            </w:pPr>
            <w:r w:rsidRPr="007D6045">
              <w:rPr>
                <w:b/>
              </w:rPr>
              <w:t xml:space="preserve">Cash and Cash equivalents </w:t>
            </w:r>
          </w:p>
        </w:tc>
        <w:tc>
          <w:tcPr>
            <w:tcW w:w="1816" w:type="dxa"/>
            <w:tcBorders>
              <w:top w:val="single" w:sz="4" w:space="0" w:color="auto"/>
              <w:left w:val="nil"/>
              <w:bottom w:val="single" w:sz="4" w:space="0" w:color="auto"/>
              <w:right w:val="nil"/>
            </w:tcBorders>
          </w:tcPr>
          <w:p w:rsidR="00A86593" w:rsidRDefault="00A86593" w:rsidP="001C741C"/>
        </w:tc>
        <w:tc>
          <w:tcPr>
            <w:tcW w:w="1444" w:type="dxa"/>
            <w:tcBorders>
              <w:top w:val="single" w:sz="4" w:space="0" w:color="auto"/>
              <w:left w:val="nil"/>
              <w:bottom w:val="single" w:sz="4" w:space="0" w:color="auto"/>
              <w:right w:val="nil"/>
            </w:tcBorders>
          </w:tcPr>
          <w:p w:rsidR="00A86593" w:rsidRDefault="00A86593" w:rsidP="001C741C"/>
        </w:tc>
        <w:tc>
          <w:tcPr>
            <w:tcW w:w="1276" w:type="dxa"/>
            <w:tcBorders>
              <w:top w:val="single" w:sz="4" w:space="0" w:color="auto"/>
              <w:left w:val="nil"/>
              <w:bottom w:val="single" w:sz="4" w:space="0" w:color="auto"/>
              <w:right w:val="nil"/>
            </w:tcBorders>
          </w:tcPr>
          <w:p w:rsidR="00A86593" w:rsidRDefault="00A86593" w:rsidP="001C741C"/>
        </w:tc>
        <w:tc>
          <w:tcPr>
            <w:tcW w:w="1410" w:type="dxa"/>
            <w:tcBorders>
              <w:top w:val="single" w:sz="4" w:space="0" w:color="auto"/>
              <w:left w:val="nil"/>
              <w:bottom w:val="single" w:sz="4" w:space="0" w:color="auto"/>
              <w:right w:val="nil"/>
            </w:tcBorders>
          </w:tcPr>
          <w:p w:rsidR="00A86593" w:rsidRDefault="00A86593" w:rsidP="001C741C"/>
        </w:tc>
      </w:tr>
      <w:tr w:rsidR="00A86593" w:rsidTr="001C741C">
        <w:tc>
          <w:tcPr>
            <w:tcW w:w="4350" w:type="dxa"/>
            <w:tcBorders>
              <w:top w:val="single" w:sz="4" w:space="0" w:color="auto"/>
              <w:left w:val="nil"/>
              <w:bottom w:val="single" w:sz="4" w:space="0" w:color="auto"/>
              <w:right w:val="nil"/>
            </w:tcBorders>
          </w:tcPr>
          <w:p w:rsidR="00A86593" w:rsidRPr="007D6045" w:rsidRDefault="00A86593" w:rsidP="001C741C">
            <w:pPr>
              <w:rPr>
                <w:b/>
              </w:rPr>
            </w:pPr>
            <w:r w:rsidRPr="007D6045">
              <w:rPr>
                <w:b/>
              </w:rPr>
              <w:t>Investment portfolio assets:</w:t>
            </w:r>
          </w:p>
        </w:tc>
        <w:tc>
          <w:tcPr>
            <w:tcW w:w="1816" w:type="dxa"/>
            <w:tcBorders>
              <w:top w:val="single" w:sz="4" w:space="0" w:color="auto"/>
              <w:left w:val="nil"/>
              <w:bottom w:val="single" w:sz="4" w:space="0" w:color="auto"/>
              <w:right w:val="nil"/>
            </w:tcBorders>
          </w:tcPr>
          <w:p w:rsidR="00A86593" w:rsidRDefault="00A86593" w:rsidP="001C741C"/>
        </w:tc>
        <w:tc>
          <w:tcPr>
            <w:tcW w:w="1444" w:type="dxa"/>
            <w:tcBorders>
              <w:top w:val="single" w:sz="4" w:space="0" w:color="auto"/>
              <w:left w:val="nil"/>
              <w:bottom w:val="single" w:sz="4" w:space="0" w:color="auto"/>
              <w:right w:val="nil"/>
            </w:tcBorders>
          </w:tcPr>
          <w:p w:rsidR="00A86593" w:rsidRDefault="00A86593" w:rsidP="001C741C"/>
        </w:tc>
        <w:tc>
          <w:tcPr>
            <w:tcW w:w="1276" w:type="dxa"/>
            <w:tcBorders>
              <w:top w:val="single" w:sz="4" w:space="0" w:color="auto"/>
              <w:left w:val="nil"/>
              <w:bottom w:val="single" w:sz="4" w:space="0" w:color="auto"/>
              <w:right w:val="nil"/>
            </w:tcBorders>
          </w:tcPr>
          <w:p w:rsidR="00A86593" w:rsidRDefault="00A86593" w:rsidP="001C741C"/>
        </w:tc>
        <w:tc>
          <w:tcPr>
            <w:tcW w:w="1410" w:type="dxa"/>
            <w:tcBorders>
              <w:top w:val="single" w:sz="4" w:space="0" w:color="auto"/>
              <w:left w:val="nil"/>
              <w:bottom w:val="single" w:sz="4" w:space="0" w:color="auto"/>
              <w:right w:val="nil"/>
            </w:tcBorders>
          </w:tcPr>
          <w:p w:rsidR="00A86593" w:rsidRDefault="00A86593" w:rsidP="001C741C"/>
        </w:tc>
      </w:tr>
      <w:tr w:rsidR="00A86593" w:rsidTr="001C741C">
        <w:tc>
          <w:tcPr>
            <w:tcW w:w="4350" w:type="dxa"/>
            <w:tcBorders>
              <w:top w:val="single" w:sz="4" w:space="0" w:color="auto"/>
              <w:left w:val="nil"/>
              <w:bottom w:val="single" w:sz="4" w:space="0" w:color="auto"/>
              <w:right w:val="nil"/>
            </w:tcBorders>
          </w:tcPr>
          <w:p w:rsidR="00A86593" w:rsidRDefault="00A86593" w:rsidP="001C741C">
            <w:r>
              <w:t xml:space="preserve">UK bonds </w:t>
            </w:r>
          </w:p>
        </w:tc>
        <w:tc>
          <w:tcPr>
            <w:tcW w:w="1816" w:type="dxa"/>
            <w:tcBorders>
              <w:top w:val="single" w:sz="4" w:space="0" w:color="auto"/>
              <w:left w:val="nil"/>
              <w:bottom w:val="single" w:sz="4" w:space="0" w:color="auto"/>
              <w:right w:val="nil"/>
            </w:tcBorders>
          </w:tcPr>
          <w:p w:rsidR="00A86593" w:rsidRDefault="00A86593" w:rsidP="001C741C">
            <w:pPr>
              <w:jc w:val="right"/>
            </w:pPr>
            <w:r>
              <w:t>695.7</w:t>
            </w:r>
          </w:p>
        </w:tc>
        <w:tc>
          <w:tcPr>
            <w:tcW w:w="1444" w:type="dxa"/>
            <w:tcBorders>
              <w:top w:val="single" w:sz="4" w:space="0" w:color="auto"/>
              <w:left w:val="nil"/>
              <w:bottom w:val="single" w:sz="4" w:space="0" w:color="auto"/>
              <w:right w:val="nil"/>
            </w:tcBorders>
          </w:tcPr>
          <w:p w:rsidR="00A86593" w:rsidRDefault="00A86593" w:rsidP="001C741C">
            <w:pPr>
              <w:jc w:val="right"/>
            </w:pPr>
            <w:r>
              <w:t>5.7%</w:t>
            </w:r>
          </w:p>
        </w:tc>
        <w:tc>
          <w:tcPr>
            <w:tcW w:w="1276" w:type="dxa"/>
            <w:tcBorders>
              <w:top w:val="single" w:sz="4" w:space="0" w:color="auto"/>
              <w:left w:val="nil"/>
              <w:bottom w:val="single" w:sz="4" w:space="0" w:color="auto"/>
              <w:right w:val="nil"/>
            </w:tcBorders>
          </w:tcPr>
          <w:p w:rsidR="00A86593" w:rsidRDefault="00A86593" w:rsidP="001C741C">
            <w:pPr>
              <w:jc w:val="right"/>
            </w:pPr>
            <w:r>
              <w:t>735.3</w:t>
            </w:r>
          </w:p>
        </w:tc>
        <w:tc>
          <w:tcPr>
            <w:tcW w:w="1410" w:type="dxa"/>
            <w:tcBorders>
              <w:top w:val="single" w:sz="4" w:space="0" w:color="auto"/>
              <w:left w:val="nil"/>
              <w:bottom w:val="single" w:sz="4" w:space="0" w:color="auto"/>
              <w:right w:val="nil"/>
            </w:tcBorders>
          </w:tcPr>
          <w:p w:rsidR="00A86593" w:rsidRDefault="00A86593" w:rsidP="001C741C">
            <w:pPr>
              <w:jc w:val="right"/>
            </w:pPr>
            <w:r>
              <w:t>656.1</w:t>
            </w:r>
          </w:p>
        </w:tc>
      </w:tr>
      <w:tr w:rsidR="00A86593" w:rsidTr="001C741C">
        <w:tc>
          <w:tcPr>
            <w:tcW w:w="4350" w:type="dxa"/>
            <w:tcBorders>
              <w:top w:val="single" w:sz="4" w:space="0" w:color="auto"/>
              <w:left w:val="nil"/>
              <w:bottom w:val="single" w:sz="4" w:space="0" w:color="auto"/>
              <w:right w:val="nil"/>
            </w:tcBorders>
          </w:tcPr>
          <w:p w:rsidR="00A86593" w:rsidRDefault="00A86593" w:rsidP="001C741C">
            <w:r>
              <w:t>Overseas bonds</w:t>
            </w:r>
          </w:p>
        </w:tc>
        <w:tc>
          <w:tcPr>
            <w:tcW w:w="1816" w:type="dxa"/>
            <w:tcBorders>
              <w:top w:val="single" w:sz="4" w:space="0" w:color="auto"/>
              <w:left w:val="nil"/>
              <w:bottom w:val="single" w:sz="4" w:space="0" w:color="auto"/>
              <w:right w:val="nil"/>
            </w:tcBorders>
          </w:tcPr>
          <w:p w:rsidR="00A86593" w:rsidRDefault="00A86593" w:rsidP="001C741C">
            <w:pPr>
              <w:jc w:val="right"/>
            </w:pPr>
            <w:r>
              <w:t>100.0</w:t>
            </w:r>
          </w:p>
        </w:tc>
        <w:tc>
          <w:tcPr>
            <w:tcW w:w="1444" w:type="dxa"/>
            <w:tcBorders>
              <w:top w:val="single" w:sz="4" w:space="0" w:color="auto"/>
              <w:left w:val="nil"/>
              <w:bottom w:val="single" w:sz="4" w:space="0" w:color="auto"/>
              <w:right w:val="nil"/>
            </w:tcBorders>
          </w:tcPr>
          <w:p w:rsidR="00A86593" w:rsidRDefault="00A86593" w:rsidP="001C741C">
            <w:pPr>
              <w:jc w:val="right"/>
            </w:pPr>
            <w:r>
              <w:t>11.8%</w:t>
            </w:r>
          </w:p>
        </w:tc>
        <w:tc>
          <w:tcPr>
            <w:tcW w:w="1276" w:type="dxa"/>
            <w:tcBorders>
              <w:top w:val="single" w:sz="4" w:space="0" w:color="auto"/>
              <w:left w:val="nil"/>
              <w:bottom w:val="single" w:sz="4" w:space="0" w:color="auto"/>
              <w:right w:val="nil"/>
            </w:tcBorders>
          </w:tcPr>
          <w:p w:rsidR="00A86593" w:rsidRDefault="00A86593" w:rsidP="001C741C">
            <w:pPr>
              <w:jc w:val="right"/>
            </w:pPr>
            <w:r>
              <w:t>111.8</w:t>
            </w:r>
          </w:p>
        </w:tc>
        <w:tc>
          <w:tcPr>
            <w:tcW w:w="1410" w:type="dxa"/>
            <w:tcBorders>
              <w:top w:val="single" w:sz="4" w:space="0" w:color="auto"/>
              <w:left w:val="nil"/>
              <w:bottom w:val="single" w:sz="4" w:space="0" w:color="auto"/>
              <w:right w:val="nil"/>
            </w:tcBorders>
          </w:tcPr>
          <w:p w:rsidR="00A86593" w:rsidRDefault="00A86593" w:rsidP="001C741C">
            <w:pPr>
              <w:jc w:val="right"/>
            </w:pPr>
            <w:r>
              <w:t>88.2</w:t>
            </w:r>
          </w:p>
        </w:tc>
      </w:tr>
      <w:tr w:rsidR="00A86593" w:rsidTr="001C741C">
        <w:tc>
          <w:tcPr>
            <w:tcW w:w="4350" w:type="dxa"/>
            <w:tcBorders>
              <w:top w:val="single" w:sz="4" w:space="0" w:color="auto"/>
              <w:left w:val="nil"/>
              <w:bottom w:val="single" w:sz="4" w:space="0" w:color="auto"/>
              <w:right w:val="nil"/>
            </w:tcBorders>
          </w:tcPr>
          <w:p w:rsidR="00A86593" w:rsidRDefault="00A86593" w:rsidP="001C741C">
            <w:r>
              <w:t xml:space="preserve">UK equities </w:t>
            </w:r>
          </w:p>
        </w:tc>
        <w:tc>
          <w:tcPr>
            <w:tcW w:w="1816" w:type="dxa"/>
            <w:tcBorders>
              <w:top w:val="single" w:sz="4" w:space="0" w:color="auto"/>
              <w:left w:val="nil"/>
              <w:bottom w:val="single" w:sz="4" w:space="0" w:color="auto"/>
              <w:right w:val="nil"/>
            </w:tcBorders>
          </w:tcPr>
          <w:p w:rsidR="00A86593" w:rsidRDefault="00A86593" w:rsidP="001C741C">
            <w:pPr>
              <w:jc w:val="right"/>
            </w:pPr>
            <w:r>
              <w:t>1341.4</w:t>
            </w:r>
          </w:p>
        </w:tc>
        <w:tc>
          <w:tcPr>
            <w:tcW w:w="1444" w:type="dxa"/>
            <w:tcBorders>
              <w:top w:val="single" w:sz="4" w:space="0" w:color="auto"/>
              <w:left w:val="nil"/>
              <w:bottom w:val="single" w:sz="4" w:space="0" w:color="auto"/>
              <w:right w:val="nil"/>
            </w:tcBorders>
          </w:tcPr>
          <w:p w:rsidR="00A86593" w:rsidRDefault="00A86593" w:rsidP="001C741C">
            <w:pPr>
              <w:jc w:val="right"/>
            </w:pPr>
            <w:r>
              <w:t>15.3%</w:t>
            </w:r>
          </w:p>
        </w:tc>
        <w:tc>
          <w:tcPr>
            <w:tcW w:w="1276" w:type="dxa"/>
            <w:tcBorders>
              <w:top w:val="single" w:sz="4" w:space="0" w:color="auto"/>
              <w:left w:val="nil"/>
              <w:bottom w:val="single" w:sz="4" w:space="0" w:color="auto"/>
              <w:right w:val="nil"/>
            </w:tcBorders>
          </w:tcPr>
          <w:p w:rsidR="00A86593" w:rsidRDefault="00A86593" w:rsidP="001C741C">
            <w:pPr>
              <w:jc w:val="right"/>
            </w:pPr>
            <w:r>
              <w:t>1547.3</w:t>
            </w:r>
          </w:p>
        </w:tc>
        <w:tc>
          <w:tcPr>
            <w:tcW w:w="1410" w:type="dxa"/>
            <w:tcBorders>
              <w:top w:val="single" w:sz="4" w:space="0" w:color="auto"/>
              <w:left w:val="nil"/>
              <w:bottom w:val="single" w:sz="4" w:space="0" w:color="auto"/>
              <w:right w:val="nil"/>
            </w:tcBorders>
          </w:tcPr>
          <w:p w:rsidR="00A86593" w:rsidRDefault="00A86593" w:rsidP="001C741C">
            <w:pPr>
              <w:jc w:val="right"/>
            </w:pPr>
            <w:r>
              <w:t>1135.6</w:t>
            </w:r>
          </w:p>
        </w:tc>
      </w:tr>
      <w:tr w:rsidR="00A86593" w:rsidTr="001C741C">
        <w:tc>
          <w:tcPr>
            <w:tcW w:w="4350" w:type="dxa"/>
            <w:tcBorders>
              <w:top w:val="single" w:sz="4" w:space="0" w:color="auto"/>
              <w:left w:val="nil"/>
              <w:bottom w:val="single" w:sz="4" w:space="0" w:color="auto"/>
              <w:right w:val="nil"/>
            </w:tcBorders>
          </w:tcPr>
          <w:p w:rsidR="00A86593" w:rsidRDefault="00A86593" w:rsidP="001C741C">
            <w:r>
              <w:t>Overseas equities</w:t>
            </w:r>
          </w:p>
        </w:tc>
        <w:tc>
          <w:tcPr>
            <w:tcW w:w="1816" w:type="dxa"/>
            <w:tcBorders>
              <w:top w:val="single" w:sz="4" w:space="0" w:color="auto"/>
              <w:left w:val="nil"/>
              <w:bottom w:val="single" w:sz="4" w:space="0" w:color="auto"/>
              <w:right w:val="nil"/>
            </w:tcBorders>
          </w:tcPr>
          <w:p w:rsidR="00A86593" w:rsidRDefault="00A86593" w:rsidP="001C741C">
            <w:pPr>
              <w:jc w:val="right"/>
            </w:pPr>
            <w:r>
              <w:t>1236.9</w:t>
            </w:r>
          </w:p>
        </w:tc>
        <w:tc>
          <w:tcPr>
            <w:tcW w:w="1444" w:type="dxa"/>
            <w:tcBorders>
              <w:top w:val="single" w:sz="4" w:space="0" w:color="auto"/>
              <w:left w:val="nil"/>
              <w:bottom w:val="single" w:sz="4" w:space="0" w:color="auto"/>
              <w:right w:val="nil"/>
            </w:tcBorders>
          </w:tcPr>
          <w:p w:rsidR="00A86593" w:rsidRDefault="00A86593" w:rsidP="001C741C">
            <w:pPr>
              <w:jc w:val="right"/>
            </w:pPr>
            <w:r>
              <w:t>14.8%</w:t>
            </w:r>
          </w:p>
        </w:tc>
        <w:tc>
          <w:tcPr>
            <w:tcW w:w="1276" w:type="dxa"/>
            <w:tcBorders>
              <w:top w:val="single" w:sz="4" w:space="0" w:color="auto"/>
              <w:left w:val="nil"/>
              <w:bottom w:val="single" w:sz="4" w:space="0" w:color="auto"/>
              <w:right w:val="nil"/>
            </w:tcBorders>
          </w:tcPr>
          <w:p w:rsidR="00A86593" w:rsidRDefault="00A86593" w:rsidP="001C741C">
            <w:pPr>
              <w:jc w:val="right"/>
            </w:pPr>
            <w:r>
              <w:t>1420.3</w:t>
            </w:r>
          </w:p>
        </w:tc>
        <w:tc>
          <w:tcPr>
            <w:tcW w:w="1410" w:type="dxa"/>
            <w:tcBorders>
              <w:top w:val="single" w:sz="4" w:space="0" w:color="auto"/>
              <w:left w:val="nil"/>
              <w:bottom w:val="single" w:sz="4" w:space="0" w:color="auto"/>
              <w:right w:val="nil"/>
            </w:tcBorders>
          </w:tcPr>
          <w:p w:rsidR="00A86593" w:rsidRDefault="00A86593" w:rsidP="001C741C">
            <w:pPr>
              <w:jc w:val="right"/>
            </w:pPr>
            <w:r>
              <w:t>1053.5</w:t>
            </w:r>
          </w:p>
        </w:tc>
      </w:tr>
      <w:tr w:rsidR="00A86593" w:rsidTr="001C741C">
        <w:tc>
          <w:tcPr>
            <w:tcW w:w="4350" w:type="dxa"/>
            <w:tcBorders>
              <w:top w:val="single" w:sz="4" w:space="0" w:color="auto"/>
              <w:left w:val="nil"/>
              <w:bottom w:val="nil"/>
              <w:right w:val="nil"/>
            </w:tcBorders>
          </w:tcPr>
          <w:p w:rsidR="00A86593" w:rsidRDefault="00A86593" w:rsidP="001C741C">
            <w:r>
              <w:t>Index linked gilts</w:t>
            </w:r>
          </w:p>
        </w:tc>
        <w:tc>
          <w:tcPr>
            <w:tcW w:w="1816" w:type="dxa"/>
            <w:tcBorders>
              <w:top w:val="single" w:sz="4" w:space="0" w:color="auto"/>
              <w:left w:val="nil"/>
              <w:bottom w:val="nil"/>
              <w:right w:val="nil"/>
            </w:tcBorders>
          </w:tcPr>
          <w:p w:rsidR="00A86593" w:rsidRDefault="00A86593" w:rsidP="001C741C">
            <w:pPr>
              <w:jc w:val="right"/>
            </w:pPr>
            <w:r>
              <w:t>166.9</w:t>
            </w:r>
          </w:p>
        </w:tc>
        <w:tc>
          <w:tcPr>
            <w:tcW w:w="1444" w:type="dxa"/>
            <w:tcBorders>
              <w:top w:val="single" w:sz="4" w:space="0" w:color="auto"/>
              <w:left w:val="nil"/>
              <w:bottom w:val="nil"/>
              <w:right w:val="nil"/>
            </w:tcBorders>
          </w:tcPr>
          <w:p w:rsidR="00A86593" w:rsidRDefault="00A86593" w:rsidP="001C741C">
            <w:pPr>
              <w:jc w:val="right"/>
            </w:pPr>
            <w:r>
              <w:t>7.6%</w:t>
            </w:r>
          </w:p>
        </w:tc>
        <w:tc>
          <w:tcPr>
            <w:tcW w:w="1276" w:type="dxa"/>
            <w:tcBorders>
              <w:top w:val="single" w:sz="4" w:space="0" w:color="auto"/>
              <w:left w:val="nil"/>
              <w:bottom w:val="nil"/>
              <w:right w:val="nil"/>
            </w:tcBorders>
          </w:tcPr>
          <w:p w:rsidR="00A86593" w:rsidRDefault="00A86593" w:rsidP="001C741C">
            <w:pPr>
              <w:jc w:val="right"/>
            </w:pPr>
            <w:r>
              <w:t>179.6</w:t>
            </w:r>
          </w:p>
        </w:tc>
        <w:tc>
          <w:tcPr>
            <w:tcW w:w="1410" w:type="dxa"/>
            <w:tcBorders>
              <w:top w:val="single" w:sz="4" w:space="0" w:color="auto"/>
              <w:left w:val="nil"/>
              <w:bottom w:val="nil"/>
              <w:right w:val="nil"/>
            </w:tcBorders>
          </w:tcPr>
          <w:p w:rsidR="00A86593" w:rsidRDefault="00A86593" w:rsidP="001C741C">
            <w:pPr>
              <w:jc w:val="right"/>
            </w:pPr>
            <w:r>
              <w:t>154.2</w:t>
            </w:r>
          </w:p>
        </w:tc>
      </w:tr>
      <w:tr w:rsidR="00A86593" w:rsidTr="001C741C">
        <w:tc>
          <w:tcPr>
            <w:tcW w:w="4350" w:type="dxa"/>
            <w:tcBorders>
              <w:top w:val="single" w:sz="4" w:space="0" w:color="auto"/>
              <w:left w:val="nil"/>
              <w:bottom w:val="single" w:sz="4" w:space="0" w:color="auto"/>
              <w:right w:val="nil"/>
            </w:tcBorders>
          </w:tcPr>
          <w:p w:rsidR="00A86593" w:rsidRDefault="00A86593" w:rsidP="001C741C">
            <w:r>
              <w:t>Cash</w:t>
            </w:r>
          </w:p>
        </w:tc>
        <w:tc>
          <w:tcPr>
            <w:tcW w:w="1816" w:type="dxa"/>
            <w:tcBorders>
              <w:top w:val="single" w:sz="4" w:space="0" w:color="auto"/>
              <w:left w:val="nil"/>
              <w:bottom w:val="single" w:sz="4" w:space="0" w:color="auto"/>
              <w:right w:val="nil"/>
            </w:tcBorders>
          </w:tcPr>
          <w:p w:rsidR="00A86593" w:rsidRDefault="00A86593" w:rsidP="001C741C">
            <w:pPr>
              <w:jc w:val="right"/>
            </w:pPr>
            <w:r>
              <w:t>147.9</w:t>
            </w:r>
          </w:p>
        </w:tc>
        <w:tc>
          <w:tcPr>
            <w:tcW w:w="1444" w:type="dxa"/>
            <w:tcBorders>
              <w:top w:val="single" w:sz="4" w:space="0" w:color="auto"/>
              <w:left w:val="nil"/>
              <w:bottom w:val="single" w:sz="4" w:space="0" w:color="auto"/>
              <w:right w:val="nil"/>
            </w:tcBorders>
          </w:tcPr>
          <w:p w:rsidR="00A86593" w:rsidRDefault="00A86593" w:rsidP="001C741C">
            <w:pPr>
              <w:jc w:val="right"/>
            </w:pPr>
            <w:r>
              <w:t>0.0%</w:t>
            </w:r>
          </w:p>
        </w:tc>
        <w:tc>
          <w:tcPr>
            <w:tcW w:w="1276" w:type="dxa"/>
            <w:tcBorders>
              <w:top w:val="single" w:sz="4" w:space="0" w:color="auto"/>
              <w:left w:val="nil"/>
              <w:bottom w:val="single" w:sz="4" w:space="0" w:color="auto"/>
              <w:right w:val="nil"/>
            </w:tcBorders>
          </w:tcPr>
          <w:p w:rsidR="00A86593" w:rsidRDefault="00A86593" w:rsidP="001C741C">
            <w:pPr>
              <w:jc w:val="right"/>
            </w:pPr>
            <w:r>
              <w:t>147.9</w:t>
            </w:r>
          </w:p>
        </w:tc>
        <w:tc>
          <w:tcPr>
            <w:tcW w:w="1410" w:type="dxa"/>
            <w:tcBorders>
              <w:top w:val="single" w:sz="4" w:space="0" w:color="auto"/>
              <w:left w:val="nil"/>
              <w:bottom w:val="single" w:sz="4" w:space="0" w:color="auto"/>
              <w:right w:val="nil"/>
            </w:tcBorders>
          </w:tcPr>
          <w:p w:rsidR="00A86593" w:rsidRDefault="00A86593" w:rsidP="001C741C">
            <w:pPr>
              <w:jc w:val="right"/>
            </w:pPr>
            <w:r>
              <w:t>147.8</w:t>
            </w:r>
          </w:p>
        </w:tc>
      </w:tr>
      <w:tr w:rsidR="00A86593" w:rsidTr="001C741C">
        <w:tc>
          <w:tcPr>
            <w:tcW w:w="4350" w:type="dxa"/>
            <w:tcBorders>
              <w:top w:val="single" w:sz="4" w:space="0" w:color="auto"/>
              <w:left w:val="nil"/>
              <w:bottom w:val="single" w:sz="4" w:space="0" w:color="auto"/>
              <w:right w:val="nil"/>
            </w:tcBorders>
          </w:tcPr>
          <w:p w:rsidR="00A86593" w:rsidRDefault="00A86593" w:rsidP="001C741C">
            <w:r>
              <w:t xml:space="preserve">Alternatives </w:t>
            </w:r>
          </w:p>
        </w:tc>
        <w:tc>
          <w:tcPr>
            <w:tcW w:w="1816" w:type="dxa"/>
            <w:tcBorders>
              <w:top w:val="single" w:sz="4" w:space="0" w:color="auto"/>
              <w:left w:val="nil"/>
              <w:bottom w:val="single" w:sz="4" w:space="0" w:color="auto"/>
              <w:right w:val="nil"/>
            </w:tcBorders>
          </w:tcPr>
          <w:p w:rsidR="00A86593" w:rsidRDefault="00A86593" w:rsidP="001C741C">
            <w:pPr>
              <w:jc w:val="right"/>
            </w:pPr>
            <w:r>
              <w:t>287.4</w:t>
            </w:r>
          </w:p>
        </w:tc>
        <w:tc>
          <w:tcPr>
            <w:tcW w:w="1444" w:type="dxa"/>
            <w:tcBorders>
              <w:top w:val="single" w:sz="4" w:space="0" w:color="auto"/>
              <w:left w:val="nil"/>
              <w:bottom w:val="single" w:sz="4" w:space="0" w:color="auto"/>
              <w:right w:val="nil"/>
            </w:tcBorders>
          </w:tcPr>
          <w:p w:rsidR="00A86593" w:rsidRDefault="00A86593" w:rsidP="001C741C">
            <w:pPr>
              <w:jc w:val="right"/>
            </w:pPr>
            <w:r>
              <w:t>7.7%</w:t>
            </w:r>
          </w:p>
        </w:tc>
        <w:tc>
          <w:tcPr>
            <w:tcW w:w="1276" w:type="dxa"/>
            <w:tcBorders>
              <w:top w:val="single" w:sz="4" w:space="0" w:color="auto"/>
              <w:left w:val="nil"/>
              <w:bottom w:val="single" w:sz="4" w:space="0" w:color="auto"/>
              <w:right w:val="nil"/>
            </w:tcBorders>
          </w:tcPr>
          <w:p w:rsidR="00A86593" w:rsidRDefault="00A86593" w:rsidP="001C741C">
            <w:pPr>
              <w:jc w:val="right"/>
            </w:pPr>
            <w:r>
              <w:t>309.6</w:t>
            </w:r>
          </w:p>
        </w:tc>
        <w:tc>
          <w:tcPr>
            <w:tcW w:w="1410" w:type="dxa"/>
            <w:tcBorders>
              <w:top w:val="single" w:sz="4" w:space="0" w:color="auto"/>
              <w:left w:val="nil"/>
              <w:bottom w:val="single" w:sz="4" w:space="0" w:color="auto"/>
              <w:right w:val="nil"/>
            </w:tcBorders>
          </w:tcPr>
          <w:p w:rsidR="00A86593" w:rsidRDefault="00A86593" w:rsidP="001C741C">
            <w:pPr>
              <w:jc w:val="right"/>
            </w:pPr>
            <w:r>
              <w:t>265.2</w:t>
            </w:r>
          </w:p>
        </w:tc>
      </w:tr>
      <w:tr w:rsidR="00A86593" w:rsidTr="001C741C">
        <w:tc>
          <w:tcPr>
            <w:tcW w:w="4350" w:type="dxa"/>
            <w:tcBorders>
              <w:top w:val="single" w:sz="4" w:space="0" w:color="auto"/>
              <w:left w:val="nil"/>
              <w:bottom w:val="single" w:sz="4" w:space="0" w:color="auto"/>
              <w:right w:val="nil"/>
            </w:tcBorders>
          </w:tcPr>
          <w:p w:rsidR="00A86593" w:rsidRDefault="00A86593" w:rsidP="001C741C">
            <w:r>
              <w:t>Property</w:t>
            </w:r>
          </w:p>
        </w:tc>
        <w:tc>
          <w:tcPr>
            <w:tcW w:w="1816" w:type="dxa"/>
            <w:tcBorders>
              <w:top w:val="single" w:sz="4" w:space="0" w:color="auto"/>
              <w:left w:val="nil"/>
              <w:bottom w:val="single" w:sz="4" w:space="0" w:color="auto"/>
              <w:right w:val="nil"/>
            </w:tcBorders>
          </w:tcPr>
          <w:p w:rsidR="00A86593" w:rsidRDefault="00A86593" w:rsidP="001C741C">
            <w:pPr>
              <w:jc w:val="right"/>
            </w:pPr>
            <w:r>
              <w:t>383.8</w:t>
            </w:r>
          </w:p>
        </w:tc>
        <w:tc>
          <w:tcPr>
            <w:tcW w:w="1444" w:type="dxa"/>
            <w:tcBorders>
              <w:top w:val="single" w:sz="4" w:space="0" w:color="auto"/>
              <w:left w:val="nil"/>
              <w:bottom w:val="single" w:sz="4" w:space="0" w:color="auto"/>
              <w:right w:val="nil"/>
            </w:tcBorders>
          </w:tcPr>
          <w:p w:rsidR="00A86593" w:rsidRDefault="00A86593" w:rsidP="001C741C">
            <w:pPr>
              <w:jc w:val="right"/>
            </w:pPr>
            <w:r>
              <w:t>9.4%</w:t>
            </w:r>
          </w:p>
        </w:tc>
        <w:tc>
          <w:tcPr>
            <w:tcW w:w="1276" w:type="dxa"/>
            <w:tcBorders>
              <w:top w:val="single" w:sz="4" w:space="0" w:color="auto"/>
              <w:left w:val="nil"/>
              <w:bottom w:val="single" w:sz="4" w:space="0" w:color="auto"/>
              <w:right w:val="nil"/>
            </w:tcBorders>
          </w:tcPr>
          <w:p w:rsidR="00A86593" w:rsidRDefault="00A86593" w:rsidP="001C741C">
            <w:pPr>
              <w:jc w:val="right"/>
            </w:pPr>
            <w:r>
              <w:t>419.7</w:t>
            </w:r>
          </w:p>
        </w:tc>
        <w:tc>
          <w:tcPr>
            <w:tcW w:w="1410" w:type="dxa"/>
            <w:tcBorders>
              <w:top w:val="single" w:sz="4" w:space="0" w:color="auto"/>
              <w:left w:val="nil"/>
              <w:bottom w:val="single" w:sz="4" w:space="0" w:color="auto"/>
              <w:right w:val="nil"/>
            </w:tcBorders>
          </w:tcPr>
          <w:p w:rsidR="00A86593" w:rsidRDefault="00A86593" w:rsidP="001C741C">
            <w:pPr>
              <w:jc w:val="right"/>
            </w:pPr>
            <w:r>
              <w:t>347.9</w:t>
            </w:r>
          </w:p>
        </w:tc>
      </w:tr>
      <w:tr w:rsidR="00A86593" w:rsidTr="001C741C">
        <w:tc>
          <w:tcPr>
            <w:tcW w:w="4350" w:type="dxa"/>
            <w:tcBorders>
              <w:top w:val="single" w:sz="4" w:space="0" w:color="auto"/>
              <w:left w:val="nil"/>
              <w:bottom w:val="single" w:sz="4" w:space="0" w:color="auto"/>
              <w:right w:val="nil"/>
            </w:tcBorders>
          </w:tcPr>
          <w:p w:rsidR="00A86593" w:rsidRPr="007D6045" w:rsidRDefault="00A86593" w:rsidP="001C741C">
            <w:pPr>
              <w:rPr>
                <w:b/>
              </w:rPr>
            </w:pPr>
            <w:r>
              <w:rPr>
                <w:b/>
              </w:rPr>
              <w:t xml:space="preserve">Total asset available to pay benefits </w:t>
            </w:r>
          </w:p>
        </w:tc>
        <w:tc>
          <w:tcPr>
            <w:tcW w:w="1816" w:type="dxa"/>
            <w:tcBorders>
              <w:top w:val="single" w:sz="4" w:space="0" w:color="auto"/>
              <w:left w:val="nil"/>
              <w:bottom w:val="single" w:sz="4" w:space="0" w:color="auto"/>
              <w:right w:val="nil"/>
            </w:tcBorders>
          </w:tcPr>
          <w:p w:rsidR="00A86593" w:rsidRDefault="00A86593" w:rsidP="001C741C">
            <w:pPr>
              <w:jc w:val="right"/>
            </w:pPr>
            <w:r>
              <w:t>4360.0</w:t>
            </w:r>
          </w:p>
        </w:tc>
        <w:tc>
          <w:tcPr>
            <w:tcW w:w="1444" w:type="dxa"/>
            <w:tcBorders>
              <w:top w:val="single" w:sz="4" w:space="0" w:color="auto"/>
              <w:left w:val="nil"/>
              <w:bottom w:val="single" w:sz="4" w:space="0" w:color="auto"/>
              <w:right w:val="nil"/>
            </w:tcBorders>
          </w:tcPr>
          <w:p w:rsidR="00A86593" w:rsidRDefault="00A86593" w:rsidP="001C741C"/>
        </w:tc>
        <w:tc>
          <w:tcPr>
            <w:tcW w:w="1276" w:type="dxa"/>
            <w:tcBorders>
              <w:top w:val="single" w:sz="4" w:space="0" w:color="auto"/>
              <w:left w:val="nil"/>
              <w:bottom w:val="single" w:sz="4" w:space="0" w:color="auto"/>
              <w:right w:val="nil"/>
            </w:tcBorders>
          </w:tcPr>
          <w:p w:rsidR="00A86593" w:rsidRDefault="00A86593" w:rsidP="001C741C">
            <w:pPr>
              <w:jc w:val="right"/>
            </w:pPr>
            <w:r>
              <w:t>4871.5</w:t>
            </w:r>
          </w:p>
        </w:tc>
        <w:tc>
          <w:tcPr>
            <w:tcW w:w="1410" w:type="dxa"/>
            <w:tcBorders>
              <w:top w:val="single" w:sz="4" w:space="0" w:color="auto"/>
              <w:left w:val="nil"/>
              <w:bottom w:val="single" w:sz="4" w:space="0" w:color="auto"/>
              <w:right w:val="nil"/>
            </w:tcBorders>
          </w:tcPr>
          <w:p w:rsidR="00A86593" w:rsidRDefault="00A86593" w:rsidP="001C741C">
            <w:pPr>
              <w:jc w:val="right"/>
            </w:pPr>
            <w:r>
              <w:t>3848.5</w:t>
            </w:r>
          </w:p>
        </w:tc>
      </w:tr>
    </w:tbl>
    <w:p w:rsidR="00A86593" w:rsidRDefault="00A86593" w:rsidP="00A86593">
      <w:pPr>
        <w:ind w:left="720"/>
      </w:pPr>
    </w:p>
    <w:p w:rsidR="00A86593" w:rsidRDefault="00A86593" w:rsidP="00A86593">
      <w:pPr>
        <w:ind w:left="720"/>
      </w:pPr>
    </w:p>
    <w:tbl>
      <w:tblPr>
        <w:tblStyle w:val="TableGrid"/>
        <w:tblW w:w="0" w:type="auto"/>
        <w:tblInd w:w="720" w:type="dxa"/>
        <w:tblLook w:val="04A0"/>
      </w:tblPr>
      <w:tblGrid>
        <w:gridCol w:w="4115"/>
        <w:gridCol w:w="1743"/>
        <w:gridCol w:w="1444"/>
        <w:gridCol w:w="1264"/>
        <w:gridCol w:w="1396"/>
      </w:tblGrid>
      <w:tr w:rsidR="00A86593" w:rsidTr="001C741C">
        <w:tc>
          <w:tcPr>
            <w:tcW w:w="4350" w:type="dxa"/>
            <w:tcBorders>
              <w:top w:val="single" w:sz="4" w:space="0" w:color="auto"/>
              <w:left w:val="nil"/>
              <w:bottom w:val="single" w:sz="4" w:space="0" w:color="auto"/>
              <w:right w:val="nil"/>
            </w:tcBorders>
          </w:tcPr>
          <w:p w:rsidR="00A86593" w:rsidRDefault="00A86593" w:rsidP="001C741C">
            <w:r>
              <w:t>Asset Type</w:t>
            </w:r>
          </w:p>
        </w:tc>
        <w:tc>
          <w:tcPr>
            <w:tcW w:w="1816" w:type="dxa"/>
            <w:tcBorders>
              <w:top w:val="single" w:sz="4" w:space="0" w:color="auto"/>
              <w:left w:val="nil"/>
              <w:bottom w:val="single" w:sz="4" w:space="0" w:color="auto"/>
              <w:right w:val="nil"/>
            </w:tcBorders>
          </w:tcPr>
          <w:p w:rsidR="00A86593" w:rsidRDefault="00A86593" w:rsidP="001C741C">
            <w:pPr>
              <w:jc w:val="right"/>
            </w:pPr>
            <w:r>
              <w:t>Value as at 31</w:t>
            </w:r>
          </w:p>
          <w:p w:rsidR="00A86593" w:rsidRDefault="00A86593" w:rsidP="001C741C">
            <w:pPr>
              <w:jc w:val="right"/>
            </w:pPr>
            <w:r>
              <w:t>March 2011</w:t>
            </w:r>
          </w:p>
        </w:tc>
        <w:tc>
          <w:tcPr>
            <w:tcW w:w="1444" w:type="dxa"/>
            <w:tcBorders>
              <w:top w:val="single" w:sz="4" w:space="0" w:color="auto"/>
              <w:left w:val="nil"/>
              <w:bottom w:val="single" w:sz="4" w:space="0" w:color="auto"/>
              <w:right w:val="nil"/>
            </w:tcBorders>
          </w:tcPr>
          <w:p w:rsidR="00A86593" w:rsidRDefault="00A86593" w:rsidP="001C741C">
            <w:pPr>
              <w:jc w:val="right"/>
            </w:pPr>
            <w:r>
              <w:t xml:space="preserve">Percentage Change </w:t>
            </w:r>
          </w:p>
        </w:tc>
        <w:tc>
          <w:tcPr>
            <w:tcW w:w="1276" w:type="dxa"/>
            <w:tcBorders>
              <w:top w:val="single" w:sz="4" w:space="0" w:color="auto"/>
              <w:left w:val="nil"/>
              <w:bottom w:val="single" w:sz="4" w:space="0" w:color="auto"/>
              <w:right w:val="nil"/>
            </w:tcBorders>
          </w:tcPr>
          <w:p w:rsidR="00A86593" w:rsidRDefault="00A86593" w:rsidP="001C741C">
            <w:pPr>
              <w:jc w:val="right"/>
            </w:pPr>
            <w:r>
              <w:t xml:space="preserve">Value on Increase </w:t>
            </w:r>
          </w:p>
        </w:tc>
        <w:tc>
          <w:tcPr>
            <w:tcW w:w="1410" w:type="dxa"/>
            <w:tcBorders>
              <w:top w:val="single" w:sz="4" w:space="0" w:color="auto"/>
              <w:left w:val="nil"/>
              <w:bottom w:val="single" w:sz="4" w:space="0" w:color="auto"/>
              <w:right w:val="nil"/>
            </w:tcBorders>
          </w:tcPr>
          <w:p w:rsidR="00A86593" w:rsidRDefault="00A86593" w:rsidP="001C741C">
            <w:pPr>
              <w:jc w:val="right"/>
            </w:pPr>
            <w:r>
              <w:t xml:space="preserve">Value on </w:t>
            </w:r>
          </w:p>
          <w:p w:rsidR="00A86593" w:rsidRDefault="00A86593" w:rsidP="001C741C">
            <w:pPr>
              <w:jc w:val="right"/>
            </w:pPr>
            <w:r>
              <w:t xml:space="preserve">Decrease </w:t>
            </w:r>
          </w:p>
        </w:tc>
      </w:tr>
      <w:tr w:rsidR="00A86593" w:rsidTr="001C741C">
        <w:tc>
          <w:tcPr>
            <w:tcW w:w="4350" w:type="dxa"/>
            <w:tcBorders>
              <w:top w:val="single" w:sz="4" w:space="0" w:color="auto"/>
              <w:left w:val="nil"/>
              <w:bottom w:val="single" w:sz="4" w:space="0" w:color="auto"/>
              <w:right w:val="nil"/>
            </w:tcBorders>
          </w:tcPr>
          <w:p w:rsidR="00A86593" w:rsidRDefault="00A86593" w:rsidP="001C741C">
            <w:pPr>
              <w:rPr>
                <w:b/>
              </w:rPr>
            </w:pPr>
          </w:p>
        </w:tc>
        <w:tc>
          <w:tcPr>
            <w:tcW w:w="1816" w:type="dxa"/>
            <w:tcBorders>
              <w:top w:val="single" w:sz="4" w:space="0" w:color="auto"/>
              <w:left w:val="nil"/>
              <w:bottom w:val="single" w:sz="4" w:space="0" w:color="auto"/>
              <w:right w:val="nil"/>
            </w:tcBorders>
          </w:tcPr>
          <w:p w:rsidR="00A86593" w:rsidRDefault="00A86593" w:rsidP="001C741C">
            <w:pPr>
              <w:jc w:val="right"/>
            </w:pPr>
            <w:r>
              <w:t>£m</w:t>
            </w:r>
          </w:p>
        </w:tc>
        <w:tc>
          <w:tcPr>
            <w:tcW w:w="1444" w:type="dxa"/>
            <w:tcBorders>
              <w:top w:val="single" w:sz="4" w:space="0" w:color="auto"/>
              <w:left w:val="nil"/>
              <w:bottom w:val="single" w:sz="4" w:space="0" w:color="auto"/>
              <w:right w:val="nil"/>
            </w:tcBorders>
          </w:tcPr>
          <w:p w:rsidR="00A86593" w:rsidRDefault="00A86593" w:rsidP="001C741C">
            <w:pPr>
              <w:jc w:val="right"/>
            </w:pPr>
            <w:r>
              <w:t>%</w:t>
            </w:r>
          </w:p>
        </w:tc>
        <w:tc>
          <w:tcPr>
            <w:tcW w:w="1276" w:type="dxa"/>
            <w:tcBorders>
              <w:top w:val="single" w:sz="4" w:space="0" w:color="auto"/>
              <w:left w:val="nil"/>
              <w:bottom w:val="single" w:sz="4" w:space="0" w:color="auto"/>
              <w:right w:val="nil"/>
            </w:tcBorders>
          </w:tcPr>
          <w:p w:rsidR="00A86593" w:rsidRDefault="00A86593" w:rsidP="001C741C">
            <w:pPr>
              <w:jc w:val="right"/>
            </w:pPr>
            <w:r>
              <w:t>£m</w:t>
            </w:r>
          </w:p>
        </w:tc>
        <w:tc>
          <w:tcPr>
            <w:tcW w:w="1410" w:type="dxa"/>
            <w:tcBorders>
              <w:top w:val="single" w:sz="4" w:space="0" w:color="auto"/>
              <w:left w:val="nil"/>
              <w:bottom w:val="single" w:sz="4" w:space="0" w:color="auto"/>
              <w:right w:val="nil"/>
            </w:tcBorders>
          </w:tcPr>
          <w:p w:rsidR="00A86593" w:rsidRDefault="00A86593" w:rsidP="001C741C">
            <w:pPr>
              <w:jc w:val="right"/>
            </w:pPr>
            <w:r>
              <w:t xml:space="preserve">£m </w:t>
            </w:r>
          </w:p>
        </w:tc>
      </w:tr>
      <w:tr w:rsidR="00A86593" w:rsidTr="001C741C">
        <w:tc>
          <w:tcPr>
            <w:tcW w:w="4350" w:type="dxa"/>
            <w:tcBorders>
              <w:top w:val="single" w:sz="4" w:space="0" w:color="auto"/>
              <w:left w:val="nil"/>
              <w:bottom w:val="single" w:sz="4" w:space="0" w:color="auto"/>
              <w:right w:val="nil"/>
            </w:tcBorders>
          </w:tcPr>
          <w:p w:rsidR="00A86593" w:rsidRPr="00500A44" w:rsidRDefault="00A86593" w:rsidP="001C741C">
            <w:pPr>
              <w:rPr>
                <w:b/>
              </w:rPr>
            </w:pPr>
            <w:r>
              <w:rPr>
                <w:b/>
              </w:rPr>
              <w:t xml:space="preserve">Cash and Cash equivalents </w:t>
            </w:r>
          </w:p>
        </w:tc>
        <w:tc>
          <w:tcPr>
            <w:tcW w:w="1816" w:type="dxa"/>
            <w:tcBorders>
              <w:top w:val="single" w:sz="4" w:space="0" w:color="auto"/>
              <w:left w:val="nil"/>
              <w:bottom w:val="single" w:sz="4" w:space="0" w:color="auto"/>
              <w:right w:val="nil"/>
            </w:tcBorders>
          </w:tcPr>
          <w:p w:rsidR="00A86593" w:rsidRDefault="00A86593" w:rsidP="001C741C"/>
        </w:tc>
        <w:tc>
          <w:tcPr>
            <w:tcW w:w="1444" w:type="dxa"/>
            <w:tcBorders>
              <w:top w:val="single" w:sz="4" w:space="0" w:color="auto"/>
              <w:left w:val="nil"/>
              <w:bottom w:val="single" w:sz="4" w:space="0" w:color="auto"/>
              <w:right w:val="nil"/>
            </w:tcBorders>
          </w:tcPr>
          <w:p w:rsidR="00A86593" w:rsidRDefault="00A86593" w:rsidP="001C741C"/>
        </w:tc>
        <w:tc>
          <w:tcPr>
            <w:tcW w:w="1276" w:type="dxa"/>
            <w:tcBorders>
              <w:top w:val="single" w:sz="4" w:space="0" w:color="auto"/>
              <w:left w:val="nil"/>
              <w:bottom w:val="single" w:sz="4" w:space="0" w:color="auto"/>
              <w:right w:val="nil"/>
            </w:tcBorders>
          </w:tcPr>
          <w:p w:rsidR="00A86593" w:rsidRDefault="00A86593" w:rsidP="001C741C"/>
        </w:tc>
        <w:tc>
          <w:tcPr>
            <w:tcW w:w="1410" w:type="dxa"/>
            <w:tcBorders>
              <w:top w:val="single" w:sz="4" w:space="0" w:color="auto"/>
              <w:left w:val="nil"/>
              <w:bottom w:val="single" w:sz="4" w:space="0" w:color="auto"/>
              <w:right w:val="nil"/>
            </w:tcBorders>
          </w:tcPr>
          <w:p w:rsidR="00A86593" w:rsidRDefault="00A86593" w:rsidP="001C741C"/>
        </w:tc>
      </w:tr>
      <w:tr w:rsidR="00A86593" w:rsidTr="001C741C">
        <w:tc>
          <w:tcPr>
            <w:tcW w:w="4350" w:type="dxa"/>
            <w:tcBorders>
              <w:top w:val="single" w:sz="4" w:space="0" w:color="auto"/>
              <w:left w:val="nil"/>
              <w:bottom w:val="single" w:sz="4" w:space="0" w:color="auto"/>
              <w:right w:val="nil"/>
            </w:tcBorders>
          </w:tcPr>
          <w:p w:rsidR="00A86593" w:rsidRPr="007D6045" w:rsidRDefault="00A86593" w:rsidP="001C741C">
            <w:pPr>
              <w:rPr>
                <w:b/>
              </w:rPr>
            </w:pPr>
            <w:r w:rsidRPr="007D6045">
              <w:rPr>
                <w:b/>
              </w:rPr>
              <w:lastRenderedPageBreak/>
              <w:t>Investment portfolio assets:</w:t>
            </w:r>
          </w:p>
        </w:tc>
        <w:tc>
          <w:tcPr>
            <w:tcW w:w="1816" w:type="dxa"/>
            <w:tcBorders>
              <w:top w:val="single" w:sz="4" w:space="0" w:color="auto"/>
              <w:left w:val="nil"/>
              <w:bottom w:val="single" w:sz="4" w:space="0" w:color="auto"/>
              <w:right w:val="nil"/>
            </w:tcBorders>
          </w:tcPr>
          <w:p w:rsidR="00A86593" w:rsidRDefault="00A86593" w:rsidP="001C741C"/>
        </w:tc>
        <w:tc>
          <w:tcPr>
            <w:tcW w:w="1444" w:type="dxa"/>
            <w:tcBorders>
              <w:top w:val="single" w:sz="4" w:space="0" w:color="auto"/>
              <w:left w:val="nil"/>
              <w:bottom w:val="single" w:sz="4" w:space="0" w:color="auto"/>
              <w:right w:val="nil"/>
            </w:tcBorders>
          </w:tcPr>
          <w:p w:rsidR="00A86593" w:rsidRDefault="00A86593" w:rsidP="001C741C"/>
        </w:tc>
        <w:tc>
          <w:tcPr>
            <w:tcW w:w="1276" w:type="dxa"/>
            <w:tcBorders>
              <w:top w:val="single" w:sz="4" w:space="0" w:color="auto"/>
              <w:left w:val="nil"/>
              <w:bottom w:val="single" w:sz="4" w:space="0" w:color="auto"/>
              <w:right w:val="nil"/>
            </w:tcBorders>
          </w:tcPr>
          <w:p w:rsidR="00A86593" w:rsidRDefault="00A86593" w:rsidP="001C741C"/>
        </w:tc>
        <w:tc>
          <w:tcPr>
            <w:tcW w:w="1410" w:type="dxa"/>
            <w:tcBorders>
              <w:top w:val="single" w:sz="4" w:space="0" w:color="auto"/>
              <w:left w:val="nil"/>
              <w:bottom w:val="single" w:sz="4" w:space="0" w:color="auto"/>
              <w:right w:val="nil"/>
            </w:tcBorders>
          </w:tcPr>
          <w:p w:rsidR="00A86593" w:rsidRDefault="00A86593" w:rsidP="001C741C"/>
        </w:tc>
      </w:tr>
      <w:tr w:rsidR="00A86593" w:rsidTr="001C741C">
        <w:tc>
          <w:tcPr>
            <w:tcW w:w="4350" w:type="dxa"/>
            <w:tcBorders>
              <w:top w:val="single" w:sz="4" w:space="0" w:color="auto"/>
              <w:left w:val="nil"/>
              <w:bottom w:val="single" w:sz="4" w:space="0" w:color="auto"/>
              <w:right w:val="nil"/>
            </w:tcBorders>
          </w:tcPr>
          <w:p w:rsidR="00A86593" w:rsidRDefault="00A86593" w:rsidP="001C741C">
            <w:r>
              <w:t xml:space="preserve">UK bonds </w:t>
            </w:r>
          </w:p>
        </w:tc>
        <w:tc>
          <w:tcPr>
            <w:tcW w:w="1816" w:type="dxa"/>
            <w:tcBorders>
              <w:top w:val="single" w:sz="4" w:space="0" w:color="auto"/>
              <w:left w:val="nil"/>
              <w:bottom w:val="single" w:sz="4" w:space="0" w:color="auto"/>
              <w:right w:val="nil"/>
            </w:tcBorders>
          </w:tcPr>
          <w:p w:rsidR="00A86593" w:rsidRDefault="00A86593" w:rsidP="001C741C">
            <w:pPr>
              <w:jc w:val="right"/>
            </w:pPr>
            <w:r>
              <w:t>694.1</w:t>
            </w:r>
          </w:p>
        </w:tc>
        <w:tc>
          <w:tcPr>
            <w:tcW w:w="1444" w:type="dxa"/>
            <w:tcBorders>
              <w:top w:val="single" w:sz="4" w:space="0" w:color="auto"/>
              <w:left w:val="nil"/>
              <w:bottom w:val="single" w:sz="4" w:space="0" w:color="auto"/>
              <w:right w:val="nil"/>
            </w:tcBorders>
          </w:tcPr>
          <w:p w:rsidR="00A86593" w:rsidRDefault="00A86593" w:rsidP="001C741C">
            <w:pPr>
              <w:jc w:val="right"/>
            </w:pPr>
            <w:r>
              <w:t>5.7%</w:t>
            </w:r>
          </w:p>
        </w:tc>
        <w:tc>
          <w:tcPr>
            <w:tcW w:w="1276" w:type="dxa"/>
            <w:tcBorders>
              <w:top w:val="single" w:sz="4" w:space="0" w:color="auto"/>
              <w:left w:val="nil"/>
              <w:bottom w:val="single" w:sz="4" w:space="0" w:color="auto"/>
              <w:right w:val="nil"/>
            </w:tcBorders>
          </w:tcPr>
          <w:p w:rsidR="00A86593" w:rsidRDefault="00A86593" w:rsidP="001C741C">
            <w:pPr>
              <w:jc w:val="right"/>
            </w:pPr>
            <w:r>
              <w:t>733.6</w:t>
            </w:r>
          </w:p>
        </w:tc>
        <w:tc>
          <w:tcPr>
            <w:tcW w:w="1410" w:type="dxa"/>
            <w:tcBorders>
              <w:top w:val="single" w:sz="4" w:space="0" w:color="auto"/>
              <w:left w:val="nil"/>
              <w:bottom w:val="single" w:sz="4" w:space="0" w:color="auto"/>
              <w:right w:val="nil"/>
            </w:tcBorders>
          </w:tcPr>
          <w:p w:rsidR="00A86593" w:rsidRDefault="00A86593" w:rsidP="001C741C">
            <w:pPr>
              <w:jc w:val="right"/>
            </w:pPr>
            <w:r>
              <w:t>654.6</w:t>
            </w:r>
          </w:p>
        </w:tc>
      </w:tr>
      <w:tr w:rsidR="00A86593" w:rsidTr="001C741C">
        <w:tc>
          <w:tcPr>
            <w:tcW w:w="4350" w:type="dxa"/>
            <w:tcBorders>
              <w:top w:val="single" w:sz="4" w:space="0" w:color="auto"/>
              <w:left w:val="nil"/>
              <w:bottom w:val="single" w:sz="4" w:space="0" w:color="auto"/>
              <w:right w:val="nil"/>
            </w:tcBorders>
          </w:tcPr>
          <w:p w:rsidR="00A86593" w:rsidRDefault="00A86593" w:rsidP="001C741C">
            <w:r>
              <w:t>Overseas bonds</w:t>
            </w:r>
          </w:p>
        </w:tc>
        <w:tc>
          <w:tcPr>
            <w:tcW w:w="1816" w:type="dxa"/>
            <w:tcBorders>
              <w:top w:val="single" w:sz="4" w:space="0" w:color="auto"/>
              <w:left w:val="nil"/>
              <w:bottom w:val="single" w:sz="4" w:space="0" w:color="auto"/>
              <w:right w:val="nil"/>
            </w:tcBorders>
          </w:tcPr>
          <w:p w:rsidR="00A86593" w:rsidRDefault="00A86593" w:rsidP="001C741C">
            <w:pPr>
              <w:jc w:val="right"/>
            </w:pPr>
            <w:r>
              <w:t>26.9</w:t>
            </w:r>
          </w:p>
        </w:tc>
        <w:tc>
          <w:tcPr>
            <w:tcW w:w="1444" w:type="dxa"/>
            <w:tcBorders>
              <w:top w:val="single" w:sz="4" w:space="0" w:color="auto"/>
              <w:left w:val="nil"/>
              <w:bottom w:val="single" w:sz="4" w:space="0" w:color="auto"/>
              <w:right w:val="nil"/>
            </w:tcBorders>
          </w:tcPr>
          <w:p w:rsidR="00A86593" w:rsidRDefault="00A86593" w:rsidP="001C741C">
            <w:pPr>
              <w:jc w:val="right"/>
            </w:pPr>
            <w:r>
              <w:t>11.8%</w:t>
            </w:r>
          </w:p>
        </w:tc>
        <w:tc>
          <w:tcPr>
            <w:tcW w:w="1276" w:type="dxa"/>
            <w:tcBorders>
              <w:top w:val="single" w:sz="4" w:space="0" w:color="auto"/>
              <w:left w:val="nil"/>
              <w:bottom w:val="single" w:sz="4" w:space="0" w:color="auto"/>
              <w:right w:val="nil"/>
            </w:tcBorders>
          </w:tcPr>
          <w:p w:rsidR="00A86593" w:rsidRDefault="00A86593" w:rsidP="001C741C">
            <w:pPr>
              <w:jc w:val="right"/>
            </w:pPr>
            <w:r>
              <w:t>30.1</w:t>
            </w:r>
          </w:p>
        </w:tc>
        <w:tc>
          <w:tcPr>
            <w:tcW w:w="1410" w:type="dxa"/>
            <w:tcBorders>
              <w:top w:val="single" w:sz="4" w:space="0" w:color="auto"/>
              <w:left w:val="nil"/>
              <w:bottom w:val="single" w:sz="4" w:space="0" w:color="auto"/>
              <w:right w:val="nil"/>
            </w:tcBorders>
          </w:tcPr>
          <w:p w:rsidR="00A86593" w:rsidRDefault="00A86593" w:rsidP="001C741C">
            <w:pPr>
              <w:jc w:val="right"/>
            </w:pPr>
            <w:r>
              <w:t>23.7</w:t>
            </w:r>
          </w:p>
        </w:tc>
      </w:tr>
      <w:tr w:rsidR="00A86593" w:rsidTr="001C741C">
        <w:tc>
          <w:tcPr>
            <w:tcW w:w="4350" w:type="dxa"/>
            <w:tcBorders>
              <w:top w:val="single" w:sz="4" w:space="0" w:color="auto"/>
              <w:left w:val="nil"/>
              <w:bottom w:val="single" w:sz="4" w:space="0" w:color="auto"/>
              <w:right w:val="nil"/>
            </w:tcBorders>
          </w:tcPr>
          <w:p w:rsidR="00A86593" w:rsidRDefault="00A86593" w:rsidP="001C741C">
            <w:r>
              <w:t xml:space="preserve">UK equities </w:t>
            </w:r>
          </w:p>
        </w:tc>
        <w:tc>
          <w:tcPr>
            <w:tcW w:w="1816" w:type="dxa"/>
            <w:tcBorders>
              <w:top w:val="single" w:sz="4" w:space="0" w:color="auto"/>
              <w:left w:val="nil"/>
              <w:bottom w:val="single" w:sz="4" w:space="0" w:color="auto"/>
              <w:right w:val="nil"/>
            </w:tcBorders>
          </w:tcPr>
          <w:p w:rsidR="00A86593" w:rsidRDefault="00A86593" w:rsidP="001C741C">
            <w:pPr>
              <w:jc w:val="right"/>
            </w:pPr>
            <w:r>
              <w:t>1344.6</w:t>
            </w:r>
          </w:p>
        </w:tc>
        <w:tc>
          <w:tcPr>
            <w:tcW w:w="1444" w:type="dxa"/>
            <w:tcBorders>
              <w:top w:val="single" w:sz="4" w:space="0" w:color="auto"/>
              <w:left w:val="nil"/>
              <w:bottom w:val="single" w:sz="4" w:space="0" w:color="auto"/>
              <w:right w:val="nil"/>
            </w:tcBorders>
          </w:tcPr>
          <w:p w:rsidR="00A86593" w:rsidRDefault="00A86593" w:rsidP="001C741C">
            <w:pPr>
              <w:jc w:val="right"/>
            </w:pPr>
            <w:r>
              <w:t>15.3%</w:t>
            </w:r>
          </w:p>
        </w:tc>
        <w:tc>
          <w:tcPr>
            <w:tcW w:w="1276" w:type="dxa"/>
            <w:tcBorders>
              <w:top w:val="single" w:sz="4" w:space="0" w:color="auto"/>
              <w:left w:val="nil"/>
              <w:bottom w:val="single" w:sz="4" w:space="0" w:color="auto"/>
              <w:right w:val="nil"/>
            </w:tcBorders>
          </w:tcPr>
          <w:p w:rsidR="00A86593" w:rsidRDefault="00A86593" w:rsidP="001C741C">
            <w:pPr>
              <w:jc w:val="right"/>
            </w:pPr>
            <w:r>
              <w:t>1551.0</w:t>
            </w:r>
          </w:p>
        </w:tc>
        <w:tc>
          <w:tcPr>
            <w:tcW w:w="1410" w:type="dxa"/>
            <w:tcBorders>
              <w:top w:val="single" w:sz="4" w:space="0" w:color="auto"/>
              <w:left w:val="nil"/>
              <w:bottom w:val="single" w:sz="4" w:space="0" w:color="auto"/>
              <w:right w:val="nil"/>
            </w:tcBorders>
          </w:tcPr>
          <w:p w:rsidR="00A86593" w:rsidRDefault="00A86593" w:rsidP="001C741C">
            <w:pPr>
              <w:jc w:val="right"/>
            </w:pPr>
            <w:r>
              <w:t>1138.3</w:t>
            </w:r>
          </w:p>
        </w:tc>
      </w:tr>
      <w:tr w:rsidR="00A86593" w:rsidTr="001C741C">
        <w:tc>
          <w:tcPr>
            <w:tcW w:w="4350" w:type="dxa"/>
            <w:tcBorders>
              <w:top w:val="single" w:sz="4" w:space="0" w:color="auto"/>
              <w:left w:val="nil"/>
              <w:bottom w:val="single" w:sz="4" w:space="0" w:color="auto"/>
              <w:right w:val="nil"/>
            </w:tcBorders>
          </w:tcPr>
          <w:p w:rsidR="00A86593" w:rsidRDefault="00A86593" w:rsidP="001C741C">
            <w:r>
              <w:t>Overseas equities</w:t>
            </w:r>
          </w:p>
        </w:tc>
        <w:tc>
          <w:tcPr>
            <w:tcW w:w="1816" w:type="dxa"/>
            <w:tcBorders>
              <w:top w:val="single" w:sz="4" w:space="0" w:color="auto"/>
              <w:left w:val="nil"/>
              <w:bottom w:val="single" w:sz="4" w:space="0" w:color="auto"/>
              <w:right w:val="nil"/>
            </w:tcBorders>
          </w:tcPr>
          <w:p w:rsidR="00A86593" w:rsidRDefault="00A86593" w:rsidP="001C741C">
            <w:pPr>
              <w:jc w:val="right"/>
            </w:pPr>
            <w:r>
              <w:t>1385.4</w:t>
            </w:r>
          </w:p>
        </w:tc>
        <w:tc>
          <w:tcPr>
            <w:tcW w:w="1444" w:type="dxa"/>
            <w:tcBorders>
              <w:top w:val="single" w:sz="4" w:space="0" w:color="auto"/>
              <w:left w:val="nil"/>
              <w:bottom w:val="single" w:sz="4" w:space="0" w:color="auto"/>
              <w:right w:val="nil"/>
            </w:tcBorders>
          </w:tcPr>
          <w:p w:rsidR="00A86593" w:rsidRDefault="00A86593" w:rsidP="001C741C">
            <w:pPr>
              <w:jc w:val="right"/>
            </w:pPr>
            <w:r>
              <w:t>14.8%</w:t>
            </w:r>
          </w:p>
        </w:tc>
        <w:tc>
          <w:tcPr>
            <w:tcW w:w="1276" w:type="dxa"/>
            <w:tcBorders>
              <w:top w:val="single" w:sz="4" w:space="0" w:color="auto"/>
              <w:left w:val="nil"/>
              <w:bottom w:val="single" w:sz="4" w:space="0" w:color="auto"/>
              <w:right w:val="nil"/>
            </w:tcBorders>
          </w:tcPr>
          <w:p w:rsidR="00A86593" w:rsidRDefault="00A86593" w:rsidP="001C741C">
            <w:pPr>
              <w:jc w:val="right"/>
            </w:pPr>
            <w:r>
              <w:t>1590.8</w:t>
            </w:r>
          </w:p>
        </w:tc>
        <w:tc>
          <w:tcPr>
            <w:tcW w:w="1410" w:type="dxa"/>
            <w:tcBorders>
              <w:top w:val="single" w:sz="4" w:space="0" w:color="auto"/>
              <w:left w:val="nil"/>
              <w:bottom w:val="single" w:sz="4" w:space="0" w:color="auto"/>
              <w:right w:val="nil"/>
            </w:tcBorders>
          </w:tcPr>
          <w:p w:rsidR="00A86593" w:rsidRDefault="00A86593" w:rsidP="001C741C">
            <w:pPr>
              <w:jc w:val="right"/>
            </w:pPr>
            <w:r>
              <w:t>1180.0</w:t>
            </w:r>
          </w:p>
        </w:tc>
      </w:tr>
      <w:tr w:rsidR="00A86593" w:rsidTr="001C741C">
        <w:tc>
          <w:tcPr>
            <w:tcW w:w="4350" w:type="dxa"/>
            <w:tcBorders>
              <w:top w:val="single" w:sz="4" w:space="0" w:color="auto"/>
              <w:left w:val="nil"/>
              <w:bottom w:val="nil"/>
              <w:right w:val="nil"/>
            </w:tcBorders>
          </w:tcPr>
          <w:p w:rsidR="00A86593" w:rsidRDefault="00A86593" w:rsidP="001C741C">
            <w:r>
              <w:t>Index linked gilts</w:t>
            </w:r>
          </w:p>
        </w:tc>
        <w:tc>
          <w:tcPr>
            <w:tcW w:w="1816" w:type="dxa"/>
            <w:tcBorders>
              <w:top w:val="single" w:sz="4" w:space="0" w:color="auto"/>
              <w:left w:val="nil"/>
              <w:bottom w:val="nil"/>
              <w:right w:val="nil"/>
            </w:tcBorders>
          </w:tcPr>
          <w:p w:rsidR="00A86593" w:rsidRDefault="00A86593" w:rsidP="001C741C">
            <w:pPr>
              <w:jc w:val="right"/>
            </w:pPr>
            <w:r>
              <w:t>177.6</w:t>
            </w:r>
          </w:p>
        </w:tc>
        <w:tc>
          <w:tcPr>
            <w:tcW w:w="1444" w:type="dxa"/>
            <w:tcBorders>
              <w:top w:val="single" w:sz="4" w:space="0" w:color="auto"/>
              <w:left w:val="nil"/>
              <w:bottom w:val="nil"/>
              <w:right w:val="nil"/>
            </w:tcBorders>
          </w:tcPr>
          <w:p w:rsidR="00A86593" w:rsidRDefault="00A86593" w:rsidP="001C741C">
            <w:pPr>
              <w:jc w:val="right"/>
            </w:pPr>
            <w:r>
              <w:t>7.6%</w:t>
            </w:r>
          </w:p>
        </w:tc>
        <w:tc>
          <w:tcPr>
            <w:tcW w:w="1276" w:type="dxa"/>
            <w:tcBorders>
              <w:top w:val="single" w:sz="4" w:space="0" w:color="auto"/>
              <w:left w:val="nil"/>
              <w:bottom w:val="nil"/>
              <w:right w:val="nil"/>
            </w:tcBorders>
          </w:tcPr>
          <w:p w:rsidR="00A86593" w:rsidRDefault="00A86593" w:rsidP="001C741C">
            <w:pPr>
              <w:jc w:val="right"/>
            </w:pPr>
            <w:r>
              <w:t>191.2</w:t>
            </w:r>
          </w:p>
        </w:tc>
        <w:tc>
          <w:tcPr>
            <w:tcW w:w="1410" w:type="dxa"/>
            <w:tcBorders>
              <w:top w:val="single" w:sz="4" w:space="0" w:color="auto"/>
              <w:left w:val="nil"/>
              <w:bottom w:val="nil"/>
              <w:right w:val="nil"/>
            </w:tcBorders>
          </w:tcPr>
          <w:p w:rsidR="00A86593" w:rsidRDefault="00A86593" w:rsidP="001C741C">
            <w:pPr>
              <w:jc w:val="right"/>
            </w:pPr>
            <w:r>
              <w:t>164.1</w:t>
            </w:r>
          </w:p>
        </w:tc>
      </w:tr>
      <w:tr w:rsidR="00A86593" w:rsidTr="001C741C">
        <w:tc>
          <w:tcPr>
            <w:tcW w:w="4350" w:type="dxa"/>
            <w:tcBorders>
              <w:top w:val="nil"/>
              <w:left w:val="nil"/>
              <w:bottom w:val="single" w:sz="4" w:space="0" w:color="auto"/>
              <w:right w:val="nil"/>
            </w:tcBorders>
          </w:tcPr>
          <w:p w:rsidR="00A86593" w:rsidRDefault="00A86593" w:rsidP="001C741C"/>
        </w:tc>
        <w:tc>
          <w:tcPr>
            <w:tcW w:w="1816" w:type="dxa"/>
            <w:tcBorders>
              <w:top w:val="nil"/>
              <w:left w:val="nil"/>
              <w:bottom w:val="single" w:sz="4" w:space="0" w:color="auto"/>
              <w:right w:val="nil"/>
            </w:tcBorders>
          </w:tcPr>
          <w:p w:rsidR="00A86593" w:rsidRDefault="00A86593" w:rsidP="001C741C">
            <w:pPr>
              <w:jc w:val="right"/>
            </w:pPr>
          </w:p>
        </w:tc>
        <w:tc>
          <w:tcPr>
            <w:tcW w:w="1444" w:type="dxa"/>
            <w:tcBorders>
              <w:top w:val="nil"/>
              <w:left w:val="nil"/>
              <w:bottom w:val="single" w:sz="4" w:space="0" w:color="auto"/>
              <w:right w:val="nil"/>
            </w:tcBorders>
          </w:tcPr>
          <w:p w:rsidR="00A86593" w:rsidRDefault="00A86593" w:rsidP="001C741C">
            <w:pPr>
              <w:jc w:val="right"/>
            </w:pPr>
          </w:p>
        </w:tc>
        <w:tc>
          <w:tcPr>
            <w:tcW w:w="1276" w:type="dxa"/>
            <w:tcBorders>
              <w:top w:val="nil"/>
              <w:left w:val="nil"/>
              <w:bottom w:val="single" w:sz="4" w:space="0" w:color="auto"/>
              <w:right w:val="nil"/>
            </w:tcBorders>
          </w:tcPr>
          <w:p w:rsidR="00A86593" w:rsidRDefault="00A86593" w:rsidP="001C741C">
            <w:pPr>
              <w:jc w:val="right"/>
            </w:pPr>
          </w:p>
        </w:tc>
        <w:tc>
          <w:tcPr>
            <w:tcW w:w="1410" w:type="dxa"/>
            <w:tcBorders>
              <w:top w:val="nil"/>
              <w:left w:val="nil"/>
              <w:bottom w:val="single" w:sz="4" w:space="0" w:color="auto"/>
              <w:right w:val="nil"/>
            </w:tcBorders>
          </w:tcPr>
          <w:p w:rsidR="00A86593" w:rsidRDefault="00A86593" w:rsidP="001C741C">
            <w:pPr>
              <w:jc w:val="right"/>
            </w:pPr>
          </w:p>
        </w:tc>
      </w:tr>
      <w:tr w:rsidR="00A86593" w:rsidTr="001C741C">
        <w:tc>
          <w:tcPr>
            <w:tcW w:w="4350" w:type="dxa"/>
            <w:tcBorders>
              <w:top w:val="single" w:sz="4" w:space="0" w:color="auto"/>
              <w:left w:val="nil"/>
              <w:bottom w:val="single" w:sz="4" w:space="0" w:color="auto"/>
              <w:right w:val="nil"/>
            </w:tcBorders>
          </w:tcPr>
          <w:p w:rsidR="00A86593" w:rsidRDefault="00A86593" w:rsidP="001C741C">
            <w:r>
              <w:t>Cash</w:t>
            </w:r>
          </w:p>
        </w:tc>
        <w:tc>
          <w:tcPr>
            <w:tcW w:w="1816" w:type="dxa"/>
            <w:tcBorders>
              <w:top w:val="single" w:sz="4" w:space="0" w:color="auto"/>
              <w:left w:val="nil"/>
              <w:bottom w:val="single" w:sz="4" w:space="0" w:color="auto"/>
              <w:right w:val="nil"/>
            </w:tcBorders>
          </w:tcPr>
          <w:p w:rsidR="00A86593" w:rsidRDefault="00A86593" w:rsidP="001C741C">
            <w:pPr>
              <w:jc w:val="right"/>
            </w:pPr>
            <w:r>
              <w:t>53.8</w:t>
            </w:r>
          </w:p>
        </w:tc>
        <w:tc>
          <w:tcPr>
            <w:tcW w:w="1444" w:type="dxa"/>
            <w:tcBorders>
              <w:top w:val="single" w:sz="4" w:space="0" w:color="auto"/>
              <w:left w:val="nil"/>
              <w:bottom w:val="single" w:sz="4" w:space="0" w:color="auto"/>
              <w:right w:val="nil"/>
            </w:tcBorders>
          </w:tcPr>
          <w:p w:rsidR="00A86593" w:rsidRDefault="00A86593" w:rsidP="001C741C">
            <w:pPr>
              <w:jc w:val="right"/>
            </w:pPr>
            <w:r>
              <w:t>0.0%</w:t>
            </w:r>
          </w:p>
        </w:tc>
        <w:tc>
          <w:tcPr>
            <w:tcW w:w="1276" w:type="dxa"/>
            <w:tcBorders>
              <w:top w:val="single" w:sz="4" w:space="0" w:color="auto"/>
              <w:left w:val="nil"/>
              <w:bottom w:val="single" w:sz="4" w:space="0" w:color="auto"/>
              <w:right w:val="nil"/>
            </w:tcBorders>
          </w:tcPr>
          <w:p w:rsidR="00A86593" w:rsidRDefault="00A86593" w:rsidP="001C741C">
            <w:pPr>
              <w:jc w:val="right"/>
            </w:pPr>
            <w:r>
              <w:t>53.8</w:t>
            </w:r>
          </w:p>
        </w:tc>
        <w:tc>
          <w:tcPr>
            <w:tcW w:w="1410" w:type="dxa"/>
            <w:tcBorders>
              <w:top w:val="single" w:sz="4" w:space="0" w:color="auto"/>
              <w:left w:val="nil"/>
              <w:bottom w:val="single" w:sz="4" w:space="0" w:color="auto"/>
              <w:right w:val="nil"/>
            </w:tcBorders>
          </w:tcPr>
          <w:p w:rsidR="00A86593" w:rsidRDefault="00A86593" w:rsidP="001C741C">
            <w:pPr>
              <w:jc w:val="right"/>
            </w:pPr>
            <w:r>
              <w:t>53.8</w:t>
            </w:r>
          </w:p>
        </w:tc>
      </w:tr>
      <w:tr w:rsidR="00A86593" w:rsidTr="001C741C">
        <w:tc>
          <w:tcPr>
            <w:tcW w:w="4350" w:type="dxa"/>
            <w:tcBorders>
              <w:top w:val="single" w:sz="4" w:space="0" w:color="auto"/>
              <w:left w:val="nil"/>
              <w:bottom w:val="single" w:sz="4" w:space="0" w:color="auto"/>
              <w:right w:val="nil"/>
            </w:tcBorders>
          </w:tcPr>
          <w:p w:rsidR="00A86593" w:rsidRDefault="00A86593" w:rsidP="001C741C">
            <w:r>
              <w:t xml:space="preserve">Alternatives </w:t>
            </w:r>
          </w:p>
        </w:tc>
        <w:tc>
          <w:tcPr>
            <w:tcW w:w="1816" w:type="dxa"/>
            <w:tcBorders>
              <w:top w:val="single" w:sz="4" w:space="0" w:color="auto"/>
              <w:left w:val="nil"/>
              <w:bottom w:val="single" w:sz="4" w:space="0" w:color="auto"/>
              <w:right w:val="nil"/>
            </w:tcBorders>
          </w:tcPr>
          <w:p w:rsidR="00A86593" w:rsidRDefault="00A86593" w:rsidP="001C741C">
            <w:pPr>
              <w:jc w:val="right"/>
            </w:pPr>
            <w:r>
              <w:t>201.8</w:t>
            </w:r>
          </w:p>
        </w:tc>
        <w:tc>
          <w:tcPr>
            <w:tcW w:w="1444" w:type="dxa"/>
            <w:tcBorders>
              <w:top w:val="single" w:sz="4" w:space="0" w:color="auto"/>
              <w:left w:val="nil"/>
              <w:bottom w:val="single" w:sz="4" w:space="0" w:color="auto"/>
              <w:right w:val="nil"/>
            </w:tcBorders>
          </w:tcPr>
          <w:p w:rsidR="00A86593" w:rsidRDefault="00A86593" w:rsidP="001C741C">
            <w:pPr>
              <w:jc w:val="right"/>
            </w:pPr>
            <w:r>
              <w:t>7.7%</w:t>
            </w:r>
          </w:p>
        </w:tc>
        <w:tc>
          <w:tcPr>
            <w:tcW w:w="1276" w:type="dxa"/>
            <w:tcBorders>
              <w:top w:val="single" w:sz="4" w:space="0" w:color="auto"/>
              <w:left w:val="nil"/>
              <w:bottom w:val="single" w:sz="4" w:space="0" w:color="auto"/>
              <w:right w:val="nil"/>
            </w:tcBorders>
          </w:tcPr>
          <w:p w:rsidR="00A86593" w:rsidRDefault="00A86593" w:rsidP="001C741C">
            <w:pPr>
              <w:jc w:val="right"/>
            </w:pPr>
            <w:r>
              <w:t>217.4</w:t>
            </w:r>
          </w:p>
        </w:tc>
        <w:tc>
          <w:tcPr>
            <w:tcW w:w="1410" w:type="dxa"/>
            <w:tcBorders>
              <w:top w:val="single" w:sz="4" w:space="0" w:color="auto"/>
              <w:left w:val="nil"/>
              <w:bottom w:val="single" w:sz="4" w:space="0" w:color="auto"/>
              <w:right w:val="nil"/>
            </w:tcBorders>
          </w:tcPr>
          <w:p w:rsidR="00A86593" w:rsidRDefault="00A86593" w:rsidP="001C741C">
            <w:pPr>
              <w:jc w:val="right"/>
            </w:pPr>
            <w:r>
              <w:t>186.2</w:t>
            </w:r>
          </w:p>
        </w:tc>
      </w:tr>
      <w:tr w:rsidR="00A86593" w:rsidTr="001C741C">
        <w:tc>
          <w:tcPr>
            <w:tcW w:w="4350" w:type="dxa"/>
            <w:tcBorders>
              <w:top w:val="single" w:sz="4" w:space="0" w:color="auto"/>
              <w:left w:val="nil"/>
              <w:bottom w:val="single" w:sz="4" w:space="0" w:color="auto"/>
              <w:right w:val="nil"/>
            </w:tcBorders>
          </w:tcPr>
          <w:p w:rsidR="00A86593" w:rsidRDefault="00A86593" w:rsidP="001C741C">
            <w:r>
              <w:t>Property</w:t>
            </w:r>
          </w:p>
        </w:tc>
        <w:tc>
          <w:tcPr>
            <w:tcW w:w="1816" w:type="dxa"/>
            <w:tcBorders>
              <w:top w:val="single" w:sz="4" w:space="0" w:color="auto"/>
              <w:left w:val="nil"/>
              <w:bottom w:val="single" w:sz="4" w:space="0" w:color="auto"/>
              <w:right w:val="nil"/>
            </w:tcBorders>
          </w:tcPr>
          <w:p w:rsidR="00A86593" w:rsidRDefault="00A86593" w:rsidP="001C741C">
            <w:pPr>
              <w:jc w:val="right"/>
            </w:pPr>
            <w:r>
              <w:t>397.5</w:t>
            </w:r>
          </w:p>
        </w:tc>
        <w:tc>
          <w:tcPr>
            <w:tcW w:w="1444" w:type="dxa"/>
            <w:tcBorders>
              <w:top w:val="single" w:sz="4" w:space="0" w:color="auto"/>
              <w:left w:val="nil"/>
              <w:bottom w:val="single" w:sz="4" w:space="0" w:color="auto"/>
              <w:right w:val="nil"/>
            </w:tcBorders>
          </w:tcPr>
          <w:p w:rsidR="00A86593" w:rsidRDefault="00A86593" w:rsidP="001C741C">
            <w:pPr>
              <w:jc w:val="right"/>
            </w:pPr>
            <w:r>
              <w:t>9.4%</w:t>
            </w:r>
          </w:p>
        </w:tc>
        <w:tc>
          <w:tcPr>
            <w:tcW w:w="1276" w:type="dxa"/>
            <w:tcBorders>
              <w:top w:val="single" w:sz="4" w:space="0" w:color="auto"/>
              <w:left w:val="nil"/>
              <w:bottom w:val="single" w:sz="4" w:space="0" w:color="auto"/>
              <w:right w:val="nil"/>
            </w:tcBorders>
          </w:tcPr>
          <w:p w:rsidR="00A86593" w:rsidRDefault="00A86593" w:rsidP="001C741C">
            <w:pPr>
              <w:jc w:val="right"/>
            </w:pPr>
            <w:r>
              <w:t>434.6</w:t>
            </w:r>
          </w:p>
        </w:tc>
        <w:tc>
          <w:tcPr>
            <w:tcW w:w="1410" w:type="dxa"/>
            <w:tcBorders>
              <w:top w:val="single" w:sz="4" w:space="0" w:color="auto"/>
              <w:left w:val="nil"/>
              <w:bottom w:val="single" w:sz="4" w:space="0" w:color="auto"/>
              <w:right w:val="nil"/>
            </w:tcBorders>
          </w:tcPr>
          <w:p w:rsidR="00A86593" w:rsidRDefault="00A86593" w:rsidP="001C741C">
            <w:pPr>
              <w:jc w:val="right"/>
            </w:pPr>
            <w:r>
              <w:t>360.3</w:t>
            </w:r>
          </w:p>
        </w:tc>
      </w:tr>
      <w:tr w:rsidR="00A86593" w:rsidTr="001C741C">
        <w:tc>
          <w:tcPr>
            <w:tcW w:w="4350" w:type="dxa"/>
            <w:tcBorders>
              <w:top w:val="single" w:sz="4" w:space="0" w:color="auto"/>
              <w:left w:val="nil"/>
              <w:bottom w:val="single" w:sz="4" w:space="0" w:color="auto"/>
              <w:right w:val="nil"/>
            </w:tcBorders>
          </w:tcPr>
          <w:p w:rsidR="00A86593" w:rsidRPr="007D6045" w:rsidRDefault="00A86593" w:rsidP="001C741C">
            <w:pPr>
              <w:rPr>
                <w:b/>
              </w:rPr>
            </w:pPr>
            <w:r>
              <w:rPr>
                <w:b/>
              </w:rPr>
              <w:t xml:space="preserve">Total asset available to pay benefits </w:t>
            </w:r>
          </w:p>
        </w:tc>
        <w:tc>
          <w:tcPr>
            <w:tcW w:w="1816" w:type="dxa"/>
            <w:tcBorders>
              <w:top w:val="single" w:sz="4" w:space="0" w:color="auto"/>
              <w:left w:val="nil"/>
              <w:bottom w:val="single" w:sz="4" w:space="0" w:color="auto"/>
              <w:right w:val="nil"/>
            </w:tcBorders>
          </w:tcPr>
          <w:p w:rsidR="00A86593" w:rsidRDefault="00A86593" w:rsidP="001C741C">
            <w:pPr>
              <w:jc w:val="right"/>
            </w:pPr>
            <w:r>
              <w:t>4281.7</w:t>
            </w:r>
          </w:p>
        </w:tc>
        <w:tc>
          <w:tcPr>
            <w:tcW w:w="1444" w:type="dxa"/>
            <w:tcBorders>
              <w:top w:val="single" w:sz="4" w:space="0" w:color="auto"/>
              <w:left w:val="nil"/>
              <w:bottom w:val="single" w:sz="4" w:space="0" w:color="auto"/>
              <w:right w:val="nil"/>
            </w:tcBorders>
          </w:tcPr>
          <w:p w:rsidR="00A86593" w:rsidRDefault="00A86593" w:rsidP="001C741C">
            <w:pPr>
              <w:jc w:val="right"/>
            </w:pPr>
          </w:p>
        </w:tc>
        <w:tc>
          <w:tcPr>
            <w:tcW w:w="1276" w:type="dxa"/>
            <w:tcBorders>
              <w:top w:val="single" w:sz="4" w:space="0" w:color="auto"/>
              <w:left w:val="nil"/>
              <w:bottom w:val="single" w:sz="4" w:space="0" w:color="auto"/>
              <w:right w:val="nil"/>
            </w:tcBorders>
          </w:tcPr>
          <w:p w:rsidR="00A86593" w:rsidRDefault="00A86593" w:rsidP="001C741C">
            <w:pPr>
              <w:jc w:val="right"/>
            </w:pPr>
            <w:r>
              <w:t>4802.5</w:t>
            </w:r>
          </w:p>
        </w:tc>
        <w:tc>
          <w:tcPr>
            <w:tcW w:w="1410" w:type="dxa"/>
            <w:tcBorders>
              <w:top w:val="single" w:sz="4" w:space="0" w:color="auto"/>
              <w:left w:val="nil"/>
              <w:bottom w:val="single" w:sz="4" w:space="0" w:color="auto"/>
              <w:right w:val="nil"/>
            </w:tcBorders>
          </w:tcPr>
          <w:p w:rsidR="00A86593" w:rsidRDefault="00A86593" w:rsidP="001C741C">
            <w:pPr>
              <w:jc w:val="right"/>
            </w:pPr>
            <w:r>
              <w:t>3761.0</w:t>
            </w:r>
          </w:p>
        </w:tc>
      </w:tr>
    </w:tbl>
    <w:p w:rsidR="00A86593" w:rsidRDefault="00A86593" w:rsidP="00A86593">
      <w:pPr>
        <w:ind w:left="720"/>
      </w:pPr>
    </w:p>
    <w:p w:rsidR="00A86593" w:rsidRDefault="00A86593" w:rsidP="00A86593">
      <w:pPr>
        <w:ind w:left="720"/>
      </w:pPr>
      <w:r>
        <w:t xml:space="preserve">   </w:t>
      </w:r>
    </w:p>
    <w:p w:rsidR="00A86593" w:rsidRDefault="00A86593" w:rsidP="00A86593">
      <w:pPr>
        <w:ind w:left="720"/>
        <w:rPr>
          <w:b/>
        </w:rPr>
      </w:pPr>
      <w:r w:rsidRPr="007D6045">
        <w:rPr>
          <w:b/>
        </w:rPr>
        <w:t xml:space="preserve">Interest Rate Risk </w:t>
      </w:r>
    </w:p>
    <w:p w:rsidR="00A86593" w:rsidRDefault="00A86593" w:rsidP="00A86593">
      <w:pPr>
        <w:ind w:left="720"/>
        <w:rPr>
          <w:b/>
        </w:rPr>
      </w:pPr>
    </w:p>
    <w:p w:rsidR="00A86593" w:rsidRDefault="00A86593" w:rsidP="003B314A">
      <w:pPr>
        <w:ind w:left="720"/>
        <w:jc w:val="both"/>
      </w:pPr>
      <w:r>
        <w:t xml:space="preserve">The Fund invests in financial assets for the primary purpose of obtaining a return on investments.  These investments are subject to interest rate risks, which represent the risks that the fair value of future cash flow of a financial instrument will fluctuate because of changes in market interest rates.  </w:t>
      </w:r>
    </w:p>
    <w:p w:rsidR="00A86593" w:rsidRDefault="00A86593" w:rsidP="003B314A">
      <w:pPr>
        <w:ind w:left="720"/>
        <w:jc w:val="both"/>
      </w:pPr>
    </w:p>
    <w:p w:rsidR="00A86593" w:rsidRPr="007D6045" w:rsidRDefault="00A86593" w:rsidP="003B314A">
      <w:pPr>
        <w:ind w:left="720"/>
        <w:jc w:val="both"/>
      </w:pPr>
      <w:r>
        <w:t xml:space="preserve">The Fund's interest rate risk is routinely monitored by the Investment Panel and its investment advisors.  The Fund's direct exposure to interest rate movements as at 31 March 2012 and 31 March 2011 is set out below.  These disclosures present interest rate risk based on the underlying financial assets at fair value.       </w:t>
      </w:r>
    </w:p>
    <w:p w:rsidR="00A86593" w:rsidRDefault="00A86593" w:rsidP="00A86593">
      <w:pPr>
        <w:ind w:left="720"/>
      </w:pPr>
      <w:r>
        <w:t xml:space="preserve">  </w:t>
      </w:r>
    </w:p>
    <w:tbl>
      <w:tblPr>
        <w:tblStyle w:val="TableGrid"/>
        <w:tblW w:w="0" w:type="auto"/>
        <w:tblInd w:w="720" w:type="dxa"/>
        <w:tblBorders>
          <w:left w:val="none" w:sz="0" w:space="0" w:color="auto"/>
          <w:right w:val="none" w:sz="0" w:space="0" w:color="auto"/>
          <w:insideV w:val="none" w:sz="0" w:space="0" w:color="auto"/>
        </w:tblBorders>
        <w:tblLook w:val="04A0"/>
      </w:tblPr>
      <w:tblGrid>
        <w:gridCol w:w="4875"/>
        <w:gridCol w:w="2602"/>
        <w:gridCol w:w="2485"/>
      </w:tblGrid>
      <w:tr w:rsidR="00A86593" w:rsidTr="001C741C">
        <w:tc>
          <w:tcPr>
            <w:tcW w:w="5058" w:type="dxa"/>
          </w:tcPr>
          <w:p w:rsidR="00A86593" w:rsidRPr="002648EB" w:rsidRDefault="00A86593" w:rsidP="001C741C">
            <w:pPr>
              <w:rPr>
                <w:b/>
              </w:rPr>
            </w:pPr>
            <w:r w:rsidRPr="002648EB">
              <w:rPr>
                <w:b/>
              </w:rPr>
              <w:t xml:space="preserve">Asset Type </w:t>
            </w:r>
          </w:p>
        </w:tc>
        <w:tc>
          <w:tcPr>
            <w:tcW w:w="2694" w:type="dxa"/>
          </w:tcPr>
          <w:p w:rsidR="00A86593" w:rsidRPr="002648EB" w:rsidRDefault="00A86593" w:rsidP="001C741C">
            <w:pPr>
              <w:jc w:val="center"/>
              <w:rPr>
                <w:b/>
              </w:rPr>
            </w:pPr>
            <w:r w:rsidRPr="002648EB">
              <w:rPr>
                <w:b/>
              </w:rPr>
              <w:t>As at 31 March 2012</w:t>
            </w:r>
          </w:p>
        </w:tc>
        <w:tc>
          <w:tcPr>
            <w:tcW w:w="2544" w:type="dxa"/>
          </w:tcPr>
          <w:p w:rsidR="00A86593" w:rsidRPr="002648EB" w:rsidRDefault="00A86593" w:rsidP="001C741C">
            <w:pPr>
              <w:jc w:val="center"/>
              <w:rPr>
                <w:b/>
              </w:rPr>
            </w:pPr>
            <w:r w:rsidRPr="002648EB">
              <w:rPr>
                <w:b/>
              </w:rPr>
              <w:t>As at 31 March 2011</w:t>
            </w:r>
          </w:p>
        </w:tc>
      </w:tr>
      <w:tr w:rsidR="00A86593" w:rsidTr="001C741C">
        <w:tc>
          <w:tcPr>
            <w:tcW w:w="5058" w:type="dxa"/>
          </w:tcPr>
          <w:p w:rsidR="00A86593" w:rsidRPr="002648EB" w:rsidRDefault="00A86593" w:rsidP="001C741C">
            <w:pPr>
              <w:rPr>
                <w:b/>
              </w:rPr>
            </w:pPr>
          </w:p>
        </w:tc>
        <w:tc>
          <w:tcPr>
            <w:tcW w:w="2694" w:type="dxa"/>
          </w:tcPr>
          <w:p w:rsidR="00A86593" w:rsidRPr="002648EB" w:rsidRDefault="00A86593" w:rsidP="001C741C">
            <w:pPr>
              <w:jc w:val="right"/>
              <w:rPr>
                <w:b/>
              </w:rPr>
            </w:pPr>
            <w:r w:rsidRPr="002648EB">
              <w:rPr>
                <w:b/>
              </w:rPr>
              <w:t>£</w:t>
            </w:r>
            <w:r>
              <w:rPr>
                <w:b/>
              </w:rPr>
              <w:t>m</w:t>
            </w:r>
          </w:p>
        </w:tc>
        <w:tc>
          <w:tcPr>
            <w:tcW w:w="2544" w:type="dxa"/>
          </w:tcPr>
          <w:p w:rsidR="00A86593" w:rsidRPr="002648EB" w:rsidRDefault="00A86593" w:rsidP="001C741C">
            <w:pPr>
              <w:jc w:val="right"/>
              <w:rPr>
                <w:b/>
              </w:rPr>
            </w:pPr>
            <w:r w:rsidRPr="002648EB">
              <w:rPr>
                <w:b/>
              </w:rPr>
              <w:t>£</w:t>
            </w:r>
            <w:r>
              <w:rPr>
                <w:b/>
              </w:rPr>
              <w:t>m</w:t>
            </w:r>
          </w:p>
        </w:tc>
      </w:tr>
      <w:tr w:rsidR="00A86593" w:rsidTr="001C741C">
        <w:tc>
          <w:tcPr>
            <w:tcW w:w="5058" w:type="dxa"/>
          </w:tcPr>
          <w:p w:rsidR="00A86593" w:rsidRPr="004F15B7" w:rsidRDefault="00A86593" w:rsidP="001C741C">
            <w:pPr>
              <w:rPr>
                <w:b/>
              </w:rPr>
            </w:pPr>
          </w:p>
        </w:tc>
        <w:tc>
          <w:tcPr>
            <w:tcW w:w="2694" w:type="dxa"/>
          </w:tcPr>
          <w:p w:rsidR="00A86593" w:rsidRPr="004F15B7" w:rsidRDefault="00A86593" w:rsidP="001C741C">
            <w:pPr>
              <w:rPr>
                <w:b/>
              </w:rPr>
            </w:pPr>
          </w:p>
        </w:tc>
        <w:tc>
          <w:tcPr>
            <w:tcW w:w="2544" w:type="dxa"/>
          </w:tcPr>
          <w:p w:rsidR="00A86593" w:rsidRDefault="00A86593" w:rsidP="001C741C"/>
        </w:tc>
      </w:tr>
      <w:tr w:rsidR="00A86593" w:rsidTr="001C741C">
        <w:tc>
          <w:tcPr>
            <w:tcW w:w="5058" w:type="dxa"/>
          </w:tcPr>
          <w:p w:rsidR="00A86593" w:rsidRPr="004F15B7" w:rsidRDefault="00A86593" w:rsidP="001C741C">
            <w:pPr>
              <w:rPr>
                <w:b/>
              </w:rPr>
            </w:pPr>
            <w:r w:rsidRPr="004F15B7">
              <w:rPr>
                <w:b/>
              </w:rPr>
              <w:t>Cash and cash equivalents</w:t>
            </w:r>
          </w:p>
        </w:tc>
        <w:tc>
          <w:tcPr>
            <w:tcW w:w="2694" w:type="dxa"/>
          </w:tcPr>
          <w:p w:rsidR="00A86593" w:rsidRPr="004F15B7" w:rsidRDefault="00A86593" w:rsidP="001C741C">
            <w:pPr>
              <w:jc w:val="right"/>
            </w:pPr>
            <w:r w:rsidRPr="004F15B7">
              <w:t>126.8</w:t>
            </w:r>
          </w:p>
        </w:tc>
        <w:tc>
          <w:tcPr>
            <w:tcW w:w="2544" w:type="dxa"/>
          </w:tcPr>
          <w:p w:rsidR="00A86593" w:rsidRDefault="00A86593" w:rsidP="001C741C">
            <w:pPr>
              <w:jc w:val="right"/>
            </w:pPr>
            <w:r>
              <w:tab/>
              <w:t>36.6</w:t>
            </w:r>
          </w:p>
        </w:tc>
      </w:tr>
      <w:tr w:rsidR="00A86593" w:rsidTr="001C741C">
        <w:tc>
          <w:tcPr>
            <w:tcW w:w="5058" w:type="dxa"/>
          </w:tcPr>
          <w:p w:rsidR="00A86593" w:rsidRPr="004F15B7" w:rsidRDefault="00A86593" w:rsidP="001C741C">
            <w:pPr>
              <w:rPr>
                <w:b/>
              </w:rPr>
            </w:pPr>
            <w:r w:rsidRPr="004F15B7">
              <w:rPr>
                <w:b/>
              </w:rPr>
              <w:t xml:space="preserve">Fixed interest securities </w:t>
            </w:r>
          </w:p>
        </w:tc>
        <w:tc>
          <w:tcPr>
            <w:tcW w:w="2694" w:type="dxa"/>
          </w:tcPr>
          <w:p w:rsidR="00A86593" w:rsidRPr="004F15B7" w:rsidRDefault="00A86593" w:rsidP="001C741C">
            <w:pPr>
              <w:jc w:val="right"/>
            </w:pPr>
            <w:r w:rsidRPr="004F15B7">
              <w:t>815.6</w:t>
            </w:r>
          </w:p>
        </w:tc>
        <w:tc>
          <w:tcPr>
            <w:tcW w:w="2544" w:type="dxa"/>
          </w:tcPr>
          <w:p w:rsidR="00A86593" w:rsidRDefault="00A86593" w:rsidP="001C741C">
            <w:pPr>
              <w:jc w:val="right"/>
            </w:pPr>
            <w:r>
              <w:t>700.9</w:t>
            </w:r>
          </w:p>
        </w:tc>
      </w:tr>
      <w:tr w:rsidR="00A86593" w:rsidTr="001C741C">
        <w:tc>
          <w:tcPr>
            <w:tcW w:w="5058" w:type="dxa"/>
          </w:tcPr>
          <w:p w:rsidR="00A86593" w:rsidRPr="004F15B7" w:rsidRDefault="00A86593" w:rsidP="001C741C">
            <w:pPr>
              <w:rPr>
                <w:b/>
              </w:rPr>
            </w:pPr>
            <w:r w:rsidRPr="004F15B7">
              <w:rPr>
                <w:b/>
              </w:rPr>
              <w:t xml:space="preserve">Total </w:t>
            </w:r>
          </w:p>
        </w:tc>
        <w:tc>
          <w:tcPr>
            <w:tcW w:w="2694" w:type="dxa"/>
          </w:tcPr>
          <w:p w:rsidR="00A86593" w:rsidRPr="004F15B7" w:rsidRDefault="00A86593" w:rsidP="001C741C">
            <w:pPr>
              <w:jc w:val="right"/>
              <w:rPr>
                <w:b/>
              </w:rPr>
            </w:pPr>
            <w:r w:rsidRPr="004F15B7">
              <w:rPr>
                <w:b/>
              </w:rPr>
              <w:t>942.4</w:t>
            </w:r>
          </w:p>
        </w:tc>
        <w:tc>
          <w:tcPr>
            <w:tcW w:w="2544" w:type="dxa"/>
          </w:tcPr>
          <w:p w:rsidR="00A86593" w:rsidRPr="004F15B7" w:rsidRDefault="00A86593" w:rsidP="001C741C">
            <w:pPr>
              <w:jc w:val="right"/>
              <w:rPr>
                <w:b/>
              </w:rPr>
            </w:pPr>
            <w:r w:rsidRPr="004F15B7">
              <w:rPr>
                <w:b/>
              </w:rPr>
              <w:t>737.5</w:t>
            </w:r>
          </w:p>
        </w:tc>
      </w:tr>
    </w:tbl>
    <w:p w:rsidR="00A86593" w:rsidRDefault="00A86593" w:rsidP="00A86593">
      <w:pPr>
        <w:ind w:left="720"/>
      </w:pPr>
    </w:p>
    <w:p w:rsidR="00A86593" w:rsidRDefault="00A86593" w:rsidP="00A86593">
      <w:pPr>
        <w:ind w:left="720"/>
        <w:rPr>
          <w:b/>
        </w:rPr>
      </w:pPr>
      <w:r>
        <w:rPr>
          <w:b/>
        </w:rPr>
        <w:t xml:space="preserve">Interest rate risk sensitivity analysis </w:t>
      </w:r>
    </w:p>
    <w:p w:rsidR="00A86593" w:rsidRDefault="00A86593" w:rsidP="00A86593">
      <w:pPr>
        <w:ind w:left="720"/>
        <w:rPr>
          <w:b/>
        </w:rPr>
      </w:pPr>
    </w:p>
    <w:p w:rsidR="00A86593" w:rsidRDefault="00A86593" w:rsidP="003B314A">
      <w:pPr>
        <w:ind w:left="720"/>
        <w:jc w:val="both"/>
      </w:pPr>
      <w:r>
        <w:t xml:space="preserve">The Fund has recognised that interest rates can vary and can affect both income to the Fund and the value of the net assets available to pay benefits. A 110 basis point (BPS) movement in interest rates is consistent with the level of sensitivity applied as part of the Fund's risk management strategy.  The Fund's investment advisor has advised that long–term average rates are expected to move less than 110 basis point for one year to the next and experience suggests that such movements are likely. </w:t>
      </w:r>
    </w:p>
    <w:p w:rsidR="00A86593" w:rsidRDefault="00A86593" w:rsidP="003B314A">
      <w:pPr>
        <w:ind w:left="720"/>
        <w:jc w:val="both"/>
      </w:pPr>
    </w:p>
    <w:p w:rsidR="00A86593" w:rsidRDefault="00A86593" w:rsidP="003B314A">
      <w:pPr>
        <w:ind w:left="720"/>
        <w:jc w:val="both"/>
      </w:pPr>
      <w:r>
        <w:t xml:space="preserve">The analysis that follows assumes that all other variables, in particular exchange rates, remain constant, and shows the effect in the year on the net assets available to pay benefits of a +/- 100 BPS change in interest rates: </w:t>
      </w:r>
    </w:p>
    <w:p w:rsidR="00A86593" w:rsidRDefault="00A86593" w:rsidP="00A86593">
      <w:pPr>
        <w:ind w:left="720"/>
      </w:pPr>
      <w:r>
        <w:t xml:space="preserve"> </w:t>
      </w:r>
    </w:p>
    <w:p w:rsidR="00A86593" w:rsidRDefault="00A86593" w:rsidP="00A86593">
      <w:pPr>
        <w:ind w:left="720"/>
      </w:pPr>
      <w:r>
        <w:t xml:space="preserve">  </w:t>
      </w:r>
    </w:p>
    <w:tbl>
      <w:tblPr>
        <w:tblStyle w:val="TableGrid"/>
        <w:tblW w:w="0" w:type="auto"/>
        <w:tblInd w:w="720" w:type="dxa"/>
        <w:tblBorders>
          <w:left w:val="none" w:sz="0" w:space="0" w:color="auto"/>
          <w:right w:val="none" w:sz="0" w:space="0" w:color="auto"/>
          <w:insideV w:val="none" w:sz="0" w:space="0" w:color="auto"/>
        </w:tblBorders>
        <w:tblLayout w:type="fixed"/>
        <w:tblLook w:val="04A0"/>
      </w:tblPr>
      <w:tblGrid>
        <w:gridCol w:w="3924"/>
        <w:gridCol w:w="2737"/>
        <w:gridCol w:w="1799"/>
        <w:gridCol w:w="1836"/>
      </w:tblGrid>
      <w:tr w:rsidR="00A86593" w:rsidTr="001C741C">
        <w:tc>
          <w:tcPr>
            <w:tcW w:w="3924" w:type="dxa"/>
          </w:tcPr>
          <w:p w:rsidR="00A86593" w:rsidRPr="002648EB" w:rsidRDefault="00A86593" w:rsidP="001C741C">
            <w:pPr>
              <w:rPr>
                <w:b/>
              </w:rPr>
            </w:pPr>
            <w:r w:rsidRPr="002648EB">
              <w:rPr>
                <w:b/>
              </w:rPr>
              <w:t xml:space="preserve">Asset Type </w:t>
            </w:r>
          </w:p>
        </w:tc>
        <w:tc>
          <w:tcPr>
            <w:tcW w:w="2737" w:type="dxa"/>
          </w:tcPr>
          <w:p w:rsidR="00A86593" w:rsidRPr="002648EB" w:rsidRDefault="00A86593" w:rsidP="001C741C">
            <w:pPr>
              <w:jc w:val="center"/>
              <w:rPr>
                <w:b/>
              </w:rPr>
            </w:pPr>
            <w:r>
              <w:rPr>
                <w:b/>
              </w:rPr>
              <w:t>Carrying amounts a</w:t>
            </w:r>
            <w:r w:rsidRPr="002648EB">
              <w:rPr>
                <w:b/>
              </w:rPr>
              <w:t>s at 31 March 2012</w:t>
            </w:r>
          </w:p>
        </w:tc>
        <w:tc>
          <w:tcPr>
            <w:tcW w:w="3635" w:type="dxa"/>
            <w:gridSpan w:val="2"/>
          </w:tcPr>
          <w:p w:rsidR="00A86593" w:rsidRPr="002648EB" w:rsidRDefault="00A86593" w:rsidP="001C741C">
            <w:pPr>
              <w:jc w:val="center"/>
              <w:rPr>
                <w:b/>
              </w:rPr>
            </w:pPr>
            <w:r>
              <w:rPr>
                <w:b/>
              </w:rPr>
              <w:t xml:space="preserve">Change in year in net assets available to pay benefits  </w:t>
            </w:r>
          </w:p>
        </w:tc>
      </w:tr>
      <w:tr w:rsidR="00A86593" w:rsidTr="001C741C">
        <w:tc>
          <w:tcPr>
            <w:tcW w:w="3924" w:type="dxa"/>
          </w:tcPr>
          <w:p w:rsidR="00A86593" w:rsidRPr="002648EB" w:rsidRDefault="00A86593" w:rsidP="001C741C">
            <w:pPr>
              <w:rPr>
                <w:b/>
              </w:rPr>
            </w:pPr>
          </w:p>
        </w:tc>
        <w:tc>
          <w:tcPr>
            <w:tcW w:w="2737" w:type="dxa"/>
          </w:tcPr>
          <w:p w:rsidR="00A86593" w:rsidRPr="002648EB" w:rsidRDefault="00A86593" w:rsidP="001C741C">
            <w:pPr>
              <w:jc w:val="right"/>
              <w:rPr>
                <w:b/>
              </w:rPr>
            </w:pPr>
          </w:p>
        </w:tc>
        <w:tc>
          <w:tcPr>
            <w:tcW w:w="1799" w:type="dxa"/>
          </w:tcPr>
          <w:p w:rsidR="00A86593" w:rsidRPr="002648EB" w:rsidRDefault="00A86593" w:rsidP="001C741C">
            <w:pPr>
              <w:jc w:val="right"/>
              <w:rPr>
                <w:b/>
              </w:rPr>
            </w:pPr>
            <w:r>
              <w:rPr>
                <w:b/>
              </w:rPr>
              <w:t xml:space="preserve">+100BPS  </w:t>
            </w:r>
          </w:p>
        </w:tc>
        <w:tc>
          <w:tcPr>
            <w:tcW w:w="1836" w:type="dxa"/>
          </w:tcPr>
          <w:p w:rsidR="00A86593" w:rsidRPr="00432510" w:rsidRDefault="00A86593" w:rsidP="001C741C">
            <w:pPr>
              <w:jc w:val="right"/>
              <w:rPr>
                <w:b/>
              </w:rPr>
            </w:pPr>
            <w:r w:rsidRPr="00432510">
              <w:rPr>
                <w:b/>
              </w:rPr>
              <w:t xml:space="preserve">-100BPS </w:t>
            </w:r>
          </w:p>
        </w:tc>
      </w:tr>
      <w:tr w:rsidR="00A86593" w:rsidTr="001C741C">
        <w:tc>
          <w:tcPr>
            <w:tcW w:w="3924" w:type="dxa"/>
          </w:tcPr>
          <w:p w:rsidR="00A86593" w:rsidRPr="002648EB" w:rsidRDefault="00A86593" w:rsidP="001C741C">
            <w:pPr>
              <w:rPr>
                <w:b/>
              </w:rPr>
            </w:pPr>
          </w:p>
        </w:tc>
        <w:tc>
          <w:tcPr>
            <w:tcW w:w="2737" w:type="dxa"/>
          </w:tcPr>
          <w:p w:rsidR="00A86593" w:rsidRPr="002648EB" w:rsidRDefault="00A86593" w:rsidP="001C741C">
            <w:pPr>
              <w:jc w:val="right"/>
              <w:rPr>
                <w:b/>
              </w:rPr>
            </w:pPr>
            <w:r w:rsidRPr="002648EB">
              <w:rPr>
                <w:b/>
              </w:rPr>
              <w:t>£</w:t>
            </w:r>
            <w:r>
              <w:rPr>
                <w:b/>
              </w:rPr>
              <w:t>m</w:t>
            </w:r>
          </w:p>
        </w:tc>
        <w:tc>
          <w:tcPr>
            <w:tcW w:w="1799" w:type="dxa"/>
          </w:tcPr>
          <w:p w:rsidR="00A86593" w:rsidRPr="002648EB" w:rsidRDefault="00A86593" w:rsidP="001C741C">
            <w:pPr>
              <w:jc w:val="right"/>
              <w:rPr>
                <w:b/>
              </w:rPr>
            </w:pPr>
            <w:r w:rsidRPr="002648EB">
              <w:rPr>
                <w:b/>
              </w:rPr>
              <w:t>£</w:t>
            </w:r>
            <w:r>
              <w:rPr>
                <w:b/>
              </w:rPr>
              <w:t>m</w:t>
            </w:r>
          </w:p>
        </w:tc>
        <w:tc>
          <w:tcPr>
            <w:tcW w:w="1836" w:type="dxa"/>
          </w:tcPr>
          <w:p w:rsidR="00A86593" w:rsidRPr="002648EB" w:rsidRDefault="00A86593" w:rsidP="001C741C">
            <w:pPr>
              <w:jc w:val="right"/>
              <w:rPr>
                <w:b/>
              </w:rPr>
            </w:pPr>
            <w:r w:rsidRPr="002648EB">
              <w:rPr>
                <w:b/>
              </w:rPr>
              <w:t>£</w:t>
            </w:r>
            <w:r>
              <w:rPr>
                <w:b/>
              </w:rPr>
              <w:t>m</w:t>
            </w:r>
          </w:p>
        </w:tc>
      </w:tr>
      <w:tr w:rsidR="00A86593" w:rsidTr="001C741C">
        <w:tc>
          <w:tcPr>
            <w:tcW w:w="3924" w:type="dxa"/>
          </w:tcPr>
          <w:p w:rsidR="00A86593" w:rsidRDefault="00A86593" w:rsidP="001C741C"/>
        </w:tc>
        <w:tc>
          <w:tcPr>
            <w:tcW w:w="2737" w:type="dxa"/>
          </w:tcPr>
          <w:p w:rsidR="00A86593" w:rsidRDefault="00A86593" w:rsidP="001C741C"/>
        </w:tc>
        <w:tc>
          <w:tcPr>
            <w:tcW w:w="1799" w:type="dxa"/>
          </w:tcPr>
          <w:p w:rsidR="00A86593" w:rsidRDefault="00A86593" w:rsidP="001C741C"/>
        </w:tc>
        <w:tc>
          <w:tcPr>
            <w:tcW w:w="1836" w:type="dxa"/>
          </w:tcPr>
          <w:p w:rsidR="00A86593" w:rsidRDefault="00A86593" w:rsidP="001C741C"/>
        </w:tc>
      </w:tr>
      <w:tr w:rsidR="00A86593" w:rsidTr="001C741C">
        <w:tc>
          <w:tcPr>
            <w:tcW w:w="3924" w:type="dxa"/>
          </w:tcPr>
          <w:p w:rsidR="00A86593" w:rsidRDefault="00A86593" w:rsidP="001C741C">
            <w:r>
              <w:t xml:space="preserve">Cash and cash equivalents  </w:t>
            </w:r>
          </w:p>
        </w:tc>
        <w:tc>
          <w:tcPr>
            <w:tcW w:w="2737" w:type="dxa"/>
          </w:tcPr>
          <w:p w:rsidR="00A86593" w:rsidRDefault="00A86593" w:rsidP="001C741C">
            <w:pPr>
              <w:jc w:val="right"/>
            </w:pPr>
            <w:r>
              <w:t>126.8</w:t>
            </w:r>
          </w:p>
        </w:tc>
        <w:tc>
          <w:tcPr>
            <w:tcW w:w="1799" w:type="dxa"/>
          </w:tcPr>
          <w:p w:rsidR="00A86593" w:rsidRDefault="00A86593" w:rsidP="001C741C">
            <w:pPr>
              <w:jc w:val="right"/>
            </w:pPr>
            <w:r>
              <w:t>1.3</w:t>
            </w:r>
          </w:p>
        </w:tc>
        <w:tc>
          <w:tcPr>
            <w:tcW w:w="1836" w:type="dxa"/>
          </w:tcPr>
          <w:p w:rsidR="00A86593" w:rsidRDefault="00A86593" w:rsidP="001C741C">
            <w:pPr>
              <w:jc w:val="right"/>
            </w:pPr>
            <w:r>
              <w:t>(1.3)</w:t>
            </w:r>
          </w:p>
        </w:tc>
      </w:tr>
      <w:tr w:rsidR="00A86593" w:rsidTr="001C741C">
        <w:tc>
          <w:tcPr>
            <w:tcW w:w="3924" w:type="dxa"/>
          </w:tcPr>
          <w:p w:rsidR="00A86593" w:rsidRDefault="00A86593" w:rsidP="001C741C">
            <w:r>
              <w:t xml:space="preserve">Fixed interest securities </w:t>
            </w:r>
          </w:p>
        </w:tc>
        <w:tc>
          <w:tcPr>
            <w:tcW w:w="2737" w:type="dxa"/>
          </w:tcPr>
          <w:p w:rsidR="00A86593" w:rsidRDefault="00A86593" w:rsidP="001C741C">
            <w:pPr>
              <w:jc w:val="right"/>
            </w:pPr>
            <w:r>
              <w:t>815.6</w:t>
            </w:r>
          </w:p>
        </w:tc>
        <w:tc>
          <w:tcPr>
            <w:tcW w:w="1799" w:type="dxa"/>
          </w:tcPr>
          <w:p w:rsidR="00A86593" w:rsidRDefault="00A86593" w:rsidP="001C741C">
            <w:pPr>
              <w:jc w:val="right"/>
            </w:pPr>
            <w:r>
              <w:t>8.1</w:t>
            </w:r>
          </w:p>
        </w:tc>
        <w:tc>
          <w:tcPr>
            <w:tcW w:w="1836" w:type="dxa"/>
          </w:tcPr>
          <w:p w:rsidR="00A86593" w:rsidRDefault="00A86593" w:rsidP="001C741C">
            <w:pPr>
              <w:jc w:val="right"/>
            </w:pPr>
            <w:r>
              <w:t>(8.1)</w:t>
            </w:r>
          </w:p>
        </w:tc>
      </w:tr>
      <w:tr w:rsidR="00A86593" w:rsidTr="001C741C">
        <w:tc>
          <w:tcPr>
            <w:tcW w:w="3924" w:type="dxa"/>
          </w:tcPr>
          <w:p w:rsidR="00A86593" w:rsidRPr="002648EB" w:rsidRDefault="00A86593" w:rsidP="001C741C">
            <w:pPr>
              <w:rPr>
                <w:b/>
              </w:rPr>
            </w:pPr>
            <w:r>
              <w:rPr>
                <w:b/>
              </w:rPr>
              <w:t xml:space="preserve">Total change in asset available </w:t>
            </w:r>
          </w:p>
        </w:tc>
        <w:tc>
          <w:tcPr>
            <w:tcW w:w="2737" w:type="dxa"/>
          </w:tcPr>
          <w:p w:rsidR="00A86593" w:rsidRPr="002927C8" w:rsidRDefault="00A86593" w:rsidP="001C741C">
            <w:pPr>
              <w:jc w:val="right"/>
              <w:rPr>
                <w:b/>
              </w:rPr>
            </w:pPr>
            <w:r w:rsidRPr="002927C8">
              <w:rPr>
                <w:b/>
              </w:rPr>
              <w:t>942.4</w:t>
            </w:r>
          </w:p>
        </w:tc>
        <w:tc>
          <w:tcPr>
            <w:tcW w:w="1799" w:type="dxa"/>
          </w:tcPr>
          <w:p w:rsidR="00A86593" w:rsidRPr="003B7B4A" w:rsidRDefault="00A86593" w:rsidP="001C741C">
            <w:pPr>
              <w:jc w:val="right"/>
              <w:rPr>
                <w:b/>
              </w:rPr>
            </w:pPr>
            <w:r w:rsidRPr="003B7B4A">
              <w:rPr>
                <w:b/>
              </w:rPr>
              <w:t>9.4</w:t>
            </w:r>
          </w:p>
        </w:tc>
        <w:tc>
          <w:tcPr>
            <w:tcW w:w="1836" w:type="dxa"/>
          </w:tcPr>
          <w:p w:rsidR="00A86593" w:rsidRPr="003B7B4A" w:rsidRDefault="00A86593" w:rsidP="001C741C">
            <w:pPr>
              <w:jc w:val="right"/>
              <w:rPr>
                <w:b/>
              </w:rPr>
            </w:pPr>
            <w:r w:rsidRPr="003B7B4A">
              <w:rPr>
                <w:b/>
              </w:rPr>
              <w:t>(9.4)</w:t>
            </w:r>
          </w:p>
        </w:tc>
      </w:tr>
    </w:tbl>
    <w:p w:rsidR="00A86593" w:rsidRDefault="00A86593" w:rsidP="00A86593">
      <w:pPr>
        <w:ind w:left="720"/>
      </w:pPr>
    </w:p>
    <w:p w:rsidR="00A86593" w:rsidRDefault="00A86593" w:rsidP="00A86593">
      <w:pPr>
        <w:ind w:left="720"/>
      </w:pPr>
      <w:r>
        <w:t xml:space="preserve">  </w:t>
      </w:r>
    </w:p>
    <w:tbl>
      <w:tblPr>
        <w:tblStyle w:val="TableGrid"/>
        <w:tblW w:w="0" w:type="auto"/>
        <w:tblInd w:w="720" w:type="dxa"/>
        <w:tblBorders>
          <w:left w:val="none" w:sz="0" w:space="0" w:color="auto"/>
          <w:right w:val="none" w:sz="0" w:space="0" w:color="auto"/>
          <w:insideV w:val="none" w:sz="0" w:space="0" w:color="auto"/>
        </w:tblBorders>
        <w:tblLayout w:type="fixed"/>
        <w:tblLook w:val="04A0"/>
      </w:tblPr>
      <w:tblGrid>
        <w:gridCol w:w="3924"/>
        <w:gridCol w:w="2737"/>
        <w:gridCol w:w="1799"/>
        <w:gridCol w:w="1836"/>
      </w:tblGrid>
      <w:tr w:rsidR="00A86593" w:rsidTr="001C741C">
        <w:tc>
          <w:tcPr>
            <w:tcW w:w="3924" w:type="dxa"/>
          </w:tcPr>
          <w:p w:rsidR="00A86593" w:rsidRPr="002648EB" w:rsidRDefault="00A86593" w:rsidP="001C741C">
            <w:pPr>
              <w:rPr>
                <w:b/>
              </w:rPr>
            </w:pPr>
            <w:r w:rsidRPr="002648EB">
              <w:rPr>
                <w:b/>
              </w:rPr>
              <w:t xml:space="preserve">Asset Type </w:t>
            </w:r>
          </w:p>
        </w:tc>
        <w:tc>
          <w:tcPr>
            <w:tcW w:w="2737" w:type="dxa"/>
          </w:tcPr>
          <w:p w:rsidR="00A86593" w:rsidRPr="002648EB" w:rsidRDefault="00A86593" w:rsidP="001C741C">
            <w:pPr>
              <w:jc w:val="center"/>
              <w:rPr>
                <w:b/>
              </w:rPr>
            </w:pPr>
            <w:r>
              <w:rPr>
                <w:b/>
              </w:rPr>
              <w:t>Carrying amounts as at 31 March 2011</w:t>
            </w:r>
          </w:p>
        </w:tc>
        <w:tc>
          <w:tcPr>
            <w:tcW w:w="3635" w:type="dxa"/>
            <w:gridSpan w:val="2"/>
          </w:tcPr>
          <w:p w:rsidR="00A86593" w:rsidRPr="002648EB" w:rsidRDefault="00A86593" w:rsidP="001C741C">
            <w:pPr>
              <w:jc w:val="center"/>
              <w:rPr>
                <w:b/>
              </w:rPr>
            </w:pPr>
            <w:r>
              <w:rPr>
                <w:b/>
              </w:rPr>
              <w:t xml:space="preserve">Change in year in net assets available to pay benefits  </w:t>
            </w:r>
          </w:p>
        </w:tc>
      </w:tr>
      <w:tr w:rsidR="00A86593" w:rsidTr="001C741C">
        <w:tc>
          <w:tcPr>
            <w:tcW w:w="3924" w:type="dxa"/>
          </w:tcPr>
          <w:p w:rsidR="00A86593" w:rsidRPr="002648EB" w:rsidRDefault="00A86593" w:rsidP="001C741C">
            <w:pPr>
              <w:rPr>
                <w:b/>
              </w:rPr>
            </w:pPr>
          </w:p>
        </w:tc>
        <w:tc>
          <w:tcPr>
            <w:tcW w:w="2737" w:type="dxa"/>
          </w:tcPr>
          <w:p w:rsidR="00A86593" w:rsidRPr="002648EB" w:rsidRDefault="00A86593" w:rsidP="001C741C">
            <w:pPr>
              <w:jc w:val="right"/>
              <w:rPr>
                <w:b/>
              </w:rPr>
            </w:pPr>
          </w:p>
        </w:tc>
        <w:tc>
          <w:tcPr>
            <w:tcW w:w="1799" w:type="dxa"/>
          </w:tcPr>
          <w:p w:rsidR="00A86593" w:rsidRPr="002648EB" w:rsidRDefault="00A86593" w:rsidP="001C741C">
            <w:pPr>
              <w:jc w:val="right"/>
              <w:rPr>
                <w:b/>
              </w:rPr>
            </w:pPr>
            <w:r>
              <w:rPr>
                <w:b/>
              </w:rPr>
              <w:t xml:space="preserve">+100BPS  </w:t>
            </w:r>
          </w:p>
        </w:tc>
        <w:tc>
          <w:tcPr>
            <w:tcW w:w="1836" w:type="dxa"/>
          </w:tcPr>
          <w:p w:rsidR="00A86593" w:rsidRPr="00432510" w:rsidRDefault="00A86593" w:rsidP="001C741C">
            <w:pPr>
              <w:jc w:val="right"/>
              <w:rPr>
                <w:b/>
              </w:rPr>
            </w:pPr>
            <w:r w:rsidRPr="00432510">
              <w:rPr>
                <w:b/>
              </w:rPr>
              <w:t xml:space="preserve">-100BPS </w:t>
            </w:r>
          </w:p>
        </w:tc>
      </w:tr>
      <w:tr w:rsidR="00A86593" w:rsidTr="001C741C">
        <w:tc>
          <w:tcPr>
            <w:tcW w:w="3924" w:type="dxa"/>
          </w:tcPr>
          <w:p w:rsidR="00A86593" w:rsidRPr="002648EB" w:rsidRDefault="00A86593" w:rsidP="001C741C">
            <w:pPr>
              <w:rPr>
                <w:b/>
              </w:rPr>
            </w:pPr>
          </w:p>
        </w:tc>
        <w:tc>
          <w:tcPr>
            <w:tcW w:w="2737" w:type="dxa"/>
          </w:tcPr>
          <w:p w:rsidR="00A86593" w:rsidRPr="002648EB" w:rsidRDefault="00A86593" w:rsidP="001C741C">
            <w:pPr>
              <w:jc w:val="right"/>
              <w:rPr>
                <w:b/>
              </w:rPr>
            </w:pPr>
            <w:r w:rsidRPr="002648EB">
              <w:rPr>
                <w:b/>
              </w:rPr>
              <w:t>£</w:t>
            </w:r>
            <w:r>
              <w:rPr>
                <w:b/>
              </w:rPr>
              <w:t>m</w:t>
            </w:r>
          </w:p>
        </w:tc>
        <w:tc>
          <w:tcPr>
            <w:tcW w:w="1799" w:type="dxa"/>
          </w:tcPr>
          <w:p w:rsidR="00A86593" w:rsidRPr="002648EB" w:rsidRDefault="00A86593" w:rsidP="001C741C">
            <w:pPr>
              <w:jc w:val="right"/>
              <w:rPr>
                <w:b/>
              </w:rPr>
            </w:pPr>
            <w:r w:rsidRPr="002648EB">
              <w:rPr>
                <w:b/>
              </w:rPr>
              <w:t>£</w:t>
            </w:r>
            <w:r>
              <w:rPr>
                <w:b/>
              </w:rPr>
              <w:t>m</w:t>
            </w:r>
          </w:p>
        </w:tc>
        <w:tc>
          <w:tcPr>
            <w:tcW w:w="1836" w:type="dxa"/>
          </w:tcPr>
          <w:p w:rsidR="00A86593" w:rsidRPr="002648EB" w:rsidRDefault="00A86593" w:rsidP="001C741C">
            <w:pPr>
              <w:jc w:val="right"/>
              <w:rPr>
                <w:b/>
              </w:rPr>
            </w:pPr>
            <w:r w:rsidRPr="002648EB">
              <w:rPr>
                <w:b/>
              </w:rPr>
              <w:t>£</w:t>
            </w:r>
            <w:r>
              <w:rPr>
                <w:b/>
              </w:rPr>
              <w:t>m</w:t>
            </w:r>
          </w:p>
        </w:tc>
      </w:tr>
      <w:tr w:rsidR="00A86593" w:rsidTr="001C741C">
        <w:tc>
          <w:tcPr>
            <w:tcW w:w="3924" w:type="dxa"/>
          </w:tcPr>
          <w:p w:rsidR="00A86593" w:rsidRDefault="00A86593" w:rsidP="001C741C"/>
        </w:tc>
        <w:tc>
          <w:tcPr>
            <w:tcW w:w="2737" w:type="dxa"/>
          </w:tcPr>
          <w:p w:rsidR="00A86593" w:rsidRDefault="00A86593" w:rsidP="001C741C"/>
        </w:tc>
        <w:tc>
          <w:tcPr>
            <w:tcW w:w="1799" w:type="dxa"/>
          </w:tcPr>
          <w:p w:rsidR="00A86593" w:rsidRDefault="00A86593" w:rsidP="001C741C"/>
        </w:tc>
        <w:tc>
          <w:tcPr>
            <w:tcW w:w="1836" w:type="dxa"/>
          </w:tcPr>
          <w:p w:rsidR="00A86593" w:rsidRDefault="00A86593" w:rsidP="001C741C"/>
        </w:tc>
      </w:tr>
      <w:tr w:rsidR="00A86593" w:rsidTr="001C741C">
        <w:tc>
          <w:tcPr>
            <w:tcW w:w="3924" w:type="dxa"/>
          </w:tcPr>
          <w:p w:rsidR="00A86593" w:rsidRDefault="00A86593" w:rsidP="001C741C">
            <w:r>
              <w:t>Cash and cash equivalents</w:t>
            </w:r>
          </w:p>
        </w:tc>
        <w:tc>
          <w:tcPr>
            <w:tcW w:w="2737" w:type="dxa"/>
          </w:tcPr>
          <w:p w:rsidR="00A86593" w:rsidRDefault="00A86593" w:rsidP="001C741C">
            <w:pPr>
              <w:jc w:val="right"/>
            </w:pPr>
            <w:r>
              <w:t>36.6</w:t>
            </w:r>
          </w:p>
        </w:tc>
        <w:tc>
          <w:tcPr>
            <w:tcW w:w="1799" w:type="dxa"/>
          </w:tcPr>
          <w:p w:rsidR="00A86593" w:rsidRDefault="00A86593" w:rsidP="001C741C">
            <w:pPr>
              <w:jc w:val="right"/>
            </w:pPr>
            <w:r>
              <w:t>0.4</w:t>
            </w:r>
          </w:p>
        </w:tc>
        <w:tc>
          <w:tcPr>
            <w:tcW w:w="1836" w:type="dxa"/>
          </w:tcPr>
          <w:p w:rsidR="00A86593" w:rsidRDefault="00A86593" w:rsidP="001C741C">
            <w:pPr>
              <w:jc w:val="right"/>
            </w:pPr>
            <w:r>
              <w:t>(0.4)</w:t>
            </w:r>
          </w:p>
        </w:tc>
      </w:tr>
      <w:tr w:rsidR="00A86593" w:rsidTr="001C741C">
        <w:tc>
          <w:tcPr>
            <w:tcW w:w="3924" w:type="dxa"/>
          </w:tcPr>
          <w:p w:rsidR="00A86593" w:rsidRDefault="00A86593" w:rsidP="001C741C">
            <w:r>
              <w:t xml:space="preserve">Fixed interest securities </w:t>
            </w:r>
          </w:p>
        </w:tc>
        <w:tc>
          <w:tcPr>
            <w:tcW w:w="2737" w:type="dxa"/>
          </w:tcPr>
          <w:p w:rsidR="00A86593" w:rsidRDefault="00A86593" w:rsidP="001C741C">
            <w:pPr>
              <w:jc w:val="right"/>
            </w:pPr>
            <w:r>
              <w:t>700.9</w:t>
            </w:r>
          </w:p>
        </w:tc>
        <w:tc>
          <w:tcPr>
            <w:tcW w:w="1799" w:type="dxa"/>
          </w:tcPr>
          <w:p w:rsidR="00A86593" w:rsidRDefault="00A86593" w:rsidP="001C741C">
            <w:pPr>
              <w:jc w:val="right"/>
            </w:pPr>
            <w:r>
              <w:t>7.0</w:t>
            </w:r>
          </w:p>
        </w:tc>
        <w:tc>
          <w:tcPr>
            <w:tcW w:w="1836" w:type="dxa"/>
          </w:tcPr>
          <w:p w:rsidR="00A86593" w:rsidRDefault="00A86593" w:rsidP="001C741C">
            <w:pPr>
              <w:jc w:val="right"/>
            </w:pPr>
            <w:r>
              <w:t>(7.0)</w:t>
            </w:r>
          </w:p>
        </w:tc>
      </w:tr>
      <w:tr w:rsidR="00A86593" w:rsidTr="001C741C">
        <w:tc>
          <w:tcPr>
            <w:tcW w:w="3924" w:type="dxa"/>
          </w:tcPr>
          <w:p w:rsidR="00A86593" w:rsidRPr="002648EB" w:rsidRDefault="00A86593" w:rsidP="001C741C">
            <w:pPr>
              <w:rPr>
                <w:b/>
              </w:rPr>
            </w:pPr>
            <w:r>
              <w:rPr>
                <w:b/>
              </w:rPr>
              <w:t xml:space="preserve">Total change in asset available </w:t>
            </w:r>
          </w:p>
        </w:tc>
        <w:tc>
          <w:tcPr>
            <w:tcW w:w="2737" w:type="dxa"/>
          </w:tcPr>
          <w:p w:rsidR="00A86593" w:rsidRPr="002927C8" w:rsidRDefault="00A86593" w:rsidP="001C741C">
            <w:pPr>
              <w:jc w:val="right"/>
              <w:rPr>
                <w:b/>
              </w:rPr>
            </w:pPr>
            <w:r w:rsidRPr="002927C8">
              <w:rPr>
                <w:b/>
              </w:rPr>
              <w:t>737.5</w:t>
            </w:r>
          </w:p>
        </w:tc>
        <w:tc>
          <w:tcPr>
            <w:tcW w:w="1799" w:type="dxa"/>
          </w:tcPr>
          <w:p w:rsidR="00A86593" w:rsidRPr="003B7B4A" w:rsidRDefault="00A86593" w:rsidP="001C741C">
            <w:pPr>
              <w:jc w:val="right"/>
              <w:rPr>
                <w:b/>
              </w:rPr>
            </w:pPr>
            <w:r w:rsidRPr="003B7B4A">
              <w:rPr>
                <w:b/>
              </w:rPr>
              <w:t>7.4</w:t>
            </w:r>
          </w:p>
        </w:tc>
        <w:tc>
          <w:tcPr>
            <w:tcW w:w="1836" w:type="dxa"/>
          </w:tcPr>
          <w:p w:rsidR="00A86593" w:rsidRPr="003B7B4A" w:rsidRDefault="00A86593" w:rsidP="001C741C">
            <w:pPr>
              <w:jc w:val="right"/>
              <w:rPr>
                <w:b/>
              </w:rPr>
            </w:pPr>
            <w:r w:rsidRPr="003B7B4A">
              <w:rPr>
                <w:b/>
              </w:rPr>
              <w:t>(7.4)</w:t>
            </w:r>
          </w:p>
        </w:tc>
      </w:tr>
    </w:tbl>
    <w:p w:rsidR="00A86593" w:rsidRDefault="00A86593" w:rsidP="00A86593">
      <w:pPr>
        <w:ind w:left="720"/>
      </w:pPr>
    </w:p>
    <w:p w:rsidR="00A86593" w:rsidRPr="00432510" w:rsidRDefault="00A86593" w:rsidP="00A86593">
      <w:pPr>
        <w:ind w:left="720"/>
        <w:rPr>
          <w:b/>
        </w:rPr>
      </w:pPr>
      <w:r w:rsidRPr="00432510">
        <w:rPr>
          <w:b/>
        </w:rPr>
        <w:t>Currency risk</w:t>
      </w:r>
    </w:p>
    <w:p w:rsidR="00A86593" w:rsidRDefault="00A86593" w:rsidP="00A86593">
      <w:pPr>
        <w:ind w:left="720"/>
      </w:pPr>
    </w:p>
    <w:p w:rsidR="00A86593" w:rsidRDefault="00A86593" w:rsidP="003B314A">
      <w:pPr>
        <w:ind w:left="720"/>
        <w:jc w:val="both"/>
      </w:pPr>
      <w:r>
        <w:t xml:space="preserve">Currency risk represents the risk that the fair value cash flow of a financial instrument will fluctuate because of changes in foreign exchange rates. The Fund is exposed to currency risk on financial instruments that are denominated in any currency other than the functional currency of the Fund (£).  The Fund holds both monetary and non-monetary assets denominated in currencies other than £. </w:t>
      </w:r>
    </w:p>
    <w:p w:rsidR="00A86593" w:rsidRDefault="00A86593" w:rsidP="003B314A">
      <w:pPr>
        <w:ind w:left="720"/>
        <w:jc w:val="both"/>
      </w:pPr>
    </w:p>
    <w:p w:rsidR="00A86593" w:rsidRDefault="00A86593" w:rsidP="003B314A">
      <w:pPr>
        <w:ind w:left="720"/>
        <w:jc w:val="both"/>
      </w:pPr>
      <w:r>
        <w:t xml:space="preserve">The Fund's currency rate risk is routinely monitored by the Fund and its investment advisors in accordance with the Fund's risk management strategy. </w:t>
      </w:r>
    </w:p>
    <w:p w:rsidR="00A86593" w:rsidRDefault="00A86593" w:rsidP="003B314A">
      <w:pPr>
        <w:ind w:left="720"/>
        <w:jc w:val="both"/>
      </w:pPr>
    </w:p>
    <w:p w:rsidR="00A86593" w:rsidRDefault="00A86593" w:rsidP="003B314A">
      <w:pPr>
        <w:ind w:left="720"/>
        <w:jc w:val="both"/>
      </w:pPr>
      <w:r>
        <w:t xml:space="preserve">The following table summarises the Fund's currency exposure as at 31 March 2012 and as at the previous year end:    </w:t>
      </w:r>
    </w:p>
    <w:p w:rsidR="00A86593" w:rsidRDefault="00A86593" w:rsidP="00A86593">
      <w:pPr>
        <w:ind w:left="720"/>
      </w:pPr>
    </w:p>
    <w:tbl>
      <w:tblPr>
        <w:tblStyle w:val="TableGrid"/>
        <w:tblW w:w="0" w:type="auto"/>
        <w:tblInd w:w="720" w:type="dxa"/>
        <w:tblBorders>
          <w:left w:val="none" w:sz="0" w:space="0" w:color="auto"/>
          <w:right w:val="none" w:sz="0" w:space="0" w:color="auto"/>
          <w:insideV w:val="none" w:sz="0" w:space="0" w:color="auto"/>
        </w:tblBorders>
        <w:tblLook w:val="04A0"/>
      </w:tblPr>
      <w:tblGrid>
        <w:gridCol w:w="5491"/>
        <w:gridCol w:w="2225"/>
        <w:gridCol w:w="2246"/>
      </w:tblGrid>
      <w:tr w:rsidR="00A86593" w:rsidTr="001C741C">
        <w:tc>
          <w:tcPr>
            <w:tcW w:w="5625" w:type="dxa"/>
          </w:tcPr>
          <w:p w:rsidR="00A86593" w:rsidRPr="00DD0EE9" w:rsidRDefault="00A86593" w:rsidP="001C741C">
            <w:pPr>
              <w:rPr>
                <w:b/>
              </w:rPr>
            </w:pPr>
            <w:r w:rsidRPr="00DD0EE9">
              <w:rPr>
                <w:b/>
              </w:rPr>
              <w:t xml:space="preserve">Currency exposure – asset type </w:t>
            </w:r>
          </w:p>
        </w:tc>
        <w:tc>
          <w:tcPr>
            <w:tcW w:w="2268" w:type="dxa"/>
          </w:tcPr>
          <w:p w:rsidR="00A86593" w:rsidRPr="00DD0EE9" w:rsidRDefault="00A86593" w:rsidP="001C741C">
            <w:pPr>
              <w:jc w:val="right"/>
              <w:rPr>
                <w:b/>
              </w:rPr>
            </w:pPr>
            <w:r w:rsidRPr="00DD0EE9">
              <w:rPr>
                <w:b/>
              </w:rPr>
              <w:t xml:space="preserve">Asset value as at </w:t>
            </w:r>
          </w:p>
          <w:p w:rsidR="00A86593" w:rsidRPr="00DD0EE9" w:rsidRDefault="00A86593" w:rsidP="001C741C">
            <w:pPr>
              <w:jc w:val="right"/>
              <w:rPr>
                <w:b/>
              </w:rPr>
            </w:pPr>
            <w:r w:rsidRPr="00DD0EE9">
              <w:rPr>
                <w:b/>
              </w:rPr>
              <w:t>31 March 2012</w:t>
            </w:r>
          </w:p>
        </w:tc>
        <w:tc>
          <w:tcPr>
            <w:tcW w:w="2268" w:type="dxa"/>
          </w:tcPr>
          <w:p w:rsidR="00A86593" w:rsidRPr="00DD0EE9" w:rsidRDefault="00A86593" w:rsidP="001C741C">
            <w:pPr>
              <w:jc w:val="right"/>
              <w:rPr>
                <w:b/>
              </w:rPr>
            </w:pPr>
            <w:r w:rsidRPr="00DD0EE9">
              <w:rPr>
                <w:b/>
              </w:rPr>
              <w:t xml:space="preserve">Asset value as at </w:t>
            </w:r>
          </w:p>
          <w:p w:rsidR="00A86593" w:rsidRPr="00DD0EE9" w:rsidRDefault="00A86593" w:rsidP="001C741C">
            <w:pPr>
              <w:jc w:val="right"/>
              <w:rPr>
                <w:b/>
              </w:rPr>
            </w:pPr>
            <w:r w:rsidRPr="00DD0EE9">
              <w:rPr>
                <w:b/>
              </w:rPr>
              <w:t>31 March 2011</w:t>
            </w:r>
          </w:p>
        </w:tc>
      </w:tr>
      <w:tr w:rsidR="00A86593" w:rsidTr="001C741C">
        <w:tc>
          <w:tcPr>
            <w:tcW w:w="5625" w:type="dxa"/>
          </w:tcPr>
          <w:p w:rsidR="00A86593" w:rsidRDefault="00A86593" w:rsidP="001C741C"/>
        </w:tc>
        <w:tc>
          <w:tcPr>
            <w:tcW w:w="2268" w:type="dxa"/>
          </w:tcPr>
          <w:p w:rsidR="00A86593" w:rsidRPr="00DD0EE9" w:rsidRDefault="00A86593" w:rsidP="001C741C">
            <w:pPr>
              <w:jc w:val="right"/>
              <w:rPr>
                <w:b/>
              </w:rPr>
            </w:pPr>
            <w:r>
              <w:rPr>
                <w:b/>
              </w:rPr>
              <w:t>£m</w:t>
            </w:r>
          </w:p>
        </w:tc>
        <w:tc>
          <w:tcPr>
            <w:tcW w:w="2268" w:type="dxa"/>
          </w:tcPr>
          <w:p w:rsidR="00A86593" w:rsidRPr="00DD0EE9" w:rsidRDefault="00A86593" w:rsidP="001C741C">
            <w:pPr>
              <w:ind w:left="1038"/>
              <w:jc w:val="right"/>
              <w:rPr>
                <w:b/>
              </w:rPr>
            </w:pPr>
            <w:r>
              <w:rPr>
                <w:b/>
              </w:rPr>
              <w:t>£m</w:t>
            </w:r>
          </w:p>
        </w:tc>
      </w:tr>
      <w:tr w:rsidR="00A86593" w:rsidTr="001C741C">
        <w:tc>
          <w:tcPr>
            <w:tcW w:w="5625" w:type="dxa"/>
          </w:tcPr>
          <w:p w:rsidR="00A86593" w:rsidRDefault="00A86593" w:rsidP="001C741C">
            <w:r>
              <w:t>Overseas  Equities</w:t>
            </w:r>
          </w:p>
        </w:tc>
        <w:tc>
          <w:tcPr>
            <w:tcW w:w="2268" w:type="dxa"/>
          </w:tcPr>
          <w:p w:rsidR="00A86593" w:rsidRDefault="00A86593" w:rsidP="001C741C">
            <w:pPr>
              <w:jc w:val="right"/>
            </w:pPr>
            <w:r>
              <w:t>1236.9</w:t>
            </w:r>
          </w:p>
        </w:tc>
        <w:tc>
          <w:tcPr>
            <w:tcW w:w="2268" w:type="dxa"/>
          </w:tcPr>
          <w:p w:rsidR="00A86593" w:rsidRDefault="00A86593" w:rsidP="001C741C">
            <w:pPr>
              <w:jc w:val="right"/>
            </w:pPr>
            <w:r>
              <w:t>1385.4</w:t>
            </w:r>
          </w:p>
        </w:tc>
      </w:tr>
      <w:tr w:rsidR="00A86593" w:rsidTr="001C741C">
        <w:tc>
          <w:tcPr>
            <w:tcW w:w="5625" w:type="dxa"/>
          </w:tcPr>
          <w:p w:rsidR="00A86593" w:rsidRDefault="00A86593" w:rsidP="001C741C">
            <w:r>
              <w:t>Overseas Bonds</w:t>
            </w:r>
          </w:p>
        </w:tc>
        <w:tc>
          <w:tcPr>
            <w:tcW w:w="2268" w:type="dxa"/>
          </w:tcPr>
          <w:p w:rsidR="00A86593" w:rsidRDefault="00A86593" w:rsidP="001C741C">
            <w:pPr>
              <w:jc w:val="right"/>
            </w:pPr>
            <w:r>
              <w:t>100.0</w:t>
            </w:r>
          </w:p>
        </w:tc>
        <w:tc>
          <w:tcPr>
            <w:tcW w:w="2268" w:type="dxa"/>
          </w:tcPr>
          <w:p w:rsidR="00A86593" w:rsidRDefault="00A86593" w:rsidP="001C741C">
            <w:pPr>
              <w:jc w:val="right"/>
            </w:pPr>
            <w:r>
              <w:t>26.9</w:t>
            </w:r>
          </w:p>
        </w:tc>
      </w:tr>
      <w:tr w:rsidR="00A86593" w:rsidTr="001C741C">
        <w:tc>
          <w:tcPr>
            <w:tcW w:w="5625" w:type="dxa"/>
          </w:tcPr>
          <w:p w:rsidR="00A86593" w:rsidRDefault="00A86593" w:rsidP="001C741C">
            <w:r>
              <w:t>Overseas  Alternatives</w:t>
            </w:r>
          </w:p>
        </w:tc>
        <w:tc>
          <w:tcPr>
            <w:tcW w:w="2268" w:type="dxa"/>
          </w:tcPr>
          <w:p w:rsidR="00A86593" w:rsidRDefault="00A86593" w:rsidP="001C741C">
            <w:pPr>
              <w:jc w:val="right"/>
            </w:pPr>
            <w:r>
              <w:t>187.9</w:t>
            </w:r>
          </w:p>
        </w:tc>
        <w:tc>
          <w:tcPr>
            <w:tcW w:w="2268" w:type="dxa"/>
          </w:tcPr>
          <w:p w:rsidR="00A86593" w:rsidRDefault="00A86593" w:rsidP="001C741C">
            <w:pPr>
              <w:jc w:val="right"/>
            </w:pPr>
            <w:r>
              <w:t>169.8</w:t>
            </w:r>
          </w:p>
        </w:tc>
      </w:tr>
      <w:tr w:rsidR="00A86593" w:rsidTr="001C741C">
        <w:tc>
          <w:tcPr>
            <w:tcW w:w="5625" w:type="dxa"/>
          </w:tcPr>
          <w:p w:rsidR="00A86593" w:rsidRDefault="00A86593" w:rsidP="001C741C">
            <w:r>
              <w:t>Overseas Pooled</w:t>
            </w:r>
          </w:p>
        </w:tc>
        <w:tc>
          <w:tcPr>
            <w:tcW w:w="2268" w:type="dxa"/>
          </w:tcPr>
          <w:p w:rsidR="00A86593" w:rsidRDefault="00A86593" w:rsidP="001C741C">
            <w:pPr>
              <w:jc w:val="right"/>
            </w:pPr>
            <w:r>
              <w:t>449.6</w:t>
            </w:r>
          </w:p>
        </w:tc>
        <w:tc>
          <w:tcPr>
            <w:tcW w:w="2268" w:type="dxa"/>
          </w:tcPr>
          <w:p w:rsidR="00A86593" w:rsidRDefault="00A86593" w:rsidP="001C741C">
            <w:pPr>
              <w:jc w:val="right"/>
            </w:pPr>
          </w:p>
        </w:tc>
      </w:tr>
      <w:tr w:rsidR="00A86593" w:rsidTr="001C741C">
        <w:tc>
          <w:tcPr>
            <w:tcW w:w="5625" w:type="dxa"/>
          </w:tcPr>
          <w:p w:rsidR="00A86593" w:rsidRPr="00DD0EE9" w:rsidRDefault="00A86593" w:rsidP="001C741C">
            <w:pPr>
              <w:rPr>
                <w:b/>
              </w:rPr>
            </w:pPr>
            <w:r>
              <w:rPr>
                <w:b/>
              </w:rPr>
              <w:t xml:space="preserve">Total overseas assets </w:t>
            </w:r>
          </w:p>
        </w:tc>
        <w:tc>
          <w:tcPr>
            <w:tcW w:w="2268" w:type="dxa"/>
          </w:tcPr>
          <w:p w:rsidR="00A86593" w:rsidRDefault="00A86593" w:rsidP="001C741C">
            <w:pPr>
              <w:jc w:val="right"/>
            </w:pPr>
            <w:r>
              <w:t>1974.4</w:t>
            </w:r>
          </w:p>
        </w:tc>
        <w:tc>
          <w:tcPr>
            <w:tcW w:w="2268" w:type="dxa"/>
          </w:tcPr>
          <w:p w:rsidR="00A86593" w:rsidRDefault="00A86593" w:rsidP="001C741C">
            <w:pPr>
              <w:jc w:val="right"/>
            </w:pPr>
            <w:r>
              <w:t>1582.1</w:t>
            </w:r>
          </w:p>
        </w:tc>
      </w:tr>
    </w:tbl>
    <w:p w:rsidR="00A86593" w:rsidRDefault="00A86593" w:rsidP="00A86593">
      <w:pPr>
        <w:ind w:left="720"/>
      </w:pPr>
    </w:p>
    <w:p w:rsidR="00A86593" w:rsidRPr="00DD0EE9" w:rsidRDefault="00A86593" w:rsidP="00A86593">
      <w:pPr>
        <w:ind w:left="720"/>
        <w:rPr>
          <w:b/>
        </w:rPr>
      </w:pPr>
      <w:r w:rsidRPr="00DD0EE9">
        <w:rPr>
          <w:b/>
        </w:rPr>
        <w:t xml:space="preserve">Currency risk – sensitivities analysis </w:t>
      </w:r>
    </w:p>
    <w:p w:rsidR="00A86593" w:rsidRDefault="00A86593" w:rsidP="00A86593">
      <w:pPr>
        <w:ind w:left="720"/>
      </w:pPr>
    </w:p>
    <w:p w:rsidR="00A86593" w:rsidRDefault="00A86593" w:rsidP="003B314A">
      <w:pPr>
        <w:ind w:left="720"/>
        <w:jc w:val="both"/>
      </w:pPr>
      <w:r>
        <w:t xml:space="preserve">Following analysis of historical data in consultation with the Fund's investment advisors, the Fund considers the likely volatility associated with foreign exchange rate movement to be 9.7% (as measured by one standard deviation). </w:t>
      </w:r>
    </w:p>
    <w:p w:rsidR="00A86593" w:rsidRDefault="00A86593" w:rsidP="003B314A">
      <w:pPr>
        <w:ind w:left="720"/>
        <w:jc w:val="both"/>
      </w:pPr>
    </w:p>
    <w:p w:rsidR="00A86593" w:rsidRDefault="00A86593" w:rsidP="003B314A">
      <w:pPr>
        <w:ind w:left="720"/>
        <w:jc w:val="both"/>
      </w:pPr>
      <w:r>
        <w:t xml:space="preserve">A 9.7% fluctuation in the currency is considered reasonable based on the Fund advisor's analysis of long-term historical movements in the month-end exchange rates over a rolling 36-month period. </w:t>
      </w:r>
    </w:p>
    <w:p w:rsidR="00A86593" w:rsidRDefault="00A86593" w:rsidP="003B314A">
      <w:pPr>
        <w:ind w:left="720"/>
        <w:jc w:val="both"/>
      </w:pPr>
    </w:p>
    <w:p w:rsidR="00A86593" w:rsidRDefault="00A86593" w:rsidP="003B314A">
      <w:pPr>
        <w:ind w:left="720"/>
        <w:jc w:val="both"/>
      </w:pPr>
      <w:r>
        <w:lastRenderedPageBreak/>
        <w:t xml:space="preserve">This analysis assumes that all other variables, in particular interest rates, remain constant.  </w:t>
      </w:r>
    </w:p>
    <w:p w:rsidR="00A86593" w:rsidRDefault="00A86593" w:rsidP="003B314A">
      <w:pPr>
        <w:ind w:left="720"/>
        <w:jc w:val="both"/>
      </w:pPr>
    </w:p>
    <w:p w:rsidR="00A86593" w:rsidRDefault="00A86593" w:rsidP="003B314A">
      <w:pPr>
        <w:ind w:left="720"/>
        <w:jc w:val="both"/>
      </w:pPr>
      <w:r>
        <w:t xml:space="preserve"> A 9.7% strengthening/weakening of the pound against the various currencies in which the Fund holds investments would increase/decrease the net assets available to pay benefits as follows:</w:t>
      </w:r>
    </w:p>
    <w:p w:rsidR="00A86593" w:rsidRDefault="00A86593" w:rsidP="00A86593">
      <w:pPr>
        <w:ind w:left="720"/>
      </w:pPr>
      <w:r>
        <w:t xml:space="preserve">  </w:t>
      </w:r>
    </w:p>
    <w:tbl>
      <w:tblPr>
        <w:tblStyle w:val="TableGrid"/>
        <w:tblW w:w="10631" w:type="dxa"/>
        <w:tblInd w:w="534" w:type="dxa"/>
        <w:tblBorders>
          <w:left w:val="none" w:sz="0" w:space="0" w:color="auto"/>
          <w:right w:val="none" w:sz="0" w:space="0" w:color="auto"/>
          <w:insideV w:val="none" w:sz="0" w:space="0" w:color="auto"/>
        </w:tblBorders>
        <w:tblLayout w:type="fixed"/>
        <w:tblLook w:val="04A0"/>
      </w:tblPr>
      <w:tblGrid>
        <w:gridCol w:w="4462"/>
        <w:gridCol w:w="2200"/>
        <w:gridCol w:w="1984"/>
        <w:gridCol w:w="1985"/>
      </w:tblGrid>
      <w:tr w:rsidR="00A86593" w:rsidTr="001C741C">
        <w:tc>
          <w:tcPr>
            <w:tcW w:w="4462" w:type="dxa"/>
          </w:tcPr>
          <w:p w:rsidR="00A86593" w:rsidRPr="00DD0EE9" w:rsidRDefault="00A86593" w:rsidP="001C741C">
            <w:pPr>
              <w:rPr>
                <w:b/>
              </w:rPr>
            </w:pPr>
            <w:r w:rsidRPr="00DD0EE9">
              <w:rPr>
                <w:b/>
              </w:rPr>
              <w:t xml:space="preserve">Currency exposure – asset type </w:t>
            </w:r>
          </w:p>
        </w:tc>
        <w:tc>
          <w:tcPr>
            <w:tcW w:w="2200" w:type="dxa"/>
          </w:tcPr>
          <w:p w:rsidR="00A86593" w:rsidRPr="00DD0EE9" w:rsidRDefault="00A86593" w:rsidP="001C741C">
            <w:pPr>
              <w:jc w:val="right"/>
              <w:rPr>
                <w:b/>
              </w:rPr>
            </w:pPr>
            <w:r w:rsidRPr="00DD0EE9">
              <w:rPr>
                <w:b/>
              </w:rPr>
              <w:t xml:space="preserve">Asset value as at </w:t>
            </w:r>
          </w:p>
          <w:p w:rsidR="00A86593" w:rsidRPr="00DD0EE9" w:rsidRDefault="00A86593" w:rsidP="001C741C">
            <w:pPr>
              <w:jc w:val="right"/>
              <w:rPr>
                <w:b/>
              </w:rPr>
            </w:pPr>
            <w:r w:rsidRPr="00DD0EE9">
              <w:rPr>
                <w:b/>
              </w:rPr>
              <w:t>31 March 2012</w:t>
            </w:r>
          </w:p>
        </w:tc>
        <w:tc>
          <w:tcPr>
            <w:tcW w:w="3969" w:type="dxa"/>
            <w:gridSpan w:val="2"/>
          </w:tcPr>
          <w:p w:rsidR="00A86593" w:rsidRPr="00DD0EE9" w:rsidRDefault="00A86593" w:rsidP="001C741C">
            <w:pPr>
              <w:jc w:val="right"/>
              <w:rPr>
                <w:b/>
              </w:rPr>
            </w:pPr>
            <w:r>
              <w:rPr>
                <w:b/>
              </w:rPr>
              <w:t xml:space="preserve">Change to net assets available to pay benefits </w:t>
            </w:r>
          </w:p>
        </w:tc>
      </w:tr>
      <w:tr w:rsidR="00A86593" w:rsidTr="001C741C">
        <w:tc>
          <w:tcPr>
            <w:tcW w:w="4462" w:type="dxa"/>
          </w:tcPr>
          <w:p w:rsidR="00A86593" w:rsidRDefault="00A86593" w:rsidP="001C741C"/>
        </w:tc>
        <w:tc>
          <w:tcPr>
            <w:tcW w:w="2200" w:type="dxa"/>
          </w:tcPr>
          <w:p w:rsidR="00A86593" w:rsidRPr="00DD0EE9" w:rsidRDefault="00A86593" w:rsidP="001C741C">
            <w:pPr>
              <w:jc w:val="right"/>
              <w:rPr>
                <w:b/>
              </w:rPr>
            </w:pPr>
          </w:p>
        </w:tc>
        <w:tc>
          <w:tcPr>
            <w:tcW w:w="1984" w:type="dxa"/>
          </w:tcPr>
          <w:p w:rsidR="00A86593" w:rsidRPr="00DD0EE9" w:rsidRDefault="00A86593" w:rsidP="001C741C">
            <w:pPr>
              <w:ind w:left="1038"/>
              <w:jc w:val="right"/>
              <w:rPr>
                <w:b/>
              </w:rPr>
            </w:pPr>
            <w:r>
              <w:rPr>
                <w:b/>
              </w:rPr>
              <w:t>+9.7%</w:t>
            </w:r>
          </w:p>
        </w:tc>
        <w:tc>
          <w:tcPr>
            <w:tcW w:w="1985" w:type="dxa"/>
          </w:tcPr>
          <w:p w:rsidR="00A86593" w:rsidRPr="00DD0EE9" w:rsidRDefault="00A86593" w:rsidP="001C741C">
            <w:pPr>
              <w:jc w:val="right"/>
              <w:rPr>
                <w:b/>
              </w:rPr>
            </w:pPr>
            <w:r>
              <w:rPr>
                <w:b/>
              </w:rPr>
              <w:t>-9.7%</w:t>
            </w:r>
          </w:p>
        </w:tc>
      </w:tr>
      <w:tr w:rsidR="00A86593" w:rsidTr="001C741C">
        <w:tc>
          <w:tcPr>
            <w:tcW w:w="4462" w:type="dxa"/>
          </w:tcPr>
          <w:p w:rsidR="00A86593" w:rsidRDefault="00A86593" w:rsidP="001C741C"/>
        </w:tc>
        <w:tc>
          <w:tcPr>
            <w:tcW w:w="2200" w:type="dxa"/>
          </w:tcPr>
          <w:p w:rsidR="00A86593" w:rsidRPr="00DD0EE9" w:rsidRDefault="00A86593" w:rsidP="001C741C">
            <w:pPr>
              <w:jc w:val="right"/>
              <w:rPr>
                <w:b/>
              </w:rPr>
            </w:pPr>
            <w:r>
              <w:rPr>
                <w:b/>
              </w:rPr>
              <w:t>£m</w:t>
            </w:r>
          </w:p>
        </w:tc>
        <w:tc>
          <w:tcPr>
            <w:tcW w:w="1984" w:type="dxa"/>
          </w:tcPr>
          <w:p w:rsidR="00A86593" w:rsidRPr="00DD0EE9" w:rsidRDefault="00A86593" w:rsidP="001C741C">
            <w:pPr>
              <w:ind w:left="1038"/>
              <w:jc w:val="right"/>
              <w:rPr>
                <w:b/>
              </w:rPr>
            </w:pPr>
            <w:r>
              <w:rPr>
                <w:b/>
              </w:rPr>
              <w:t>£m</w:t>
            </w:r>
          </w:p>
        </w:tc>
        <w:tc>
          <w:tcPr>
            <w:tcW w:w="1985" w:type="dxa"/>
          </w:tcPr>
          <w:p w:rsidR="00A86593" w:rsidRPr="00DD0EE9" w:rsidRDefault="00A86593" w:rsidP="001C741C">
            <w:pPr>
              <w:ind w:left="1038"/>
              <w:jc w:val="right"/>
              <w:rPr>
                <w:b/>
              </w:rPr>
            </w:pPr>
            <w:r>
              <w:rPr>
                <w:b/>
              </w:rPr>
              <w:t>£m</w:t>
            </w:r>
          </w:p>
        </w:tc>
      </w:tr>
      <w:tr w:rsidR="00A86593" w:rsidTr="001C741C">
        <w:tc>
          <w:tcPr>
            <w:tcW w:w="4462" w:type="dxa"/>
          </w:tcPr>
          <w:p w:rsidR="00A86593" w:rsidRDefault="00A86593" w:rsidP="001C741C">
            <w:r>
              <w:t xml:space="preserve">Overseas Equities </w:t>
            </w:r>
          </w:p>
        </w:tc>
        <w:tc>
          <w:tcPr>
            <w:tcW w:w="2200" w:type="dxa"/>
          </w:tcPr>
          <w:p w:rsidR="00A86593" w:rsidRDefault="00A86593" w:rsidP="001C741C">
            <w:pPr>
              <w:jc w:val="right"/>
            </w:pPr>
            <w:r>
              <w:t>1,236.9</w:t>
            </w:r>
          </w:p>
        </w:tc>
        <w:tc>
          <w:tcPr>
            <w:tcW w:w="1984" w:type="dxa"/>
          </w:tcPr>
          <w:p w:rsidR="00A86593" w:rsidRDefault="00A86593" w:rsidP="001C741C">
            <w:pPr>
              <w:jc w:val="right"/>
            </w:pPr>
            <w:r>
              <w:t>1357.0</w:t>
            </w:r>
          </w:p>
        </w:tc>
        <w:tc>
          <w:tcPr>
            <w:tcW w:w="1985" w:type="dxa"/>
          </w:tcPr>
          <w:p w:rsidR="00A86593" w:rsidRDefault="00A86593" w:rsidP="001C741C">
            <w:pPr>
              <w:jc w:val="right"/>
            </w:pPr>
            <w:r>
              <w:t>1,116.8</w:t>
            </w:r>
          </w:p>
        </w:tc>
      </w:tr>
      <w:tr w:rsidR="00A86593" w:rsidTr="001C741C">
        <w:tc>
          <w:tcPr>
            <w:tcW w:w="4462" w:type="dxa"/>
          </w:tcPr>
          <w:p w:rsidR="00A86593" w:rsidRDefault="00A86593" w:rsidP="001C741C">
            <w:r>
              <w:t xml:space="preserve">Overseas Bonds </w:t>
            </w:r>
          </w:p>
        </w:tc>
        <w:tc>
          <w:tcPr>
            <w:tcW w:w="2200" w:type="dxa"/>
          </w:tcPr>
          <w:p w:rsidR="00A86593" w:rsidRDefault="00A86593" w:rsidP="001C741C">
            <w:pPr>
              <w:jc w:val="right"/>
            </w:pPr>
            <w:r>
              <w:t>100.0</w:t>
            </w:r>
          </w:p>
        </w:tc>
        <w:tc>
          <w:tcPr>
            <w:tcW w:w="1984" w:type="dxa"/>
          </w:tcPr>
          <w:p w:rsidR="00A86593" w:rsidRDefault="00A86593" w:rsidP="001C741C">
            <w:pPr>
              <w:jc w:val="right"/>
            </w:pPr>
            <w:r>
              <w:t>109.7</w:t>
            </w:r>
          </w:p>
        </w:tc>
        <w:tc>
          <w:tcPr>
            <w:tcW w:w="1985" w:type="dxa"/>
          </w:tcPr>
          <w:p w:rsidR="00A86593" w:rsidRDefault="00A86593" w:rsidP="001C741C">
            <w:pPr>
              <w:jc w:val="right"/>
            </w:pPr>
            <w:r>
              <w:t>90.3</w:t>
            </w:r>
          </w:p>
        </w:tc>
      </w:tr>
      <w:tr w:rsidR="00A86593" w:rsidTr="001C741C">
        <w:tc>
          <w:tcPr>
            <w:tcW w:w="4462" w:type="dxa"/>
          </w:tcPr>
          <w:p w:rsidR="00A86593" w:rsidRDefault="00A86593" w:rsidP="001C741C">
            <w:r>
              <w:t xml:space="preserve">Overseas Alternatives </w:t>
            </w:r>
          </w:p>
        </w:tc>
        <w:tc>
          <w:tcPr>
            <w:tcW w:w="2200" w:type="dxa"/>
          </w:tcPr>
          <w:p w:rsidR="00A86593" w:rsidRDefault="00A86593" w:rsidP="001C741C">
            <w:pPr>
              <w:jc w:val="right"/>
            </w:pPr>
            <w:r>
              <w:t>187.9</w:t>
            </w:r>
          </w:p>
        </w:tc>
        <w:tc>
          <w:tcPr>
            <w:tcW w:w="1984" w:type="dxa"/>
          </w:tcPr>
          <w:p w:rsidR="00A86593" w:rsidRDefault="00A86593" w:rsidP="001C741C">
            <w:pPr>
              <w:jc w:val="right"/>
            </w:pPr>
            <w:r>
              <w:t>206.2</w:t>
            </w:r>
          </w:p>
        </w:tc>
        <w:tc>
          <w:tcPr>
            <w:tcW w:w="1985" w:type="dxa"/>
          </w:tcPr>
          <w:p w:rsidR="00A86593" w:rsidRDefault="00A86593" w:rsidP="001C741C">
            <w:pPr>
              <w:jc w:val="right"/>
            </w:pPr>
            <w:r>
              <w:t>169.7</w:t>
            </w:r>
          </w:p>
        </w:tc>
      </w:tr>
      <w:tr w:rsidR="00A86593" w:rsidTr="001C741C">
        <w:tc>
          <w:tcPr>
            <w:tcW w:w="4462" w:type="dxa"/>
          </w:tcPr>
          <w:p w:rsidR="00A86593" w:rsidRDefault="00A86593" w:rsidP="001C741C">
            <w:r>
              <w:t>Overseas Pooled</w:t>
            </w:r>
          </w:p>
        </w:tc>
        <w:tc>
          <w:tcPr>
            <w:tcW w:w="2200" w:type="dxa"/>
          </w:tcPr>
          <w:p w:rsidR="00A86593" w:rsidRDefault="00A86593" w:rsidP="001C741C">
            <w:pPr>
              <w:jc w:val="right"/>
            </w:pPr>
            <w:r>
              <w:t>449.6</w:t>
            </w:r>
          </w:p>
        </w:tc>
        <w:tc>
          <w:tcPr>
            <w:tcW w:w="1984" w:type="dxa"/>
          </w:tcPr>
          <w:p w:rsidR="00A86593" w:rsidRDefault="00A86593" w:rsidP="001C741C">
            <w:pPr>
              <w:jc w:val="right"/>
            </w:pPr>
            <w:r>
              <w:t>493.3</w:t>
            </w:r>
          </w:p>
        </w:tc>
        <w:tc>
          <w:tcPr>
            <w:tcW w:w="1985" w:type="dxa"/>
          </w:tcPr>
          <w:p w:rsidR="00A86593" w:rsidRDefault="00A86593" w:rsidP="001C741C">
            <w:pPr>
              <w:jc w:val="right"/>
            </w:pPr>
            <w:r>
              <w:t>406.0</w:t>
            </w:r>
          </w:p>
        </w:tc>
      </w:tr>
      <w:tr w:rsidR="00A86593" w:rsidTr="001C741C">
        <w:tc>
          <w:tcPr>
            <w:tcW w:w="4462" w:type="dxa"/>
          </w:tcPr>
          <w:p w:rsidR="00A86593" w:rsidRPr="00DD0EE9" w:rsidRDefault="00A86593" w:rsidP="001C741C">
            <w:pPr>
              <w:rPr>
                <w:b/>
              </w:rPr>
            </w:pPr>
            <w:r>
              <w:rPr>
                <w:b/>
              </w:rPr>
              <w:t xml:space="preserve">Total change in assets available  </w:t>
            </w:r>
          </w:p>
        </w:tc>
        <w:tc>
          <w:tcPr>
            <w:tcW w:w="2200" w:type="dxa"/>
          </w:tcPr>
          <w:p w:rsidR="00A86593" w:rsidRDefault="00A86593" w:rsidP="001C741C">
            <w:pPr>
              <w:jc w:val="right"/>
            </w:pPr>
            <w:r>
              <w:t>1,974.4</w:t>
            </w:r>
          </w:p>
        </w:tc>
        <w:tc>
          <w:tcPr>
            <w:tcW w:w="1984" w:type="dxa"/>
          </w:tcPr>
          <w:p w:rsidR="00A86593" w:rsidRDefault="00A86593" w:rsidP="001C741C">
            <w:pPr>
              <w:jc w:val="right"/>
            </w:pPr>
            <w:r>
              <w:t>2,166.2</w:t>
            </w:r>
          </w:p>
        </w:tc>
        <w:tc>
          <w:tcPr>
            <w:tcW w:w="1985" w:type="dxa"/>
          </w:tcPr>
          <w:p w:rsidR="00A86593" w:rsidRDefault="00A86593" w:rsidP="001C741C">
            <w:pPr>
              <w:jc w:val="right"/>
            </w:pPr>
            <w:r>
              <w:t>1,782.8</w:t>
            </w:r>
          </w:p>
        </w:tc>
      </w:tr>
    </w:tbl>
    <w:p w:rsidR="00A86593" w:rsidRDefault="00A86593" w:rsidP="00A86593">
      <w:pPr>
        <w:ind w:left="720"/>
      </w:pPr>
    </w:p>
    <w:p w:rsidR="00A86593" w:rsidRDefault="00A86593" w:rsidP="00A86593">
      <w:pPr>
        <w:ind w:left="720"/>
      </w:pPr>
      <w:r>
        <w:t xml:space="preserve">  </w:t>
      </w:r>
    </w:p>
    <w:tbl>
      <w:tblPr>
        <w:tblStyle w:val="TableGrid"/>
        <w:tblW w:w="10631" w:type="dxa"/>
        <w:tblInd w:w="534" w:type="dxa"/>
        <w:tblBorders>
          <w:left w:val="none" w:sz="0" w:space="0" w:color="auto"/>
          <w:right w:val="none" w:sz="0" w:space="0" w:color="auto"/>
          <w:insideV w:val="none" w:sz="0" w:space="0" w:color="auto"/>
        </w:tblBorders>
        <w:tblLayout w:type="fixed"/>
        <w:tblLook w:val="04A0"/>
      </w:tblPr>
      <w:tblGrid>
        <w:gridCol w:w="4462"/>
        <w:gridCol w:w="2200"/>
        <w:gridCol w:w="1984"/>
        <w:gridCol w:w="1985"/>
      </w:tblGrid>
      <w:tr w:rsidR="00A86593" w:rsidTr="001C741C">
        <w:tc>
          <w:tcPr>
            <w:tcW w:w="4462" w:type="dxa"/>
          </w:tcPr>
          <w:p w:rsidR="00A86593" w:rsidRPr="00DD0EE9" w:rsidRDefault="00A86593" w:rsidP="001C741C">
            <w:pPr>
              <w:rPr>
                <w:b/>
              </w:rPr>
            </w:pPr>
            <w:r w:rsidRPr="00DD0EE9">
              <w:rPr>
                <w:b/>
              </w:rPr>
              <w:t xml:space="preserve">Currency exposure – asset type </w:t>
            </w:r>
          </w:p>
        </w:tc>
        <w:tc>
          <w:tcPr>
            <w:tcW w:w="2200" w:type="dxa"/>
          </w:tcPr>
          <w:p w:rsidR="00A86593" w:rsidRPr="00DD0EE9" w:rsidRDefault="00A86593" w:rsidP="001C741C">
            <w:pPr>
              <w:jc w:val="right"/>
              <w:rPr>
                <w:b/>
              </w:rPr>
            </w:pPr>
            <w:r w:rsidRPr="00DD0EE9">
              <w:rPr>
                <w:b/>
              </w:rPr>
              <w:t xml:space="preserve">Asset value as at </w:t>
            </w:r>
          </w:p>
          <w:p w:rsidR="00A86593" w:rsidRPr="00DD0EE9" w:rsidRDefault="00A86593" w:rsidP="001C741C">
            <w:pPr>
              <w:jc w:val="right"/>
              <w:rPr>
                <w:b/>
              </w:rPr>
            </w:pPr>
            <w:r>
              <w:rPr>
                <w:b/>
              </w:rPr>
              <w:t>31 March 2011</w:t>
            </w:r>
          </w:p>
        </w:tc>
        <w:tc>
          <w:tcPr>
            <w:tcW w:w="3969" w:type="dxa"/>
            <w:gridSpan w:val="2"/>
          </w:tcPr>
          <w:p w:rsidR="00A86593" w:rsidRPr="00DD0EE9" w:rsidRDefault="00A86593" w:rsidP="001C741C">
            <w:pPr>
              <w:jc w:val="right"/>
              <w:rPr>
                <w:b/>
              </w:rPr>
            </w:pPr>
            <w:r>
              <w:rPr>
                <w:b/>
              </w:rPr>
              <w:t xml:space="preserve">Change to net assets available to pay benefits </w:t>
            </w:r>
          </w:p>
        </w:tc>
      </w:tr>
      <w:tr w:rsidR="00A86593" w:rsidTr="001C741C">
        <w:tc>
          <w:tcPr>
            <w:tcW w:w="4462" w:type="dxa"/>
          </w:tcPr>
          <w:p w:rsidR="00A86593" w:rsidRDefault="00A86593" w:rsidP="001C741C"/>
        </w:tc>
        <w:tc>
          <w:tcPr>
            <w:tcW w:w="2200" w:type="dxa"/>
          </w:tcPr>
          <w:p w:rsidR="00A86593" w:rsidRPr="00DD0EE9" w:rsidRDefault="00A86593" w:rsidP="001C741C">
            <w:pPr>
              <w:jc w:val="right"/>
              <w:rPr>
                <w:b/>
              </w:rPr>
            </w:pPr>
          </w:p>
        </w:tc>
        <w:tc>
          <w:tcPr>
            <w:tcW w:w="1984" w:type="dxa"/>
          </w:tcPr>
          <w:p w:rsidR="00A86593" w:rsidRPr="00DD0EE9" w:rsidRDefault="00A86593" w:rsidP="001C741C">
            <w:pPr>
              <w:ind w:left="1038"/>
              <w:jc w:val="right"/>
              <w:rPr>
                <w:b/>
              </w:rPr>
            </w:pPr>
            <w:r>
              <w:rPr>
                <w:b/>
              </w:rPr>
              <w:t>+9.7%</w:t>
            </w:r>
          </w:p>
        </w:tc>
        <w:tc>
          <w:tcPr>
            <w:tcW w:w="1985" w:type="dxa"/>
          </w:tcPr>
          <w:p w:rsidR="00A86593" w:rsidRPr="00DD0EE9" w:rsidRDefault="00A86593" w:rsidP="001C741C">
            <w:pPr>
              <w:jc w:val="right"/>
              <w:rPr>
                <w:b/>
              </w:rPr>
            </w:pPr>
            <w:r>
              <w:rPr>
                <w:b/>
              </w:rPr>
              <w:t>-9.7%</w:t>
            </w:r>
          </w:p>
        </w:tc>
      </w:tr>
      <w:tr w:rsidR="00A86593" w:rsidTr="001C741C">
        <w:tc>
          <w:tcPr>
            <w:tcW w:w="4462" w:type="dxa"/>
          </w:tcPr>
          <w:p w:rsidR="00A86593" w:rsidRDefault="00A86593" w:rsidP="001C741C"/>
        </w:tc>
        <w:tc>
          <w:tcPr>
            <w:tcW w:w="2200" w:type="dxa"/>
          </w:tcPr>
          <w:p w:rsidR="00A86593" w:rsidRPr="00DD0EE9" w:rsidRDefault="00A86593" w:rsidP="001C741C">
            <w:pPr>
              <w:jc w:val="right"/>
              <w:rPr>
                <w:b/>
              </w:rPr>
            </w:pPr>
            <w:r>
              <w:rPr>
                <w:b/>
              </w:rPr>
              <w:t>£m</w:t>
            </w:r>
          </w:p>
        </w:tc>
        <w:tc>
          <w:tcPr>
            <w:tcW w:w="1984" w:type="dxa"/>
          </w:tcPr>
          <w:p w:rsidR="00A86593" w:rsidRPr="00DD0EE9" w:rsidRDefault="00A86593" w:rsidP="001C741C">
            <w:pPr>
              <w:ind w:left="1038"/>
              <w:jc w:val="right"/>
              <w:rPr>
                <w:b/>
              </w:rPr>
            </w:pPr>
            <w:r>
              <w:rPr>
                <w:b/>
              </w:rPr>
              <w:t>£m</w:t>
            </w:r>
          </w:p>
        </w:tc>
        <w:tc>
          <w:tcPr>
            <w:tcW w:w="1985" w:type="dxa"/>
          </w:tcPr>
          <w:p w:rsidR="00A86593" w:rsidRPr="00DD0EE9" w:rsidRDefault="00A86593" w:rsidP="001C741C">
            <w:pPr>
              <w:ind w:left="1038"/>
              <w:jc w:val="right"/>
              <w:rPr>
                <w:b/>
              </w:rPr>
            </w:pPr>
            <w:r>
              <w:rPr>
                <w:b/>
              </w:rPr>
              <w:t>£m</w:t>
            </w:r>
          </w:p>
        </w:tc>
      </w:tr>
      <w:tr w:rsidR="00A86593" w:rsidTr="001C741C">
        <w:tc>
          <w:tcPr>
            <w:tcW w:w="4462" w:type="dxa"/>
          </w:tcPr>
          <w:p w:rsidR="00A86593" w:rsidRDefault="00A86593" w:rsidP="001C741C">
            <w:r>
              <w:t xml:space="preserve">Overseas Equities </w:t>
            </w:r>
          </w:p>
        </w:tc>
        <w:tc>
          <w:tcPr>
            <w:tcW w:w="2200" w:type="dxa"/>
          </w:tcPr>
          <w:p w:rsidR="00A86593" w:rsidRDefault="00A86593" w:rsidP="001C741C">
            <w:pPr>
              <w:jc w:val="right"/>
            </w:pPr>
            <w:r>
              <w:t>1,385.4</w:t>
            </w:r>
          </w:p>
        </w:tc>
        <w:tc>
          <w:tcPr>
            <w:tcW w:w="1984" w:type="dxa"/>
          </w:tcPr>
          <w:p w:rsidR="00A86593" w:rsidRDefault="00A86593" w:rsidP="001C741C">
            <w:pPr>
              <w:jc w:val="right"/>
            </w:pPr>
            <w:r>
              <w:t>1,520.3</w:t>
            </w:r>
          </w:p>
        </w:tc>
        <w:tc>
          <w:tcPr>
            <w:tcW w:w="1985" w:type="dxa"/>
          </w:tcPr>
          <w:p w:rsidR="00A86593" w:rsidRDefault="00A86593" w:rsidP="001C741C">
            <w:pPr>
              <w:jc w:val="right"/>
            </w:pPr>
            <w:r>
              <w:t>1,250.5</w:t>
            </w:r>
          </w:p>
        </w:tc>
      </w:tr>
      <w:tr w:rsidR="00A86593" w:rsidTr="001C741C">
        <w:tc>
          <w:tcPr>
            <w:tcW w:w="4462" w:type="dxa"/>
          </w:tcPr>
          <w:p w:rsidR="00A86593" w:rsidRDefault="00A86593" w:rsidP="001C741C">
            <w:r>
              <w:t>Overseas Bonds</w:t>
            </w:r>
          </w:p>
        </w:tc>
        <w:tc>
          <w:tcPr>
            <w:tcW w:w="2200" w:type="dxa"/>
          </w:tcPr>
          <w:p w:rsidR="00A86593" w:rsidRDefault="00A86593" w:rsidP="001C741C">
            <w:pPr>
              <w:jc w:val="right"/>
            </w:pPr>
            <w:r>
              <w:t>26.9</w:t>
            </w:r>
          </w:p>
        </w:tc>
        <w:tc>
          <w:tcPr>
            <w:tcW w:w="1984" w:type="dxa"/>
          </w:tcPr>
          <w:p w:rsidR="00A86593" w:rsidRDefault="00A86593" w:rsidP="001C741C">
            <w:pPr>
              <w:jc w:val="right"/>
            </w:pPr>
            <w:r>
              <w:t>29.5</w:t>
            </w:r>
          </w:p>
        </w:tc>
        <w:tc>
          <w:tcPr>
            <w:tcW w:w="1985" w:type="dxa"/>
          </w:tcPr>
          <w:p w:rsidR="00A86593" w:rsidRDefault="00A86593" w:rsidP="001C741C">
            <w:pPr>
              <w:jc w:val="right"/>
            </w:pPr>
            <w:r>
              <w:t>24.3</w:t>
            </w:r>
          </w:p>
        </w:tc>
      </w:tr>
      <w:tr w:rsidR="00A86593" w:rsidTr="001C741C">
        <w:tc>
          <w:tcPr>
            <w:tcW w:w="4462" w:type="dxa"/>
          </w:tcPr>
          <w:p w:rsidR="00A86593" w:rsidRDefault="00A86593" w:rsidP="001C741C">
            <w:r>
              <w:t xml:space="preserve">Overseas Alternatives </w:t>
            </w:r>
          </w:p>
        </w:tc>
        <w:tc>
          <w:tcPr>
            <w:tcW w:w="2200" w:type="dxa"/>
          </w:tcPr>
          <w:p w:rsidR="00A86593" w:rsidRDefault="00A86593" w:rsidP="001C741C">
            <w:pPr>
              <w:jc w:val="right"/>
            </w:pPr>
            <w:r>
              <w:t>0.0</w:t>
            </w:r>
          </w:p>
        </w:tc>
        <w:tc>
          <w:tcPr>
            <w:tcW w:w="1984" w:type="dxa"/>
          </w:tcPr>
          <w:p w:rsidR="00A86593" w:rsidRDefault="00A86593" w:rsidP="001C741C">
            <w:pPr>
              <w:jc w:val="right"/>
            </w:pPr>
            <w:r>
              <w:t>0.0</w:t>
            </w:r>
          </w:p>
        </w:tc>
        <w:tc>
          <w:tcPr>
            <w:tcW w:w="1985" w:type="dxa"/>
          </w:tcPr>
          <w:p w:rsidR="00A86593" w:rsidRDefault="00A86593" w:rsidP="001C741C">
            <w:pPr>
              <w:jc w:val="right"/>
            </w:pPr>
            <w:r>
              <w:t>0.0</w:t>
            </w:r>
          </w:p>
        </w:tc>
      </w:tr>
      <w:tr w:rsidR="00A86593" w:rsidTr="001C741C">
        <w:tc>
          <w:tcPr>
            <w:tcW w:w="4462" w:type="dxa"/>
          </w:tcPr>
          <w:p w:rsidR="00A86593" w:rsidRDefault="00A86593" w:rsidP="001C741C">
            <w:r>
              <w:t xml:space="preserve">Overseas Pooled </w:t>
            </w:r>
          </w:p>
        </w:tc>
        <w:tc>
          <w:tcPr>
            <w:tcW w:w="2200" w:type="dxa"/>
          </w:tcPr>
          <w:p w:rsidR="00A86593" w:rsidRDefault="00A86593" w:rsidP="001C741C">
            <w:pPr>
              <w:jc w:val="right"/>
            </w:pPr>
            <w:r>
              <w:t>169.8</w:t>
            </w:r>
          </w:p>
        </w:tc>
        <w:tc>
          <w:tcPr>
            <w:tcW w:w="1984" w:type="dxa"/>
          </w:tcPr>
          <w:p w:rsidR="00A86593" w:rsidRDefault="00A86593" w:rsidP="001C741C">
            <w:pPr>
              <w:jc w:val="right"/>
            </w:pPr>
            <w:r>
              <w:t>186.3</w:t>
            </w:r>
          </w:p>
        </w:tc>
        <w:tc>
          <w:tcPr>
            <w:tcW w:w="1985" w:type="dxa"/>
          </w:tcPr>
          <w:p w:rsidR="00A86593" w:rsidRDefault="00A86593" w:rsidP="001C741C">
            <w:pPr>
              <w:jc w:val="right"/>
            </w:pPr>
            <w:r>
              <w:t>153.3</w:t>
            </w:r>
          </w:p>
        </w:tc>
      </w:tr>
      <w:tr w:rsidR="00A86593" w:rsidTr="001C741C">
        <w:tc>
          <w:tcPr>
            <w:tcW w:w="4462" w:type="dxa"/>
          </w:tcPr>
          <w:p w:rsidR="00A86593" w:rsidRPr="00DD0EE9" w:rsidRDefault="00A86593" w:rsidP="001C741C">
            <w:pPr>
              <w:rPr>
                <w:b/>
              </w:rPr>
            </w:pPr>
            <w:r>
              <w:rPr>
                <w:b/>
              </w:rPr>
              <w:t xml:space="preserve">Total change in assets available  </w:t>
            </w:r>
          </w:p>
        </w:tc>
        <w:tc>
          <w:tcPr>
            <w:tcW w:w="2200" w:type="dxa"/>
          </w:tcPr>
          <w:p w:rsidR="00A86593" w:rsidRDefault="00A86593" w:rsidP="001C741C">
            <w:pPr>
              <w:jc w:val="right"/>
            </w:pPr>
            <w:r>
              <w:t>1,582.1</w:t>
            </w:r>
          </w:p>
        </w:tc>
        <w:tc>
          <w:tcPr>
            <w:tcW w:w="1984" w:type="dxa"/>
          </w:tcPr>
          <w:p w:rsidR="00A86593" w:rsidRDefault="00A86593" w:rsidP="001C741C">
            <w:pPr>
              <w:jc w:val="right"/>
            </w:pPr>
            <w:r>
              <w:t>1,736.1</w:t>
            </w:r>
          </w:p>
        </w:tc>
        <w:tc>
          <w:tcPr>
            <w:tcW w:w="1985" w:type="dxa"/>
          </w:tcPr>
          <w:p w:rsidR="00A86593" w:rsidRDefault="00A86593" w:rsidP="001C741C">
            <w:pPr>
              <w:jc w:val="right"/>
            </w:pPr>
            <w:r>
              <w:t>1,428.1</w:t>
            </w:r>
          </w:p>
        </w:tc>
      </w:tr>
    </w:tbl>
    <w:p w:rsidR="00A86593" w:rsidRDefault="00A86593" w:rsidP="00A86593">
      <w:pPr>
        <w:ind w:left="720"/>
      </w:pPr>
    </w:p>
    <w:p w:rsidR="00A86593" w:rsidRDefault="00A86593" w:rsidP="00A86593">
      <w:pPr>
        <w:ind w:left="720"/>
      </w:pPr>
      <w:r>
        <w:t xml:space="preserve"> </w:t>
      </w:r>
    </w:p>
    <w:p w:rsidR="00A86593" w:rsidRDefault="00A86593" w:rsidP="00A86593">
      <w:pPr>
        <w:pStyle w:val="ListParagraph"/>
        <w:numPr>
          <w:ilvl w:val="0"/>
          <w:numId w:val="65"/>
        </w:numPr>
        <w:contextualSpacing/>
      </w:pPr>
      <w:r>
        <w:t xml:space="preserve">Credit risk </w:t>
      </w:r>
    </w:p>
    <w:p w:rsidR="00A86593" w:rsidRDefault="00A86593" w:rsidP="00A86593">
      <w:pPr>
        <w:tabs>
          <w:tab w:val="left" w:pos="709"/>
        </w:tabs>
        <w:ind w:left="567" w:hanging="567"/>
      </w:pPr>
      <w:r>
        <w:t xml:space="preserve">    </w:t>
      </w:r>
    </w:p>
    <w:p w:rsidR="00A86593" w:rsidRDefault="00A86593" w:rsidP="003B314A">
      <w:pPr>
        <w:ind w:left="709"/>
        <w:jc w:val="both"/>
      </w:pPr>
      <w:r>
        <w:t xml:space="preserve">Credit risk represents the risk that the counterparty to a transaction or a financial instrument will fail to discharge an obligation and cause the Fund to incur financial loss.  The market values of investments generally reflect an assessment of credit in their pricing and consequently the risk of loss is implicitly provided for in the carrying value of the Fund's financial asset and liabilities.   </w:t>
      </w:r>
    </w:p>
    <w:p w:rsidR="00A86593" w:rsidRDefault="00A86593" w:rsidP="003B314A">
      <w:pPr>
        <w:ind w:left="709"/>
        <w:jc w:val="both"/>
      </w:pPr>
    </w:p>
    <w:p w:rsidR="00A86593" w:rsidRDefault="00A86593" w:rsidP="003B314A">
      <w:pPr>
        <w:ind w:left="709"/>
        <w:jc w:val="both"/>
      </w:pPr>
      <w:r>
        <w:t xml:space="preserve">In essence the Fund's entire investment portfolio is exposed to some form of credit risk, with the exception of the derivatives positions, where the risk equates to the net market value of a positive derivative position.  However the selection of high quality counterparties, brokers and financial institutions minimise the credit risk that may occur through the failure to settle a transaction in a timely manner. </w:t>
      </w:r>
    </w:p>
    <w:p w:rsidR="00A86593" w:rsidRDefault="00A86593" w:rsidP="003B314A">
      <w:pPr>
        <w:ind w:left="709"/>
        <w:jc w:val="both"/>
      </w:pPr>
    </w:p>
    <w:p w:rsidR="00A86593" w:rsidRDefault="00A86593" w:rsidP="003B314A">
      <w:pPr>
        <w:ind w:left="709"/>
        <w:jc w:val="both"/>
      </w:pPr>
      <w:r>
        <w:t xml:space="preserve">Contractual credit risk is represented by the net payment or receipt that remains outstanding, and the cost of replacing the derivatives position in the event of a counterparty default.  The residual risk is minimal due to the various insurance policies held by the exchanges to cover defaulting counterparties. </w:t>
      </w:r>
    </w:p>
    <w:p w:rsidR="00A86593" w:rsidRDefault="00A86593" w:rsidP="003B314A">
      <w:pPr>
        <w:ind w:left="709"/>
        <w:jc w:val="both"/>
      </w:pPr>
    </w:p>
    <w:p w:rsidR="00A86593" w:rsidRDefault="00A86593" w:rsidP="003B314A">
      <w:pPr>
        <w:ind w:left="709"/>
        <w:jc w:val="both"/>
      </w:pPr>
      <w:r>
        <w:t xml:space="preserve">Credit risk on over-the-counter derivatives contracts is minimised as counterparties are recognised financial intermediaries with acceptable credit ratings determined by a recognised rating agency. </w:t>
      </w:r>
    </w:p>
    <w:p w:rsidR="00A86593" w:rsidRDefault="00A86593" w:rsidP="003B314A">
      <w:pPr>
        <w:ind w:left="709"/>
        <w:jc w:val="both"/>
      </w:pPr>
    </w:p>
    <w:p w:rsidR="00A86593" w:rsidRDefault="00A86593" w:rsidP="003B314A">
      <w:pPr>
        <w:ind w:left="709"/>
        <w:jc w:val="both"/>
      </w:pPr>
      <w:r>
        <w:t xml:space="preserve">Deposits are not made with banks and financial instructions unless they are rated independent and meet the Fund's credit criteria.  The Fund has also set limits as to the maximum percentage of the deposits placed with any class of financial institution.  </w:t>
      </w:r>
    </w:p>
    <w:p w:rsidR="00A86593" w:rsidRDefault="00A86593" w:rsidP="00A86593">
      <w:pPr>
        <w:ind w:left="709"/>
      </w:pPr>
    </w:p>
    <w:p w:rsidR="00A86593" w:rsidRDefault="00A86593" w:rsidP="003B314A">
      <w:pPr>
        <w:ind w:left="709"/>
        <w:jc w:val="both"/>
      </w:pPr>
      <w:r>
        <w:t>The Fund's cash holding under its treasury management arrangements at 31</w:t>
      </w:r>
      <w:r w:rsidRPr="004F28AC">
        <w:rPr>
          <w:vertAlign w:val="superscript"/>
        </w:rPr>
        <w:t>st</w:t>
      </w:r>
      <w:r>
        <w:t xml:space="preserve"> March 2012 was £126.9 million (31 March 2011: £36.6 million.  This was held with the following institutions:     </w:t>
      </w:r>
    </w:p>
    <w:p w:rsidR="00A86593" w:rsidRDefault="00A86593" w:rsidP="00A86593">
      <w:pPr>
        <w:ind w:left="709"/>
      </w:pPr>
    </w:p>
    <w:tbl>
      <w:tblPr>
        <w:tblStyle w:val="TableGrid"/>
        <w:tblW w:w="0" w:type="auto"/>
        <w:tblInd w:w="709" w:type="dxa"/>
        <w:tblLook w:val="04A0"/>
      </w:tblPr>
      <w:tblGrid>
        <w:gridCol w:w="4582"/>
        <w:gridCol w:w="1254"/>
        <w:gridCol w:w="1938"/>
        <w:gridCol w:w="2199"/>
      </w:tblGrid>
      <w:tr w:rsidR="00A86593" w:rsidTr="001C741C">
        <w:tc>
          <w:tcPr>
            <w:tcW w:w="4786" w:type="dxa"/>
          </w:tcPr>
          <w:p w:rsidR="00A86593" w:rsidRDefault="00A86593" w:rsidP="001C741C">
            <w:r>
              <w:t xml:space="preserve">Summary </w:t>
            </w:r>
          </w:p>
        </w:tc>
        <w:tc>
          <w:tcPr>
            <w:tcW w:w="1276" w:type="dxa"/>
          </w:tcPr>
          <w:p w:rsidR="00A86593" w:rsidRDefault="00A86593" w:rsidP="001C741C">
            <w:r>
              <w:t xml:space="preserve">Rating </w:t>
            </w:r>
          </w:p>
        </w:tc>
        <w:tc>
          <w:tcPr>
            <w:tcW w:w="1984" w:type="dxa"/>
          </w:tcPr>
          <w:p w:rsidR="00A86593" w:rsidRDefault="00A86593" w:rsidP="001C741C">
            <w:r>
              <w:t xml:space="preserve">Balances as at </w:t>
            </w:r>
          </w:p>
          <w:p w:rsidR="00A86593" w:rsidRDefault="00A86593" w:rsidP="001C741C">
            <w:r>
              <w:t xml:space="preserve">31 March 2012 </w:t>
            </w:r>
          </w:p>
        </w:tc>
        <w:tc>
          <w:tcPr>
            <w:tcW w:w="2261" w:type="dxa"/>
          </w:tcPr>
          <w:p w:rsidR="00A86593" w:rsidRDefault="00A86593" w:rsidP="001C741C">
            <w:r>
              <w:t xml:space="preserve">Balances as at </w:t>
            </w:r>
          </w:p>
          <w:p w:rsidR="00A86593" w:rsidRDefault="00A86593" w:rsidP="001C741C">
            <w:r>
              <w:t>31 March 2011</w:t>
            </w:r>
          </w:p>
        </w:tc>
      </w:tr>
      <w:tr w:rsidR="00A86593" w:rsidTr="001C741C">
        <w:tc>
          <w:tcPr>
            <w:tcW w:w="4786" w:type="dxa"/>
          </w:tcPr>
          <w:p w:rsidR="00A86593" w:rsidRDefault="00A86593" w:rsidP="001C741C"/>
        </w:tc>
        <w:tc>
          <w:tcPr>
            <w:tcW w:w="1276" w:type="dxa"/>
          </w:tcPr>
          <w:p w:rsidR="00A86593" w:rsidRDefault="00A86593" w:rsidP="001C741C"/>
        </w:tc>
        <w:tc>
          <w:tcPr>
            <w:tcW w:w="1984" w:type="dxa"/>
          </w:tcPr>
          <w:p w:rsidR="00A86593" w:rsidRDefault="00A86593" w:rsidP="001C741C">
            <w:pPr>
              <w:jc w:val="right"/>
            </w:pPr>
            <w:r>
              <w:t>£m</w:t>
            </w:r>
          </w:p>
        </w:tc>
        <w:tc>
          <w:tcPr>
            <w:tcW w:w="2261" w:type="dxa"/>
          </w:tcPr>
          <w:p w:rsidR="00A86593" w:rsidRDefault="00A86593" w:rsidP="001C741C">
            <w:pPr>
              <w:jc w:val="right"/>
            </w:pPr>
            <w:r>
              <w:t>£m</w:t>
            </w:r>
          </w:p>
        </w:tc>
      </w:tr>
      <w:tr w:rsidR="00A86593" w:rsidTr="001C741C">
        <w:tc>
          <w:tcPr>
            <w:tcW w:w="4786" w:type="dxa"/>
          </w:tcPr>
          <w:p w:rsidR="00A86593" w:rsidRPr="0031114B" w:rsidRDefault="00A86593" w:rsidP="001C741C">
            <w:pPr>
              <w:rPr>
                <w:b/>
              </w:rPr>
            </w:pPr>
            <w:r>
              <w:rPr>
                <w:b/>
              </w:rPr>
              <w:t xml:space="preserve">Money market funds </w:t>
            </w:r>
          </w:p>
        </w:tc>
        <w:tc>
          <w:tcPr>
            <w:tcW w:w="1276" w:type="dxa"/>
          </w:tcPr>
          <w:p w:rsidR="00A86593" w:rsidRDefault="00A86593" w:rsidP="001C741C"/>
        </w:tc>
        <w:tc>
          <w:tcPr>
            <w:tcW w:w="1984" w:type="dxa"/>
          </w:tcPr>
          <w:p w:rsidR="00A86593" w:rsidRDefault="00A86593" w:rsidP="001C741C"/>
        </w:tc>
        <w:tc>
          <w:tcPr>
            <w:tcW w:w="2261" w:type="dxa"/>
          </w:tcPr>
          <w:p w:rsidR="00A86593" w:rsidRDefault="00A86593" w:rsidP="001C741C"/>
        </w:tc>
      </w:tr>
      <w:tr w:rsidR="00A86593" w:rsidTr="001C741C">
        <w:tc>
          <w:tcPr>
            <w:tcW w:w="4786" w:type="dxa"/>
          </w:tcPr>
          <w:p w:rsidR="00A86593" w:rsidRDefault="00A86593" w:rsidP="001C741C">
            <w:r>
              <w:t>Bank of New York Mellon</w:t>
            </w:r>
          </w:p>
        </w:tc>
        <w:tc>
          <w:tcPr>
            <w:tcW w:w="1276" w:type="dxa"/>
          </w:tcPr>
          <w:p w:rsidR="00A86593" w:rsidRDefault="00A86593" w:rsidP="001C741C">
            <w:r>
              <w:t>Aa3</w:t>
            </w:r>
          </w:p>
        </w:tc>
        <w:tc>
          <w:tcPr>
            <w:tcW w:w="1984" w:type="dxa"/>
          </w:tcPr>
          <w:p w:rsidR="00A86593" w:rsidRDefault="00A86593" w:rsidP="001C741C">
            <w:pPr>
              <w:jc w:val="right"/>
            </w:pPr>
            <w:r>
              <w:t>-</w:t>
            </w:r>
          </w:p>
        </w:tc>
        <w:tc>
          <w:tcPr>
            <w:tcW w:w="2261" w:type="dxa"/>
          </w:tcPr>
          <w:p w:rsidR="00A86593" w:rsidRDefault="00A86593" w:rsidP="001C741C">
            <w:pPr>
              <w:jc w:val="right"/>
            </w:pPr>
            <w:r>
              <w:t>24.2</w:t>
            </w:r>
          </w:p>
        </w:tc>
      </w:tr>
      <w:tr w:rsidR="00A86593" w:rsidTr="001C741C">
        <w:tc>
          <w:tcPr>
            <w:tcW w:w="4786" w:type="dxa"/>
          </w:tcPr>
          <w:p w:rsidR="00A86593" w:rsidRDefault="00A86593" w:rsidP="001C741C"/>
        </w:tc>
        <w:tc>
          <w:tcPr>
            <w:tcW w:w="1276" w:type="dxa"/>
          </w:tcPr>
          <w:p w:rsidR="00A86593" w:rsidRDefault="00A86593" w:rsidP="001C741C"/>
        </w:tc>
        <w:tc>
          <w:tcPr>
            <w:tcW w:w="1984" w:type="dxa"/>
          </w:tcPr>
          <w:p w:rsidR="00A86593" w:rsidRDefault="00A86593" w:rsidP="001C741C"/>
        </w:tc>
        <w:tc>
          <w:tcPr>
            <w:tcW w:w="2261" w:type="dxa"/>
          </w:tcPr>
          <w:p w:rsidR="00A86593" w:rsidRDefault="00A86593" w:rsidP="001C741C"/>
        </w:tc>
      </w:tr>
      <w:tr w:rsidR="00A86593" w:rsidTr="001C741C">
        <w:tc>
          <w:tcPr>
            <w:tcW w:w="4786" w:type="dxa"/>
          </w:tcPr>
          <w:p w:rsidR="00A86593" w:rsidRDefault="00A86593" w:rsidP="001C741C"/>
        </w:tc>
        <w:tc>
          <w:tcPr>
            <w:tcW w:w="1276" w:type="dxa"/>
          </w:tcPr>
          <w:p w:rsidR="00A86593" w:rsidRDefault="00A86593" w:rsidP="001C741C"/>
        </w:tc>
        <w:tc>
          <w:tcPr>
            <w:tcW w:w="1984" w:type="dxa"/>
          </w:tcPr>
          <w:p w:rsidR="00A86593" w:rsidRDefault="00A86593" w:rsidP="001C741C"/>
        </w:tc>
        <w:tc>
          <w:tcPr>
            <w:tcW w:w="2261" w:type="dxa"/>
          </w:tcPr>
          <w:p w:rsidR="00A86593" w:rsidRDefault="00A86593" w:rsidP="001C741C"/>
        </w:tc>
      </w:tr>
      <w:tr w:rsidR="00A86593" w:rsidTr="001C741C">
        <w:tc>
          <w:tcPr>
            <w:tcW w:w="4786" w:type="dxa"/>
          </w:tcPr>
          <w:p w:rsidR="00A86593" w:rsidRPr="0031114B" w:rsidRDefault="00A86593" w:rsidP="001C741C">
            <w:pPr>
              <w:rPr>
                <w:b/>
              </w:rPr>
            </w:pPr>
            <w:r>
              <w:rPr>
                <w:b/>
              </w:rPr>
              <w:t xml:space="preserve">Bank deposit accounts </w:t>
            </w:r>
          </w:p>
        </w:tc>
        <w:tc>
          <w:tcPr>
            <w:tcW w:w="1276" w:type="dxa"/>
          </w:tcPr>
          <w:p w:rsidR="00A86593" w:rsidRDefault="00A86593" w:rsidP="001C741C"/>
        </w:tc>
        <w:tc>
          <w:tcPr>
            <w:tcW w:w="1984" w:type="dxa"/>
          </w:tcPr>
          <w:p w:rsidR="00A86593" w:rsidRDefault="00A86593" w:rsidP="001C741C"/>
        </w:tc>
        <w:tc>
          <w:tcPr>
            <w:tcW w:w="2261" w:type="dxa"/>
          </w:tcPr>
          <w:p w:rsidR="00A86593" w:rsidRDefault="00A86593" w:rsidP="001C741C"/>
        </w:tc>
      </w:tr>
      <w:tr w:rsidR="00A86593" w:rsidTr="001C741C">
        <w:tc>
          <w:tcPr>
            <w:tcW w:w="4786" w:type="dxa"/>
          </w:tcPr>
          <w:p w:rsidR="00A86593" w:rsidRDefault="00A86593" w:rsidP="001C741C">
            <w:r>
              <w:t xml:space="preserve">Ulster Bank </w:t>
            </w:r>
          </w:p>
        </w:tc>
        <w:tc>
          <w:tcPr>
            <w:tcW w:w="1276" w:type="dxa"/>
          </w:tcPr>
          <w:p w:rsidR="00A86593" w:rsidRDefault="00A86593" w:rsidP="001C741C">
            <w:pPr>
              <w:jc w:val="center"/>
            </w:pPr>
            <w:r>
              <w:t>Baa2</w:t>
            </w:r>
          </w:p>
        </w:tc>
        <w:tc>
          <w:tcPr>
            <w:tcW w:w="1984" w:type="dxa"/>
          </w:tcPr>
          <w:p w:rsidR="00A86593" w:rsidRDefault="00A86593" w:rsidP="001C741C">
            <w:pPr>
              <w:jc w:val="right"/>
            </w:pPr>
            <w:r>
              <w:t>5.0</w:t>
            </w:r>
          </w:p>
        </w:tc>
        <w:tc>
          <w:tcPr>
            <w:tcW w:w="2261" w:type="dxa"/>
          </w:tcPr>
          <w:p w:rsidR="00A86593" w:rsidRDefault="00A86593" w:rsidP="001C741C">
            <w:pPr>
              <w:jc w:val="right"/>
            </w:pPr>
            <w:r>
              <w:t>5.0</w:t>
            </w:r>
          </w:p>
        </w:tc>
      </w:tr>
      <w:tr w:rsidR="00A86593" w:rsidTr="001C741C">
        <w:tc>
          <w:tcPr>
            <w:tcW w:w="4786" w:type="dxa"/>
          </w:tcPr>
          <w:p w:rsidR="00A86593" w:rsidRDefault="00A86593" w:rsidP="001C741C">
            <w:r>
              <w:t>Northern Trust</w:t>
            </w:r>
          </w:p>
        </w:tc>
        <w:tc>
          <w:tcPr>
            <w:tcW w:w="1276" w:type="dxa"/>
          </w:tcPr>
          <w:p w:rsidR="00A86593" w:rsidRDefault="00A86593" w:rsidP="001C741C">
            <w:pPr>
              <w:jc w:val="center"/>
            </w:pPr>
            <w:r>
              <w:t>A1</w:t>
            </w:r>
          </w:p>
        </w:tc>
        <w:tc>
          <w:tcPr>
            <w:tcW w:w="1984" w:type="dxa"/>
          </w:tcPr>
          <w:p w:rsidR="00A86593" w:rsidRDefault="00A86593" w:rsidP="001C741C">
            <w:pPr>
              <w:jc w:val="right"/>
            </w:pPr>
            <w:r>
              <w:t>51.7</w:t>
            </w:r>
          </w:p>
        </w:tc>
        <w:tc>
          <w:tcPr>
            <w:tcW w:w="2261" w:type="dxa"/>
          </w:tcPr>
          <w:p w:rsidR="00A86593" w:rsidRDefault="00A86593" w:rsidP="001C741C"/>
        </w:tc>
      </w:tr>
      <w:tr w:rsidR="00A86593" w:rsidTr="001C741C">
        <w:tc>
          <w:tcPr>
            <w:tcW w:w="4786" w:type="dxa"/>
          </w:tcPr>
          <w:p w:rsidR="00A86593" w:rsidRDefault="00A86593" w:rsidP="001C741C">
            <w:r>
              <w:t>Bank of New York Mellon</w:t>
            </w:r>
          </w:p>
        </w:tc>
        <w:tc>
          <w:tcPr>
            <w:tcW w:w="1276" w:type="dxa"/>
          </w:tcPr>
          <w:p w:rsidR="00A86593" w:rsidRDefault="00A86593" w:rsidP="001C741C">
            <w:pPr>
              <w:jc w:val="center"/>
            </w:pPr>
            <w:r>
              <w:t>Aa3</w:t>
            </w:r>
          </w:p>
        </w:tc>
        <w:tc>
          <w:tcPr>
            <w:tcW w:w="1984" w:type="dxa"/>
          </w:tcPr>
          <w:p w:rsidR="00A86593" w:rsidRDefault="00A86593" w:rsidP="001C741C">
            <w:pPr>
              <w:jc w:val="right"/>
            </w:pPr>
            <w:r>
              <w:t>0</w:t>
            </w:r>
          </w:p>
        </w:tc>
        <w:tc>
          <w:tcPr>
            <w:tcW w:w="2261" w:type="dxa"/>
          </w:tcPr>
          <w:p w:rsidR="00A86593" w:rsidRDefault="00A86593" w:rsidP="001C741C">
            <w:pPr>
              <w:jc w:val="right"/>
            </w:pPr>
            <w:r>
              <w:t>5.2</w:t>
            </w:r>
          </w:p>
        </w:tc>
      </w:tr>
      <w:tr w:rsidR="00A86593" w:rsidTr="001C741C">
        <w:tc>
          <w:tcPr>
            <w:tcW w:w="4786" w:type="dxa"/>
          </w:tcPr>
          <w:p w:rsidR="00A86593" w:rsidRPr="0031114B" w:rsidRDefault="00A86593" w:rsidP="001C741C">
            <w:pPr>
              <w:rPr>
                <w:b/>
              </w:rPr>
            </w:pPr>
            <w:r w:rsidRPr="0031114B">
              <w:rPr>
                <w:b/>
              </w:rPr>
              <w:t xml:space="preserve">Bank Current Accounts </w:t>
            </w:r>
          </w:p>
        </w:tc>
        <w:tc>
          <w:tcPr>
            <w:tcW w:w="1276" w:type="dxa"/>
          </w:tcPr>
          <w:p w:rsidR="00A86593" w:rsidRDefault="00A86593" w:rsidP="001C741C">
            <w:pPr>
              <w:jc w:val="center"/>
            </w:pPr>
          </w:p>
        </w:tc>
        <w:tc>
          <w:tcPr>
            <w:tcW w:w="1984" w:type="dxa"/>
          </w:tcPr>
          <w:p w:rsidR="00A86593" w:rsidRDefault="00A86593" w:rsidP="001C741C">
            <w:pPr>
              <w:jc w:val="right"/>
            </w:pPr>
          </w:p>
        </w:tc>
        <w:tc>
          <w:tcPr>
            <w:tcW w:w="2261" w:type="dxa"/>
          </w:tcPr>
          <w:p w:rsidR="00A86593" w:rsidRDefault="00A86593" w:rsidP="001C741C"/>
        </w:tc>
      </w:tr>
      <w:tr w:rsidR="00A86593" w:rsidTr="001C741C">
        <w:tc>
          <w:tcPr>
            <w:tcW w:w="4786" w:type="dxa"/>
          </w:tcPr>
          <w:p w:rsidR="00A86593" w:rsidRDefault="00A86593" w:rsidP="001C741C">
            <w:r>
              <w:t>Natwest Account</w:t>
            </w:r>
          </w:p>
        </w:tc>
        <w:tc>
          <w:tcPr>
            <w:tcW w:w="1276" w:type="dxa"/>
          </w:tcPr>
          <w:p w:rsidR="00A86593" w:rsidRDefault="00A86593" w:rsidP="001C741C">
            <w:pPr>
              <w:jc w:val="center"/>
            </w:pPr>
            <w:r>
              <w:t>A3</w:t>
            </w:r>
          </w:p>
        </w:tc>
        <w:tc>
          <w:tcPr>
            <w:tcW w:w="1984" w:type="dxa"/>
          </w:tcPr>
          <w:p w:rsidR="00A86593" w:rsidRDefault="00A86593" w:rsidP="001C741C">
            <w:pPr>
              <w:jc w:val="right"/>
            </w:pPr>
            <w:r>
              <w:t>70.2</w:t>
            </w:r>
          </w:p>
        </w:tc>
        <w:tc>
          <w:tcPr>
            <w:tcW w:w="2261" w:type="dxa"/>
          </w:tcPr>
          <w:p w:rsidR="00A86593" w:rsidRDefault="00A86593" w:rsidP="001C741C">
            <w:pPr>
              <w:jc w:val="right"/>
            </w:pPr>
            <w:r>
              <w:t>2.2</w:t>
            </w:r>
          </w:p>
        </w:tc>
      </w:tr>
      <w:tr w:rsidR="00A86593" w:rsidTr="001C741C">
        <w:tc>
          <w:tcPr>
            <w:tcW w:w="4786" w:type="dxa"/>
          </w:tcPr>
          <w:p w:rsidR="00A86593" w:rsidRPr="0031114B" w:rsidRDefault="00A86593" w:rsidP="001C741C">
            <w:pPr>
              <w:rPr>
                <w:b/>
              </w:rPr>
            </w:pPr>
            <w:r w:rsidRPr="0031114B">
              <w:rPr>
                <w:b/>
              </w:rPr>
              <w:t xml:space="preserve">Total </w:t>
            </w:r>
          </w:p>
        </w:tc>
        <w:tc>
          <w:tcPr>
            <w:tcW w:w="1276" w:type="dxa"/>
          </w:tcPr>
          <w:p w:rsidR="00A86593" w:rsidRDefault="00A86593" w:rsidP="001C741C"/>
        </w:tc>
        <w:tc>
          <w:tcPr>
            <w:tcW w:w="1984" w:type="dxa"/>
          </w:tcPr>
          <w:p w:rsidR="00A86593" w:rsidRPr="00234983" w:rsidRDefault="00A86593" w:rsidP="001C741C">
            <w:pPr>
              <w:jc w:val="right"/>
              <w:rPr>
                <w:b/>
              </w:rPr>
            </w:pPr>
            <w:r w:rsidRPr="00234983">
              <w:rPr>
                <w:b/>
              </w:rPr>
              <w:t>126.9</w:t>
            </w:r>
          </w:p>
        </w:tc>
        <w:tc>
          <w:tcPr>
            <w:tcW w:w="2261" w:type="dxa"/>
          </w:tcPr>
          <w:p w:rsidR="00A86593" w:rsidRPr="00FD72A9" w:rsidRDefault="00A86593" w:rsidP="001C741C">
            <w:pPr>
              <w:jc w:val="right"/>
              <w:rPr>
                <w:b/>
              </w:rPr>
            </w:pPr>
            <w:r w:rsidRPr="00FD72A9">
              <w:rPr>
                <w:b/>
              </w:rPr>
              <w:t>36.</w:t>
            </w:r>
            <w:r>
              <w:rPr>
                <w:b/>
              </w:rPr>
              <w:t>6</w:t>
            </w:r>
          </w:p>
        </w:tc>
      </w:tr>
    </w:tbl>
    <w:p w:rsidR="00A86593" w:rsidRDefault="00A86593" w:rsidP="00A86593">
      <w:pPr>
        <w:ind w:left="709"/>
      </w:pPr>
    </w:p>
    <w:p w:rsidR="00A86593" w:rsidRPr="0054203A" w:rsidRDefault="00A86593" w:rsidP="00A86593">
      <w:pPr>
        <w:pStyle w:val="ListParagraph"/>
        <w:numPr>
          <w:ilvl w:val="0"/>
          <w:numId w:val="65"/>
        </w:numPr>
        <w:contextualSpacing/>
      </w:pPr>
      <w:r w:rsidRPr="0054203A">
        <w:t>Liquidity risks</w:t>
      </w:r>
    </w:p>
    <w:p w:rsidR="00A86593" w:rsidRDefault="00A86593" w:rsidP="00A86593">
      <w:pPr>
        <w:ind w:left="709"/>
      </w:pPr>
    </w:p>
    <w:p w:rsidR="00A86593" w:rsidRDefault="00A86593" w:rsidP="003B314A">
      <w:pPr>
        <w:ind w:left="709"/>
        <w:jc w:val="both"/>
      </w:pPr>
      <w:r>
        <w:t xml:space="preserve">Liquidity risk represents the risk that the Fund will not be able to meet its financial obligations as they fall due.  The Fund therefore takes steps to ensure that the Fund has adequate cash resources to meet its commitments. </w:t>
      </w:r>
    </w:p>
    <w:p w:rsidR="00A86593" w:rsidRDefault="00A86593" w:rsidP="003B314A">
      <w:pPr>
        <w:ind w:left="709"/>
        <w:jc w:val="both"/>
      </w:pPr>
    </w:p>
    <w:p w:rsidR="00A86593" w:rsidRDefault="00A86593" w:rsidP="003B314A">
      <w:pPr>
        <w:ind w:left="709"/>
        <w:jc w:val="both"/>
      </w:pPr>
      <w:r>
        <w:t xml:space="preserve">The Fund has immediate access to its cash holdings. </w:t>
      </w:r>
    </w:p>
    <w:p w:rsidR="00A86593" w:rsidRDefault="00A86593" w:rsidP="003B314A">
      <w:pPr>
        <w:ind w:left="709"/>
        <w:jc w:val="both"/>
      </w:pPr>
    </w:p>
    <w:p w:rsidR="00A86593" w:rsidRDefault="00A86593" w:rsidP="003B314A">
      <w:pPr>
        <w:ind w:left="709"/>
        <w:jc w:val="both"/>
      </w:pPr>
      <w:r>
        <w:t xml:space="preserve">Management prepares periodic cash flow forecasts to understand and manage the timing of the Fund's cash flow.  The appropriate strategic level of cash balances to be held forms part of the Funds investment strategy. </w:t>
      </w:r>
    </w:p>
    <w:p w:rsidR="00A86593" w:rsidRDefault="00A86593" w:rsidP="003B314A">
      <w:pPr>
        <w:ind w:left="709"/>
        <w:jc w:val="both"/>
      </w:pPr>
    </w:p>
    <w:p w:rsidR="00A86593" w:rsidRDefault="00A86593" w:rsidP="003B314A">
      <w:pPr>
        <w:ind w:left="709"/>
        <w:jc w:val="both"/>
      </w:pPr>
      <w:r>
        <w:t xml:space="preserve">All financial liabilities at 31 March 2012 are due within the one year. </w:t>
      </w:r>
    </w:p>
    <w:p w:rsidR="00A86593" w:rsidRDefault="00A86593" w:rsidP="003B314A">
      <w:pPr>
        <w:ind w:left="709"/>
        <w:jc w:val="both"/>
      </w:pPr>
    </w:p>
    <w:p w:rsidR="00A86593" w:rsidRPr="005F2D0A" w:rsidRDefault="00A86593" w:rsidP="003B314A">
      <w:pPr>
        <w:pStyle w:val="ListParagraph"/>
        <w:numPr>
          <w:ilvl w:val="0"/>
          <w:numId w:val="65"/>
        </w:numPr>
        <w:contextualSpacing/>
        <w:jc w:val="both"/>
        <w:rPr>
          <w:b/>
        </w:rPr>
      </w:pPr>
      <w:r>
        <w:rPr>
          <w:b/>
        </w:rPr>
        <w:t xml:space="preserve"> </w:t>
      </w:r>
      <w:r w:rsidRPr="005F2D0A">
        <w:rPr>
          <w:b/>
        </w:rPr>
        <w:t xml:space="preserve">Refinancing risk </w:t>
      </w:r>
    </w:p>
    <w:p w:rsidR="00A86593" w:rsidRDefault="00A86593" w:rsidP="003B314A">
      <w:pPr>
        <w:ind w:left="709"/>
        <w:jc w:val="both"/>
        <w:rPr>
          <w:b/>
        </w:rPr>
      </w:pPr>
    </w:p>
    <w:p w:rsidR="00A86593" w:rsidRDefault="00A86593" w:rsidP="003B314A">
      <w:pPr>
        <w:ind w:left="709"/>
        <w:jc w:val="both"/>
      </w:pPr>
      <w:r>
        <w:t xml:space="preserve">The Fund does not have any financial instruments that have a refinancing risk as part of its treasury management and investment strategies. </w:t>
      </w:r>
    </w:p>
    <w:p w:rsidR="00A86593" w:rsidRDefault="00A86593" w:rsidP="00A86593"/>
    <w:p w:rsidR="00A86593" w:rsidRDefault="00A86593" w:rsidP="00A86593"/>
    <w:p w:rsidR="00A86593" w:rsidRDefault="00A86593" w:rsidP="00A86593"/>
    <w:p w:rsidR="00A86593" w:rsidRPr="0023630F" w:rsidRDefault="00A86593" w:rsidP="00A86593">
      <w:pPr>
        <w:numPr>
          <w:ilvl w:val="0"/>
          <w:numId w:val="60"/>
        </w:numPr>
        <w:spacing w:after="120"/>
      </w:pPr>
      <w:r>
        <w:rPr>
          <w:b/>
        </w:rPr>
        <w:t>A</w:t>
      </w:r>
      <w:r w:rsidRPr="00DB3FF9">
        <w:rPr>
          <w:b/>
        </w:rPr>
        <w:t>dditional Voluntary Contributions (AVC’s)</w:t>
      </w:r>
    </w:p>
    <w:p w:rsidR="00A86593" w:rsidRDefault="00A86593" w:rsidP="00A86593">
      <w:pPr>
        <w:pStyle w:val="BodyTextIndent"/>
        <w:tabs>
          <w:tab w:val="left" w:pos="709"/>
        </w:tabs>
        <w:spacing w:after="0"/>
        <w:ind w:left="709"/>
        <w:rPr>
          <w:szCs w:val="24"/>
        </w:rPr>
      </w:pPr>
      <w:r w:rsidRPr="00166665">
        <w:rPr>
          <w:szCs w:val="24"/>
        </w:rPr>
        <w:t xml:space="preserve">The </w:t>
      </w:r>
      <w:smartTag w:uri="urn:schemas-microsoft-com:office:smarttags" w:element="stockticker">
        <w:r w:rsidRPr="00166665">
          <w:rPr>
            <w:szCs w:val="24"/>
          </w:rPr>
          <w:t>AVC</w:t>
        </w:r>
      </w:smartTag>
      <w:r w:rsidRPr="00166665">
        <w:rPr>
          <w:szCs w:val="24"/>
        </w:rPr>
        <w:t xml:space="preserve"> providers to the Pension Fund are Equitable Life and Prudential.  The </w:t>
      </w:r>
      <w:smartTag w:uri="urn:schemas-microsoft-com:office:smarttags" w:element="stockticker">
        <w:r w:rsidRPr="00166665">
          <w:rPr>
            <w:szCs w:val="24"/>
          </w:rPr>
          <w:t>AVC</w:t>
        </w:r>
      </w:smartTag>
      <w:r w:rsidRPr="00166665">
        <w:rPr>
          <w:szCs w:val="24"/>
        </w:rPr>
        <w:t xml:space="preserve">’s are invested separately from the Pension Fund’s main assets and used to acquire additional money purchase benefits.  These are not included in the Pension Fund accounts in accordance with regulation 5(2) (C) of the Local Government Pension Scheme </w:t>
      </w:r>
      <w:r w:rsidRPr="00166665">
        <w:rPr>
          <w:szCs w:val="24"/>
        </w:rPr>
        <w:lastRenderedPageBreak/>
        <w:t xml:space="preserve">(Management and Investment of Funds) Regulations 1998 (SI 1998 No 1831). Members participating in these </w:t>
      </w:r>
      <w:smartTag w:uri="urn:schemas-microsoft-com:office:smarttags" w:element="stockticker">
        <w:r w:rsidRPr="00166665">
          <w:rPr>
            <w:szCs w:val="24"/>
          </w:rPr>
          <w:t>AVC</w:t>
        </w:r>
      </w:smartTag>
      <w:r w:rsidRPr="00166665">
        <w:rPr>
          <w:szCs w:val="24"/>
        </w:rPr>
        <w:t xml:space="preserve"> arrangements each receive an annual statement confirming the amounts held in their account and the movements during the year.  A summary of the information provided by Equitable Life and Prudential is shown below.  (This summary has not been subject to Audit and the Pension Fund relies on the individual contributors to check deductions made on their behalf are accurately reflected in the statements provided by the </w:t>
      </w:r>
      <w:smartTag w:uri="urn:schemas-microsoft-com:office:smarttags" w:element="stockticker">
        <w:r w:rsidRPr="00166665">
          <w:rPr>
            <w:szCs w:val="24"/>
          </w:rPr>
          <w:t>AVC</w:t>
        </w:r>
      </w:smartTag>
      <w:r w:rsidRPr="00166665">
        <w:rPr>
          <w:szCs w:val="24"/>
        </w:rPr>
        <w:t xml:space="preserve"> providers).  The figures relate to the financial year 1 April 20</w:t>
      </w:r>
      <w:r>
        <w:rPr>
          <w:szCs w:val="24"/>
        </w:rPr>
        <w:t>11</w:t>
      </w:r>
      <w:r w:rsidRPr="00166665">
        <w:rPr>
          <w:szCs w:val="24"/>
        </w:rPr>
        <w:t xml:space="preserve"> to 31 March 201</w:t>
      </w:r>
      <w:r>
        <w:rPr>
          <w:szCs w:val="24"/>
        </w:rPr>
        <w:t>2</w:t>
      </w:r>
      <w:r w:rsidRPr="00166665">
        <w:rPr>
          <w:szCs w:val="24"/>
        </w:rPr>
        <w:t xml:space="preserve"> for Prudential and 1 September 20</w:t>
      </w:r>
      <w:r>
        <w:rPr>
          <w:szCs w:val="24"/>
        </w:rPr>
        <w:t xml:space="preserve">10 </w:t>
      </w:r>
      <w:r w:rsidRPr="00166665">
        <w:rPr>
          <w:szCs w:val="24"/>
        </w:rPr>
        <w:t>to 31 August 20</w:t>
      </w:r>
      <w:r>
        <w:rPr>
          <w:szCs w:val="24"/>
        </w:rPr>
        <w:t>11</w:t>
      </w:r>
      <w:r w:rsidRPr="00166665">
        <w:rPr>
          <w:szCs w:val="24"/>
        </w:rPr>
        <w:t xml:space="preserve"> for Equitable Life.</w:t>
      </w:r>
    </w:p>
    <w:p w:rsidR="00A86593" w:rsidRDefault="00A86593" w:rsidP="00A86593">
      <w:pPr>
        <w:pStyle w:val="BodyTextIndent"/>
        <w:tabs>
          <w:tab w:val="left" w:pos="709"/>
        </w:tabs>
        <w:spacing w:after="0"/>
        <w:ind w:left="709"/>
        <w:rPr>
          <w:szCs w:val="24"/>
        </w:rPr>
      </w:pPr>
    </w:p>
    <w:p w:rsidR="00A86593" w:rsidRPr="00CD28F8" w:rsidRDefault="00A86593" w:rsidP="00A86593">
      <w:pPr>
        <w:pStyle w:val="BodyTextIndent"/>
        <w:tabs>
          <w:tab w:val="left" w:pos="709"/>
        </w:tabs>
        <w:spacing w:after="0"/>
        <w:ind w:left="709"/>
        <w:rPr>
          <w:b/>
          <w:szCs w:val="24"/>
        </w:rPr>
      </w:pPr>
      <w:r w:rsidRPr="00CD28F8">
        <w:rPr>
          <w:b/>
          <w:szCs w:val="24"/>
        </w:rPr>
        <w:t>Additional Voluntary Contributions</w:t>
      </w:r>
    </w:p>
    <w:p w:rsidR="00A86593" w:rsidRDefault="00A86593" w:rsidP="00A86593">
      <w:pPr>
        <w:pStyle w:val="BodyTextIndent"/>
        <w:tabs>
          <w:tab w:val="left" w:pos="709"/>
        </w:tabs>
        <w:spacing w:after="0"/>
        <w:ind w:left="709"/>
        <w:rPr>
          <w:szCs w:val="24"/>
        </w:rPr>
      </w:pPr>
    </w:p>
    <w:tbl>
      <w:tblPr>
        <w:tblStyle w:val="TableGrid"/>
        <w:tblW w:w="1012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1843"/>
        <w:gridCol w:w="236"/>
        <w:gridCol w:w="1465"/>
        <w:gridCol w:w="236"/>
        <w:gridCol w:w="1283"/>
      </w:tblGrid>
      <w:tr w:rsidR="00A86593" w:rsidTr="001C741C">
        <w:tc>
          <w:tcPr>
            <w:tcW w:w="5058" w:type="dxa"/>
          </w:tcPr>
          <w:p w:rsidR="00A86593" w:rsidRDefault="00A86593" w:rsidP="001C741C">
            <w:pPr>
              <w:rPr>
                <w:b/>
              </w:rPr>
            </w:pPr>
          </w:p>
        </w:tc>
        <w:tc>
          <w:tcPr>
            <w:tcW w:w="1843" w:type="dxa"/>
          </w:tcPr>
          <w:p w:rsidR="00A86593" w:rsidRDefault="00A86593" w:rsidP="001C741C">
            <w:pPr>
              <w:jc w:val="right"/>
              <w:rPr>
                <w:b/>
              </w:rPr>
            </w:pPr>
            <w:r>
              <w:rPr>
                <w:b/>
              </w:rPr>
              <w:t>Equitable life</w:t>
            </w:r>
          </w:p>
          <w:p w:rsidR="00A86593" w:rsidRDefault="00A86593" w:rsidP="001C741C">
            <w:pPr>
              <w:jc w:val="right"/>
              <w:rPr>
                <w:b/>
              </w:rPr>
            </w:pPr>
            <w:r>
              <w:rPr>
                <w:b/>
              </w:rPr>
              <w:t>£m</w:t>
            </w:r>
          </w:p>
        </w:tc>
        <w:tc>
          <w:tcPr>
            <w:tcW w:w="236" w:type="dxa"/>
            <w:tcBorders>
              <w:right w:val="single" w:sz="18" w:space="0" w:color="FFFFFF" w:themeColor="background1"/>
            </w:tcBorders>
          </w:tcPr>
          <w:p w:rsidR="00A86593" w:rsidRDefault="00A86593" w:rsidP="001C741C">
            <w:pPr>
              <w:jc w:val="right"/>
              <w:rPr>
                <w:b/>
              </w:rPr>
            </w:pPr>
          </w:p>
        </w:tc>
        <w:tc>
          <w:tcPr>
            <w:tcW w:w="1465" w:type="dxa"/>
            <w:tcBorders>
              <w:left w:val="single" w:sz="18" w:space="0" w:color="FFFFFF" w:themeColor="background1"/>
            </w:tcBorders>
          </w:tcPr>
          <w:p w:rsidR="00A86593" w:rsidRDefault="00A86593" w:rsidP="001C741C">
            <w:pPr>
              <w:jc w:val="right"/>
              <w:rPr>
                <w:b/>
              </w:rPr>
            </w:pPr>
            <w:r>
              <w:rPr>
                <w:b/>
              </w:rPr>
              <w:t>Prudential</w:t>
            </w:r>
          </w:p>
          <w:p w:rsidR="00A86593" w:rsidRDefault="00A86593" w:rsidP="001C741C">
            <w:pPr>
              <w:jc w:val="right"/>
              <w:rPr>
                <w:b/>
              </w:rPr>
            </w:pPr>
            <w:r>
              <w:rPr>
                <w:b/>
              </w:rPr>
              <w:t>£m</w:t>
            </w:r>
          </w:p>
        </w:tc>
        <w:tc>
          <w:tcPr>
            <w:tcW w:w="236" w:type="dxa"/>
            <w:tcBorders>
              <w:right w:val="single" w:sz="18" w:space="0" w:color="FFFFFF" w:themeColor="background1"/>
            </w:tcBorders>
          </w:tcPr>
          <w:p w:rsidR="00A86593" w:rsidRDefault="00A86593" w:rsidP="001C741C">
            <w:pPr>
              <w:jc w:val="right"/>
              <w:rPr>
                <w:b/>
              </w:rPr>
            </w:pPr>
          </w:p>
        </w:tc>
        <w:tc>
          <w:tcPr>
            <w:tcW w:w="1283" w:type="dxa"/>
            <w:tcBorders>
              <w:left w:val="single" w:sz="18" w:space="0" w:color="FFFFFF" w:themeColor="background1"/>
            </w:tcBorders>
          </w:tcPr>
          <w:p w:rsidR="00A86593" w:rsidRDefault="00A86593" w:rsidP="001C741C">
            <w:pPr>
              <w:jc w:val="right"/>
              <w:rPr>
                <w:b/>
              </w:rPr>
            </w:pPr>
            <w:r>
              <w:rPr>
                <w:b/>
              </w:rPr>
              <w:t>Total</w:t>
            </w:r>
          </w:p>
          <w:p w:rsidR="00A86593" w:rsidRDefault="00A86593" w:rsidP="001C741C">
            <w:pPr>
              <w:jc w:val="right"/>
              <w:rPr>
                <w:b/>
              </w:rPr>
            </w:pPr>
            <w:r>
              <w:rPr>
                <w:b/>
              </w:rPr>
              <w:t>£m</w:t>
            </w:r>
          </w:p>
          <w:p w:rsidR="00A86593" w:rsidRDefault="00A86593" w:rsidP="001C741C">
            <w:pPr>
              <w:jc w:val="right"/>
              <w:rPr>
                <w:b/>
              </w:rPr>
            </w:pPr>
          </w:p>
        </w:tc>
      </w:tr>
      <w:tr w:rsidR="00A86593" w:rsidTr="001C741C">
        <w:tc>
          <w:tcPr>
            <w:tcW w:w="5058" w:type="dxa"/>
          </w:tcPr>
          <w:p w:rsidR="00A86593" w:rsidRPr="00CD28F8" w:rsidRDefault="00A86593" w:rsidP="001C741C">
            <w:r>
              <w:t>Value at the start of the year</w:t>
            </w:r>
          </w:p>
        </w:tc>
        <w:tc>
          <w:tcPr>
            <w:tcW w:w="1843" w:type="dxa"/>
          </w:tcPr>
          <w:p w:rsidR="00A86593" w:rsidRPr="00CD28F8" w:rsidRDefault="00A86593" w:rsidP="001C741C">
            <w:pPr>
              <w:spacing w:after="120"/>
              <w:jc w:val="right"/>
            </w:pPr>
            <w:r w:rsidRPr="00CD28F8">
              <w:t>1</w:t>
            </w:r>
            <w:r>
              <w:t>.4</w:t>
            </w:r>
          </w:p>
        </w:tc>
        <w:tc>
          <w:tcPr>
            <w:tcW w:w="236" w:type="dxa"/>
            <w:tcBorders>
              <w:right w:val="single" w:sz="18" w:space="0" w:color="FFFFFF" w:themeColor="background1"/>
            </w:tcBorders>
          </w:tcPr>
          <w:p w:rsidR="00A86593" w:rsidRPr="00CD28F8" w:rsidRDefault="00A86593" w:rsidP="001C741C">
            <w:pPr>
              <w:spacing w:after="120"/>
              <w:jc w:val="right"/>
            </w:pPr>
          </w:p>
        </w:tc>
        <w:tc>
          <w:tcPr>
            <w:tcW w:w="1465" w:type="dxa"/>
            <w:tcBorders>
              <w:left w:val="single" w:sz="18" w:space="0" w:color="FFFFFF" w:themeColor="background1"/>
            </w:tcBorders>
          </w:tcPr>
          <w:p w:rsidR="00A86593" w:rsidRPr="00CD28F8" w:rsidRDefault="00A86593" w:rsidP="001C741C">
            <w:pPr>
              <w:spacing w:after="120"/>
              <w:jc w:val="right"/>
            </w:pPr>
            <w:r w:rsidRPr="00CD28F8">
              <w:t>15</w:t>
            </w:r>
          </w:p>
        </w:tc>
        <w:tc>
          <w:tcPr>
            <w:tcW w:w="236" w:type="dxa"/>
            <w:tcBorders>
              <w:right w:val="single" w:sz="18" w:space="0" w:color="FFFFFF" w:themeColor="background1"/>
            </w:tcBorders>
          </w:tcPr>
          <w:p w:rsidR="00A86593" w:rsidRPr="00CD28F8" w:rsidRDefault="00A86593" w:rsidP="001C741C">
            <w:pPr>
              <w:spacing w:after="120"/>
              <w:jc w:val="right"/>
            </w:pPr>
          </w:p>
        </w:tc>
        <w:tc>
          <w:tcPr>
            <w:tcW w:w="1283" w:type="dxa"/>
            <w:tcBorders>
              <w:left w:val="single" w:sz="18" w:space="0" w:color="FFFFFF" w:themeColor="background1"/>
            </w:tcBorders>
          </w:tcPr>
          <w:p w:rsidR="00A86593" w:rsidRPr="00CD28F8" w:rsidRDefault="00A86593" w:rsidP="001C741C">
            <w:pPr>
              <w:spacing w:after="120"/>
              <w:jc w:val="right"/>
            </w:pPr>
            <w:r w:rsidRPr="00CD28F8">
              <w:t>16</w:t>
            </w:r>
            <w:r>
              <w:t>.4</w:t>
            </w:r>
          </w:p>
        </w:tc>
      </w:tr>
      <w:tr w:rsidR="00A86593" w:rsidTr="001C741C">
        <w:tc>
          <w:tcPr>
            <w:tcW w:w="5058" w:type="dxa"/>
          </w:tcPr>
          <w:p w:rsidR="00A86593" w:rsidRDefault="00A86593" w:rsidP="001C741C">
            <w:pPr>
              <w:spacing w:after="120"/>
            </w:pPr>
            <w:r>
              <w:t>Income (incl. Contributions, bonuses, interest, transfers in)</w:t>
            </w:r>
          </w:p>
        </w:tc>
        <w:tc>
          <w:tcPr>
            <w:tcW w:w="1843" w:type="dxa"/>
          </w:tcPr>
          <w:p w:rsidR="00A86593" w:rsidRPr="00CD28F8" w:rsidRDefault="00A86593" w:rsidP="001C741C">
            <w:pPr>
              <w:spacing w:after="120"/>
              <w:jc w:val="right"/>
            </w:pPr>
            <w:r>
              <w:t>0.1</w:t>
            </w:r>
          </w:p>
        </w:tc>
        <w:tc>
          <w:tcPr>
            <w:tcW w:w="236" w:type="dxa"/>
            <w:tcBorders>
              <w:right w:val="single" w:sz="18" w:space="0" w:color="FFFFFF" w:themeColor="background1"/>
            </w:tcBorders>
          </w:tcPr>
          <w:p w:rsidR="00A86593" w:rsidRPr="00CD28F8" w:rsidRDefault="00A86593" w:rsidP="001C741C">
            <w:pPr>
              <w:spacing w:after="120"/>
              <w:jc w:val="right"/>
            </w:pPr>
          </w:p>
        </w:tc>
        <w:tc>
          <w:tcPr>
            <w:tcW w:w="1465" w:type="dxa"/>
            <w:tcBorders>
              <w:left w:val="single" w:sz="18" w:space="0" w:color="FFFFFF" w:themeColor="background1"/>
            </w:tcBorders>
          </w:tcPr>
          <w:p w:rsidR="00A86593" w:rsidRPr="00CD28F8" w:rsidRDefault="00A86593" w:rsidP="001C741C">
            <w:pPr>
              <w:spacing w:after="120"/>
              <w:jc w:val="right"/>
            </w:pPr>
            <w:r>
              <w:t>3.7</w:t>
            </w:r>
          </w:p>
        </w:tc>
        <w:tc>
          <w:tcPr>
            <w:tcW w:w="236" w:type="dxa"/>
            <w:tcBorders>
              <w:right w:val="single" w:sz="18" w:space="0" w:color="FFFFFF" w:themeColor="background1"/>
            </w:tcBorders>
          </w:tcPr>
          <w:p w:rsidR="00A86593" w:rsidRPr="00CD28F8" w:rsidRDefault="00A86593" w:rsidP="001C741C">
            <w:pPr>
              <w:spacing w:after="120"/>
              <w:jc w:val="right"/>
            </w:pPr>
          </w:p>
        </w:tc>
        <w:tc>
          <w:tcPr>
            <w:tcW w:w="1283" w:type="dxa"/>
            <w:tcBorders>
              <w:left w:val="single" w:sz="18" w:space="0" w:color="FFFFFF" w:themeColor="background1"/>
            </w:tcBorders>
          </w:tcPr>
          <w:p w:rsidR="00A86593" w:rsidRPr="00CD28F8" w:rsidRDefault="00A86593" w:rsidP="001C741C">
            <w:pPr>
              <w:spacing w:after="120"/>
              <w:jc w:val="right"/>
            </w:pPr>
            <w:r>
              <w:t>3.8</w:t>
            </w:r>
          </w:p>
        </w:tc>
      </w:tr>
      <w:tr w:rsidR="00A86593" w:rsidTr="001C741C">
        <w:tc>
          <w:tcPr>
            <w:tcW w:w="5058" w:type="dxa"/>
          </w:tcPr>
          <w:p w:rsidR="00A86593" w:rsidRDefault="00A86593" w:rsidP="001C741C">
            <w:pPr>
              <w:spacing w:after="120"/>
            </w:pPr>
            <w:r>
              <w:t>Expenditure (incl. Benefits, transfers out, change in market value)</w:t>
            </w:r>
          </w:p>
        </w:tc>
        <w:tc>
          <w:tcPr>
            <w:tcW w:w="1843" w:type="dxa"/>
            <w:tcBorders>
              <w:bottom w:val="single" w:sz="18" w:space="0" w:color="auto"/>
            </w:tcBorders>
          </w:tcPr>
          <w:p w:rsidR="00A86593" w:rsidRPr="00CD28F8" w:rsidRDefault="00A86593" w:rsidP="001C741C">
            <w:pPr>
              <w:spacing w:after="120"/>
              <w:jc w:val="right"/>
            </w:pPr>
            <w:r>
              <w:t>(0.3)</w:t>
            </w:r>
          </w:p>
        </w:tc>
        <w:tc>
          <w:tcPr>
            <w:tcW w:w="236" w:type="dxa"/>
            <w:tcBorders>
              <w:right w:val="single" w:sz="18" w:space="0" w:color="FFFFFF" w:themeColor="background1"/>
            </w:tcBorders>
          </w:tcPr>
          <w:p w:rsidR="00A86593" w:rsidRPr="00CD28F8" w:rsidRDefault="00A86593" w:rsidP="001C741C">
            <w:pPr>
              <w:spacing w:after="120"/>
              <w:jc w:val="right"/>
            </w:pPr>
          </w:p>
        </w:tc>
        <w:tc>
          <w:tcPr>
            <w:tcW w:w="1465" w:type="dxa"/>
            <w:tcBorders>
              <w:left w:val="single" w:sz="18" w:space="0" w:color="FFFFFF" w:themeColor="background1"/>
              <w:bottom w:val="single" w:sz="18" w:space="0" w:color="auto"/>
            </w:tcBorders>
          </w:tcPr>
          <w:p w:rsidR="00A86593" w:rsidRPr="00CD28F8" w:rsidRDefault="00A86593" w:rsidP="001C741C">
            <w:pPr>
              <w:spacing w:after="120"/>
              <w:jc w:val="right"/>
            </w:pPr>
            <w:r>
              <w:t>(4.5)</w:t>
            </w:r>
          </w:p>
        </w:tc>
        <w:tc>
          <w:tcPr>
            <w:tcW w:w="236" w:type="dxa"/>
            <w:tcBorders>
              <w:right w:val="single" w:sz="18" w:space="0" w:color="FFFFFF" w:themeColor="background1"/>
            </w:tcBorders>
          </w:tcPr>
          <w:p w:rsidR="00A86593" w:rsidRPr="00CD28F8" w:rsidRDefault="00A86593" w:rsidP="001C741C">
            <w:pPr>
              <w:spacing w:after="120"/>
              <w:jc w:val="right"/>
            </w:pPr>
          </w:p>
        </w:tc>
        <w:tc>
          <w:tcPr>
            <w:tcW w:w="1283" w:type="dxa"/>
            <w:tcBorders>
              <w:left w:val="single" w:sz="18" w:space="0" w:color="FFFFFF" w:themeColor="background1"/>
              <w:bottom w:val="single" w:sz="18" w:space="0" w:color="auto"/>
            </w:tcBorders>
          </w:tcPr>
          <w:p w:rsidR="00A86593" w:rsidRPr="00CD28F8" w:rsidRDefault="00A86593" w:rsidP="001C741C">
            <w:pPr>
              <w:spacing w:after="120"/>
              <w:jc w:val="right"/>
            </w:pPr>
            <w:r>
              <w:t>(4.8)</w:t>
            </w:r>
          </w:p>
        </w:tc>
      </w:tr>
      <w:tr w:rsidR="00A86593" w:rsidTr="001C741C">
        <w:tc>
          <w:tcPr>
            <w:tcW w:w="5058" w:type="dxa"/>
          </w:tcPr>
          <w:p w:rsidR="00A86593" w:rsidRDefault="00A86593" w:rsidP="001C741C">
            <w:r>
              <w:t>Value at the end of the year</w:t>
            </w:r>
          </w:p>
        </w:tc>
        <w:tc>
          <w:tcPr>
            <w:tcW w:w="1843" w:type="dxa"/>
            <w:tcBorders>
              <w:top w:val="single" w:sz="18" w:space="0" w:color="auto"/>
              <w:bottom w:val="single" w:sz="18" w:space="0" w:color="auto"/>
            </w:tcBorders>
          </w:tcPr>
          <w:p w:rsidR="00A86593" w:rsidRPr="00CD28F8" w:rsidRDefault="00A86593" w:rsidP="001C741C">
            <w:pPr>
              <w:spacing w:after="120"/>
              <w:jc w:val="right"/>
            </w:pPr>
            <w:r>
              <w:t>1.2</w:t>
            </w:r>
          </w:p>
        </w:tc>
        <w:tc>
          <w:tcPr>
            <w:tcW w:w="236" w:type="dxa"/>
            <w:tcBorders>
              <w:right w:val="single" w:sz="18" w:space="0" w:color="FFFFFF" w:themeColor="background1"/>
            </w:tcBorders>
          </w:tcPr>
          <w:p w:rsidR="00A86593" w:rsidRPr="00CD28F8" w:rsidRDefault="00A86593" w:rsidP="001C741C">
            <w:pPr>
              <w:spacing w:after="120"/>
              <w:jc w:val="right"/>
            </w:pPr>
          </w:p>
        </w:tc>
        <w:tc>
          <w:tcPr>
            <w:tcW w:w="1465" w:type="dxa"/>
            <w:tcBorders>
              <w:top w:val="single" w:sz="18" w:space="0" w:color="auto"/>
              <w:left w:val="single" w:sz="18" w:space="0" w:color="FFFFFF" w:themeColor="background1"/>
              <w:bottom w:val="single" w:sz="18" w:space="0" w:color="auto"/>
            </w:tcBorders>
          </w:tcPr>
          <w:p w:rsidR="00A86593" w:rsidRPr="00CD28F8" w:rsidRDefault="00A86593" w:rsidP="001C741C">
            <w:pPr>
              <w:spacing w:after="120"/>
              <w:jc w:val="right"/>
            </w:pPr>
            <w:r>
              <w:t>14.2</w:t>
            </w:r>
          </w:p>
        </w:tc>
        <w:tc>
          <w:tcPr>
            <w:tcW w:w="236" w:type="dxa"/>
            <w:tcBorders>
              <w:right w:val="single" w:sz="18" w:space="0" w:color="FFFFFF" w:themeColor="background1"/>
            </w:tcBorders>
          </w:tcPr>
          <w:p w:rsidR="00A86593" w:rsidRPr="00CD28F8" w:rsidRDefault="00A86593" w:rsidP="001C741C">
            <w:pPr>
              <w:spacing w:after="120"/>
              <w:jc w:val="right"/>
            </w:pPr>
          </w:p>
        </w:tc>
        <w:tc>
          <w:tcPr>
            <w:tcW w:w="1283" w:type="dxa"/>
            <w:tcBorders>
              <w:top w:val="single" w:sz="18" w:space="0" w:color="auto"/>
              <w:left w:val="single" w:sz="18" w:space="0" w:color="FFFFFF" w:themeColor="background1"/>
              <w:bottom w:val="single" w:sz="18" w:space="0" w:color="auto"/>
            </w:tcBorders>
          </w:tcPr>
          <w:p w:rsidR="00A86593" w:rsidRPr="00CD28F8" w:rsidRDefault="00A86593" w:rsidP="001C741C">
            <w:pPr>
              <w:spacing w:after="120"/>
              <w:jc w:val="right"/>
            </w:pPr>
            <w:r>
              <w:t>15.4</w:t>
            </w:r>
          </w:p>
        </w:tc>
      </w:tr>
    </w:tbl>
    <w:p w:rsidR="00A86593" w:rsidRDefault="00A86593" w:rsidP="00A86593">
      <w:pPr>
        <w:pStyle w:val="BodyTextIndent"/>
        <w:tabs>
          <w:tab w:val="left" w:pos="709"/>
        </w:tabs>
        <w:spacing w:after="0"/>
        <w:ind w:left="709"/>
        <w:rPr>
          <w:szCs w:val="24"/>
        </w:rPr>
      </w:pPr>
    </w:p>
    <w:p w:rsidR="00A86593" w:rsidRPr="00166665" w:rsidRDefault="00A86593" w:rsidP="00A86593">
      <w:pPr>
        <w:pStyle w:val="BodyTextIndent"/>
        <w:tabs>
          <w:tab w:val="left" w:pos="709"/>
        </w:tabs>
        <w:spacing w:after="0"/>
        <w:ind w:left="709"/>
        <w:rPr>
          <w:szCs w:val="24"/>
        </w:rPr>
      </w:pPr>
    </w:p>
    <w:p w:rsidR="00A86593" w:rsidRPr="006A4B48" w:rsidRDefault="00A86593" w:rsidP="00A86593">
      <w:pPr>
        <w:numPr>
          <w:ilvl w:val="0"/>
          <w:numId w:val="60"/>
        </w:numPr>
      </w:pPr>
      <w:r w:rsidRPr="00166665">
        <w:rPr>
          <w:b/>
        </w:rPr>
        <w:t>Investment management expenses</w:t>
      </w:r>
    </w:p>
    <w:p w:rsidR="00A86593" w:rsidRPr="00166665" w:rsidRDefault="00A86593" w:rsidP="00A86593">
      <w:pPr>
        <w:ind w:left="72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1559"/>
        <w:gridCol w:w="430"/>
        <w:gridCol w:w="1696"/>
      </w:tblGrid>
      <w:tr w:rsidR="00A86593" w:rsidTr="001C741C">
        <w:tc>
          <w:tcPr>
            <w:tcW w:w="5058" w:type="dxa"/>
          </w:tcPr>
          <w:p w:rsidR="00A86593" w:rsidRDefault="00A86593" w:rsidP="001C741C">
            <w:pPr>
              <w:rPr>
                <w:b/>
              </w:rPr>
            </w:pPr>
          </w:p>
        </w:tc>
        <w:tc>
          <w:tcPr>
            <w:tcW w:w="1559" w:type="dxa"/>
          </w:tcPr>
          <w:p w:rsidR="00A86593" w:rsidRDefault="00A86593" w:rsidP="001C741C">
            <w:pPr>
              <w:jc w:val="right"/>
              <w:rPr>
                <w:b/>
              </w:rPr>
            </w:pPr>
            <w:r>
              <w:rPr>
                <w:b/>
              </w:rPr>
              <w:t>2011/12</w:t>
            </w:r>
          </w:p>
          <w:p w:rsidR="00A86593" w:rsidRDefault="00A86593" w:rsidP="001C741C">
            <w:pPr>
              <w:jc w:val="right"/>
              <w:rPr>
                <w:b/>
              </w:rPr>
            </w:pPr>
            <w:r>
              <w:rPr>
                <w:b/>
              </w:rPr>
              <w:t>£m</w:t>
            </w:r>
          </w:p>
        </w:tc>
        <w:tc>
          <w:tcPr>
            <w:tcW w:w="430" w:type="dxa"/>
            <w:tcBorders>
              <w:right w:val="single" w:sz="4" w:space="0" w:color="FFFFFF" w:themeColor="background1"/>
            </w:tcBorders>
          </w:tcPr>
          <w:p w:rsidR="00A86593" w:rsidRDefault="00A86593" w:rsidP="001C741C">
            <w:pPr>
              <w:jc w:val="right"/>
              <w:rPr>
                <w:b/>
              </w:rPr>
            </w:pPr>
          </w:p>
          <w:p w:rsidR="00A86593" w:rsidRDefault="00A86593" w:rsidP="001C741C">
            <w:pPr>
              <w:jc w:val="right"/>
              <w:rPr>
                <w:b/>
              </w:rPr>
            </w:pPr>
          </w:p>
        </w:tc>
        <w:tc>
          <w:tcPr>
            <w:tcW w:w="1696" w:type="dxa"/>
            <w:tcBorders>
              <w:left w:val="single" w:sz="4" w:space="0" w:color="FFFFFF" w:themeColor="background1"/>
            </w:tcBorders>
          </w:tcPr>
          <w:p w:rsidR="00A86593" w:rsidRDefault="00A86593" w:rsidP="001C741C">
            <w:pPr>
              <w:jc w:val="right"/>
              <w:rPr>
                <w:b/>
              </w:rPr>
            </w:pPr>
            <w:r>
              <w:rPr>
                <w:b/>
              </w:rPr>
              <w:t>2010/11</w:t>
            </w:r>
          </w:p>
          <w:p w:rsidR="00A86593" w:rsidRDefault="00A86593" w:rsidP="001C741C">
            <w:pPr>
              <w:jc w:val="right"/>
              <w:rPr>
                <w:b/>
              </w:rPr>
            </w:pPr>
            <w:r>
              <w:rPr>
                <w:b/>
              </w:rPr>
              <w:t>£m</w:t>
            </w:r>
          </w:p>
          <w:p w:rsidR="00A86593" w:rsidRDefault="00A86593" w:rsidP="001C741C">
            <w:pPr>
              <w:jc w:val="right"/>
              <w:rPr>
                <w:b/>
              </w:rPr>
            </w:pPr>
          </w:p>
        </w:tc>
      </w:tr>
      <w:tr w:rsidR="00A86593" w:rsidRPr="007A07AD" w:rsidTr="001C741C">
        <w:tc>
          <w:tcPr>
            <w:tcW w:w="5058" w:type="dxa"/>
          </w:tcPr>
          <w:p w:rsidR="00A86593" w:rsidRPr="007A07AD" w:rsidRDefault="00A86593" w:rsidP="001C741C">
            <w:r>
              <w:t>Administration, management and custody</w:t>
            </w:r>
          </w:p>
        </w:tc>
        <w:tc>
          <w:tcPr>
            <w:tcW w:w="1559" w:type="dxa"/>
          </w:tcPr>
          <w:p w:rsidR="00A86593" w:rsidRPr="007A07AD" w:rsidRDefault="00A86593" w:rsidP="001C741C">
            <w:pPr>
              <w:jc w:val="right"/>
            </w:pPr>
            <w:r>
              <w:t>6.7</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r>
              <w:t>6.2</w:t>
            </w:r>
          </w:p>
        </w:tc>
      </w:tr>
      <w:tr w:rsidR="00A86593" w:rsidRPr="007A07AD" w:rsidTr="001C741C">
        <w:tc>
          <w:tcPr>
            <w:tcW w:w="5058" w:type="dxa"/>
          </w:tcPr>
          <w:p w:rsidR="00A86593" w:rsidRDefault="00A86593" w:rsidP="001C741C">
            <w:r>
              <w:t>Performance measurement service</w:t>
            </w:r>
          </w:p>
        </w:tc>
        <w:tc>
          <w:tcPr>
            <w:tcW w:w="1559" w:type="dxa"/>
          </w:tcPr>
          <w:p w:rsidR="00A86593" w:rsidRPr="007A07AD" w:rsidRDefault="00A86593" w:rsidP="001C741C">
            <w:pPr>
              <w:jc w:val="right"/>
            </w:pPr>
            <w:r>
              <w:t>0.1</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Default="00A86593" w:rsidP="001C741C">
            <w:pPr>
              <w:jc w:val="right"/>
            </w:pPr>
            <w:r>
              <w:t>0.1</w:t>
            </w:r>
          </w:p>
        </w:tc>
      </w:tr>
      <w:tr w:rsidR="00A86593" w:rsidRPr="007A07AD" w:rsidTr="001C741C">
        <w:tc>
          <w:tcPr>
            <w:tcW w:w="5058" w:type="dxa"/>
          </w:tcPr>
          <w:p w:rsidR="00A86593" w:rsidRDefault="00A86593" w:rsidP="001C741C">
            <w:r>
              <w:t>Other advisory fees</w:t>
            </w:r>
          </w:p>
        </w:tc>
        <w:tc>
          <w:tcPr>
            <w:tcW w:w="1559" w:type="dxa"/>
            <w:tcBorders>
              <w:bottom w:val="single" w:sz="18" w:space="0" w:color="auto"/>
            </w:tcBorders>
          </w:tcPr>
          <w:p w:rsidR="00A86593" w:rsidRPr="007A07AD" w:rsidRDefault="00A86593" w:rsidP="001C741C">
            <w:pPr>
              <w:jc w:val="right"/>
            </w:pPr>
            <w:r>
              <w:t>1.5</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bottom w:val="single" w:sz="18" w:space="0" w:color="auto"/>
            </w:tcBorders>
          </w:tcPr>
          <w:p w:rsidR="00A86593" w:rsidRDefault="00A86593" w:rsidP="001C741C">
            <w:pPr>
              <w:jc w:val="right"/>
            </w:pPr>
            <w:r>
              <w:t>1.7</w:t>
            </w:r>
          </w:p>
        </w:tc>
      </w:tr>
      <w:tr w:rsidR="00A86593" w:rsidRPr="007A07AD" w:rsidTr="001C741C">
        <w:tc>
          <w:tcPr>
            <w:tcW w:w="5058" w:type="dxa"/>
          </w:tcPr>
          <w:p w:rsidR="00A86593" w:rsidRDefault="00A86593" w:rsidP="001C741C"/>
        </w:tc>
        <w:tc>
          <w:tcPr>
            <w:tcW w:w="1559" w:type="dxa"/>
            <w:tcBorders>
              <w:top w:val="single" w:sz="18" w:space="0" w:color="auto"/>
              <w:bottom w:val="single" w:sz="18" w:space="0" w:color="auto"/>
            </w:tcBorders>
          </w:tcPr>
          <w:p w:rsidR="00A86593" w:rsidRPr="007A07AD" w:rsidRDefault="00A86593" w:rsidP="001C741C">
            <w:pPr>
              <w:jc w:val="right"/>
            </w:pPr>
            <w:r>
              <w:t>8.3</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top w:val="single" w:sz="18" w:space="0" w:color="auto"/>
              <w:left w:val="single" w:sz="4" w:space="0" w:color="FFFFFF" w:themeColor="background1"/>
              <w:bottom w:val="single" w:sz="18" w:space="0" w:color="auto"/>
            </w:tcBorders>
          </w:tcPr>
          <w:p w:rsidR="00A86593" w:rsidRDefault="00A86593" w:rsidP="001C741C">
            <w:pPr>
              <w:jc w:val="right"/>
            </w:pPr>
            <w:r>
              <w:t>8.0</w:t>
            </w:r>
          </w:p>
        </w:tc>
      </w:tr>
    </w:tbl>
    <w:p w:rsidR="00A86593" w:rsidRPr="00166665" w:rsidRDefault="00A86593" w:rsidP="00A86593">
      <w:pPr>
        <w:pStyle w:val="Header"/>
      </w:pPr>
    </w:p>
    <w:p w:rsidR="00A86593" w:rsidRPr="006A4B48" w:rsidRDefault="00A86593" w:rsidP="00A86593">
      <w:pPr>
        <w:numPr>
          <w:ilvl w:val="0"/>
          <w:numId w:val="60"/>
        </w:numPr>
      </w:pPr>
      <w:r w:rsidRPr="00166665">
        <w:rPr>
          <w:b/>
        </w:rPr>
        <w:t>Current assets</w:t>
      </w:r>
    </w:p>
    <w:p w:rsidR="00A86593" w:rsidRDefault="00A86593" w:rsidP="00A86593">
      <w:pPr>
        <w:ind w:left="720"/>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1559"/>
        <w:gridCol w:w="430"/>
        <w:gridCol w:w="1696"/>
      </w:tblGrid>
      <w:tr w:rsidR="00A86593" w:rsidTr="001C741C">
        <w:tc>
          <w:tcPr>
            <w:tcW w:w="5058" w:type="dxa"/>
          </w:tcPr>
          <w:p w:rsidR="00A86593" w:rsidRDefault="00A86593" w:rsidP="001C741C">
            <w:pPr>
              <w:rPr>
                <w:b/>
              </w:rPr>
            </w:pPr>
          </w:p>
        </w:tc>
        <w:tc>
          <w:tcPr>
            <w:tcW w:w="1559" w:type="dxa"/>
          </w:tcPr>
          <w:p w:rsidR="00A86593" w:rsidRDefault="00A86593" w:rsidP="001C741C">
            <w:pPr>
              <w:jc w:val="right"/>
              <w:rPr>
                <w:b/>
              </w:rPr>
            </w:pPr>
            <w:r>
              <w:rPr>
                <w:b/>
              </w:rPr>
              <w:t>2011/12</w:t>
            </w:r>
          </w:p>
          <w:p w:rsidR="00A86593" w:rsidRDefault="00A86593" w:rsidP="001C741C">
            <w:pPr>
              <w:jc w:val="right"/>
              <w:rPr>
                <w:b/>
              </w:rPr>
            </w:pPr>
            <w:r>
              <w:rPr>
                <w:b/>
              </w:rPr>
              <w:t>£m</w:t>
            </w:r>
          </w:p>
        </w:tc>
        <w:tc>
          <w:tcPr>
            <w:tcW w:w="430" w:type="dxa"/>
            <w:tcBorders>
              <w:right w:val="single" w:sz="4" w:space="0" w:color="FFFFFF" w:themeColor="background1"/>
            </w:tcBorders>
          </w:tcPr>
          <w:p w:rsidR="00A86593" w:rsidRDefault="00A86593" w:rsidP="001C741C">
            <w:pPr>
              <w:jc w:val="right"/>
              <w:rPr>
                <w:b/>
              </w:rPr>
            </w:pPr>
          </w:p>
          <w:p w:rsidR="00A86593" w:rsidRDefault="00A86593" w:rsidP="001C741C">
            <w:pPr>
              <w:jc w:val="right"/>
              <w:rPr>
                <w:b/>
              </w:rPr>
            </w:pPr>
          </w:p>
        </w:tc>
        <w:tc>
          <w:tcPr>
            <w:tcW w:w="1696" w:type="dxa"/>
            <w:tcBorders>
              <w:left w:val="single" w:sz="4" w:space="0" w:color="FFFFFF" w:themeColor="background1"/>
            </w:tcBorders>
          </w:tcPr>
          <w:p w:rsidR="00A86593" w:rsidRDefault="00A86593" w:rsidP="001C741C">
            <w:pPr>
              <w:jc w:val="right"/>
              <w:rPr>
                <w:b/>
              </w:rPr>
            </w:pPr>
            <w:r>
              <w:rPr>
                <w:b/>
              </w:rPr>
              <w:t>2010/11</w:t>
            </w:r>
          </w:p>
          <w:p w:rsidR="00A86593" w:rsidRDefault="00A86593" w:rsidP="001C741C">
            <w:pPr>
              <w:jc w:val="right"/>
              <w:rPr>
                <w:b/>
              </w:rPr>
            </w:pPr>
            <w:r>
              <w:rPr>
                <w:b/>
              </w:rPr>
              <w:t>£m</w:t>
            </w:r>
          </w:p>
          <w:p w:rsidR="00A86593" w:rsidRDefault="00A86593" w:rsidP="001C741C">
            <w:pPr>
              <w:jc w:val="right"/>
              <w:rPr>
                <w:b/>
              </w:rPr>
            </w:pPr>
          </w:p>
        </w:tc>
      </w:tr>
      <w:tr w:rsidR="00A86593" w:rsidRPr="007A07AD" w:rsidTr="001C741C">
        <w:tc>
          <w:tcPr>
            <w:tcW w:w="5058" w:type="dxa"/>
          </w:tcPr>
          <w:p w:rsidR="00A86593" w:rsidRPr="007A07AD" w:rsidRDefault="00A86593" w:rsidP="001C741C">
            <w:r>
              <w:t>Contributions due from: Employers</w:t>
            </w:r>
          </w:p>
        </w:tc>
        <w:tc>
          <w:tcPr>
            <w:tcW w:w="1559" w:type="dxa"/>
          </w:tcPr>
          <w:p w:rsidR="00A86593" w:rsidRPr="007A07AD" w:rsidRDefault="00A86593" w:rsidP="001C741C">
            <w:pPr>
              <w:jc w:val="right"/>
            </w:pPr>
            <w:r>
              <w:t>10.4</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r>
              <w:t>13.3</w:t>
            </w:r>
          </w:p>
        </w:tc>
      </w:tr>
      <w:tr w:rsidR="00A86593" w:rsidRPr="007A07AD" w:rsidTr="001C741C">
        <w:tc>
          <w:tcPr>
            <w:tcW w:w="5058" w:type="dxa"/>
          </w:tcPr>
          <w:p w:rsidR="00A86593" w:rsidRDefault="00A86593" w:rsidP="001C741C">
            <w:r>
              <w:t>Members</w:t>
            </w:r>
          </w:p>
        </w:tc>
        <w:tc>
          <w:tcPr>
            <w:tcW w:w="1559" w:type="dxa"/>
          </w:tcPr>
          <w:p w:rsidR="00A86593" w:rsidRPr="007A07AD" w:rsidRDefault="00A86593" w:rsidP="001C741C">
            <w:pPr>
              <w:jc w:val="right"/>
            </w:pPr>
            <w:r>
              <w:t>2.4</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Default="00A86593" w:rsidP="001C741C">
            <w:pPr>
              <w:jc w:val="right"/>
            </w:pPr>
            <w:r>
              <w:t>2.6</w:t>
            </w:r>
          </w:p>
        </w:tc>
      </w:tr>
      <w:tr w:rsidR="00A86593" w:rsidRPr="007A07AD" w:rsidTr="001C741C">
        <w:tc>
          <w:tcPr>
            <w:tcW w:w="5058" w:type="dxa"/>
          </w:tcPr>
          <w:p w:rsidR="00A86593" w:rsidRDefault="00A86593" w:rsidP="001C741C">
            <w:r>
              <w:t>Transfer values receivable</w:t>
            </w:r>
          </w:p>
        </w:tc>
        <w:tc>
          <w:tcPr>
            <w:tcW w:w="1559" w:type="dxa"/>
          </w:tcPr>
          <w:p w:rsidR="00A86593" w:rsidRPr="007A07AD" w:rsidRDefault="00A86593" w:rsidP="001C741C">
            <w:pPr>
              <w:jc w:val="right"/>
            </w:pPr>
            <w:r>
              <w:t>-</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Default="00A86593" w:rsidP="001C741C">
            <w:pPr>
              <w:jc w:val="right"/>
            </w:pPr>
            <w:r>
              <w:t>-</w:t>
            </w:r>
          </w:p>
        </w:tc>
      </w:tr>
      <w:tr w:rsidR="00A86593" w:rsidRPr="007A07AD" w:rsidTr="001C741C">
        <w:tc>
          <w:tcPr>
            <w:tcW w:w="5058" w:type="dxa"/>
          </w:tcPr>
          <w:p w:rsidR="00A86593" w:rsidRDefault="00A86593" w:rsidP="001C741C">
            <w:r>
              <w:t>Sundry Debtors</w:t>
            </w:r>
          </w:p>
        </w:tc>
        <w:tc>
          <w:tcPr>
            <w:tcW w:w="1559" w:type="dxa"/>
          </w:tcPr>
          <w:p w:rsidR="00A86593" w:rsidRPr="007A07AD" w:rsidRDefault="00A86593" w:rsidP="001C741C">
            <w:pPr>
              <w:jc w:val="right"/>
            </w:pPr>
            <w:r>
              <w:t>-</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Default="00A86593" w:rsidP="001C741C">
            <w:pPr>
              <w:jc w:val="right"/>
            </w:pPr>
            <w:r>
              <w:t>-</w:t>
            </w:r>
          </w:p>
        </w:tc>
      </w:tr>
      <w:tr w:rsidR="00A86593" w:rsidRPr="007A07AD" w:rsidTr="001C741C">
        <w:tc>
          <w:tcPr>
            <w:tcW w:w="5058" w:type="dxa"/>
          </w:tcPr>
          <w:p w:rsidR="00A86593" w:rsidRDefault="00A86593" w:rsidP="001C741C">
            <w:r>
              <w:t>Cash balances</w:t>
            </w:r>
          </w:p>
        </w:tc>
        <w:tc>
          <w:tcPr>
            <w:tcW w:w="1559" w:type="dxa"/>
          </w:tcPr>
          <w:p w:rsidR="00A86593" w:rsidRPr="007A07AD" w:rsidRDefault="00A86593" w:rsidP="001C741C">
            <w:pPr>
              <w:jc w:val="right"/>
            </w:pPr>
            <w:r>
              <w:t>-</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Default="00A86593" w:rsidP="001C741C">
            <w:pPr>
              <w:jc w:val="right"/>
            </w:pPr>
            <w:r>
              <w:t>-</w:t>
            </w:r>
          </w:p>
        </w:tc>
      </w:tr>
      <w:tr w:rsidR="00A86593" w:rsidRPr="007A07AD" w:rsidTr="001C741C">
        <w:tc>
          <w:tcPr>
            <w:tcW w:w="5058" w:type="dxa"/>
          </w:tcPr>
          <w:p w:rsidR="00A86593" w:rsidRDefault="00A86593" w:rsidP="001C741C">
            <w:r>
              <w:t>Debtors: bodies external to general government</w:t>
            </w:r>
          </w:p>
        </w:tc>
        <w:tc>
          <w:tcPr>
            <w:tcW w:w="1559" w:type="dxa"/>
            <w:tcBorders>
              <w:bottom w:val="single" w:sz="18" w:space="0" w:color="auto"/>
            </w:tcBorders>
          </w:tcPr>
          <w:p w:rsidR="00A86593" w:rsidRPr="007A07AD" w:rsidRDefault="00A86593" w:rsidP="001C741C">
            <w:pPr>
              <w:jc w:val="right"/>
            </w:pPr>
            <w:r>
              <w:t>10.5</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bottom w:val="single" w:sz="18" w:space="0" w:color="auto"/>
            </w:tcBorders>
          </w:tcPr>
          <w:p w:rsidR="00A86593" w:rsidRDefault="00A86593" w:rsidP="001C741C">
            <w:pPr>
              <w:jc w:val="right"/>
            </w:pPr>
            <w:r>
              <w:t>5.7</w:t>
            </w:r>
          </w:p>
        </w:tc>
      </w:tr>
      <w:tr w:rsidR="00A86593" w:rsidRPr="007A07AD" w:rsidTr="001C741C">
        <w:tc>
          <w:tcPr>
            <w:tcW w:w="5058" w:type="dxa"/>
          </w:tcPr>
          <w:p w:rsidR="00A86593" w:rsidRDefault="00A86593" w:rsidP="001C741C"/>
        </w:tc>
        <w:tc>
          <w:tcPr>
            <w:tcW w:w="1559" w:type="dxa"/>
            <w:tcBorders>
              <w:top w:val="single" w:sz="18" w:space="0" w:color="auto"/>
              <w:bottom w:val="single" w:sz="18" w:space="0" w:color="auto"/>
            </w:tcBorders>
          </w:tcPr>
          <w:p w:rsidR="00A86593" w:rsidRPr="007A07AD" w:rsidRDefault="00A86593" w:rsidP="001C741C">
            <w:pPr>
              <w:jc w:val="right"/>
            </w:pPr>
            <w:r>
              <w:t>23.3</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top w:val="single" w:sz="18" w:space="0" w:color="auto"/>
              <w:left w:val="single" w:sz="4" w:space="0" w:color="FFFFFF" w:themeColor="background1"/>
              <w:bottom w:val="single" w:sz="18" w:space="0" w:color="auto"/>
            </w:tcBorders>
          </w:tcPr>
          <w:p w:rsidR="00A86593" w:rsidRDefault="00A86593" w:rsidP="001C741C">
            <w:pPr>
              <w:jc w:val="right"/>
            </w:pPr>
            <w:r>
              <w:t>21.6</w:t>
            </w:r>
          </w:p>
        </w:tc>
      </w:tr>
    </w:tbl>
    <w:p w:rsidR="00A86593" w:rsidRDefault="00A86593" w:rsidP="00A86593">
      <w:pPr>
        <w:rPr>
          <w:b/>
        </w:rPr>
      </w:pPr>
    </w:p>
    <w:p w:rsidR="00A86593" w:rsidRDefault="00A86593" w:rsidP="00A86593">
      <w:pPr>
        <w:ind w:left="720"/>
        <w:rPr>
          <w:b/>
        </w:rPr>
      </w:pPr>
    </w:p>
    <w:p w:rsidR="003B314A" w:rsidRDefault="003B314A" w:rsidP="00A86593">
      <w:pPr>
        <w:ind w:left="720"/>
        <w:rPr>
          <w:b/>
        </w:rPr>
      </w:pPr>
    </w:p>
    <w:p w:rsidR="003B314A" w:rsidRDefault="003B314A" w:rsidP="00A86593">
      <w:pPr>
        <w:ind w:left="720"/>
        <w:rPr>
          <w:b/>
        </w:rPr>
      </w:pPr>
    </w:p>
    <w:p w:rsidR="00A86593" w:rsidRDefault="00A86593" w:rsidP="00A86593">
      <w:pPr>
        <w:numPr>
          <w:ilvl w:val="0"/>
          <w:numId w:val="60"/>
        </w:numPr>
        <w:rPr>
          <w:b/>
        </w:rPr>
      </w:pPr>
      <w:r w:rsidRPr="00407552">
        <w:rPr>
          <w:b/>
        </w:rPr>
        <w:t>Analysis of debtors</w:t>
      </w:r>
    </w:p>
    <w:p w:rsidR="00A86593" w:rsidRDefault="00A86593" w:rsidP="00A86593">
      <w:pPr>
        <w:ind w:left="720"/>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1559"/>
        <w:gridCol w:w="430"/>
        <w:gridCol w:w="1696"/>
      </w:tblGrid>
      <w:tr w:rsidR="00A86593" w:rsidTr="001C741C">
        <w:tc>
          <w:tcPr>
            <w:tcW w:w="5058" w:type="dxa"/>
          </w:tcPr>
          <w:p w:rsidR="00A86593" w:rsidRDefault="00A86593" w:rsidP="001C741C">
            <w:pPr>
              <w:rPr>
                <w:b/>
              </w:rPr>
            </w:pPr>
          </w:p>
        </w:tc>
        <w:tc>
          <w:tcPr>
            <w:tcW w:w="1559" w:type="dxa"/>
          </w:tcPr>
          <w:p w:rsidR="00A86593" w:rsidRDefault="00A86593" w:rsidP="001C741C">
            <w:pPr>
              <w:jc w:val="right"/>
              <w:rPr>
                <w:b/>
              </w:rPr>
            </w:pPr>
            <w:r>
              <w:rPr>
                <w:b/>
              </w:rPr>
              <w:t>2011/12</w:t>
            </w:r>
          </w:p>
          <w:p w:rsidR="00A86593" w:rsidRDefault="00A86593" w:rsidP="001C741C">
            <w:pPr>
              <w:jc w:val="right"/>
              <w:rPr>
                <w:b/>
              </w:rPr>
            </w:pPr>
            <w:r>
              <w:rPr>
                <w:b/>
              </w:rPr>
              <w:t>£m</w:t>
            </w:r>
          </w:p>
        </w:tc>
        <w:tc>
          <w:tcPr>
            <w:tcW w:w="430" w:type="dxa"/>
            <w:tcBorders>
              <w:right w:val="single" w:sz="4" w:space="0" w:color="FFFFFF" w:themeColor="background1"/>
            </w:tcBorders>
          </w:tcPr>
          <w:p w:rsidR="00A86593" w:rsidRDefault="00A86593" w:rsidP="001C741C">
            <w:pPr>
              <w:jc w:val="right"/>
              <w:rPr>
                <w:b/>
              </w:rPr>
            </w:pPr>
          </w:p>
          <w:p w:rsidR="00A86593" w:rsidRDefault="00A86593" w:rsidP="001C741C">
            <w:pPr>
              <w:jc w:val="right"/>
              <w:rPr>
                <w:b/>
              </w:rPr>
            </w:pPr>
          </w:p>
        </w:tc>
        <w:tc>
          <w:tcPr>
            <w:tcW w:w="1696" w:type="dxa"/>
            <w:tcBorders>
              <w:left w:val="single" w:sz="4" w:space="0" w:color="FFFFFF" w:themeColor="background1"/>
            </w:tcBorders>
          </w:tcPr>
          <w:p w:rsidR="00A86593" w:rsidRDefault="00A86593" w:rsidP="001C741C">
            <w:pPr>
              <w:jc w:val="right"/>
              <w:rPr>
                <w:b/>
              </w:rPr>
            </w:pPr>
            <w:r>
              <w:rPr>
                <w:b/>
              </w:rPr>
              <w:t>2010/11</w:t>
            </w:r>
          </w:p>
          <w:p w:rsidR="00A86593" w:rsidRDefault="00A86593" w:rsidP="001C741C">
            <w:pPr>
              <w:jc w:val="right"/>
              <w:rPr>
                <w:b/>
              </w:rPr>
            </w:pPr>
            <w:r>
              <w:rPr>
                <w:b/>
              </w:rPr>
              <w:t>£m</w:t>
            </w:r>
          </w:p>
          <w:p w:rsidR="00A86593" w:rsidRDefault="00A86593" w:rsidP="001C741C">
            <w:pPr>
              <w:jc w:val="right"/>
              <w:rPr>
                <w:b/>
              </w:rPr>
            </w:pPr>
          </w:p>
        </w:tc>
      </w:tr>
      <w:tr w:rsidR="00A86593" w:rsidRPr="007A07AD" w:rsidTr="001C741C">
        <w:tc>
          <w:tcPr>
            <w:tcW w:w="5058" w:type="dxa"/>
          </w:tcPr>
          <w:p w:rsidR="00A86593" w:rsidRPr="007A07AD" w:rsidRDefault="00A86593" w:rsidP="001C741C">
            <w:r>
              <w:t>Central government bodies</w:t>
            </w:r>
          </w:p>
        </w:tc>
        <w:tc>
          <w:tcPr>
            <w:tcW w:w="1559" w:type="dxa"/>
          </w:tcPr>
          <w:p w:rsidR="00A86593" w:rsidRPr="007A07AD" w:rsidRDefault="00A86593" w:rsidP="001C741C">
            <w:pPr>
              <w:jc w:val="right"/>
            </w:pPr>
            <w:r>
              <w:t>-</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r>
              <w:t>-</w:t>
            </w:r>
          </w:p>
        </w:tc>
      </w:tr>
      <w:tr w:rsidR="00A86593" w:rsidRPr="007A07AD" w:rsidTr="001C741C">
        <w:tc>
          <w:tcPr>
            <w:tcW w:w="5058" w:type="dxa"/>
          </w:tcPr>
          <w:p w:rsidR="00A86593" w:rsidRDefault="00A86593" w:rsidP="001C741C">
            <w:r>
              <w:t>Other local authorities</w:t>
            </w:r>
          </w:p>
        </w:tc>
        <w:tc>
          <w:tcPr>
            <w:tcW w:w="1559" w:type="dxa"/>
          </w:tcPr>
          <w:p w:rsidR="00A86593" w:rsidRPr="007A07AD" w:rsidRDefault="00A86593" w:rsidP="001C741C">
            <w:pPr>
              <w:jc w:val="right"/>
            </w:pPr>
            <w:r>
              <w:t>5.5</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Default="00A86593" w:rsidP="001C741C">
            <w:pPr>
              <w:jc w:val="right"/>
            </w:pPr>
            <w:r>
              <w:t>7.3</w:t>
            </w:r>
          </w:p>
        </w:tc>
      </w:tr>
      <w:tr w:rsidR="00A86593" w:rsidRPr="007A07AD" w:rsidTr="001C741C">
        <w:tc>
          <w:tcPr>
            <w:tcW w:w="5058" w:type="dxa"/>
          </w:tcPr>
          <w:p w:rsidR="00A86593" w:rsidRDefault="00A86593" w:rsidP="001C741C">
            <w:r>
              <w:t>NHS bodies</w:t>
            </w:r>
          </w:p>
        </w:tc>
        <w:tc>
          <w:tcPr>
            <w:tcW w:w="1559" w:type="dxa"/>
          </w:tcPr>
          <w:p w:rsidR="00A86593" w:rsidRPr="007A07AD" w:rsidRDefault="00A86593" w:rsidP="001C741C">
            <w:pPr>
              <w:jc w:val="right"/>
            </w:pPr>
            <w:r>
              <w:t>-</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Default="00A86593" w:rsidP="001C741C">
            <w:pPr>
              <w:jc w:val="right"/>
            </w:pPr>
            <w:r>
              <w:t>-</w:t>
            </w:r>
          </w:p>
        </w:tc>
      </w:tr>
      <w:tr w:rsidR="00A86593" w:rsidRPr="007A07AD" w:rsidTr="001C741C">
        <w:tc>
          <w:tcPr>
            <w:tcW w:w="5058" w:type="dxa"/>
          </w:tcPr>
          <w:p w:rsidR="00A86593" w:rsidRDefault="00A86593" w:rsidP="001C741C">
            <w:r>
              <w:t>Public corporations and trading funds</w:t>
            </w:r>
          </w:p>
        </w:tc>
        <w:tc>
          <w:tcPr>
            <w:tcW w:w="1559" w:type="dxa"/>
          </w:tcPr>
          <w:p w:rsidR="00A86593" w:rsidRPr="007A07AD" w:rsidRDefault="00A86593" w:rsidP="001C741C">
            <w:pPr>
              <w:jc w:val="right"/>
            </w:pPr>
            <w:r>
              <w:t>-</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Default="00A86593" w:rsidP="001C741C">
            <w:pPr>
              <w:jc w:val="right"/>
            </w:pPr>
            <w:r>
              <w:t>-</w:t>
            </w:r>
          </w:p>
        </w:tc>
      </w:tr>
      <w:tr w:rsidR="00A86593" w:rsidRPr="007A07AD" w:rsidTr="001C741C">
        <w:tc>
          <w:tcPr>
            <w:tcW w:w="5058" w:type="dxa"/>
          </w:tcPr>
          <w:p w:rsidR="00A86593" w:rsidRDefault="00A86593" w:rsidP="001C741C">
            <w:r>
              <w:t>Other entities and individuals</w:t>
            </w:r>
          </w:p>
        </w:tc>
        <w:tc>
          <w:tcPr>
            <w:tcW w:w="1559" w:type="dxa"/>
          </w:tcPr>
          <w:p w:rsidR="00A86593" w:rsidRPr="007A07AD" w:rsidRDefault="00A86593" w:rsidP="001C741C">
            <w:pPr>
              <w:jc w:val="right"/>
            </w:pPr>
            <w:r>
              <w:t>17.8</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Default="00A86593" w:rsidP="001C741C">
            <w:pPr>
              <w:jc w:val="right"/>
            </w:pPr>
            <w:r>
              <w:t>14.3</w:t>
            </w:r>
          </w:p>
        </w:tc>
      </w:tr>
      <w:tr w:rsidR="00A86593" w:rsidRPr="007A07AD" w:rsidTr="001C741C">
        <w:tc>
          <w:tcPr>
            <w:tcW w:w="5058" w:type="dxa"/>
          </w:tcPr>
          <w:p w:rsidR="00A86593" w:rsidRDefault="00A86593" w:rsidP="001C741C"/>
        </w:tc>
        <w:tc>
          <w:tcPr>
            <w:tcW w:w="1559" w:type="dxa"/>
            <w:tcBorders>
              <w:top w:val="single" w:sz="18" w:space="0" w:color="auto"/>
              <w:bottom w:val="single" w:sz="18" w:space="0" w:color="auto"/>
            </w:tcBorders>
          </w:tcPr>
          <w:p w:rsidR="00A86593" w:rsidRPr="007A07AD" w:rsidRDefault="00A86593" w:rsidP="001C741C">
            <w:pPr>
              <w:jc w:val="right"/>
            </w:pPr>
            <w:r>
              <w:t>23.3</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top w:val="single" w:sz="18" w:space="0" w:color="auto"/>
              <w:left w:val="single" w:sz="4" w:space="0" w:color="FFFFFF" w:themeColor="background1"/>
              <w:bottom w:val="single" w:sz="18" w:space="0" w:color="auto"/>
            </w:tcBorders>
          </w:tcPr>
          <w:p w:rsidR="00A86593" w:rsidRDefault="00A86593" w:rsidP="001C741C">
            <w:pPr>
              <w:jc w:val="right"/>
            </w:pPr>
            <w:r>
              <w:t>21.6</w:t>
            </w:r>
          </w:p>
        </w:tc>
      </w:tr>
    </w:tbl>
    <w:p w:rsidR="00A86593" w:rsidRDefault="00A86593" w:rsidP="00A86593">
      <w:pPr>
        <w:pStyle w:val="BodyTextIndent"/>
        <w:ind w:left="709"/>
        <w:rPr>
          <w:szCs w:val="24"/>
        </w:rPr>
      </w:pPr>
    </w:p>
    <w:p w:rsidR="00A86593" w:rsidRDefault="00A86593" w:rsidP="00A86593">
      <w:pPr>
        <w:pStyle w:val="BodyTextIndent"/>
        <w:spacing w:after="0"/>
        <w:ind w:left="709"/>
        <w:rPr>
          <w:szCs w:val="24"/>
        </w:rPr>
      </w:pPr>
      <w:r>
        <w:rPr>
          <w:szCs w:val="24"/>
        </w:rPr>
        <w:t>Included within the contributions due from employers figure is £2.4 million, in relation to a deferred debt due from the Ministry of Justice in transferring Lancashire Magistrates Courts to central government.</w:t>
      </w:r>
    </w:p>
    <w:p w:rsidR="00A86593" w:rsidRDefault="00A86593" w:rsidP="00A86593">
      <w:pPr>
        <w:pStyle w:val="BodyTextIndent"/>
        <w:ind w:left="709"/>
        <w:rPr>
          <w:szCs w:val="24"/>
        </w:rPr>
      </w:pPr>
    </w:p>
    <w:p w:rsidR="00A86593" w:rsidRDefault="00A86593" w:rsidP="00A86593">
      <w:pPr>
        <w:pStyle w:val="BodyTextIndent"/>
        <w:spacing w:after="0"/>
        <w:ind w:left="709"/>
        <w:rPr>
          <w:szCs w:val="24"/>
        </w:rPr>
      </w:pPr>
      <w:r>
        <w:rPr>
          <w:szCs w:val="24"/>
        </w:rPr>
        <w:t>These payments will be received in 10 annual instalments, the total figure having been discounted over the life of the deferral.</w:t>
      </w:r>
    </w:p>
    <w:p w:rsidR="00A86593" w:rsidRPr="00166665" w:rsidRDefault="00A86593" w:rsidP="00A86593">
      <w:pPr>
        <w:pStyle w:val="BodyTextIndent"/>
        <w:ind w:left="709"/>
        <w:rPr>
          <w:szCs w:val="24"/>
        </w:rPr>
      </w:pPr>
    </w:p>
    <w:p w:rsidR="00A86593" w:rsidRPr="002040DF" w:rsidRDefault="00A86593" w:rsidP="00A86593">
      <w:pPr>
        <w:numPr>
          <w:ilvl w:val="0"/>
          <w:numId w:val="60"/>
        </w:numPr>
      </w:pPr>
      <w:r w:rsidRPr="00166665">
        <w:rPr>
          <w:b/>
        </w:rPr>
        <w:t>Current liabilities</w:t>
      </w:r>
    </w:p>
    <w:p w:rsidR="00A86593" w:rsidRDefault="00A86593" w:rsidP="00A86593">
      <w:pPr>
        <w:ind w:left="720"/>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1559"/>
        <w:gridCol w:w="430"/>
        <w:gridCol w:w="1696"/>
      </w:tblGrid>
      <w:tr w:rsidR="00A86593" w:rsidTr="001C741C">
        <w:tc>
          <w:tcPr>
            <w:tcW w:w="5058" w:type="dxa"/>
          </w:tcPr>
          <w:p w:rsidR="00A86593" w:rsidRDefault="00A86593" w:rsidP="001C741C">
            <w:pPr>
              <w:rPr>
                <w:b/>
              </w:rPr>
            </w:pPr>
          </w:p>
        </w:tc>
        <w:tc>
          <w:tcPr>
            <w:tcW w:w="1559" w:type="dxa"/>
          </w:tcPr>
          <w:p w:rsidR="00A86593" w:rsidRDefault="00A86593" w:rsidP="001C741C">
            <w:pPr>
              <w:jc w:val="right"/>
              <w:rPr>
                <w:b/>
              </w:rPr>
            </w:pPr>
            <w:r>
              <w:rPr>
                <w:b/>
              </w:rPr>
              <w:t>2011/12</w:t>
            </w:r>
          </w:p>
          <w:p w:rsidR="00A86593" w:rsidRDefault="00A86593" w:rsidP="001C741C">
            <w:pPr>
              <w:jc w:val="right"/>
              <w:rPr>
                <w:b/>
              </w:rPr>
            </w:pPr>
            <w:r>
              <w:rPr>
                <w:b/>
              </w:rPr>
              <w:t>£m</w:t>
            </w:r>
          </w:p>
        </w:tc>
        <w:tc>
          <w:tcPr>
            <w:tcW w:w="430" w:type="dxa"/>
            <w:tcBorders>
              <w:right w:val="single" w:sz="4" w:space="0" w:color="FFFFFF" w:themeColor="background1"/>
            </w:tcBorders>
          </w:tcPr>
          <w:p w:rsidR="00A86593" w:rsidRDefault="00A86593" w:rsidP="001C741C">
            <w:pPr>
              <w:jc w:val="right"/>
              <w:rPr>
                <w:b/>
              </w:rPr>
            </w:pPr>
          </w:p>
          <w:p w:rsidR="00A86593" w:rsidRDefault="00A86593" w:rsidP="001C741C">
            <w:pPr>
              <w:jc w:val="right"/>
              <w:rPr>
                <w:b/>
              </w:rPr>
            </w:pPr>
          </w:p>
        </w:tc>
        <w:tc>
          <w:tcPr>
            <w:tcW w:w="1696" w:type="dxa"/>
            <w:tcBorders>
              <w:left w:val="single" w:sz="4" w:space="0" w:color="FFFFFF" w:themeColor="background1"/>
            </w:tcBorders>
          </w:tcPr>
          <w:p w:rsidR="00A86593" w:rsidRDefault="00A86593" w:rsidP="001C741C">
            <w:pPr>
              <w:jc w:val="right"/>
              <w:rPr>
                <w:b/>
              </w:rPr>
            </w:pPr>
            <w:r>
              <w:rPr>
                <w:b/>
              </w:rPr>
              <w:t>2010/11</w:t>
            </w:r>
          </w:p>
          <w:p w:rsidR="00A86593" w:rsidRDefault="00A86593" w:rsidP="001C741C">
            <w:pPr>
              <w:jc w:val="right"/>
              <w:rPr>
                <w:b/>
              </w:rPr>
            </w:pPr>
            <w:r>
              <w:rPr>
                <w:b/>
              </w:rPr>
              <w:t>£m</w:t>
            </w:r>
          </w:p>
          <w:p w:rsidR="00A86593" w:rsidRDefault="00A86593" w:rsidP="001C741C">
            <w:pPr>
              <w:jc w:val="right"/>
              <w:rPr>
                <w:b/>
              </w:rPr>
            </w:pPr>
          </w:p>
        </w:tc>
      </w:tr>
      <w:tr w:rsidR="00A86593" w:rsidRPr="007A07AD" w:rsidTr="001C741C">
        <w:tc>
          <w:tcPr>
            <w:tcW w:w="5058" w:type="dxa"/>
          </w:tcPr>
          <w:p w:rsidR="00A86593" w:rsidRPr="007A07AD" w:rsidRDefault="00A86593" w:rsidP="001C741C">
            <w:r>
              <w:t>Unpaid benefits</w:t>
            </w:r>
          </w:p>
        </w:tc>
        <w:tc>
          <w:tcPr>
            <w:tcW w:w="1559" w:type="dxa"/>
          </w:tcPr>
          <w:p w:rsidR="00A86593" w:rsidRPr="007A07AD" w:rsidRDefault="00A86593" w:rsidP="001C741C">
            <w:pPr>
              <w:jc w:val="right"/>
            </w:pPr>
            <w:r>
              <w:t>2.8</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r>
              <w:t>7.7</w:t>
            </w:r>
          </w:p>
        </w:tc>
      </w:tr>
      <w:tr w:rsidR="00A86593" w:rsidRPr="007A07AD" w:rsidTr="001C741C">
        <w:tc>
          <w:tcPr>
            <w:tcW w:w="5058" w:type="dxa"/>
          </w:tcPr>
          <w:p w:rsidR="00A86593" w:rsidRDefault="00A86593" w:rsidP="001C741C">
            <w:r>
              <w:t>Accrued expenses</w:t>
            </w:r>
          </w:p>
        </w:tc>
        <w:tc>
          <w:tcPr>
            <w:tcW w:w="1559" w:type="dxa"/>
          </w:tcPr>
          <w:p w:rsidR="00A86593" w:rsidRPr="007A07AD" w:rsidRDefault="00A86593" w:rsidP="001C741C">
            <w:pPr>
              <w:jc w:val="right"/>
            </w:pPr>
            <w:r>
              <w:t>0.4</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Default="00A86593" w:rsidP="001C741C">
            <w:pPr>
              <w:jc w:val="right"/>
            </w:pPr>
            <w:r>
              <w:t>1.5</w:t>
            </w:r>
          </w:p>
        </w:tc>
      </w:tr>
      <w:tr w:rsidR="00A86593" w:rsidRPr="007A07AD" w:rsidTr="001C741C">
        <w:tc>
          <w:tcPr>
            <w:tcW w:w="5058" w:type="dxa"/>
          </w:tcPr>
          <w:p w:rsidR="00A86593" w:rsidRDefault="00A86593" w:rsidP="001C741C"/>
        </w:tc>
        <w:tc>
          <w:tcPr>
            <w:tcW w:w="1559" w:type="dxa"/>
            <w:tcBorders>
              <w:top w:val="single" w:sz="18" w:space="0" w:color="auto"/>
              <w:bottom w:val="single" w:sz="18" w:space="0" w:color="auto"/>
            </w:tcBorders>
          </w:tcPr>
          <w:p w:rsidR="00A86593" w:rsidRPr="007A07AD" w:rsidRDefault="00A86593" w:rsidP="001C741C">
            <w:pPr>
              <w:jc w:val="right"/>
            </w:pPr>
            <w:r>
              <w:t>3.2</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top w:val="single" w:sz="18" w:space="0" w:color="auto"/>
              <w:left w:val="single" w:sz="4" w:space="0" w:color="FFFFFF" w:themeColor="background1"/>
              <w:bottom w:val="single" w:sz="18" w:space="0" w:color="auto"/>
            </w:tcBorders>
          </w:tcPr>
          <w:p w:rsidR="00A86593" w:rsidRDefault="00A86593" w:rsidP="001C741C">
            <w:pPr>
              <w:jc w:val="right"/>
            </w:pPr>
            <w:r>
              <w:t>9.2</w:t>
            </w:r>
          </w:p>
        </w:tc>
      </w:tr>
    </w:tbl>
    <w:p w:rsidR="00A86593" w:rsidRDefault="00A86593" w:rsidP="00A86593">
      <w:pPr>
        <w:ind w:left="720"/>
      </w:pPr>
    </w:p>
    <w:p w:rsidR="00A86593" w:rsidRDefault="00A86593" w:rsidP="00A86593">
      <w:pPr>
        <w:ind w:left="720"/>
      </w:pPr>
    </w:p>
    <w:p w:rsidR="00A86593" w:rsidRDefault="00A86593" w:rsidP="00A86593">
      <w:pPr>
        <w:ind w:left="720"/>
      </w:pPr>
    </w:p>
    <w:p w:rsidR="00A86593" w:rsidRDefault="00A86593" w:rsidP="00A86593">
      <w:pPr>
        <w:ind w:left="720"/>
      </w:pPr>
    </w:p>
    <w:p w:rsidR="00A86593" w:rsidRDefault="00A86593" w:rsidP="00A86593">
      <w:pPr>
        <w:ind w:left="720"/>
      </w:pPr>
    </w:p>
    <w:p w:rsidR="00A86593" w:rsidRPr="00166665" w:rsidRDefault="00A86593" w:rsidP="00A86593">
      <w:pPr>
        <w:ind w:left="720"/>
      </w:pPr>
    </w:p>
    <w:p w:rsidR="00A86593" w:rsidRDefault="00A86593" w:rsidP="00A86593">
      <w:pPr>
        <w:numPr>
          <w:ilvl w:val="0"/>
          <w:numId w:val="60"/>
        </w:numPr>
        <w:rPr>
          <w:b/>
          <w:bCs/>
          <w:color w:val="000000"/>
        </w:rPr>
      </w:pPr>
      <w:r w:rsidRPr="00154DB0">
        <w:rPr>
          <w:b/>
          <w:bCs/>
          <w:color w:val="000000"/>
        </w:rPr>
        <w:t>Analysis of creditors</w:t>
      </w:r>
    </w:p>
    <w:p w:rsidR="00A86593" w:rsidRPr="009057BB" w:rsidRDefault="00A86593" w:rsidP="00A86593">
      <w:pPr>
        <w:pStyle w:val="ListParagraph"/>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1559"/>
        <w:gridCol w:w="430"/>
        <w:gridCol w:w="1696"/>
      </w:tblGrid>
      <w:tr w:rsidR="00A86593" w:rsidTr="001C741C">
        <w:tc>
          <w:tcPr>
            <w:tcW w:w="5058" w:type="dxa"/>
          </w:tcPr>
          <w:p w:rsidR="00A86593" w:rsidRDefault="00A86593" w:rsidP="001C741C">
            <w:pPr>
              <w:rPr>
                <w:b/>
              </w:rPr>
            </w:pPr>
          </w:p>
        </w:tc>
        <w:tc>
          <w:tcPr>
            <w:tcW w:w="1559" w:type="dxa"/>
          </w:tcPr>
          <w:p w:rsidR="00A86593" w:rsidRDefault="00A86593" w:rsidP="001C741C">
            <w:pPr>
              <w:jc w:val="right"/>
              <w:rPr>
                <w:b/>
              </w:rPr>
            </w:pPr>
            <w:r>
              <w:rPr>
                <w:b/>
              </w:rPr>
              <w:t>2011/12</w:t>
            </w:r>
          </w:p>
          <w:p w:rsidR="00A86593" w:rsidRDefault="00A86593" w:rsidP="001C741C">
            <w:pPr>
              <w:jc w:val="right"/>
              <w:rPr>
                <w:b/>
              </w:rPr>
            </w:pPr>
            <w:r>
              <w:rPr>
                <w:b/>
              </w:rPr>
              <w:t>£m</w:t>
            </w:r>
          </w:p>
        </w:tc>
        <w:tc>
          <w:tcPr>
            <w:tcW w:w="430" w:type="dxa"/>
            <w:tcBorders>
              <w:right w:val="single" w:sz="4" w:space="0" w:color="FFFFFF" w:themeColor="background1"/>
            </w:tcBorders>
          </w:tcPr>
          <w:p w:rsidR="00A86593" w:rsidRDefault="00A86593" w:rsidP="001C741C">
            <w:pPr>
              <w:jc w:val="right"/>
              <w:rPr>
                <w:b/>
              </w:rPr>
            </w:pPr>
          </w:p>
          <w:p w:rsidR="00A86593" w:rsidRDefault="00A86593" w:rsidP="001C741C">
            <w:pPr>
              <w:jc w:val="right"/>
              <w:rPr>
                <w:b/>
              </w:rPr>
            </w:pPr>
          </w:p>
        </w:tc>
        <w:tc>
          <w:tcPr>
            <w:tcW w:w="1696" w:type="dxa"/>
            <w:tcBorders>
              <w:left w:val="single" w:sz="4" w:space="0" w:color="FFFFFF" w:themeColor="background1"/>
            </w:tcBorders>
          </w:tcPr>
          <w:p w:rsidR="00A86593" w:rsidRDefault="00A86593" w:rsidP="001C741C">
            <w:pPr>
              <w:jc w:val="right"/>
              <w:rPr>
                <w:b/>
              </w:rPr>
            </w:pPr>
            <w:r>
              <w:rPr>
                <w:b/>
              </w:rPr>
              <w:t>2010/11</w:t>
            </w:r>
          </w:p>
          <w:p w:rsidR="00A86593" w:rsidRDefault="00A86593" w:rsidP="001C741C">
            <w:pPr>
              <w:jc w:val="right"/>
              <w:rPr>
                <w:b/>
              </w:rPr>
            </w:pPr>
            <w:r>
              <w:rPr>
                <w:b/>
              </w:rPr>
              <w:t>£m</w:t>
            </w:r>
          </w:p>
          <w:p w:rsidR="00A86593" w:rsidRDefault="00A86593" w:rsidP="001C741C">
            <w:pPr>
              <w:jc w:val="right"/>
              <w:rPr>
                <w:b/>
              </w:rPr>
            </w:pPr>
          </w:p>
        </w:tc>
      </w:tr>
      <w:tr w:rsidR="00A86593" w:rsidRPr="007A07AD" w:rsidTr="001C741C">
        <w:tc>
          <w:tcPr>
            <w:tcW w:w="5058" w:type="dxa"/>
          </w:tcPr>
          <w:p w:rsidR="00A86593" w:rsidRPr="007A07AD" w:rsidRDefault="00A86593" w:rsidP="001C741C">
            <w:r>
              <w:t>Central government bodies</w:t>
            </w:r>
          </w:p>
        </w:tc>
        <w:tc>
          <w:tcPr>
            <w:tcW w:w="1559" w:type="dxa"/>
          </w:tcPr>
          <w:p w:rsidR="00A86593" w:rsidRPr="007A07AD" w:rsidRDefault="00A86593" w:rsidP="001C741C">
            <w:pPr>
              <w:jc w:val="right"/>
            </w:pPr>
            <w:r>
              <w:t>-</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Pr="007A07AD" w:rsidRDefault="00A86593" w:rsidP="001C741C">
            <w:pPr>
              <w:jc w:val="right"/>
            </w:pPr>
            <w:r>
              <w:t>-</w:t>
            </w:r>
          </w:p>
        </w:tc>
      </w:tr>
      <w:tr w:rsidR="00A86593" w:rsidRPr="007A07AD" w:rsidTr="001C741C">
        <w:tc>
          <w:tcPr>
            <w:tcW w:w="5058" w:type="dxa"/>
          </w:tcPr>
          <w:p w:rsidR="00A86593" w:rsidRDefault="00A86593" w:rsidP="001C741C">
            <w:r>
              <w:t>Other local authorities</w:t>
            </w:r>
          </w:p>
        </w:tc>
        <w:tc>
          <w:tcPr>
            <w:tcW w:w="1559" w:type="dxa"/>
          </w:tcPr>
          <w:p w:rsidR="00A86593" w:rsidRPr="007A07AD" w:rsidRDefault="00A86593" w:rsidP="001C741C">
            <w:pPr>
              <w:jc w:val="right"/>
            </w:pPr>
            <w:r>
              <w:t>(1.2)</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Default="00A86593" w:rsidP="001C741C">
            <w:pPr>
              <w:jc w:val="right"/>
            </w:pPr>
            <w:r>
              <w:t>(2.8)</w:t>
            </w:r>
          </w:p>
        </w:tc>
      </w:tr>
      <w:tr w:rsidR="00A86593" w:rsidRPr="007A07AD" w:rsidTr="001C741C">
        <w:tc>
          <w:tcPr>
            <w:tcW w:w="5058" w:type="dxa"/>
          </w:tcPr>
          <w:p w:rsidR="00A86593" w:rsidRDefault="00A86593" w:rsidP="001C741C">
            <w:r>
              <w:t>NHS bodies</w:t>
            </w:r>
          </w:p>
        </w:tc>
        <w:tc>
          <w:tcPr>
            <w:tcW w:w="1559" w:type="dxa"/>
          </w:tcPr>
          <w:p w:rsidR="00A86593" w:rsidRPr="007A07AD" w:rsidRDefault="00A86593" w:rsidP="001C741C">
            <w:pPr>
              <w:jc w:val="right"/>
            </w:pPr>
            <w:r>
              <w:t>-</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Default="00A86593" w:rsidP="001C741C">
            <w:pPr>
              <w:jc w:val="right"/>
            </w:pPr>
            <w:r>
              <w:t>-</w:t>
            </w:r>
          </w:p>
        </w:tc>
      </w:tr>
      <w:tr w:rsidR="00A86593" w:rsidRPr="007A07AD" w:rsidTr="001C741C">
        <w:tc>
          <w:tcPr>
            <w:tcW w:w="5058" w:type="dxa"/>
          </w:tcPr>
          <w:p w:rsidR="00A86593" w:rsidRDefault="00A86593" w:rsidP="001C741C">
            <w:r>
              <w:t>Public corporations and trading funds</w:t>
            </w:r>
          </w:p>
        </w:tc>
        <w:tc>
          <w:tcPr>
            <w:tcW w:w="1559" w:type="dxa"/>
          </w:tcPr>
          <w:p w:rsidR="00A86593" w:rsidRPr="007A07AD" w:rsidRDefault="00A86593" w:rsidP="001C741C">
            <w:pPr>
              <w:jc w:val="right"/>
            </w:pPr>
            <w:r>
              <w:t>-</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Default="00A86593" w:rsidP="001C741C">
            <w:pPr>
              <w:jc w:val="right"/>
            </w:pPr>
            <w:r>
              <w:t>-</w:t>
            </w:r>
          </w:p>
        </w:tc>
      </w:tr>
      <w:tr w:rsidR="00A86593" w:rsidRPr="007A07AD" w:rsidTr="001C741C">
        <w:tc>
          <w:tcPr>
            <w:tcW w:w="5058" w:type="dxa"/>
          </w:tcPr>
          <w:p w:rsidR="00A86593" w:rsidRDefault="00A86593" w:rsidP="001C741C">
            <w:r>
              <w:t>Other entities and individuals</w:t>
            </w:r>
          </w:p>
        </w:tc>
        <w:tc>
          <w:tcPr>
            <w:tcW w:w="1559" w:type="dxa"/>
          </w:tcPr>
          <w:p w:rsidR="00A86593" w:rsidRPr="007A07AD" w:rsidRDefault="00A86593" w:rsidP="001C741C">
            <w:pPr>
              <w:jc w:val="right"/>
            </w:pPr>
            <w:r>
              <w:t>4.4</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left w:val="single" w:sz="4" w:space="0" w:color="FFFFFF" w:themeColor="background1"/>
            </w:tcBorders>
          </w:tcPr>
          <w:p w:rsidR="00A86593" w:rsidRDefault="00A86593" w:rsidP="001C741C">
            <w:pPr>
              <w:jc w:val="right"/>
            </w:pPr>
            <w:r>
              <w:t>12.0</w:t>
            </w:r>
          </w:p>
        </w:tc>
      </w:tr>
      <w:tr w:rsidR="00A86593" w:rsidRPr="007A07AD" w:rsidTr="001C741C">
        <w:tc>
          <w:tcPr>
            <w:tcW w:w="5058" w:type="dxa"/>
          </w:tcPr>
          <w:p w:rsidR="00A86593" w:rsidRDefault="00A86593" w:rsidP="001C741C"/>
        </w:tc>
        <w:tc>
          <w:tcPr>
            <w:tcW w:w="1559" w:type="dxa"/>
            <w:tcBorders>
              <w:top w:val="single" w:sz="18" w:space="0" w:color="auto"/>
              <w:bottom w:val="single" w:sz="18" w:space="0" w:color="auto"/>
            </w:tcBorders>
          </w:tcPr>
          <w:p w:rsidR="00A86593" w:rsidRPr="007A07AD" w:rsidRDefault="00A86593" w:rsidP="001C741C">
            <w:pPr>
              <w:jc w:val="right"/>
            </w:pPr>
            <w:r>
              <w:t>3.2</w:t>
            </w:r>
          </w:p>
        </w:tc>
        <w:tc>
          <w:tcPr>
            <w:tcW w:w="430" w:type="dxa"/>
            <w:tcBorders>
              <w:right w:val="single" w:sz="4" w:space="0" w:color="FFFFFF" w:themeColor="background1"/>
            </w:tcBorders>
          </w:tcPr>
          <w:p w:rsidR="00A86593" w:rsidRPr="007A07AD" w:rsidRDefault="00A86593" w:rsidP="001C741C">
            <w:pPr>
              <w:jc w:val="right"/>
            </w:pPr>
          </w:p>
        </w:tc>
        <w:tc>
          <w:tcPr>
            <w:tcW w:w="1696" w:type="dxa"/>
            <w:tcBorders>
              <w:top w:val="single" w:sz="18" w:space="0" w:color="auto"/>
              <w:left w:val="single" w:sz="4" w:space="0" w:color="FFFFFF" w:themeColor="background1"/>
              <w:bottom w:val="single" w:sz="18" w:space="0" w:color="auto"/>
            </w:tcBorders>
          </w:tcPr>
          <w:p w:rsidR="00A86593" w:rsidRDefault="00A86593" w:rsidP="001C741C">
            <w:pPr>
              <w:jc w:val="right"/>
            </w:pPr>
            <w:r>
              <w:t>9.2</w:t>
            </w:r>
          </w:p>
        </w:tc>
      </w:tr>
    </w:tbl>
    <w:p w:rsidR="00A86593" w:rsidRDefault="00A86593" w:rsidP="00A86593">
      <w:pPr>
        <w:rPr>
          <w:b/>
          <w:bCs/>
          <w:color w:val="000000"/>
        </w:rPr>
      </w:pPr>
    </w:p>
    <w:p w:rsidR="00A86593" w:rsidRPr="00154DB0" w:rsidRDefault="00A86593" w:rsidP="00A86593">
      <w:pPr>
        <w:ind w:left="720"/>
        <w:rPr>
          <w:b/>
          <w:bCs/>
          <w:color w:val="000000"/>
        </w:rPr>
      </w:pPr>
    </w:p>
    <w:p w:rsidR="00A86593" w:rsidRPr="00166665" w:rsidRDefault="00A86593" w:rsidP="00A86593">
      <w:pPr>
        <w:numPr>
          <w:ilvl w:val="0"/>
          <w:numId w:val="60"/>
        </w:numPr>
        <w:spacing w:after="240"/>
        <w:rPr>
          <w:b/>
        </w:rPr>
      </w:pPr>
      <w:r w:rsidRPr="00166665">
        <w:rPr>
          <w:b/>
        </w:rPr>
        <w:lastRenderedPageBreak/>
        <w:t>Contingent Asset and Liability</w:t>
      </w:r>
    </w:p>
    <w:p w:rsidR="00A86593" w:rsidRDefault="00A86593" w:rsidP="00A86593">
      <w:pPr>
        <w:pStyle w:val="BodyTextIndent"/>
        <w:ind w:left="709"/>
        <w:rPr>
          <w:szCs w:val="24"/>
        </w:rPr>
      </w:pPr>
      <w:r w:rsidRPr="00166665">
        <w:rPr>
          <w:szCs w:val="24"/>
        </w:rPr>
        <w:t>The Pension Fund is a member of two group litigation actions aimed at reclaiming tax credits on overseas dividends and foreign income dividends on the basis that the original denial of a full tax credit was in contravention of EU non-discrimination law.  If successful the estimated potential income to the Pension Fund is in the region of £10m.  The estimated fees payable in respect of the litigations, regardless of the outcome, are approximately £300,000.  This issue is still progressing through the courts.</w:t>
      </w:r>
    </w:p>
    <w:p w:rsidR="00A86593" w:rsidRDefault="00A86593" w:rsidP="00A86593">
      <w:pPr>
        <w:pStyle w:val="BodyTextIndent"/>
        <w:rPr>
          <w:szCs w:val="24"/>
        </w:rPr>
      </w:pPr>
    </w:p>
    <w:p w:rsidR="00A86593" w:rsidRPr="00166665" w:rsidRDefault="00A86593" w:rsidP="00A86593">
      <w:pPr>
        <w:pStyle w:val="BodyTextIndent"/>
        <w:numPr>
          <w:ilvl w:val="0"/>
          <w:numId w:val="60"/>
        </w:numPr>
        <w:rPr>
          <w:szCs w:val="24"/>
        </w:rPr>
      </w:pPr>
      <w:r w:rsidRPr="00166665">
        <w:rPr>
          <w:b/>
          <w:szCs w:val="24"/>
        </w:rPr>
        <w:t>Contractual Commitments</w:t>
      </w:r>
    </w:p>
    <w:p w:rsidR="00A86593" w:rsidRDefault="00A86593" w:rsidP="00A86593">
      <w:pPr>
        <w:pStyle w:val="BodyTextIndent"/>
        <w:tabs>
          <w:tab w:val="left" w:pos="709"/>
        </w:tabs>
        <w:ind w:left="709"/>
        <w:rPr>
          <w:szCs w:val="24"/>
        </w:rPr>
      </w:pPr>
      <w:r w:rsidRPr="00DF7F83">
        <w:rPr>
          <w:szCs w:val="24"/>
        </w:rPr>
        <w:t>The Pension Fund holds investments in various Private Equity partnerships, the value of these investments at 31 March 201</w:t>
      </w:r>
      <w:r>
        <w:rPr>
          <w:szCs w:val="24"/>
        </w:rPr>
        <w:t>2</w:t>
      </w:r>
      <w:r w:rsidRPr="00DF7F83">
        <w:rPr>
          <w:szCs w:val="24"/>
        </w:rPr>
        <w:t xml:space="preserve"> being </w:t>
      </w:r>
      <w:r w:rsidRPr="008514F5">
        <w:rPr>
          <w:szCs w:val="24"/>
        </w:rPr>
        <w:t>£287.5m</w:t>
      </w:r>
      <w:r w:rsidRPr="00DF7F83">
        <w:rPr>
          <w:szCs w:val="24"/>
        </w:rPr>
        <w:t xml:space="preserve">.  Commitments to these partnerships are drawn down over a number of years.  The term of an individual investment can be up to 10 years.  Realisation of these investments in the form of distributions normally occurs towards the end of the investment period, when portfolio companies have built value and can be liquidated.  </w:t>
      </w:r>
      <w:r w:rsidRPr="009A36EC">
        <w:rPr>
          <w:szCs w:val="24"/>
        </w:rPr>
        <w:t>The outstanding commitments at 31 March 2012 are £231.7m.</w:t>
      </w:r>
    </w:p>
    <w:p w:rsidR="00A86593" w:rsidRDefault="00A86593" w:rsidP="00A86593">
      <w:pPr>
        <w:pStyle w:val="BodyTextIndent"/>
        <w:tabs>
          <w:tab w:val="left" w:pos="709"/>
        </w:tabs>
        <w:ind w:left="0"/>
        <w:rPr>
          <w:szCs w:val="24"/>
        </w:rPr>
      </w:pPr>
    </w:p>
    <w:p w:rsidR="00A86593" w:rsidRPr="00166665" w:rsidRDefault="00A86593" w:rsidP="00A86593">
      <w:pPr>
        <w:numPr>
          <w:ilvl w:val="0"/>
          <w:numId w:val="60"/>
        </w:numPr>
        <w:spacing w:after="240"/>
      </w:pPr>
      <w:r w:rsidRPr="00166665">
        <w:rPr>
          <w:b/>
        </w:rPr>
        <w:t>Related Party Transactions</w:t>
      </w:r>
    </w:p>
    <w:p w:rsidR="00A86593" w:rsidRPr="00166665" w:rsidRDefault="00A86593" w:rsidP="00A86593">
      <w:pPr>
        <w:pStyle w:val="BodyTextIndent"/>
        <w:tabs>
          <w:tab w:val="left" w:pos="709"/>
        </w:tabs>
        <w:ind w:left="709"/>
        <w:rPr>
          <w:szCs w:val="24"/>
        </w:rPr>
      </w:pPr>
      <w:r w:rsidRPr="00166665">
        <w:rPr>
          <w:szCs w:val="24"/>
        </w:rPr>
        <w:t xml:space="preserve">In accordance with </w:t>
      </w:r>
      <w:r>
        <w:rPr>
          <w:szCs w:val="24"/>
        </w:rPr>
        <w:t>IFRS</w:t>
      </w:r>
      <w:r w:rsidRPr="00166665">
        <w:rPr>
          <w:szCs w:val="24"/>
        </w:rPr>
        <w:t>, the financial statements must contain the disclosures necessary to draw attention to the possibility that the reported financial position of the Pension Fund may have been affected by the existence of related parties and associated material transactions.  They include:</w:t>
      </w:r>
    </w:p>
    <w:p w:rsidR="00A86593" w:rsidRPr="00D261C5" w:rsidRDefault="00A86593" w:rsidP="00A86593">
      <w:pPr>
        <w:pStyle w:val="BodyTextIndent"/>
        <w:numPr>
          <w:ilvl w:val="0"/>
          <w:numId w:val="62"/>
        </w:numPr>
        <w:tabs>
          <w:tab w:val="clear" w:pos="360"/>
          <w:tab w:val="num" w:pos="1080"/>
        </w:tabs>
        <w:ind w:left="1080"/>
        <w:rPr>
          <w:szCs w:val="24"/>
        </w:rPr>
      </w:pPr>
      <w:r w:rsidRPr="00D261C5">
        <w:rPr>
          <w:szCs w:val="24"/>
        </w:rPr>
        <w:t>At 31 March 201</w:t>
      </w:r>
      <w:r>
        <w:rPr>
          <w:szCs w:val="24"/>
        </w:rPr>
        <w:t>2</w:t>
      </w:r>
      <w:r w:rsidRPr="00D261C5">
        <w:rPr>
          <w:szCs w:val="24"/>
        </w:rPr>
        <w:t xml:space="preserve">, </w:t>
      </w:r>
      <w:r>
        <w:rPr>
          <w:szCs w:val="24"/>
        </w:rPr>
        <w:t>Gil</w:t>
      </w:r>
      <w:r w:rsidRPr="00D261C5">
        <w:rPr>
          <w:szCs w:val="24"/>
        </w:rPr>
        <w:t>l</w:t>
      </w:r>
      <w:r>
        <w:rPr>
          <w:szCs w:val="24"/>
        </w:rPr>
        <w:t xml:space="preserve"> Kilpatrick</w:t>
      </w:r>
      <w:r w:rsidRPr="00D261C5">
        <w:rPr>
          <w:szCs w:val="24"/>
        </w:rPr>
        <w:t xml:space="preserve">, CPFA, was Treasurer to the Pension Fund and </w:t>
      </w:r>
      <w:r>
        <w:rPr>
          <w:szCs w:val="24"/>
        </w:rPr>
        <w:t>County Treasurer</w:t>
      </w:r>
      <w:r w:rsidRPr="00D261C5">
        <w:rPr>
          <w:szCs w:val="24"/>
        </w:rPr>
        <w:t xml:space="preserve"> for Lancashire County Council.</w:t>
      </w:r>
    </w:p>
    <w:p w:rsidR="00A86593" w:rsidRPr="008B7505" w:rsidRDefault="00A86593" w:rsidP="00A86593">
      <w:pPr>
        <w:pStyle w:val="BodyTextIndent"/>
        <w:numPr>
          <w:ilvl w:val="0"/>
          <w:numId w:val="62"/>
        </w:numPr>
        <w:tabs>
          <w:tab w:val="clear" w:pos="360"/>
          <w:tab w:val="num" w:pos="1080"/>
        </w:tabs>
        <w:ind w:left="1080"/>
        <w:rPr>
          <w:szCs w:val="24"/>
        </w:rPr>
      </w:pPr>
      <w:r w:rsidRPr="008B7505">
        <w:rPr>
          <w:szCs w:val="24"/>
        </w:rPr>
        <w:t xml:space="preserve">The Pension Fund includes </w:t>
      </w:r>
      <w:r>
        <w:rPr>
          <w:szCs w:val="24"/>
        </w:rPr>
        <w:t>66</w:t>
      </w:r>
      <w:r w:rsidRPr="008B7505">
        <w:rPr>
          <w:szCs w:val="24"/>
        </w:rPr>
        <w:t xml:space="preserve"> scheduled and 1</w:t>
      </w:r>
      <w:r>
        <w:rPr>
          <w:szCs w:val="24"/>
        </w:rPr>
        <w:t>54</w:t>
      </w:r>
      <w:r w:rsidRPr="008B7505">
        <w:rPr>
          <w:szCs w:val="24"/>
        </w:rPr>
        <w:t xml:space="preserve"> admitted bodies.  A list of the individual bodies within the scheme is found at note 1 to these accounts.</w:t>
      </w:r>
    </w:p>
    <w:p w:rsidR="00A86593" w:rsidRDefault="00A86593" w:rsidP="00A86593">
      <w:pPr>
        <w:pStyle w:val="BodyTextIndent"/>
        <w:numPr>
          <w:ilvl w:val="0"/>
          <w:numId w:val="62"/>
        </w:numPr>
        <w:tabs>
          <w:tab w:val="clear" w:pos="360"/>
          <w:tab w:val="num" w:pos="1080"/>
        </w:tabs>
        <w:ind w:left="1080"/>
        <w:rPr>
          <w:szCs w:val="24"/>
        </w:rPr>
      </w:pPr>
      <w:r w:rsidRPr="00D261C5">
        <w:rPr>
          <w:szCs w:val="24"/>
        </w:rPr>
        <w:t>The Pension Fund Committee comprises 1</w:t>
      </w:r>
      <w:r>
        <w:rPr>
          <w:szCs w:val="24"/>
        </w:rPr>
        <w:t>4</w:t>
      </w:r>
      <w:r w:rsidRPr="00D261C5">
        <w:rPr>
          <w:szCs w:val="24"/>
        </w:rPr>
        <w:t xml:space="preserve"> County Councillors, </w:t>
      </w:r>
      <w:r>
        <w:rPr>
          <w:szCs w:val="24"/>
        </w:rPr>
        <w:t>2</w:t>
      </w:r>
      <w:r w:rsidRPr="00D261C5">
        <w:rPr>
          <w:szCs w:val="24"/>
        </w:rPr>
        <w:t xml:space="preserve"> Councillor</w:t>
      </w:r>
      <w:r>
        <w:rPr>
          <w:szCs w:val="24"/>
        </w:rPr>
        <w:t>s</w:t>
      </w:r>
      <w:r w:rsidRPr="00D261C5">
        <w:rPr>
          <w:szCs w:val="24"/>
        </w:rPr>
        <w:t xml:space="preserve"> from Unitary Authorities, </w:t>
      </w:r>
      <w:r>
        <w:rPr>
          <w:szCs w:val="24"/>
        </w:rPr>
        <w:t xml:space="preserve">2 </w:t>
      </w:r>
      <w:r w:rsidRPr="00D261C5">
        <w:rPr>
          <w:szCs w:val="24"/>
        </w:rPr>
        <w:t>Councillor</w:t>
      </w:r>
      <w:r>
        <w:rPr>
          <w:szCs w:val="24"/>
        </w:rPr>
        <w:t>s</w:t>
      </w:r>
      <w:r w:rsidRPr="00D261C5">
        <w:rPr>
          <w:szCs w:val="24"/>
        </w:rPr>
        <w:t xml:space="preserve"> from the Lancashire Leaders Group, 2 Trade Union representatives, 1 representative from the Higher/Further education establishments and the Investment Advisory Panel.</w:t>
      </w:r>
    </w:p>
    <w:p w:rsidR="00A86593" w:rsidRDefault="00A86593" w:rsidP="00A86593">
      <w:pPr>
        <w:pStyle w:val="BodyTextIndent"/>
        <w:rPr>
          <w:szCs w:val="24"/>
        </w:rPr>
      </w:pPr>
      <w:r>
        <w:rPr>
          <w:szCs w:val="24"/>
        </w:rPr>
        <w:t>The Pension Fund Committee members and senior officers of the Pension Fund were asked to complete a related party declaration for 2011/12. This revealed no material transactions between the Council and the members / officers and their families affecting involvement with the Pension Fund.  Each member of the Pension Fund Committee formally considers conflicts of interest at each meeting.</w:t>
      </w:r>
    </w:p>
    <w:p w:rsidR="00A86593" w:rsidRDefault="00A86593" w:rsidP="00A86593"/>
    <w:p w:rsidR="00A86593" w:rsidRDefault="00A86593" w:rsidP="00A86593">
      <w:pPr>
        <w:ind w:left="709"/>
      </w:pPr>
      <w:r>
        <w:t>The Lancashire Pension Fund is administered by Lancashire County Council. Consequently there is a strong relationship between the council and the pension fund.</w:t>
      </w:r>
    </w:p>
    <w:p w:rsidR="00A86593" w:rsidRDefault="00A86593" w:rsidP="00A86593">
      <w:pPr>
        <w:ind w:left="709"/>
      </w:pPr>
    </w:p>
    <w:p w:rsidR="00A86593" w:rsidRDefault="00A86593" w:rsidP="003B314A">
      <w:pPr>
        <w:ind w:left="709"/>
        <w:jc w:val="both"/>
      </w:pPr>
      <w:r>
        <w:t xml:space="preserve">The council incurred costs of £2.9 million (2010/11: £2.9 million) in relation to the administration of the fund and was subsequently reimbursed by the fund for these </w:t>
      </w:r>
      <w:r>
        <w:lastRenderedPageBreak/>
        <w:t>expenses. The council is also the single largest employer of the members of the pension fund and contributed £68.5 million to the fund in 2011/12 (2010/11:£70.9m million). All monies owing to and due from the fund were paid in year.</w:t>
      </w:r>
    </w:p>
    <w:p w:rsidR="00A86593" w:rsidRDefault="00A86593" w:rsidP="00A86593">
      <w:pPr>
        <w:ind w:left="567"/>
      </w:pPr>
    </w:p>
    <w:p w:rsidR="00A86593" w:rsidRDefault="00A86593" w:rsidP="00A86593">
      <w:pPr>
        <w:pStyle w:val="BodyTextIndent"/>
        <w:rPr>
          <w:szCs w:val="24"/>
        </w:rPr>
      </w:pPr>
      <w:r>
        <w:t>Part of the pension fund cash holdings are invested on the money markets by the treasury management operations of Lancashire Council County. During the year to 31 March 2012, the fund had an average investment balance of £136.8 million.</w:t>
      </w:r>
    </w:p>
    <w:p w:rsidR="00A86593" w:rsidRDefault="00A86593" w:rsidP="00A86593">
      <w:pPr>
        <w:pStyle w:val="BodyTextIndent"/>
        <w:rPr>
          <w:szCs w:val="24"/>
        </w:rPr>
      </w:pPr>
      <w:r w:rsidRPr="008B7505">
        <w:rPr>
          <w:szCs w:val="24"/>
        </w:rPr>
        <w:t xml:space="preserve">. </w:t>
      </w:r>
    </w:p>
    <w:p w:rsidR="00A86593" w:rsidRDefault="00A86593" w:rsidP="00A86593">
      <w:pPr>
        <w:pStyle w:val="BodyTextIndent"/>
        <w:rPr>
          <w:szCs w:val="24"/>
        </w:rPr>
      </w:pPr>
    </w:p>
    <w:p w:rsidR="00A86593" w:rsidRPr="00166665" w:rsidRDefault="00A86593" w:rsidP="00A86593">
      <w:pPr>
        <w:numPr>
          <w:ilvl w:val="0"/>
          <w:numId w:val="60"/>
        </w:numPr>
        <w:tabs>
          <w:tab w:val="clear" w:pos="720"/>
          <w:tab w:val="num" w:pos="567"/>
        </w:tabs>
        <w:spacing w:after="240"/>
        <w:rPr>
          <w:b/>
        </w:rPr>
      </w:pPr>
      <w:r w:rsidRPr="00166665">
        <w:rPr>
          <w:b/>
        </w:rPr>
        <w:t>Impairment of Icelandic Investment</w:t>
      </w:r>
    </w:p>
    <w:p w:rsidR="00A86593" w:rsidRDefault="00A86593" w:rsidP="003B314A">
      <w:pPr>
        <w:widowControl w:val="0"/>
        <w:suppressAutoHyphens/>
        <w:ind w:left="567"/>
        <w:jc w:val="both"/>
      </w:pPr>
      <w:r>
        <w:rPr>
          <w:szCs w:val="22"/>
        </w:rPr>
        <w:t>Lancashire County Pension Fund had £2.4m on deposit with the Icelandic Bank Landsbanki when it collapsed in October 2008.  The Pension Fund was one of many UK and Dutch organisations with such deposits, all of whom were granted priority creditor status by the Icelandic Supreme Court at a hearing in Reykjavik on 14</w:t>
      </w:r>
      <w:r w:rsidRPr="00815C08">
        <w:rPr>
          <w:szCs w:val="22"/>
          <w:vertAlign w:val="superscript"/>
        </w:rPr>
        <w:t>th</w:t>
      </w:r>
      <w:r>
        <w:rPr>
          <w:szCs w:val="22"/>
        </w:rPr>
        <w:t xml:space="preserve"> and 15</w:t>
      </w:r>
      <w:r w:rsidRPr="00815C08">
        <w:rPr>
          <w:szCs w:val="22"/>
          <w:vertAlign w:val="superscript"/>
        </w:rPr>
        <w:t>th</w:t>
      </w:r>
      <w:r>
        <w:rPr>
          <w:szCs w:val="22"/>
        </w:rPr>
        <w:t xml:space="preserve"> of September 2011.  </w:t>
      </w:r>
      <w:r w:rsidRPr="00815C08">
        <w:t>The Winding Up Board announced on 9 March 2012</w:t>
      </w:r>
      <w:r>
        <w:t xml:space="preserve"> </w:t>
      </w:r>
      <w:r w:rsidRPr="00815C08">
        <w:t>that it anticipated recoveries in the Landsbanki Administration would exceed the book value of recognised priority claims by around ISK 121bn</w:t>
      </w:r>
      <w:r>
        <w:t>.</w:t>
      </w:r>
      <w:r w:rsidRPr="00815C08">
        <w:t xml:space="preserve"> Estimated recoveries are some 9% higher than the value of priority claims</w:t>
      </w:r>
      <w:r>
        <w:t>,</w:t>
      </w:r>
      <w:r w:rsidRPr="00815C08">
        <w:t xml:space="preserve"> and it is therefore now considered likely that </w:t>
      </w:r>
      <w:r>
        <w:t>the Pension Fund</w:t>
      </w:r>
      <w:r w:rsidRPr="00815C08">
        <w:t xml:space="preserve"> will recover 100% of their deposits, subject to potential future exchange rate fluctuations.</w:t>
      </w:r>
    </w:p>
    <w:p w:rsidR="003B314A" w:rsidRDefault="003B314A" w:rsidP="003B314A">
      <w:pPr>
        <w:widowControl w:val="0"/>
        <w:suppressAutoHyphens/>
        <w:ind w:left="567"/>
        <w:jc w:val="both"/>
      </w:pPr>
    </w:p>
    <w:p w:rsidR="00A86593" w:rsidRDefault="00A86593" w:rsidP="003B314A">
      <w:pPr>
        <w:widowControl w:val="0"/>
        <w:suppressAutoHyphens/>
        <w:ind w:left="567"/>
        <w:jc w:val="both"/>
      </w:pPr>
      <w:r>
        <w:t>The winding up board made its first distribution on 7</w:t>
      </w:r>
      <w:r w:rsidRPr="006B44AD">
        <w:rPr>
          <w:vertAlign w:val="superscript"/>
        </w:rPr>
        <w:t>th</w:t>
      </w:r>
      <w:r>
        <w:t xml:space="preserve"> December 2011and a second distribution on 25</w:t>
      </w:r>
      <w:r w:rsidRPr="00C21314">
        <w:rPr>
          <w:vertAlign w:val="superscript"/>
        </w:rPr>
        <w:t>th</w:t>
      </w:r>
      <w:r>
        <w:t xml:space="preserve"> May 2012. Approximately 42% of the total claim has now been repaid. </w:t>
      </w:r>
    </w:p>
    <w:p w:rsidR="00A86593" w:rsidRDefault="00A86593" w:rsidP="00A86593">
      <w:pPr>
        <w:widowControl w:val="0"/>
        <w:suppressAutoHyphens/>
        <w:ind w:left="567"/>
      </w:pPr>
    </w:p>
    <w:p w:rsidR="00A86593" w:rsidRDefault="00A86593" w:rsidP="00A86593">
      <w:pPr>
        <w:widowControl w:val="0"/>
        <w:suppressAutoHyphens/>
        <w:ind w:left="567"/>
      </w:pPr>
      <w:r>
        <w:t>The table below shows the combined amount of the distributions and the amount outstanding.</w:t>
      </w:r>
    </w:p>
    <w:p w:rsidR="00A86593" w:rsidRDefault="00A86593" w:rsidP="00A86593">
      <w:pPr>
        <w:widowControl w:val="0"/>
        <w:suppressAutoHyphens/>
        <w:ind w:left="567"/>
      </w:pPr>
    </w:p>
    <w:tbl>
      <w:tblPr>
        <w:tblW w:w="6961" w:type="dxa"/>
        <w:tblInd w:w="93" w:type="dxa"/>
        <w:tblLook w:val="04A0"/>
      </w:tblPr>
      <w:tblGrid>
        <w:gridCol w:w="4693"/>
        <w:gridCol w:w="2268"/>
      </w:tblGrid>
      <w:tr w:rsidR="00A86593" w:rsidRPr="006B44AD" w:rsidTr="001C741C">
        <w:trPr>
          <w:trHeight w:val="300"/>
        </w:trPr>
        <w:tc>
          <w:tcPr>
            <w:tcW w:w="4693" w:type="dxa"/>
            <w:tcBorders>
              <w:top w:val="nil"/>
              <w:left w:val="nil"/>
              <w:bottom w:val="nil"/>
              <w:right w:val="nil"/>
            </w:tcBorders>
            <w:shd w:val="clear" w:color="auto" w:fill="auto"/>
            <w:noWrap/>
            <w:vAlign w:val="bottom"/>
            <w:hideMark/>
          </w:tcPr>
          <w:p w:rsidR="00A86593" w:rsidRDefault="00A86593" w:rsidP="001C741C">
            <w:pPr>
              <w:ind w:left="567"/>
            </w:pPr>
          </w:p>
          <w:p w:rsidR="00A86593" w:rsidRPr="006B44AD" w:rsidRDefault="00A86593" w:rsidP="001C741C">
            <w:pPr>
              <w:ind w:left="567"/>
            </w:pPr>
          </w:p>
        </w:tc>
        <w:tc>
          <w:tcPr>
            <w:tcW w:w="2268" w:type="dxa"/>
            <w:tcBorders>
              <w:top w:val="nil"/>
              <w:left w:val="nil"/>
              <w:bottom w:val="nil"/>
              <w:right w:val="nil"/>
            </w:tcBorders>
            <w:shd w:val="clear" w:color="auto" w:fill="auto"/>
            <w:noWrap/>
            <w:vAlign w:val="bottom"/>
            <w:hideMark/>
          </w:tcPr>
          <w:p w:rsidR="00A86593" w:rsidRPr="006B44AD" w:rsidRDefault="00A86593" w:rsidP="001C741C">
            <w:pPr>
              <w:ind w:left="567"/>
              <w:jc w:val="center"/>
            </w:pPr>
          </w:p>
        </w:tc>
      </w:tr>
      <w:tr w:rsidR="00A86593" w:rsidRPr="006B44AD" w:rsidTr="001C741C">
        <w:trPr>
          <w:trHeight w:val="300"/>
        </w:trPr>
        <w:tc>
          <w:tcPr>
            <w:tcW w:w="4693" w:type="dxa"/>
            <w:tcBorders>
              <w:top w:val="nil"/>
              <w:left w:val="nil"/>
              <w:bottom w:val="nil"/>
              <w:right w:val="nil"/>
            </w:tcBorders>
            <w:shd w:val="clear" w:color="auto" w:fill="auto"/>
            <w:noWrap/>
            <w:vAlign w:val="bottom"/>
            <w:hideMark/>
          </w:tcPr>
          <w:p w:rsidR="00A86593" w:rsidRPr="006B44AD" w:rsidRDefault="00A86593" w:rsidP="001C741C">
            <w:pPr>
              <w:ind w:left="567"/>
            </w:pPr>
          </w:p>
        </w:tc>
        <w:tc>
          <w:tcPr>
            <w:tcW w:w="2268" w:type="dxa"/>
            <w:tcBorders>
              <w:top w:val="nil"/>
              <w:left w:val="nil"/>
              <w:bottom w:val="nil"/>
              <w:right w:val="nil"/>
            </w:tcBorders>
            <w:shd w:val="clear" w:color="auto" w:fill="auto"/>
            <w:noWrap/>
            <w:vAlign w:val="bottom"/>
            <w:hideMark/>
          </w:tcPr>
          <w:p w:rsidR="00A86593" w:rsidRPr="006B44AD" w:rsidRDefault="00A86593" w:rsidP="001C741C">
            <w:pPr>
              <w:ind w:left="567"/>
              <w:jc w:val="center"/>
            </w:pPr>
            <w:r w:rsidRPr="006B44AD">
              <w:t>£</w:t>
            </w:r>
          </w:p>
        </w:tc>
      </w:tr>
      <w:tr w:rsidR="00A86593" w:rsidRPr="006B44AD" w:rsidTr="001C741C">
        <w:trPr>
          <w:trHeight w:val="300"/>
        </w:trPr>
        <w:tc>
          <w:tcPr>
            <w:tcW w:w="4693" w:type="dxa"/>
            <w:tcBorders>
              <w:top w:val="nil"/>
              <w:left w:val="nil"/>
              <w:bottom w:val="nil"/>
              <w:right w:val="nil"/>
            </w:tcBorders>
            <w:shd w:val="clear" w:color="auto" w:fill="auto"/>
            <w:noWrap/>
            <w:vAlign w:val="bottom"/>
            <w:hideMark/>
          </w:tcPr>
          <w:p w:rsidR="00A86593" w:rsidRPr="00B83631" w:rsidRDefault="00A86593" w:rsidP="001C741C">
            <w:pPr>
              <w:ind w:left="567"/>
              <w:rPr>
                <w:b/>
              </w:rPr>
            </w:pPr>
            <w:r w:rsidRPr="00B83631">
              <w:rPr>
                <w:b/>
              </w:rPr>
              <w:t>Claim</w:t>
            </w:r>
          </w:p>
        </w:tc>
        <w:tc>
          <w:tcPr>
            <w:tcW w:w="2268" w:type="dxa"/>
            <w:tcBorders>
              <w:top w:val="nil"/>
              <w:left w:val="nil"/>
              <w:bottom w:val="nil"/>
              <w:right w:val="nil"/>
            </w:tcBorders>
            <w:shd w:val="clear" w:color="auto" w:fill="auto"/>
            <w:noWrap/>
            <w:vAlign w:val="bottom"/>
            <w:hideMark/>
          </w:tcPr>
          <w:p w:rsidR="00A86593" w:rsidRPr="006B44AD" w:rsidRDefault="00A86593" w:rsidP="001C741C">
            <w:pPr>
              <w:ind w:left="567"/>
            </w:pPr>
          </w:p>
        </w:tc>
      </w:tr>
      <w:tr w:rsidR="00A86593" w:rsidRPr="006B44AD" w:rsidTr="001C741C">
        <w:trPr>
          <w:trHeight w:val="300"/>
        </w:trPr>
        <w:tc>
          <w:tcPr>
            <w:tcW w:w="4693" w:type="dxa"/>
            <w:tcBorders>
              <w:top w:val="nil"/>
              <w:left w:val="nil"/>
              <w:bottom w:val="nil"/>
              <w:right w:val="nil"/>
            </w:tcBorders>
            <w:shd w:val="clear" w:color="auto" w:fill="auto"/>
            <w:noWrap/>
            <w:vAlign w:val="bottom"/>
            <w:hideMark/>
          </w:tcPr>
          <w:p w:rsidR="00A86593" w:rsidRPr="006B44AD" w:rsidRDefault="00A86593" w:rsidP="001C741C">
            <w:pPr>
              <w:ind w:left="567"/>
            </w:pPr>
            <w:r w:rsidRPr="006B44AD">
              <w:t>Principal</w:t>
            </w:r>
          </w:p>
        </w:tc>
        <w:tc>
          <w:tcPr>
            <w:tcW w:w="2268" w:type="dxa"/>
            <w:tcBorders>
              <w:top w:val="nil"/>
              <w:left w:val="nil"/>
              <w:bottom w:val="nil"/>
              <w:right w:val="nil"/>
            </w:tcBorders>
            <w:shd w:val="clear" w:color="auto" w:fill="auto"/>
            <w:noWrap/>
            <w:vAlign w:val="bottom"/>
            <w:hideMark/>
          </w:tcPr>
          <w:p w:rsidR="00A86593" w:rsidRPr="006B44AD" w:rsidRDefault="00A86593" w:rsidP="001C741C">
            <w:pPr>
              <w:ind w:left="567"/>
              <w:jc w:val="right"/>
            </w:pPr>
            <w:r>
              <w:t>2,486,996.66</w:t>
            </w:r>
          </w:p>
        </w:tc>
      </w:tr>
      <w:tr w:rsidR="00A86593" w:rsidRPr="006B44AD" w:rsidTr="001C741C">
        <w:trPr>
          <w:trHeight w:val="300"/>
        </w:trPr>
        <w:tc>
          <w:tcPr>
            <w:tcW w:w="4693" w:type="dxa"/>
            <w:tcBorders>
              <w:top w:val="nil"/>
              <w:left w:val="nil"/>
              <w:bottom w:val="nil"/>
              <w:right w:val="nil"/>
            </w:tcBorders>
            <w:shd w:val="clear" w:color="auto" w:fill="auto"/>
            <w:noWrap/>
            <w:vAlign w:val="bottom"/>
            <w:hideMark/>
          </w:tcPr>
          <w:p w:rsidR="00A86593" w:rsidRPr="006B44AD" w:rsidRDefault="00A86593" w:rsidP="001C741C">
            <w:pPr>
              <w:ind w:left="567"/>
            </w:pPr>
            <w:r w:rsidRPr="006B44AD">
              <w:t>Interest</w:t>
            </w:r>
          </w:p>
        </w:tc>
        <w:tc>
          <w:tcPr>
            <w:tcW w:w="2268" w:type="dxa"/>
            <w:tcBorders>
              <w:top w:val="nil"/>
              <w:left w:val="nil"/>
              <w:bottom w:val="nil"/>
              <w:right w:val="nil"/>
            </w:tcBorders>
            <w:shd w:val="clear" w:color="auto" w:fill="auto"/>
            <w:noWrap/>
            <w:vAlign w:val="bottom"/>
            <w:hideMark/>
          </w:tcPr>
          <w:p w:rsidR="00A86593" w:rsidRPr="006B44AD" w:rsidRDefault="00A86593" w:rsidP="001C741C">
            <w:pPr>
              <w:ind w:left="567"/>
              <w:jc w:val="right"/>
            </w:pPr>
            <w:r>
              <w:t>36,086.66</w:t>
            </w:r>
          </w:p>
        </w:tc>
      </w:tr>
      <w:tr w:rsidR="00A86593" w:rsidRPr="006B44AD" w:rsidTr="001C741C">
        <w:trPr>
          <w:trHeight w:val="300"/>
        </w:trPr>
        <w:tc>
          <w:tcPr>
            <w:tcW w:w="4693" w:type="dxa"/>
            <w:tcBorders>
              <w:top w:val="nil"/>
              <w:left w:val="nil"/>
              <w:bottom w:val="nil"/>
              <w:right w:val="nil"/>
            </w:tcBorders>
            <w:shd w:val="clear" w:color="auto" w:fill="auto"/>
            <w:noWrap/>
            <w:vAlign w:val="bottom"/>
            <w:hideMark/>
          </w:tcPr>
          <w:p w:rsidR="00A86593" w:rsidRPr="006B44AD" w:rsidRDefault="00A86593" w:rsidP="001C741C">
            <w:pPr>
              <w:ind w:left="567"/>
            </w:pPr>
            <w:r>
              <w:t>Total Claim</w:t>
            </w:r>
          </w:p>
        </w:tc>
        <w:tc>
          <w:tcPr>
            <w:tcW w:w="2268" w:type="dxa"/>
            <w:tcBorders>
              <w:top w:val="nil"/>
              <w:left w:val="nil"/>
              <w:bottom w:val="nil"/>
              <w:right w:val="nil"/>
            </w:tcBorders>
            <w:shd w:val="clear" w:color="auto" w:fill="auto"/>
            <w:noWrap/>
            <w:vAlign w:val="bottom"/>
            <w:hideMark/>
          </w:tcPr>
          <w:p w:rsidR="00A86593" w:rsidRPr="006B44AD" w:rsidRDefault="00A86593" w:rsidP="001C741C">
            <w:pPr>
              <w:ind w:left="567"/>
              <w:jc w:val="right"/>
            </w:pPr>
            <w:r>
              <w:t>2,523,083.32</w:t>
            </w:r>
          </w:p>
        </w:tc>
      </w:tr>
      <w:tr w:rsidR="00A86593" w:rsidRPr="006B44AD" w:rsidTr="001C741C">
        <w:trPr>
          <w:trHeight w:val="300"/>
        </w:trPr>
        <w:tc>
          <w:tcPr>
            <w:tcW w:w="4693" w:type="dxa"/>
            <w:tcBorders>
              <w:top w:val="nil"/>
              <w:left w:val="nil"/>
              <w:bottom w:val="nil"/>
              <w:right w:val="nil"/>
            </w:tcBorders>
            <w:shd w:val="clear" w:color="auto" w:fill="auto"/>
            <w:noWrap/>
            <w:vAlign w:val="bottom"/>
            <w:hideMark/>
          </w:tcPr>
          <w:p w:rsidR="00A86593" w:rsidRPr="006B44AD" w:rsidRDefault="00A86593" w:rsidP="001C741C">
            <w:pPr>
              <w:ind w:left="567"/>
            </w:pPr>
          </w:p>
        </w:tc>
        <w:tc>
          <w:tcPr>
            <w:tcW w:w="2268" w:type="dxa"/>
            <w:tcBorders>
              <w:top w:val="nil"/>
              <w:left w:val="nil"/>
              <w:bottom w:val="nil"/>
              <w:right w:val="nil"/>
            </w:tcBorders>
            <w:shd w:val="clear" w:color="auto" w:fill="auto"/>
            <w:noWrap/>
            <w:vAlign w:val="bottom"/>
            <w:hideMark/>
          </w:tcPr>
          <w:p w:rsidR="00A86593" w:rsidRPr="006B44AD" w:rsidRDefault="00A86593" w:rsidP="001C741C">
            <w:pPr>
              <w:ind w:left="567"/>
              <w:jc w:val="right"/>
            </w:pPr>
          </w:p>
        </w:tc>
      </w:tr>
      <w:tr w:rsidR="00A86593" w:rsidRPr="006B44AD" w:rsidTr="001C741C">
        <w:trPr>
          <w:trHeight w:val="300"/>
        </w:trPr>
        <w:tc>
          <w:tcPr>
            <w:tcW w:w="4693" w:type="dxa"/>
            <w:tcBorders>
              <w:top w:val="nil"/>
              <w:left w:val="nil"/>
              <w:bottom w:val="nil"/>
              <w:right w:val="nil"/>
            </w:tcBorders>
            <w:shd w:val="clear" w:color="auto" w:fill="auto"/>
            <w:noWrap/>
            <w:vAlign w:val="bottom"/>
            <w:hideMark/>
          </w:tcPr>
          <w:p w:rsidR="00A86593" w:rsidRPr="006B44AD" w:rsidRDefault="00A86593" w:rsidP="001C741C">
            <w:pPr>
              <w:ind w:left="567"/>
            </w:pPr>
            <w:r>
              <w:t>Distributions received to date:</w:t>
            </w:r>
            <w:r w:rsidRPr="006B44AD">
              <w:t xml:space="preserve"> </w:t>
            </w:r>
          </w:p>
        </w:tc>
        <w:tc>
          <w:tcPr>
            <w:tcW w:w="2268" w:type="dxa"/>
            <w:tcBorders>
              <w:top w:val="nil"/>
              <w:left w:val="nil"/>
              <w:bottom w:val="nil"/>
              <w:right w:val="nil"/>
            </w:tcBorders>
            <w:shd w:val="clear" w:color="auto" w:fill="auto"/>
            <w:noWrap/>
            <w:vAlign w:val="bottom"/>
            <w:hideMark/>
          </w:tcPr>
          <w:p w:rsidR="00A86593" w:rsidRPr="006B44AD" w:rsidRDefault="00A86593" w:rsidP="001C741C">
            <w:pPr>
              <w:ind w:left="567"/>
              <w:jc w:val="right"/>
            </w:pPr>
          </w:p>
        </w:tc>
      </w:tr>
      <w:tr w:rsidR="00A86593" w:rsidRPr="006B44AD" w:rsidTr="001C741C">
        <w:trPr>
          <w:trHeight w:val="300"/>
        </w:trPr>
        <w:tc>
          <w:tcPr>
            <w:tcW w:w="4693" w:type="dxa"/>
            <w:tcBorders>
              <w:top w:val="nil"/>
              <w:left w:val="nil"/>
              <w:bottom w:val="nil"/>
              <w:right w:val="nil"/>
            </w:tcBorders>
            <w:shd w:val="clear" w:color="auto" w:fill="auto"/>
            <w:noWrap/>
            <w:vAlign w:val="bottom"/>
            <w:hideMark/>
          </w:tcPr>
          <w:p w:rsidR="00A86593" w:rsidRPr="006B44AD" w:rsidRDefault="00A86593" w:rsidP="001C741C">
            <w:pPr>
              <w:ind w:left="567"/>
            </w:pPr>
            <w:r w:rsidRPr="006B44AD">
              <w:t>Principal</w:t>
            </w:r>
          </w:p>
        </w:tc>
        <w:tc>
          <w:tcPr>
            <w:tcW w:w="2268" w:type="dxa"/>
            <w:tcBorders>
              <w:top w:val="nil"/>
              <w:left w:val="nil"/>
              <w:bottom w:val="nil"/>
              <w:right w:val="nil"/>
            </w:tcBorders>
            <w:shd w:val="clear" w:color="auto" w:fill="auto"/>
            <w:noWrap/>
            <w:vAlign w:val="bottom"/>
            <w:hideMark/>
          </w:tcPr>
          <w:p w:rsidR="00A86593" w:rsidRPr="006B44AD" w:rsidRDefault="00A86593" w:rsidP="001C741C">
            <w:pPr>
              <w:ind w:left="567"/>
              <w:jc w:val="right"/>
            </w:pPr>
            <w:r>
              <w:t>1,035,035.92</w:t>
            </w:r>
          </w:p>
        </w:tc>
      </w:tr>
      <w:tr w:rsidR="00A86593" w:rsidRPr="006B44AD" w:rsidTr="001C741C">
        <w:trPr>
          <w:trHeight w:val="300"/>
        </w:trPr>
        <w:tc>
          <w:tcPr>
            <w:tcW w:w="4693" w:type="dxa"/>
            <w:tcBorders>
              <w:top w:val="nil"/>
              <w:left w:val="nil"/>
              <w:bottom w:val="nil"/>
              <w:right w:val="nil"/>
            </w:tcBorders>
            <w:shd w:val="clear" w:color="auto" w:fill="auto"/>
            <w:noWrap/>
            <w:vAlign w:val="bottom"/>
            <w:hideMark/>
          </w:tcPr>
          <w:p w:rsidR="00A86593" w:rsidRPr="006B44AD" w:rsidRDefault="00A86593" w:rsidP="001C741C">
            <w:pPr>
              <w:ind w:left="567"/>
            </w:pPr>
            <w:r w:rsidRPr="006B44AD">
              <w:t>Interest</w:t>
            </w:r>
          </w:p>
        </w:tc>
        <w:tc>
          <w:tcPr>
            <w:tcW w:w="2268" w:type="dxa"/>
            <w:tcBorders>
              <w:top w:val="nil"/>
              <w:left w:val="nil"/>
              <w:bottom w:val="nil"/>
              <w:right w:val="nil"/>
            </w:tcBorders>
            <w:shd w:val="clear" w:color="auto" w:fill="auto"/>
            <w:noWrap/>
            <w:vAlign w:val="bottom"/>
            <w:hideMark/>
          </w:tcPr>
          <w:p w:rsidR="00A86593" w:rsidRPr="006B44AD" w:rsidRDefault="00A86593" w:rsidP="001C741C">
            <w:pPr>
              <w:ind w:left="567"/>
              <w:jc w:val="right"/>
            </w:pPr>
            <w:r>
              <w:t>15,018.51</w:t>
            </w:r>
          </w:p>
        </w:tc>
      </w:tr>
      <w:tr w:rsidR="00A86593" w:rsidRPr="006B44AD" w:rsidTr="001C741C">
        <w:trPr>
          <w:trHeight w:val="300"/>
        </w:trPr>
        <w:tc>
          <w:tcPr>
            <w:tcW w:w="4693" w:type="dxa"/>
            <w:tcBorders>
              <w:top w:val="nil"/>
              <w:left w:val="nil"/>
              <w:bottom w:val="nil"/>
              <w:right w:val="nil"/>
            </w:tcBorders>
            <w:shd w:val="clear" w:color="auto" w:fill="auto"/>
            <w:noWrap/>
            <w:vAlign w:val="bottom"/>
            <w:hideMark/>
          </w:tcPr>
          <w:p w:rsidR="00A86593" w:rsidRPr="006B44AD" w:rsidRDefault="00A86593" w:rsidP="001C741C">
            <w:pPr>
              <w:ind w:left="567"/>
            </w:pPr>
            <w:r>
              <w:t>Total Distributions</w:t>
            </w:r>
          </w:p>
        </w:tc>
        <w:tc>
          <w:tcPr>
            <w:tcW w:w="2268" w:type="dxa"/>
            <w:tcBorders>
              <w:top w:val="nil"/>
              <w:left w:val="nil"/>
              <w:bottom w:val="nil"/>
              <w:right w:val="nil"/>
            </w:tcBorders>
            <w:shd w:val="clear" w:color="auto" w:fill="auto"/>
            <w:noWrap/>
            <w:vAlign w:val="bottom"/>
            <w:hideMark/>
          </w:tcPr>
          <w:p w:rsidR="00A86593" w:rsidRPr="006B44AD" w:rsidRDefault="00A86593" w:rsidP="001C741C">
            <w:pPr>
              <w:ind w:left="567"/>
              <w:jc w:val="right"/>
            </w:pPr>
            <w:r>
              <w:t>1,050,054.43</w:t>
            </w:r>
          </w:p>
        </w:tc>
      </w:tr>
      <w:tr w:rsidR="00A86593" w:rsidRPr="006B44AD" w:rsidTr="001C741C">
        <w:trPr>
          <w:trHeight w:val="300"/>
        </w:trPr>
        <w:tc>
          <w:tcPr>
            <w:tcW w:w="4693" w:type="dxa"/>
            <w:tcBorders>
              <w:top w:val="nil"/>
              <w:left w:val="nil"/>
              <w:bottom w:val="nil"/>
              <w:right w:val="nil"/>
            </w:tcBorders>
            <w:shd w:val="clear" w:color="auto" w:fill="auto"/>
            <w:noWrap/>
            <w:vAlign w:val="bottom"/>
            <w:hideMark/>
          </w:tcPr>
          <w:p w:rsidR="00A86593" w:rsidRPr="006B44AD" w:rsidRDefault="00A86593" w:rsidP="001C741C">
            <w:pPr>
              <w:ind w:left="567"/>
            </w:pPr>
          </w:p>
        </w:tc>
        <w:tc>
          <w:tcPr>
            <w:tcW w:w="2268" w:type="dxa"/>
            <w:tcBorders>
              <w:top w:val="nil"/>
              <w:left w:val="nil"/>
              <w:bottom w:val="nil"/>
              <w:right w:val="nil"/>
            </w:tcBorders>
            <w:shd w:val="clear" w:color="auto" w:fill="auto"/>
            <w:noWrap/>
            <w:vAlign w:val="bottom"/>
            <w:hideMark/>
          </w:tcPr>
          <w:p w:rsidR="00A86593" w:rsidRPr="006B44AD" w:rsidRDefault="00A86593" w:rsidP="001C741C">
            <w:pPr>
              <w:ind w:left="567"/>
              <w:jc w:val="right"/>
            </w:pPr>
          </w:p>
        </w:tc>
      </w:tr>
      <w:tr w:rsidR="00A86593" w:rsidRPr="006B44AD" w:rsidTr="001C741C">
        <w:trPr>
          <w:trHeight w:val="300"/>
        </w:trPr>
        <w:tc>
          <w:tcPr>
            <w:tcW w:w="4693" w:type="dxa"/>
            <w:tcBorders>
              <w:top w:val="nil"/>
              <w:left w:val="nil"/>
              <w:bottom w:val="nil"/>
              <w:right w:val="nil"/>
            </w:tcBorders>
            <w:shd w:val="clear" w:color="auto" w:fill="auto"/>
            <w:noWrap/>
            <w:vAlign w:val="bottom"/>
            <w:hideMark/>
          </w:tcPr>
          <w:p w:rsidR="00A86593" w:rsidRPr="006B44AD" w:rsidRDefault="00A86593" w:rsidP="001C741C">
            <w:pPr>
              <w:ind w:left="567"/>
            </w:pPr>
            <w:r>
              <w:t>Claim Outstanding</w:t>
            </w:r>
          </w:p>
        </w:tc>
        <w:tc>
          <w:tcPr>
            <w:tcW w:w="2268" w:type="dxa"/>
            <w:tcBorders>
              <w:top w:val="nil"/>
              <w:left w:val="nil"/>
              <w:bottom w:val="nil"/>
              <w:right w:val="nil"/>
            </w:tcBorders>
            <w:shd w:val="clear" w:color="auto" w:fill="auto"/>
            <w:noWrap/>
            <w:vAlign w:val="bottom"/>
            <w:hideMark/>
          </w:tcPr>
          <w:p w:rsidR="00A86593" w:rsidRPr="006B44AD" w:rsidRDefault="00A86593" w:rsidP="001C741C">
            <w:pPr>
              <w:ind w:left="567"/>
              <w:jc w:val="right"/>
            </w:pPr>
            <w:r>
              <w:t>1,473,028.89</w:t>
            </w:r>
          </w:p>
        </w:tc>
      </w:tr>
    </w:tbl>
    <w:p w:rsidR="00A86593" w:rsidRDefault="00A86593" w:rsidP="00A86593">
      <w:pPr>
        <w:widowControl w:val="0"/>
        <w:suppressAutoHyphens/>
        <w:ind w:left="567"/>
      </w:pPr>
    </w:p>
    <w:p w:rsidR="00A86593" w:rsidRDefault="00A86593" w:rsidP="00A86593">
      <w:pPr>
        <w:widowControl w:val="0"/>
        <w:suppressAutoHyphens/>
        <w:ind w:left="567" w:firstLine="142"/>
      </w:pPr>
      <w:r>
        <w:t xml:space="preserve">The exact timing and amounts of future distributions is not known at this stage. </w:t>
      </w:r>
    </w:p>
    <w:p w:rsidR="00A86593" w:rsidRDefault="00A86593" w:rsidP="00A86593">
      <w:pPr>
        <w:widowControl w:val="0"/>
        <w:suppressAutoHyphens/>
        <w:ind w:left="567" w:firstLine="142"/>
      </w:pPr>
    </w:p>
    <w:p w:rsidR="00A86593" w:rsidRDefault="00A86593" w:rsidP="00A86593">
      <w:pPr>
        <w:widowControl w:val="0"/>
        <w:suppressAutoHyphens/>
        <w:ind w:left="709"/>
      </w:pPr>
      <w:r>
        <w:t>The deposit is treated as an asset on the balance sheet and the carrying value is written down as distributions are received.</w:t>
      </w:r>
    </w:p>
    <w:p w:rsidR="00A86593" w:rsidRDefault="00A86593" w:rsidP="00A86593">
      <w:pPr>
        <w:spacing w:after="240"/>
        <w:ind w:left="720"/>
        <w:jc w:val="both"/>
      </w:pPr>
    </w:p>
    <w:p w:rsidR="00A86593" w:rsidRPr="00433269" w:rsidRDefault="00A86593" w:rsidP="00A86593">
      <w:pPr>
        <w:pStyle w:val="ListParagraph"/>
        <w:numPr>
          <w:ilvl w:val="0"/>
          <w:numId w:val="60"/>
        </w:numPr>
        <w:spacing w:after="240"/>
        <w:contextualSpacing/>
        <w:jc w:val="both"/>
        <w:rPr>
          <w:b/>
        </w:rPr>
      </w:pPr>
      <w:r w:rsidRPr="00433269">
        <w:rPr>
          <w:b/>
        </w:rPr>
        <w:lastRenderedPageBreak/>
        <w:t>Funding arrangements</w:t>
      </w:r>
    </w:p>
    <w:p w:rsidR="00A86593" w:rsidRPr="00011806" w:rsidRDefault="00A86593" w:rsidP="00A86593">
      <w:pPr>
        <w:pStyle w:val="Heading3"/>
        <w:spacing w:before="60" w:after="60" w:line="300" w:lineRule="atLeast"/>
        <w:ind w:left="709"/>
        <w:rPr>
          <w:i w:val="0"/>
          <w:sz w:val="22"/>
          <w:szCs w:val="22"/>
        </w:rPr>
      </w:pPr>
      <w:r w:rsidRPr="00011806">
        <w:rPr>
          <w:i w:val="0"/>
          <w:sz w:val="22"/>
          <w:szCs w:val="22"/>
        </w:rPr>
        <w:t>Accounts for the year ended 31 March 2012 - Statement by the Consulting Actuary</w:t>
      </w:r>
    </w:p>
    <w:p w:rsidR="00A86593" w:rsidRDefault="00A86593" w:rsidP="00A86593">
      <w:pPr>
        <w:ind w:left="709"/>
      </w:pPr>
    </w:p>
    <w:p w:rsidR="00A86593" w:rsidRDefault="00A86593" w:rsidP="003B314A">
      <w:pPr>
        <w:ind w:left="709"/>
        <w:jc w:val="both"/>
        <w:rPr>
          <w:noProof/>
        </w:rPr>
      </w:pPr>
      <w:r>
        <w:rPr>
          <w:noProof/>
        </w:rPr>
        <w:t>This statement has been provided to meet the requirements under Regulation 34(1)(d) of The Local Government Pension Scheme (Administration) Regulations 2008.</w:t>
      </w:r>
    </w:p>
    <w:p w:rsidR="00A86593" w:rsidRDefault="00A86593" w:rsidP="003B314A">
      <w:pPr>
        <w:jc w:val="both"/>
        <w:rPr>
          <w:noProof/>
        </w:rPr>
      </w:pPr>
    </w:p>
    <w:p w:rsidR="00A86593" w:rsidRDefault="00A86593" w:rsidP="003B314A">
      <w:pPr>
        <w:ind w:left="709"/>
        <w:jc w:val="both"/>
        <w:rPr>
          <w:noProof/>
        </w:rPr>
      </w:pPr>
      <w:r>
        <w:rPr>
          <w:noProof/>
        </w:rPr>
        <w:t xml:space="preserve">An actuarial valuation of the Lancashire County Pension Fund was carried out as at 31 March 2010 to determine the contribution rates with effect from 1 April 2011 to 31 March 2014.  </w:t>
      </w:r>
    </w:p>
    <w:p w:rsidR="00A86593" w:rsidRDefault="00A86593" w:rsidP="003B314A">
      <w:pPr>
        <w:jc w:val="both"/>
        <w:rPr>
          <w:noProof/>
        </w:rPr>
      </w:pPr>
    </w:p>
    <w:p w:rsidR="00A86593" w:rsidRDefault="00A86593" w:rsidP="003B314A">
      <w:pPr>
        <w:pStyle w:val="Header"/>
        <w:spacing w:after="240"/>
        <w:ind w:left="709"/>
        <w:jc w:val="both"/>
      </w:pPr>
      <w:r>
        <w:t xml:space="preserve">On the basis of the assumptions adopted, the Fund’s assets of £3,962 million </w:t>
      </w:r>
      <w:r w:rsidRPr="00B74D79">
        <w:t xml:space="preserve">represented </w:t>
      </w:r>
      <w:r>
        <w:t>80</w:t>
      </w:r>
      <w:r w:rsidRPr="00B74D79">
        <w:t>%</w:t>
      </w:r>
      <w:r>
        <w:t xml:space="preserve"> of the Fund’s past service liabilities of £4,955 million (the “Funding Target”) at the valuation date.  </w:t>
      </w:r>
    </w:p>
    <w:p w:rsidR="00A86593" w:rsidRDefault="00A86593" w:rsidP="00A86593">
      <w:pPr>
        <w:pStyle w:val="Header"/>
        <w:spacing w:after="240"/>
        <w:ind w:left="709" w:hanging="709"/>
      </w:pPr>
      <w:r>
        <w:rPr>
          <w:noProof/>
        </w:rPr>
        <w:drawing>
          <wp:inline distT="0" distB="0" distL="0" distR="0">
            <wp:extent cx="6162675" cy="1828800"/>
            <wp:effectExtent l="0" t="0" r="0" b="0"/>
            <wp:docPr id="4"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86593" w:rsidRDefault="00A86593" w:rsidP="003B314A">
      <w:pPr>
        <w:pStyle w:val="Header"/>
        <w:spacing w:after="240"/>
        <w:ind w:left="709"/>
        <w:jc w:val="both"/>
      </w:pPr>
      <w:r>
        <w:t xml:space="preserve">The valuation also showed that a common rate of contribution </w:t>
      </w:r>
      <w:r w:rsidRPr="00B74D79">
        <w:t xml:space="preserve">of </w:t>
      </w:r>
      <w:r>
        <w:t>12.5</w:t>
      </w:r>
      <w:r w:rsidRPr="00B74D79">
        <w:t>% of pensionable</w:t>
      </w:r>
      <w:r>
        <w:t xml:space="preserve"> pay per annum was required from employers</w:t>
      </w:r>
      <w:r w:rsidRPr="0003298F">
        <w:t>.  The common rate is calculated as being sufficient, together with contributions paid by members, to meet all liabilities arising in respect of service after the valuation date.</w:t>
      </w:r>
      <w:r>
        <w:t xml:space="preserve">  </w:t>
      </w:r>
    </w:p>
    <w:p w:rsidR="00A86593" w:rsidRDefault="00A86593" w:rsidP="003B314A">
      <w:pPr>
        <w:pStyle w:val="Header"/>
        <w:spacing w:after="240"/>
        <w:ind w:left="709"/>
        <w:jc w:val="both"/>
      </w:pPr>
      <w:r>
        <w:t>Adopting the same method and assumptions as used for assessing the Funding Target the deficit would be eliminated by an average additional contribution rate of</w:t>
      </w:r>
      <w:r w:rsidRPr="00B74D79">
        <w:t xml:space="preserve"> </w:t>
      </w:r>
      <w:r>
        <w:t>6.6</w:t>
      </w:r>
      <w:r w:rsidRPr="00B74D79">
        <w:t>% of pensionable pay</w:t>
      </w:r>
      <w:r>
        <w:t xml:space="preserve"> for 19 years. This would imply</w:t>
      </w:r>
      <w:r w:rsidRPr="00B74D79">
        <w:t xml:space="preserve"> </w:t>
      </w:r>
      <w:r>
        <w:t>an average employer contribution rate of 19.1</w:t>
      </w:r>
      <w:r w:rsidRPr="00B74D79">
        <w:t>% of</w:t>
      </w:r>
      <w:r>
        <w:t xml:space="preserve"> pensionable pay in total</w:t>
      </w:r>
      <w:r w:rsidRPr="00B74D79">
        <w:t>.</w:t>
      </w:r>
    </w:p>
    <w:p w:rsidR="00A86593" w:rsidRDefault="00A86593" w:rsidP="003B314A">
      <w:pPr>
        <w:ind w:left="709"/>
        <w:jc w:val="both"/>
        <w:rPr>
          <w:noProof/>
        </w:rPr>
      </w:pPr>
      <w:r>
        <w:rPr>
          <w:noProof/>
        </w:rPr>
        <w:t xml:space="preserve">Further details regarding the results of the valuation are contained in our formal report on the actuarial valuation dated 31 March 2011. </w:t>
      </w:r>
    </w:p>
    <w:p w:rsidR="00A86593" w:rsidRDefault="00A86593" w:rsidP="003B314A">
      <w:pPr>
        <w:jc w:val="both"/>
      </w:pPr>
    </w:p>
    <w:p w:rsidR="00A86593" w:rsidRDefault="00A86593" w:rsidP="003B314A">
      <w:pPr>
        <w:pStyle w:val="Header"/>
        <w:spacing w:after="240"/>
        <w:ind w:left="709"/>
        <w:jc w:val="both"/>
      </w:pPr>
      <w:r>
        <w:t xml:space="preserve">In practice, </w:t>
      </w:r>
      <w:r w:rsidRPr="00B74D79">
        <w:t xml:space="preserve">each individual employer’s position is assessed separately and the contributions required are set </w:t>
      </w:r>
      <w:r>
        <w:t>out i</w:t>
      </w:r>
      <w:r w:rsidRPr="00B74D79">
        <w:t>n our report</w:t>
      </w:r>
      <w:r>
        <w:t xml:space="preserve">. </w:t>
      </w:r>
      <w:r w:rsidRPr="00B74D79">
        <w:t>In addition</w:t>
      </w:r>
      <w:r>
        <w:t xml:space="preserve"> to the certified contribution rates, payments to cover additional liabilities arising from early retirements (other than ill-health retirements) will be made to the Fund by the employers (although certain employers have some allowance for non-ill health early retirement costs included in their certified contribution rate).</w:t>
      </w:r>
    </w:p>
    <w:p w:rsidR="00A86593" w:rsidRDefault="00A86593" w:rsidP="003B314A">
      <w:pPr>
        <w:pStyle w:val="Header"/>
        <w:spacing w:after="240"/>
        <w:ind w:left="709"/>
        <w:jc w:val="both"/>
      </w:pPr>
      <w:r>
        <w:t xml:space="preserve">The funding plan adopted in assessing the contributions for each individual employer is in accordance with the Funding Strategy Statement (FSS). Different approaches adopted in implementing contribution increases and deficit recovery periods are as determined through the FSS consultation process. </w:t>
      </w:r>
    </w:p>
    <w:p w:rsidR="00A86593" w:rsidRDefault="00A86593" w:rsidP="00A86593">
      <w:pPr>
        <w:pStyle w:val="Header"/>
        <w:ind w:left="709"/>
      </w:pPr>
      <w:r>
        <w:lastRenderedPageBreak/>
        <w:t xml:space="preserve">The valuation was carried out </w:t>
      </w:r>
      <w:r w:rsidRPr="0003298F">
        <w:t>using the projected unit actuarial method and the</w:t>
      </w:r>
      <w:r>
        <w:t xml:space="preserve"> main actuarial assumptions used for assessing the Funding Target and the common contribution rate were as follows:</w:t>
      </w:r>
    </w:p>
    <w:p w:rsidR="00A86593" w:rsidRDefault="00A86593" w:rsidP="00A86593">
      <w:pPr>
        <w:pStyle w:val="Header"/>
      </w:pPr>
    </w:p>
    <w:tbl>
      <w:tblPr>
        <w:tblW w:w="0" w:type="auto"/>
        <w:tblInd w:w="892" w:type="dxa"/>
        <w:tblBorders>
          <w:top w:val="single" w:sz="4" w:space="0" w:color="auto"/>
          <w:bottom w:val="single" w:sz="4" w:space="0" w:color="auto"/>
          <w:insideH w:val="single" w:sz="4" w:space="0" w:color="auto"/>
        </w:tblBorders>
        <w:tblLayout w:type="fixed"/>
        <w:tblCellMar>
          <w:left w:w="72" w:type="dxa"/>
          <w:right w:w="72" w:type="dxa"/>
        </w:tblCellMar>
        <w:tblLook w:val="0000"/>
      </w:tblPr>
      <w:tblGrid>
        <w:gridCol w:w="31"/>
        <w:gridCol w:w="4208"/>
        <w:gridCol w:w="2223"/>
        <w:gridCol w:w="2565"/>
      </w:tblGrid>
      <w:tr w:rsidR="00A86593" w:rsidRPr="002D05B5" w:rsidTr="001C741C">
        <w:trPr>
          <w:gridBefore w:val="1"/>
          <w:wBefore w:w="31" w:type="dxa"/>
          <w:cantSplit/>
          <w:tblHeader/>
        </w:trPr>
        <w:tc>
          <w:tcPr>
            <w:tcW w:w="4208" w:type="dxa"/>
            <w:tcBorders>
              <w:top w:val="nil"/>
              <w:bottom w:val="nil"/>
            </w:tcBorders>
            <w:shd w:val="clear" w:color="auto" w:fill="333399"/>
            <w:vAlign w:val="bottom"/>
          </w:tcPr>
          <w:p w:rsidR="00A86593" w:rsidRPr="002D05B5" w:rsidRDefault="00A86593" w:rsidP="001C741C">
            <w:pPr>
              <w:pStyle w:val="TableHeadingText"/>
              <w:ind w:left="-856"/>
              <w:rPr>
                <w:color w:val="FFFFFF"/>
              </w:rPr>
            </w:pPr>
          </w:p>
        </w:tc>
        <w:tc>
          <w:tcPr>
            <w:tcW w:w="2223" w:type="dxa"/>
            <w:tcBorders>
              <w:top w:val="nil"/>
              <w:bottom w:val="nil"/>
            </w:tcBorders>
            <w:shd w:val="clear" w:color="auto" w:fill="333399"/>
            <w:vAlign w:val="bottom"/>
          </w:tcPr>
          <w:p w:rsidR="00A86593" w:rsidRPr="002D05B5" w:rsidRDefault="00A86593" w:rsidP="001C741C">
            <w:pPr>
              <w:pStyle w:val="TableHeadingText"/>
              <w:rPr>
                <w:color w:val="FFFFFF"/>
              </w:rPr>
            </w:pPr>
            <w:r w:rsidRPr="002D05B5">
              <w:rPr>
                <w:color w:val="FFFFFF"/>
              </w:rPr>
              <w:t>For past service liabilities (Funding Target)</w:t>
            </w:r>
          </w:p>
        </w:tc>
        <w:tc>
          <w:tcPr>
            <w:tcW w:w="2565" w:type="dxa"/>
            <w:tcBorders>
              <w:top w:val="nil"/>
              <w:bottom w:val="nil"/>
            </w:tcBorders>
            <w:shd w:val="clear" w:color="auto" w:fill="333399"/>
            <w:vAlign w:val="bottom"/>
          </w:tcPr>
          <w:p w:rsidR="00A86593" w:rsidRPr="002D05B5" w:rsidRDefault="00A86593" w:rsidP="001C741C">
            <w:pPr>
              <w:pStyle w:val="TableHeadingText"/>
              <w:rPr>
                <w:color w:val="FFFFFF"/>
              </w:rPr>
            </w:pPr>
            <w:r w:rsidRPr="002D05B5">
              <w:rPr>
                <w:color w:val="FFFFFF"/>
              </w:rPr>
              <w:t>For future service liabilities (Common Contribution Rate)</w:t>
            </w:r>
          </w:p>
        </w:tc>
      </w:tr>
      <w:tr w:rsidR="00A86593" w:rsidTr="001C741C">
        <w:trPr>
          <w:cantSplit/>
        </w:trPr>
        <w:tc>
          <w:tcPr>
            <w:tcW w:w="4239" w:type="dxa"/>
            <w:gridSpan w:val="2"/>
            <w:tcBorders>
              <w:top w:val="nil"/>
            </w:tcBorders>
            <w:shd w:val="clear" w:color="auto" w:fill="auto"/>
          </w:tcPr>
          <w:p w:rsidR="00A86593" w:rsidRDefault="00A86593" w:rsidP="001C741C">
            <w:pPr>
              <w:pStyle w:val="TableText"/>
              <w:ind w:left="567"/>
            </w:pPr>
            <w:r>
              <w:t>Rate of return on investments (discount rate)</w:t>
            </w:r>
          </w:p>
          <w:p w:rsidR="00A86593" w:rsidRDefault="00A86593" w:rsidP="001C741C">
            <w:pPr>
              <w:pStyle w:val="TableText"/>
              <w:spacing w:before="0" w:after="0"/>
              <w:ind w:left="567"/>
            </w:pPr>
            <w:r>
              <w:t>- pre retirement</w:t>
            </w:r>
          </w:p>
          <w:p w:rsidR="00A86593" w:rsidRDefault="00A86593" w:rsidP="001C741C">
            <w:pPr>
              <w:pStyle w:val="TableText"/>
              <w:spacing w:before="0" w:after="0"/>
              <w:ind w:left="567"/>
            </w:pPr>
            <w:r>
              <w:t>- post retirement</w:t>
            </w:r>
          </w:p>
        </w:tc>
        <w:tc>
          <w:tcPr>
            <w:tcW w:w="2223" w:type="dxa"/>
            <w:tcBorders>
              <w:top w:val="nil"/>
            </w:tcBorders>
            <w:shd w:val="clear" w:color="auto" w:fill="auto"/>
          </w:tcPr>
          <w:p w:rsidR="00A86593" w:rsidRDefault="00A86593" w:rsidP="001C741C">
            <w:pPr>
              <w:pStyle w:val="TableText"/>
              <w:ind w:left="567"/>
            </w:pPr>
          </w:p>
          <w:p w:rsidR="00A86593" w:rsidRDefault="00A86593" w:rsidP="001C741C">
            <w:pPr>
              <w:pStyle w:val="TableText"/>
              <w:ind w:left="567"/>
            </w:pPr>
          </w:p>
          <w:p w:rsidR="00A86593" w:rsidRDefault="00A86593" w:rsidP="001C741C">
            <w:pPr>
              <w:pStyle w:val="TableText"/>
              <w:spacing w:before="0" w:after="0"/>
              <w:ind w:left="567"/>
            </w:pPr>
            <w:r>
              <w:t>7.0% per annum</w:t>
            </w:r>
          </w:p>
          <w:p w:rsidR="00A86593" w:rsidRDefault="00A86593" w:rsidP="001C741C">
            <w:pPr>
              <w:pStyle w:val="TableText"/>
              <w:spacing w:before="0" w:after="0"/>
              <w:ind w:left="567"/>
            </w:pPr>
            <w:r>
              <w:t>5.5% per annum</w:t>
            </w:r>
          </w:p>
        </w:tc>
        <w:tc>
          <w:tcPr>
            <w:tcW w:w="2565" w:type="dxa"/>
            <w:tcBorders>
              <w:top w:val="nil"/>
            </w:tcBorders>
            <w:shd w:val="clear" w:color="auto" w:fill="auto"/>
          </w:tcPr>
          <w:p w:rsidR="00A86593" w:rsidRDefault="00A86593" w:rsidP="001C741C">
            <w:pPr>
              <w:pStyle w:val="TableText"/>
              <w:ind w:left="567"/>
            </w:pPr>
          </w:p>
          <w:p w:rsidR="00A86593" w:rsidRDefault="00A86593" w:rsidP="001C741C">
            <w:pPr>
              <w:pStyle w:val="TableText"/>
              <w:spacing w:before="0" w:after="0"/>
              <w:ind w:left="567"/>
            </w:pPr>
          </w:p>
          <w:p w:rsidR="00A86593" w:rsidRDefault="00A86593" w:rsidP="001C741C">
            <w:pPr>
              <w:pStyle w:val="TableText"/>
              <w:spacing w:before="0" w:after="0"/>
              <w:ind w:left="567"/>
            </w:pPr>
            <w:r>
              <w:t>6.75% per annum</w:t>
            </w:r>
          </w:p>
          <w:p w:rsidR="00A86593" w:rsidRDefault="00A86593" w:rsidP="001C741C">
            <w:pPr>
              <w:pStyle w:val="TableText"/>
              <w:spacing w:before="0" w:after="0"/>
              <w:ind w:left="567"/>
            </w:pPr>
            <w:r>
              <w:t>6.75% per annum</w:t>
            </w:r>
          </w:p>
        </w:tc>
      </w:tr>
      <w:tr w:rsidR="00A86593" w:rsidTr="001C741C">
        <w:trPr>
          <w:cantSplit/>
        </w:trPr>
        <w:tc>
          <w:tcPr>
            <w:tcW w:w="4239" w:type="dxa"/>
            <w:gridSpan w:val="2"/>
            <w:shd w:val="clear" w:color="auto" w:fill="auto"/>
          </w:tcPr>
          <w:p w:rsidR="00A86593" w:rsidRDefault="00A86593" w:rsidP="001C741C">
            <w:pPr>
              <w:pStyle w:val="TableText"/>
              <w:ind w:left="567"/>
            </w:pPr>
            <w:r>
              <w:t>Rate of pay increases</w:t>
            </w:r>
          </w:p>
        </w:tc>
        <w:tc>
          <w:tcPr>
            <w:tcW w:w="2223" w:type="dxa"/>
            <w:shd w:val="clear" w:color="auto" w:fill="auto"/>
          </w:tcPr>
          <w:p w:rsidR="00A86593" w:rsidRDefault="00A86593" w:rsidP="001C741C">
            <w:pPr>
              <w:pStyle w:val="TableText"/>
              <w:ind w:left="567"/>
            </w:pPr>
            <w:r>
              <w:t>5.0% per annum</w:t>
            </w:r>
          </w:p>
        </w:tc>
        <w:tc>
          <w:tcPr>
            <w:tcW w:w="2565" w:type="dxa"/>
            <w:shd w:val="clear" w:color="auto" w:fill="auto"/>
          </w:tcPr>
          <w:p w:rsidR="00A86593" w:rsidRDefault="00A86593" w:rsidP="001C741C">
            <w:pPr>
              <w:pStyle w:val="TableText"/>
              <w:ind w:left="567"/>
            </w:pPr>
            <w:r>
              <w:t>5.0% per annum</w:t>
            </w:r>
          </w:p>
        </w:tc>
      </w:tr>
      <w:tr w:rsidR="00A86593" w:rsidTr="001C741C">
        <w:trPr>
          <w:cantSplit/>
        </w:trPr>
        <w:tc>
          <w:tcPr>
            <w:tcW w:w="4239" w:type="dxa"/>
            <w:gridSpan w:val="2"/>
            <w:shd w:val="clear" w:color="auto" w:fill="auto"/>
          </w:tcPr>
          <w:p w:rsidR="00A86593" w:rsidRDefault="00A86593" w:rsidP="001C741C">
            <w:pPr>
              <w:pStyle w:val="TableText"/>
              <w:spacing w:before="0" w:after="0"/>
              <w:ind w:left="567"/>
            </w:pPr>
            <w:r>
              <w:t xml:space="preserve">Rate of increases in pensions </w:t>
            </w:r>
          </w:p>
          <w:p w:rsidR="00A86593" w:rsidRDefault="00A86593" w:rsidP="001C741C">
            <w:pPr>
              <w:pStyle w:val="TableText"/>
              <w:spacing w:before="0" w:after="0"/>
              <w:ind w:left="567"/>
            </w:pPr>
            <w:r>
              <w:t xml:space="preserve">in payment (in excess of </w:t>
            </w:r>
          </w:p>
          <w:p w:rsidR="00A86593" w:rsidRDefault="00A86593" w:rsidP="001C741C">
            <w:pPr>
              <w:pStyle w:val="TableText"/>
              <w:spacing w:before="0" w:after="0"/>
              <w:ind w:left="567"/>
            </w:pPr>
            <w:r>
              <w:t>Guaranteed Minimum Pension)</w:t>
            </w:r>
          </w:p>
        </w:tc>
        <w:tc>
          <w:tcPr>
            <w:tcW w:w="2223" w:type="dxa"/>
            <w:shd w:val="clear" w:color="auto" w:fill="auto"/>
            <w:vAlign w:val="center"/>
          </w:tcPr>
          <w:p w:rsidR="00A86593" w:rsidRDefault="00A86593" w:rsidP="001C741C">
            <w:pPr>
              <w:pStyle w:val="TableText"/>
              <w:spacing w:before="0" w:after="0"/>
              <w:ind w:left="567"/>
            </w:pPr>
            <w:r>
              <w:t>3.0% per annum</w:t>
            </w:r>
          </w:p>
        </w:tc>
        <w:tc>
          <w:tcPr>
            <w:tcW w:w="2565" w:type="dxa"/>
            <w:shd w:val="clear" w:color="auto" w:fill="auto"/>
            <w:vAlign w:val="center"/>
          </w:tcPr>
          <w:p w:rsidR="00A86593" w:rsidRDefault="00A86593" w:rsidP="001C741C">
            <w:pPr>
              <w:pStyle w:val="TableText"/>
              <w:spacing w:before="0" w:after="0"/>
              <w:ind w:left="567"/>
            </w:pPr>
            <w:r>
              <w:t>3.0% per annum</w:t>
            </w:r>
          </w:p>
        </w:tc>
      </w:tr>
    </w:tbl>
    <w:p w:rsidR="00A86593" w:rsidRDefault="00A86593" w:rsidP="00A86593">
      <w:pPr>
        <w:pStyle w:val="Header"/>
        <w:spacing w:after="240"/>
        <w:ind w:left="567"/>
        <w:rPr>
          <w:sz w:val="16"/>
          <w:szCs w:val="16"/>
        </w:rPr>
      </w:pPr>
    </w:p>
    <w:p w:rsidR="00A86593" w:rsidRDefault="00A86593" w:rsidP="00A86593">
      <w:pPr>
        <w:pStyle w:val="Header"/>
        <w:spacing w:after="240"/>
        <w:ind w:left="709"/>
      </w:pPr>
      <w:r>
        <w:t>The assets were assessed at market value.</w:t>
      </w:r>
    </w:p>
    <w:p w:rsidR="00A86593" w:rsidRDefault="00A86593" w:rsidP="003B314A">
      <w:pPr>
        <w:pStyle w:val="Header"/>
        <w:ind w:left="709"/>
        <w:jc w:val="both"/>
      </w:pPr>
      <w:r>
        <w:t>The next triennial actuarial valuation of the Fund is due as at 31 March 2013.  Based on the results of this valuation, the contribution rates payable by the individual employers will be revised with effect from 1 April 2014.</w:t>
      </w:r>
    </w:p>
    <w:p w:rsidR="00A86593" w:rsidRDefault="00A86593" w:rsidP="00A86593">
      <w:pPr>
        <w:pStyle w:val="BodyTextIndent"/>
        <w:ind w:left="567"/>
      </w:pPr>
    </w:p>
    <w:p w:rsidR="00A86593" w:rsidRPr="00270E9B" w:rsidRDefault="00A86593" w:rsidP="00A86593">
      <w:pPr>
        <w:pStyle w:val="BodyTextIndent"/>
        <w:ind w:left="567"/>
        <w:rPr>
          <w:szCs w:val="24"/>
        </w:rPr>
      </w:pPr>
    </w:p>
    <w:p w:rsidR="00A86593" w:rsidRPr="00270E9B" w:rsidRDefault="00A86593" w:rsidP="00A86593">
      <w:pPr>
        <w:pStyle w:val="ListParagraph"/>
        <w:numPr>
          <w:ilvl w:val="0"/>
          <w:numId w:val="60"/>
        </w:numPr>
        <w:spacing w:after="240"/>
        <w:contextualSpacing/>
        <w:jc w:val="both"/>
        <w:rPr>
          <w:b/>
        </w:rPr>
      </w:pPr>
      <w:r w:rsidRPr="00270E9B">
        <w:rPr>
          <w:b/>
        </w:rPr>
        <w:t>Actuarial Present Value of Promised Retirement Ben</w:t>
      </w:r>
      <w:r>
        <w:rPr>
          <w:b/>
        </w:rPr>
        <w:t>efits for the purpose of IAS 26</w:t>
      </w:r>
    </w:p>
    <w:p w:rsidR="00A86593" w:rsidRPr="003217BE" w:rsidRDefault="00A86593" w:rsidP="003B314A">
      <w:pPr>
        <w:spacing w:after="240"/>
        <w:ind w:left="709"/>
        <w:jc w:val="both"/>
      </w:pPr>
      <w:r w:rsidRPr="003217BE">
        <w:t>IAS 26 requires the present value of the Fund’s promised retirement benefits to be disclosed, and for this purpose the actuarial assumptions and methodology used should be based on IAS 19 rather than the assumptions and methodology used for funding purposes.</w:t>
      </w:r>
    </w:p>
    <w:p w:rsidR="00A86593" w:rsidRDefault="00A86593" w:rsidP="003B314A">
      <w:pPr>
        <w:pStyle w:val="Header"/>
        <w:ind w:left="709"/>
        <w:jc w:val="both"/>
      </w:pPr>
      <w:r w:rsidRPr="003217BE">
        <w:t>In order to assess the value of the benefits on this basis, we have used the same actuarial assumptions as those used for funding purposes, other than the discount rate where we have used a rate of 5.6% p.a. both before and after retirement, rather than the rates as outlined above.  We have also used valuation methodology in connection with ill-health and death benefits which is consistent with IAS 19.</w:t>
      </w:r>
      <w:r>
        <w:t xml:space="preserve">  On this basis, the value of the Fund’s promised retirement benefits as at 31 March 2010 was £5,422 million.</w:t>
      </w:r>
    </w:p>
    <w:p w:rsidR="00A86593" w:rsidRDefault="00A86593" w:rsidP="003B314A">
      <w:pPr>
        <w:pStyle w:val="Header"/>
        <w:ind w:left="709"/>
        <w:jc w:val="both"/>
      </w:pPr>
    </w:p>
    <w:p w:rsidR="00A86593" w:rsidRDefault="00A86593" w:rsidP="003B314A">
      <w:pPr>
        <w:ind w:left="709"/>
        <w:jc w:val="both"/>
      </w:pPr>
      <w:r w:rsidRPr="003217BE">
        <w:t>We have also carried out similar calculations as at the previous actuarial valuation date of 31 March 2007, using the same actuarial assumptions as those used for funding purposes at that date, other than the discount rate where we have used a rate of 5.4% p.a. both before and after retirement.  On this basis, the value, for IAS 26 purposes, of the Fund’s promised retirement benefits at that date was £4,942 million</w:t>
      </w:r>
    </w:p>
    <w:p w:rsidR="00A86593" w:rsidRDefault="00A86593" w:rsidP="00A86593">
      <w:pPr>
        <w:pStyle w:val="Header"/>
        <w:ind w:left="709"/>
      </w:pPr>
    </w:p>
    <w:p w:rsidR="00A86593" w:rsidRDefault="00A86593" w:rsidP="00A86593">
      <w:pPr>
        <w:pStyle w:val="Header"/>
        <w:ind w:left="709"/>
      </w:pPr>
    </w:p>
    <w:p w:rsidR="00A86593" w:rsidRPr="00AD17B7" w:rsidRDefault="00A86593" w:rsidP="00A86593">
      <w:pPr>
        <w:pStyle w:val="Header"/>
        <w:ind w:left="709"/>
      </w:pPr>
      <w:r w:rsidRPr="00AD17B7">
        <w:t>John Livesey</w:t>
      </w:r>
    </w:p>
    <w:p w:rsidR="00A86593" w:rsidRPr="00AD17B7" w:rsidRDefault="00A86593" w:rsidP="00A86593">
      <w:pPr>
        <w:pStyle w:val="Header"/>
        <w:ind w:left="709"/>
      </w:pPr>
      <w:r w:rsidRPr="00AD17B7">
        <w:t>Fellow of the Institute and Faculty of Actuaries</w:t>
      </w:r>
    </w:p>
    <w:p w:rsidR="00A86593" w:rsidRPr="00AD17B7" w:rsidRDefault="00A86593" w:rsidP="00A86593">
      <w:pPr>
        <w:pStyle w:val="Header"/>
        <w:ind w:left="709"/>
      </w:pPr>
      <w:r w:rsidRPr="00AD17B7">
        <w:t>Mercer Limited</w:t>
      </w:r>
    </w:p>
    <w:p w:rsidR="00A86593" w:rsidRPr="00AD17B7" w:rsidRDefault="00A86593" w:rsidP="00A86593">
      <w:pPr>
        <w:ind w:left="709"/>
      </w:pPr>
      <w:r w:rsidRPr="00AD17B7">
        <w:rPr>
          <w:szCs w:val="22"/>
        </w:rPr>
        <w:t>June 2012</w:t>
      </w:r>
    </w:p>
    <w:p w:rsidR="00A86593" w:rsidRDefault="00A86593" w:rsidP="00A86593">
      <w:pPr>
        <w:pStyle w:val="Header"/>
        <w:ind w:left="709"/>
      </w:pPr>
      <w:r>
        <w:t xml:space="preserve"> </w:t>
      </w:r>
    </w:p>
    <w:p w:rsidR="00A86593" w:rsidRPr="003E5ADD" w:rsidRDefault="00A86593" w:rsidP="00A86593">
      <w:pPr>
        <w:ind w:left="851"/>
      </w:pPr>
    </w:p>
    <w:p w:rsidR="00A86593" w:rsidRPr="00166665" w:rsidRDefault="00A86593" w:rsidP="00A86593">
      <w:pPr>
        <w:numPr>
          <w:ilvl w:val="0"/>
          <w:numId w:val="60"/>
        </w:numPr>
        <w:spacing w:after="240"/>
        <w:rPr>
          <w:b/>
        </w:rPr>
      </w:pPr>
      <w:r w:rsidRPr="00166665">
        <w:rPr>
          <w:b/>
        </w:rPr>
        <w:lastRenderedPageBreak/>
        <w:t>Statement of Investment Principles</w:t>
      </w:r>
    </w:p>
    <w:p w:rsidR="00A86593" w:rsidRDefault="00A86593" w:rsidP="00A86593">
      <w:pPr>
        <w:spacing w:after="240"/>
        <w:ind w:left="720"/>
        <w:jc w:val="both"/>
      </w:pPr>
      <w:r w:rsidRPr="00166665">
        <w:t xml:space="preserve">The Pension Fund operates within its approved Statement of Investment Principles, which is published </w:t>
      </w:r>
      <w:r>
        <w:t xml:space="preserve">by the Fund and available from the Fund's website at </w:t>
      </w:r>
      <w:hyperlink r:id="rId29" w:history="1">
        <w:r w:rsidRPr="00226A63">
          <w:rPr>
            <w:rStyle w:val="Hyperlink"/>
          </w:rPr>
          <w:t>http://www.yourpensionservice.org.uk</w:t>
        </w:r>
      </w:hyperlink>
      <w:r>
        <w:t>.</w:t>
      </w:r>
    </w:p>
    <w:p w:rsidR="002256B0" w:rsidRDefault="002256B0" w:rsidP="0003279A">
      <w:pPr>
        <w:spacing w:after="240"/>
        <w:jc w:val="center"/>
        <w:rPr>
          <w:b/>
          <w:caps/>
          <w:highlight w:val="yellow"/>
        </w:rPr>
      </w:pPr>
    </w:p>
    <w:p w:rsidR="002256B0" w:rsidRDefault="002256B0" w:rsidP="0003279A">
      <w:pPr>
        <w:spacing w:after="240"/>
        <w:jc w:val="center"/>
        <w:rPr>
          <w:b/>
          <w:caps/>
          <w:highlight w:val="yellow"/>
        </w:rPr>
      </w:pPr>
    </w:p>
    <w:p w:rsidR="003B314A" w:rsidRDefault="003B314A">
      <w:pPr>
        <w:rPr>
          <w:b/>
          <w:caps/>
        </w:rPr>
      </w:pPr>
      <w:r>
        <w:rPr>
          <w:b/>
          <w:caps/>
        </w:rPr>
        <w:br w:type="page"/>
      </w:r>
    </w:p>
    <w:p w:rsidR="0003279A" w:rsidRPr="00B06633" w:rsidRDefault="0003279A" w:rsidP="00811649">
      <w:pPr>
        <w:pStyle w:val="Heading1"/>
        <w:jc w:val="center"/>
      </w:pPr>
      <w:r w:rsidRPr="00B06633">
        <w:lastRenderedPageBreak/>
        <w:t>Glossary</w:t>
      </w:r>
      <w:bookmarkEnd w:id="2"/>
    </w:p>
    <w:p w:rsidR="0003279A" w:rsidRPr="00B06633" w:rsidRDefault="0003279A" w:rsidP="003B314A">
      <w:pPr>
        <w:jc w:val="both"/>
        <w:rPr>
          <w:b/>
        </w:rPr>
      </w:pPr>
      <w:r w:rsidRPr="00B06633">
        <w:rPr>
          <w:b/>
        </w:rPr>
        <w:t>Accounting Policies</w:t>
      </w:r>
    </w:p>
    <w:p w:rsidR="0003279A" w:rsidRPr="00B06633" w:rsidRDefault="0003279A" w:rsidP="003B314A">
      <w:pPr>
        <w:jc w:val="both"/>
      </w:pPr>
      <w:r w:rsidRPr="00B06633">
        <w:t>The specific principles, bases, conventions, rules and practices applied by the authority in preparing and presenting financial statements.</w:t>
      </w:r>
    </w:p>
    <w:p w:rsidR="0003279A" w:rsidRPr="00B06633" w:rsidRDefault="0003279A" w:rsidP="003B314A">
      <w:pPr>
        <w:jc w:val="both"/>
      </w:pPr>
    </w:p>
    <w:p w:rsidR="0003279A" w:rsidRPr="00B06633" w:rsidRDefault="0003279A" w:rsidP="003B314A">
      <w:pPr>
        <w:jc w:val="both"/>
        <w:rPr>
          <w:b/>
        </w:rPr>
      </w:pPr>
      <w:r w:rsidRPr="00B06633">
        <w:rPr>
          <w:b/>
        </w:rPr>
        <w:t>Accrual</w:t>
      </w:r>
    </w:p>
    <w:p w:rsidR="0003279A" w:rsidRPr="00B06633" w:rsidRDefault="0003279A" w:rsidP="003B314A">
      <w:pPr>
        <w:spacing w:after="240"/>
        <w:jc w:val="both"/>
      </w:pPr>
      <w:r w:rsidRPr="00B06633">
        <w:t>The concept that income and expenditure are recognised as they are earned or incurred, not as cash is received or paid.</w:t>
      </w:r>
    </w:p>
    <w:p w:rsidR="0003279A" w:rsidRPr="00B06633" w:rsidRDefault="0003279A" w:rsidP="003B314A">
      <w:pPr>
        <w:jc w:val="both"/>
        <w:rPr>
          <w:b/>
        </w:rPr>
      </w:pPr>
      <w:r w:rsidRPr="00B06633">
        <w:rPr>
          <w:b/>
        </w:rPr>
        <w:t>Actuary</w:t>
      </w:r>
    </w:p>
    <w:p w:rsidR="0003279A" w:rsidRPr="00B06633" w:rsidRDefault="0003279A" w:rsidP="003B314A">
      <w:pPr>
        <w:spacing w:after="240"/>
        <w:jc w:val="both"/>
      </w:pPr>
      <w:r w:rsidRPr="00B06633">
        <w:t>An actuary is an expert on pension scheme assets and liabilities. The Local Government Pension Scheme Actuary reassesses the rate of employer contributions to the pension fund every three years.</w:t>
      </w:r>
    </w:p>
    <w:p w:rsidR="0003279A" w:rsidRPr="00B06633" w:rsidRDefault="0003279A" w:rsidP="003B314A">
      <w:pPr>
        <w:jc w:val="both"/>
        <w:rPr>
          <w:b/>
        </w:rPr>
      </w:pPr>
      <w:r w:rsidRPr="00B06633">
        <w:rPr>
          <w:b/>
        </w:rPr>
        <w:t>Actuarial gains and losses</w:t>
      </w:r>
    </w:p>
    <w:p w:rsidR="0003279A" w:rsidRPr="00B06633" w:rsidRDefault="0003279A" w:rsidP="003B314A">
      <w:pPr>
        <w:spacing w:after="240"/>
        <w:jc w:val="both"/>
      </w:pPr>
      <w:r w:rsidRPr="00B06633">
        <w:t xml:space="preserve">A change in pension fund liability due to the effects of differences between the previous actuarial assumptions and what has actually occurred.  Outcomes are better or worse than the actuary had predicted or assumed – for example, because the fund’s assets earn more than expected, salaries do not increase as fast as assumed or members retire later than assumed.  </w:t>
      </w:r>
    </w:p>
    <w:p w:rsidR="0003279A" w:rsidRPr="00B06633" w:rsidRDefault="0003279A" w:rsidP="003B314A">
      <w:pPr>
        <w:jc w:val="both"/>
        <w:rPr>
          <w:b/>
        </w:rPr>
      </w:pPr>
      <w:r w:rsidRPr="00B06633">
        <w:rPr>
          <w:b/>
        </w:rPr>
        <w:t>Agency services</w:t>
      </w:r>
    </w:p>
    <w:p w:rsidR="0003279A" w:rsidRPr="00B06633" w:rsidRDefault="0003279A" w:rsidP="003B314A">
      <w:pPr>
        <w:spacing w:after="240"/>
        <w:jc w:val="both"/>
      </w:pPr>
      <w:r w:rsidRPr="00B06633">
        <w:t>Services which one council is responsible for, but which another council provides (as the agent). The council responsible pays the agent council the cost of the services provided.</w:t>
      </w:r>
    </w:p>
    <w:p w:rsidR="0003279A" w:rsidRPr="00B06633" w:rsidRDefault="0003279A" w:rsidP="003B314A">
      <w:pPr>
        <w:jc w:val="both"/>
        <w:rPr>
          <w:b/>
        </w:rPr>
      </w:pPr>
      <w:r w:rsidRPr="00B06633">
        <w:rPr>
          <w:b/>
        </w:rPr>
        <w:t>Amortisation</w:t>
      </w:r>
    </w:p>
    <w:p w:rsidR="0003279A" w:rsidRPr="00B06633" w:rsidRDefault="0003279A" w:rsidP="003B314A">
      <w:pPr>
        <w:spacing w:after="240"/>
        <w:jc w:val="both"/>
      </w:pPr>
      <w:r w:rsidRPr="00B06633">
        <w:t>An annual charge to the revenue account that spreads the cost of an asset over a period of time.</w:t>
      </w:r>
    </w:p>
    <w:p w:rsidR="0003279A" w:rsidRPr="00B06633" w:rsidRDefault="0003279A" w:rsidP="003B314A">
      <w:pPr>
        <w:jc w:val="both"/>
        <w:rPr>
          <w:b/>
        </w:rPr>
      </w:pPr>
      <w:r w:rsidRPr="00B06633">
        <w:rPr>
          <w:b/>
        </w:rPr>
        <w:t>Appropriation</w:t>
      </w:r>
    </w:p>
    <w:p w:rsidR="0003279A" w:rsidRPr="00B06633" w:rsidRDefault="0003279A" w:rsidP="003B314A">
      <w:pPr>
        <w:jc w:val="both"/>
      </w:pPr>
      <w:r w:rsidRPr="00B06633">
        <w:t>A contribution to or from a financial reserve.</w:t>
      </w:r>
    </w:p>
    <w:p w:rsidR="0003279A" w:rsidRPr="00B06633" w:rsidRDefault="0003279A" w:rsidP="003B314A">
      <w:pPr>
        <w:jc w:val="both"/>
      </w:pPr>
    </w:p>
    <w:p w:rsidR="0003279A" w:rsidRPr="00B06633" w:rsidRDefault="0003279A" w:rsidP="003B314A">
      <w:pPr>
        <w:jc w:val="both"/>
        <w:rPr>
          <w:b/>
        </w:rPr>
      </w:pPr>
      <w:r w:rsidRPr="00B06633">
        <w:rPr>
          <w:b/>
        </w:rPr>
        <w:t>Audit qualification</w:t>
      </w:r>
    </w:p>
    <w:p w:rsidR="0003279A" w:rsidRPr="00B06633" w:rsidRDefault="0003279A" w:rsidP="003B314A">
      <w:pPr>
        <w:jc w:val="both"/>
      </w:pPr>
      <w:r w:rsidRPr="00B06633">
        <w:t>A comment made by the auditors if they are not completely satisfied with the accounts.</w:t>
      </w:r>
    </w:p>
    <w:p w:rsidR="0003279A" w:rsidRPr="00B06633" w:rsidRDefault="0003279A" w:rsidP="003B314A">
      <w:pPr>
        <w:jc w:val="both"/>
        <w:rPr>
          <w:b/>
        </w:rPr>
      </w:pPr>
    </w:p>
    <w:p w:rsidR="0003279A" w:rsidRPr="00B06633" w:rsidRDefault="0003279A" w:rsidP="003B314A">
      <w:pPr>
        <w:jc w:val="both"/>
        <w:rPr>
          <w:b/>
        </w:rPr>
      </w:pPr>
      <w:r w:rsidRPr="00B06633">
        <w:rPr>
          <w:b/>
        </w:rPr>
        <w:t>Budget</w:t>
      </w:r>
    </w:p>
    <w:p w:rsidR="0003279A" w:rsidRPr="00B06633" w:rsidRDefault="0003279A" w:rsidP="003B314A">
      <w:pPr>
        <w:spacing w:after="240"/>
        <w:jc w:val="both"/>
      </w:pPr>
      <w:r w:rsidRPr="00B06633">
        <w:t xml:space="preserve">A statement which reflects the </w:t>
      </w:r>
      <w:r w:rsidR="001F1A1A">
        <w:t>County Council</w:t>
      </w:r>
      <w:r w:rsidRPr="00B06633">
        <w:t>’s policies in financial terms and which sets out its spending plans for a given period.</w:t>
      </w:r>
    </w:p>
    <w:p w:rsidR="0003279A" w:rsidRPr="00B06633" w:rsidRDefault="0003279A" w:rsidP="003B314A">
      <w:pPr>
        <w:jc w:val="both"/>
        <w:rPr>
          <w:b/>
        </w:rPr>
      </w:pPr>
      <w:r w:rsidRPr="00B06633">
        <w:rPr>
          <w:b/>
        </w:rPr>
        <w:t>Capital assets</w:t>
      </w:r>
    </w:p>
    <w:p w:rsidR="0003279A" w:rsidRPr="00B06633" w:rsidRDefault="0003279A" w:rsidP="003B314A">
      <w:pPr>
        <w:jc w:val="both"/>
        <w:rPr>
          <w:b/>
        </w:rPr>
      </w:pPr>
      <w:r w:rsidRPr="00B06633">
        <w:t>Assets bought through capital expenditure. They are also known as ‘capital items’ and ‘fixed assets’.</w:t>
      </w:r>
    </w:p>
    <w:p w:rsidR="0003279A" w:rsidRPr="00B06633" w:rsidRDefault="0003279A" w:rsidP="003B314A">
      <w:pPr>
        <w:jc w:val="both"/>
        <w:rPr>
          <w:b/>
        </w:rPr>
      </w:pPr>
    </w:p>
    <w:p w:rsidR="0003279A" w:rsidRPr="00B06633" w:rsidRDefault="0003279A" w:rsidP="003B314A">
      <w:pPr>
        <w:jc w:val="both"/>
        <w:rPr>
          <w:b/>
        </w:rPr>
      </w:pPr>
      <w:r w:rsidRPr="00B06633">
        <w:rPr>
          <w:b/>
        </w:rPr>
        <w:t>Capital creditors</w:t>
      </w:r>
    </w:p>
    <w:p w:rsidR="0003279A" w:rsidRPr="00B06633" w:rsidRDefault="0003279A" w:rsidP="003B314A">
      <w:pPr>
        <w:jc w:val="both"/>
      </w:pPr>
      <w:r w:rsidRPr="00B06633">
        <w:t xml:space="preserve">Amounts owed by the </w:t>
      </w:r>
      <w:r w:rsidR="001F1A1A">
        <w:t>County Council</w:t>
      </w:r>
      <w:r w:rsidRPr="00B06633">
        <w:t xml:space="preserve"> for spending on buying or improving assets.</w:t>
      </w:r>
    </w:p>
    <w:p w:rsidR="0003279A" w:rsidRPr="00B06633" w:rsidRDefault="0003279A" w:rsidP="003B314A">
      <w:pPr>
        <w:jc w:val="both"/>
        <w:rPr>
          <w:b/>
        </w:rPr>
      </w:pPr>
    </w:p>
    <w:p w:rsidR="0003279A" w:rsidRPr="00B06633" w:rsidRDefault="0003279A" w:rsidP="003B314A">
      <w:pPr>
        <w:jc w:val="both"/>
        <w:rPr>
          <w:b/>
        </w:rPr>
      </w:pPr>
      <w:r w:rsidRPr="00B06633">
        <w:rPr>
          <w:b/>
        </w:rPr>
        <w:t>Capital expenditure</w:t>
      </w:r>
    </w:p>
    <w:p w:rsidR="0003279A" w:rsidRPr="00B06633" w:rsidRDefault="0003279A" w:rsidP="003B314A">
      <w:pPr>
        <w:spacing w:after="240"/>
        <w:jc w:val="both"/>
      </w:pPr>
      <w:r w:rsidRPr="00B06633">
        <w:t>Spending on buying or improving assets that have a long-term benefit – for example land, buildings and roads. Capital expenditure is also known as ‘capital spending’, ‘capital outlay’ and ‘capital payments’.</w:t>
      </w:r>
    </w:p>
    <w:p w:rsidR="0003279A" w:rsidRPr="00B06633" w:rsidRDefault="0003279A" w:rsidP="003B314A">
      <w:pPr>
        <w:jc w:val="both"/>
        <w:rPr>
          <w:b/>
        </w:rPr>
      </w:pPr>
      <w:r w:rsidRPr="00B06633">
        <w:rPr>
          <w:b/>
        </w:rPr>
        <w:t>Capital grant</w:t>
      </w:r>
    </w:p>
    <w:p w:rsidR="00FE6407" w:rsidRPr="009B5763" w:rsidRDefault="0003279A" w:rsidP="003B314A">
      <w:pPr>
        <w:spacing w:after="240"/>
        <w:jc w:val="both"/>
      </w:pPr>
      <w:r w:rsidRPr="00B06633">
        <w:t>Money received for capital items (see ‘capital expenditure’ above).</w:t>
      </w:r>
    </w:p>
    <w:p w:rsidR="0003279A" w:rsidRPr="00B06633" w:rsidRDefault="0003279A" w:rsidP="003B314A">
      <w:pPr>
        <w:jc w:val="both"/>
        <w:rPr>
          <w:b/>
        </w:rPr>
      </w:pPr>
      <w:r w:rsidRPr="00B06633">
        <w:rPr>
          <w:b/>
        </w:rPr>
        <w:lastRenderedPageBreak/>
        <w:t>Capitalisation</w:t>
      </w:r>
    </w:p>
    <w:p w:rsidR="0003279A" w:rsidRPr="00B06633" w:rsidRDefault="0003279A" w:rsidP="003B314A">
      <w:pPr>
        <w:spacing w:after="240"/>
        <w:jc w:val="both"/>
      </w:pPr>
      <w:r w:rsidRPr="00B06633">
        <w:t>The classification of expenditure as capital rather than revenue, subject to the condition that the expenditure yields a benefit to the authority for a period of more than one year.</w:t>
      </w:r>
    </w:p>
    <w:p w:rsidR="0003279A" w:rsidRPr="00B06633" w:rsidRDefault="0003279A" w:rsidP="003B314A">
      <w:pPr>
        <w:jc w:val="both"/>
        <w:rPr>
          <w:b/>
        </w:rPr>
      </w:pPr>
      <w:r w:rsidRPr="00B06633">
        <w:rPr>
          <w:b/>
        </w:rPr>
        <w:t>Capital investment</w:t>
      </w:r>
    </w:p>
    <w:p w:rsidR="0003279A" w:rsidRPr="00B06633" w:rsidRDefault="0003279A" w:rsidP="003B314A">
      <w:pPr>
        <w:jc w:val="both"/>
      </w:pPr>
      <w:r w:rsidRPr="00B06633">
        <w:t>Money invested in capital projects.</w:t>
      </w:r>
    </w:p>
    <w:p w:rsidR="0003279A" w:rsidRPr="00B06633" w:rsidRDefault="0003279A" w:rsidP="003B314A">
      <w:pPr>
        <w:jc w:val="both"/>
        <w:rPr>
          <w:b/>
        </w:rPr>
      </w:pPr>
    </w:p>
    <w:p w:rsidR="0003279A" w:rsidRPr="00B06633" w:rsidRDefault="0003279A" w:rsidP="003B314A">
      <w:pPr>
        <w:jc w:val="both"/>
        <w:rPr>
          <w:b/>
        </w:rPr>
      </w:pPr>
      <w:r w:rsidRPr="00B06633">
        <w:rPr>
          <w:b/>
        </w:rPr>
        <w:t>Capital projects</w:t>
      </w:r>
    </w:p>
    <w:p w:rsidR="0003279A" w:rsidRPr="00B06633" w:rsidRDefault="0003279A" w:rsidP="003B314A">
      <w:pPr>
        <w:spacing w:after="240"/>
        <w:jc w:val="both"/>
      </w:pPr>
      <w:r w:rsidRPr="00B06633">
        <w:t>Projects to buy or improve assets that have a long-term benefit – for example, land, buildings and roads. These projects are funded by capital expenditure.</w:t>
      </w:r>
    </w:p>
    <w:p w:rsidR="0003279A" w:rsidRPr="00B06633" w:rsidRDefault="0003279A" w:rsidP="003B314A">
      <w:pPr>
        <w:jc w:val="both"/>
        <w:rPr>
          <w:b/>
        </w:rPr>
      </w:pPr>
      <w:r w:rsidRPr="00B06633">
        <w:rPr>
          <w:b/>
        </w:rPr>
        <w:t>Capital receipts</w:t>
      </w:r>
    </w:p>
    <w:p w:rsidR="0003279A" w:rsidRPr="00B06633" w:rsidRDefault="0003279A" w:rsidP="003B314A">
      <w:pPr>
        <w:spacing w:after="240"/>
        <w:jc w:val="both"/>
      </w:pPr>
      <w:r w:rsidRPr="00B06633">
        <w:t xml:space="preserve">Proceeds received from the sale of capital assets. The proceeds are set aside in the Capital reserve in order to repay the </w:t>
      </w:r>
      <w:r w:rsidR="001F1A1A">
        <w:t>County Council</w:t>
      </w:r>
      <w:r w:rsidRPr="00B06633">
        <w:t>’s borrowings or to finance new capital expenditure.</w:t>
      </w:r>
    </w:p>
    <w:p w:rsidR="0003279A" w:rsidRPr="00B06633" w:rsidRDefault="0003279A" w:rsidP="003B314A">
      <w:pPr>
        <w:jc w:val="both"/>
        <w:rPr>
          <w:b/>
        </w:rPr>
      </w:pPr>
      <w:r w:rsidRPr="00B06633">
        <w:rPr>
          <w:b/>
        </w:rPr>
        <w:t>Capital schemes</w:t>
      </w:r>
    </w:p>
    <w:p w:rsidR="0003279A" w:rsidRPr="00B06633" w:rsidRDefault="0003279A" w:rsidP="003B314A">
      <w:pPr>
        <w:jc w:val="both"/>
      </w:pPr>
      <w:r w:rsidRPr="00B06633">
        <w:t>Another term for ‘capital projects’.</w:t>
      </w:r>
    </w:p>
    <w:p w:rsidR="0003279A" w:rsidRPr="00B06633" w:rsidRDefault="0003279A" w:rsidP="003B314A">
      <w:pPr>
        <w:jc w:val="both"/>
        <w:rPr>
          <w:b/>
        </w:rPr>
      </w:pPr>
    </w:p>
    <w:p w:rsidR="0003279A" w:rsidRPr="00B06633" w:rsidRDefault="0003279A" w:rsidP="003B314A">
      <w:pPr>
        <w:jc w:val="both"/>
        <w:rPr>
          <w:b/>
        </w:rPr>
      </w:pPr>
      <w:r w:rsidRPr="00B06633">
        <w:rPr>
          <w:b/>
        </w:rPr>
        <w:t>Capitalise</w:t>
      </w:r>
    </w:p>
    <w:p w:rsidR="0003279A" w:rsidRPr="00B06633" w:rsidRDefault="0003279A" w:rsidP="003B314A">
      <w:pPr>
        <w:spacing w:after="240"/>
        <w:jc w:val="both"/>
      </w:pPr>
      <w:r w:rsidRPr="00B06633">
        <w:t>To treat as capital expenditure rather than revenue expenditure.</w:t>
      </w:r>
    </w:p>
    <w:p w:rsidR="0003279A" w:rsidRPr="00B06633" w:rsidRDefault="0003279A" w:rsidP="003B314A">
      <w:pPr>
        <w:jc w:val="both"/>
        <w:rPr>
          <w:b/>
        </w:rPr>
      </w:pPr>
      <w:r w:rsidRPr="00B06633">
        <w:rPr>
          <w:b/>
        </w:rPr>
        <w:t>Capital elements</w:t>
      </w:r>
    </w:p>
    <w:p w:rsidR="0003279A" w:rsidRPr="00B06633" w:rsidRDefault="0003279A" w:rsidP="003B314A">
      <w:pPr>
        <w:spacing w:after="240"/>
        <w:jc w:val="both"/>
      </w:pPr>
      <w:r w:rsidRPr="00B06633">
        <w:t>Various items of costs e.g. materials and interest payments.</w:t>
      </w:r>
    </w:p>
    <w:p w:rsidR="0003279A" w:rsidRPr="00B06633" w:rsidRDefault="0003279A" w:rsidP="003B314A">
      <w:pPr>
        <w:jc w:val="both"/>
        <w:rPr>
          <w:b/>
        </w:rPr>
      </w:pPr>
      <w:r w:rsidRPr="00B06633">
        <w:rPr>
          <w:b/>
        </w:rPr>
        <w:t>Capital funding</w:t>
      </w:r>
    </w:p>
    <w:p w:rsidR="0003279A" w:rsidRPr="00B06633" w:rsidRDefault="0003279A" w:rsidP="003B314A">
      <w:pPr>
        <w:jc w:val="both"/>
      </w:pPr>
      <w:r w:rsidRPr="00B06633">
        <w:t>Money to support spending on capital projects.</w:t>
      </w:r>
    </w:p>
    <w:p w:rsidR="0003279A" w:rsidRPr="00B06633" w:rsidRDefault="0003279A" w:rsidP="003B314A">
      <w:pPr>
        <w:jc w:val="both"/>
        <w:rPr>
          <w:b/>
        </w:rPr>
      </w:pPr>
    </w:p>
    <w:p w:rsidR="0003279A" w:rsidRPr="00B06633" w:rsidRDefault="0003279A" w:rsidP="003B314A">
      <w:pPr>
        <w:jc w:val="both"/>
        <w:rPr>
          <w:b/>
        </w:rPr>
      </w:pPr>
      <w:r w:rsidRPr="00B06633">
        <w:rPr>
          <w:b/>
        </w:rPr>
        <w:t>Capital receipts</w:t>
      </w:r>
    </w:p>
    <w:p w:rsidR="0003279A" w:rsidRPr="00B06633" w:rsidRDefault="0003279A" w:rsidP="003B314A">
      <w:pPr>
        <w:spacing w:after="240"/>
        <w:jc w:val="both"/>
      </w:pPr>
      <w:r w:rsidRPr="00B06633">
        <w:t>Amounts received from the sale of capital assets. These can only be used for ‘capital purposes’ – to repay an existing debt or to finance new capital expenditure. Amounts received which have not yet been used are referred to as ‘capital receipts unapplied’.</w:t>
      </w:r>
    </w:p>
    <w:p w:rsidR="0003279A" w:rsidRPr="00B06633" w:rsidRDefault="0003279A" w:rsidP="003B314A">
      <w:pPr>
        <w:jc w:val="both"/>
        <w:rPr>
          <w:b/>
        </w:rPr>
      </w:pPr>
      <w:r w:rsidRPr="00B06633">
        <w:rPr>
          <w:b/>
        </w:rPr>
        <w:t>Capital reserves</w:t>
      </w:r>
    </w:p>
    <w:p w:rsidR="0003279A" w:rsidRPr="00B06633" w:rsidRDefault="0003279A" w:rsidP="003B314A">
      <w:pPr>
        <w:jc w:val="both"/>
      </w:pPr>
      <w:r w:rsidRPr="00B06633">
        <w:t>Amounts set aside to support future capital projects.</w:t>
      </w:r>
    </w:p>
    <w:p w:rsidR="0003279A" w:rsidRPr="00B06633" w:rsidRDefault="0003279A" w:rsidP="003B314A">
      <w:pPr>
        <w:jc w:val="both"/>
        <w:rPr>
          <w:b/>
        </w:rPr>
      </w:pPr>
    </w:p>
    <w:p w:rsidR="0003279A" w:rsidRPr="00B06633" w:rsidRDefault="0003279A" w:rsidP="003B314A">
      <w:pPr>
        <w:jc w:val="both"/>
        <w:rPr>
          <w:b/>
        </w:rPr>
      </w:pPr>
      <w:r w:rsidRPr="00B06633">
        <w:rPr>
          <w:b/>
        </w:rPr>
        <w:t>Capital value</w:t>
      </w:r>
    </w:p>
    <w:p w:rsidR="0003279A" w:rsidRPr="00B06633" w:rsidRDefault="0003279A" w:rsidP="003B314A">
      <w:pPr>
        <w:jc w:val="both"/>
      </w:pPr>
      <w:r w:rsidRPr="00B06633">
        <w:t>Amount spent on capital.</w:t>
      </w:r>
    </w:p>
    <w:p w:rsidR="0003279A" w:rsidRPr="00B06633" w:rsidRDefault="0003279A" w:rsidP="003B314A">
      <w:pPr>
        <w:jc w:val="both"/>
        <w:rPr>
          <w:b/>
        </w:rPr>
      </w:pPr>
    </w:p>
    <w:p w:rsidR="0003279A" w:rsidRPr="00B06633" w:rsidRDefault="0003279A" w:rsidP="003B314A">
      <w:pPr>
        <w:jc w:val="both"/>
        <w:rPr>
          <w:b/>
        </w:rPr>
      </w:pPr>
      <w:r w:rsidRPr="00B06633">
        <w:rPr>
          <w:b/>
        </w:rPr>
        <w:t>Cash balance</w:t>
      </w:r>
    </w:p>
    <w:p w:rsidR="0003279A" w:rsidRPr="00B06633" w:rsidRDefault="0003279A" w:rsidP="003B314A">
      <w:pPr>
        <w:jc w:val="both"/>
      </w:pPr>
      <w:r w:rsidRPr="00B06633">
        <w:t>Cash available to invest on the money market.</w:t>
      </w:r>
    </w:p>
    <w:p w:rsidR="0003279A" w:rsidRPr="00B06633" w:rsidRDefault="0003279A" w:rsidP="003B314A">
      <w:pPr>
        <w:jc w:val="both"/>
        <w:rPr>
          <w:b/>
        </w:rPr>
      </w:pPr>
    </w:p>
    <w:p w:rsidR="0003279A" w:rsidRPr="00B06633" w:rsidRDefault="0003279A" w:rsidP="003B314A">
      <w:pPr>
        <w:jc w:val="both"/>
        <w:rPr>
          <w:b/>
        </w:rPr>
      </w:pPr>
      <w:r w:rsidRPr="00B06633">
        <w:rPr>
          <w:b/>
        </w:rPr>
        <w:t>Cash Equivalents</w:t>
      </w:r>
    </w:p>
    <w:p w:rsidR="0003279A" w:rsidRPr="00B06633" w:rsidRDefault="0003279A" w:rsidP="003B314A">
      <w:pPr>
        <w:jc w:val="both"/>
      </w:pPr>
      <w:r w:rsidRPr="00B06633">
        <w:t>Short term (less than 3 months), highly liquid investments that are readily convertible to known amounts of cash and which are subject to an insignificant risk of changes in value.</w:t>
      </w:r>
    </w:p>
    <w:p w:rsidR="0003279A" w:rsidRPr="00B06633" w:rsidRDefault="0003279A" w:rsidP="003B314A">
      <w:pPr>
        <w:jc w:val="both"/>
      </w:pPr>
    </w:p>
    <w:p w:rsidR="0003279A" w:rsidRPr="00B06633" w:rsidRDefault="0003279A" w:rsidP="003B314A">
      <w:pPr>
        <w:jc w:val="both"/>
        <w:rPr>
          <w:b/>
        </w:rPr>
      </w:pPr>
      <w:r w:rsidRPr="00B06633">
        <w:rPr>
          <w:b/>
        </w:rPr>
        <w:t>Cash transactions</w:t>
      </w:r>
    </w:p>
    <w:p w:rsidR="0003279A" w:rsidRPr="00B06633" w:rsidRDefault="0003279A" w:rsidP="003B314A">
      <w:pPr>
        <w:spacing w:after="240"/>
        <w:jc w:val="both"/>
      </w:pPr>
      <w:r w:rsidRPr="00B06633">
        <w:t>Cash amounts entering or leaving the accounts – for example, to pay for goods or services, or income from fees and charges.</w:t>
      </w:r>
    </w:p>
    <w:p w:rsidR="0003279A" w:rsidRPr="00B06633" w:rsidRDefault="0003279A" w:rsidP="003B314A">
      <w:pPr>
        <w:jc w:val="both"/>
        <w:rPr>
          <w:b/>
        </w:rPr>
      </w:pPr>
      <w:r w:rsidRPr="00B06633">
        <w:rPr>
          <w:b/>
        </w:rPr>
        <w:t>Central items</w:t>
      </w:r>
    </w:p>
    <w:p w:rsidR="00FE6407" w:rsidRPr="00B06633" w:rsidRDefault="0003279A" w:rsidP="003B314A">
      <w:pPr>
        <w:spacing w:after="240"/>
        <w:jc w:val="both"/>
      </w:pPr>
      <w:r w:rsidRPr="00B06633">
        <w:t xml:space="preserve">Central overheads </w:t>
      </w:r>
      <w:r w:rsidR="00FB45F6" w:rsidRPr="00B06633">
        <w:t>e.g.</w:t>
      </w:r>
      <w:r w:rsidRPr="00B06633">
        <w:t xml:space="preserve"> payroll costs.</w:t>
      </w:r>
    </w:p>
    <w:p w:rsidR="0003279A" w:rsidRPr="00B06633" w:rsidRDefault="0003279A" w:rsidP="003B314A">
      <w:pPr>
        <w:jc w:val="both"/>
        <w:rPr>
          <w:b/>
        </w:rPr>
      </w:pPr>
      <w:r w:rsidRPr="00B06633">
        <w:rPr>
          <w:b/>
        </w:rPr>
        <w:lastRenderedPageBreak/>
        <w:t>Change in Accounting Estimate</w:t>
      </w:r>
    </w:p>
    <w:p w:rsidR="0003279A" w:rsidRPr="00B06633" w:rsidRDefault="0003279A" w:rsidP="003B314A">
      <w:pPr>
        <w:jc w:val="both"/>
      </w:pPr>
      <w:r w:rsidRPr="00B06633">
        <w:t>An adjustment of the carrying amount of an asset or liability that results from an assessment of the present status and future benefits or obligations.  These changes occur as a result of new information, and are not corrections of errors.</w:t>
      </w:r>
    </w:p>
    <w:p w:rsidR="0003279A" w:rsidRPr="00B06633" w:rsidRDefault="0003279A" w:rsidP="003B314A">
      <w:pPr>
        <w:jc w:val="both"/>
      </w:pPr>
    </w:p>
    <w:p w:rsidR="0003279A" w:rsidRPr="00B06633" w:rsidRDefault="0003279A" w:rsidP="003B314A">
      <w:pPr>
        <w:jc w:val="both"/>
        <w:rPr>
          <w:b/>
        </w:rPr>
      </w:pPr>
      <w:r w:rsidRPr="00B06633">
        <w:rPr>
          <w:b/>
        </w:rPr>
        <w:t>Class of tangible non current assets</w:t>
      </w:r>
    </w:p>
    <w:p w:rsidR="0003279A" w:rsidRPr="00B06633" w:rsidRDefault="0003279A" w:rsidP="003B314A">
      <w:pPr>
        <w:spacing w:after="240"/>
        <w:jc w:val="both"/>
      </w:pPr>
      <w:r w:rsidRPr="00B06633">
        <w:t>The classes of tangible non current assets required to be included in the accounting statements are:</w:t>
      </w:r>
    </w:p>
    <w:p w:rsidR="0003279A" w:rsidRPr="00B06633" w:rsidRDefault="0003279A" w:rsidP="003B314A">
      <w:pPr>
        <w:spacing w:after="240"/>
        <w:jc w:val="both"/>
      </w:pPr>
      <w:r w:rsidRPr="00B06633">
        <w:t>Operational assets:</w:t>
      </w:r>
    </w:p>
    <w:p w:rsidR="0003279A" w:rsidRPr="00B06633" w:rsidRDefault="0003279A" w:rsidP="003B314A">
      <w:pPr>
        <w:numPr>
          <w:ilvl w:val="0"/>
          <w:numId w:val="20"/>
        </w:numPr>
        <w:spacing w:after="240"/>
        <w:jc w:val="both"/>
      </w:pPr>
      <w:r w:rsidRPr="00B06633">
        <w:t>Council dwellings.</w:t>
      </w:r>
    </w:p>
    <w:p w:rsidR="0003279A" w:rsidRPr="00B06633" w:rsidRDefault="0003279A" w:rsidP="003B314A">
      <w:pPr>
        <w:numPr>
          <w:ilvl w:val="0"/>
          <w:numId w:val="20"/>
        </w:numPr>
        <w:spacing w:after="240"/>
        <w:jc w:val="both"/>
      </w:pPr>
      <w:r w:rsidRPr="00B06633">
        <w:t>Other land and buildings.</w:t>
      </w:r>
    </w:p>
    <w:p w:rsidR="0003279A" w:rsidRPr="00B06633" w:rsidRDefault="0003279A" w:rsidP="003B314A">
      <w:pPr>
        <w:numPr>
          <w:ilvl w:val="0"/>
          <w:numId w:val="20"/>
        </w:numPr>
        <w:spacing w:after="240"/>
        <w:jc w:val="both"/>
      </w:pPr>
      <w:r w:rsidRPr="00B06633">
        <w:t>Vehicles, plant, furniture and equipment.</w:t>
      </w:r>
    </w:p>
    <w:p w:rsidR="0003279A" w:rsidRPr="00B06633" w:rsidRDefault="0003279A" w:rsidP="003B314A">
      <w:pPr>
        <w:numPr>
          <w:ilvl w:val="0"/>
          <w:numId w:val="20"/>
        </w:numPr>
        <w:spacing w:after="240"/>
        <w:jc w:val="both"/>
      </w:pPr>
      <w:r w:rsidRPr="00B06633">
        <w:t>Infrastructure assets – these are inalienable assets, expenditure on which is only recoverable by continued use of the asset created, i.e. there is no prospect of sale or alternative use.  Examples of infrastructure assets are maintenance of highways and footpaths.</w:t>
      </w:r>
    </w:p>
    <w:p w:rsidR="0003279A" w:rsidRPr="00B06633" w:rsidRDefault="0003279A" w:rsidP="003B314A">
      <w:pPr>
        <w:numPr>
          <w:ilvl w:val="0"/>
          <w:numId w:val="20"/>
        </w:numPr>
        <w:spacing w:after="240"/>
        <w:jc w:val="both"/>
      </w:pPr>
      <w:r w:rsidRPr="00B06633">
        <w:t>Community assets – these are assets that the local authority intends to hold in perpetuity, that have no determinable useful life, and that may have restrictions on their disposal. Examples of community assets are parks and historical buildings.</w:t>
      </w:r>
    </w:p>
    <w:p w:rsidR="0003279A" w:rsidRPr="00B06633" w:rsidRDefault="0003279A" w:rsidP="003B314A">
      <w:pPr>
        <w:spacing w:after="240"/>
        <w:jc w:val="both"/>
      </w:pPr>
      <w:r w:rsidRPr="00B06633">
        <w:t>Non Operational Assets:</w:t>
      </w:r>
    </w:p>
    <w:p w:rsidR="0003279A" w:rsidRDefault="0003279A" w:rsidP="003B314A">
      <w:pPr>
        <w:pStyle w:val="ListParagraph"/>
        <w:numPr>
          <w:ilvl w:val="0"/>
          <w:numId w:val="52"/>
        </w:numPr>
        <w:spacing w:after="240"/>
        <w:contextualSpacing/>
        <w:jc w:val="both"/>
      </w:pPr>
      <w:r w:rsidRPr="00B06633">
        <w:t>Surplus asset</w:t>
      </w:r>
    </w:p>
    <w:p w:rsidR="00D6238B" w:rsidRPr="00B06633" w:rsidRDefault="00D6238B" w:rsidP="003B314A">
      <w:pPr>
        <w:pStyle w:val="ListParagraph"/>
        <w:spacing w:after="240"/>
        <w:contextualSpacing/>
        <w:jc w:val="both"/>
      </w:pPr>
    </w:p>
    <w:p w:rsidR="0003279A" w:rsidRPr="00B06633" w:rsidRDefault="0003279A" w:rsidP="003B314A">
      <w:pPr>
        <w:pStyle w:val="ListParagraph"/>
        <w:numPr>
          <w:ilvl w:val="0"/>
          <w:numId w:val="52"/>
        </w:numPr>
        <w:spacing w:after="240"/>
        <w:contextualSpacing/>
        <w:jc w:val="both"/>
        <w:rPr>
          <w:b/>
        </w:rPr>
      </w:pPr>
      <w:r w:rsidRPr="00B06633">
        <w:t>Assets under construction</w:t>
      </w:r>
    </w:p>
    <w:p w:rsidR="0003279A" w:rsidRPr="00B06633" w:rsidRDefault="0003279A" w:rsidP="003B314A">
      <w:pPr>
        <w:pStyle w:val="ListParagraph"/>
        <w:jc w:val="both"/>
        <w:rPr>
          <w:b/>
        </w:rPr>
      </w:pPr>
    </w:p>
    <w:p w:rsidR="0003279A" w:rsidRPr="00B06633" w:rsidRDefault="0003279A" w:rsidP="003B314A">
      <w:pPr>
        <w:jc w:val="both"/>
        <w:rPr>
          <w:b/>
        </w:rPr>
      </w:pPr>
      <w:r w:rsidRPr="00B06633">
        <w:rPr>
          <w:b/>
        </w:rPr>
        <w:t>CIPFA</w:t>
      </w:r>
    </w:p>
    <w:p w:rsidR="0003279A" w:rsidRPr="00B06633" w:rsidRDefault="0003279A" w:rsidP="003B314A">
      <w:pPr>
        <w:spacing w:after="240"/>
        <w:jc w:val="both"/>
      </w:pPr>
      <w:r w:rsidRPr="00B06633">
        <w:t>The Chartered Institute of Public Finance and Accountants is the accountancy body which recommends accounting practice for the preparation of local authority accounts.</w:t>
      </w:r>
    </w:p>
    <w:p w:rsidR="0003279A" w:rsidRPr="00B06633" w:rsidRDefault="0003279A" w:rsidP="003B314A">
      <w:pPr>
        <w:jc w:val="both"/>
        <w:rPr>
          <w:b/>
        </w:rPr>
      </w:pPr>
      <w:r w:rsidRPr="00B06633">
        <w:rPr>
          <w:b/>
        </w:rPr>
        <w:t>Collection</w:t>
      </w:r>
      <w:r w:rsidRPr="00B06633">
        <w:rPr>
          <w:i/>
        </w:rPr>
        <w:t xml:space="preserve"> </w:t>
      </w:r>
      <w:r w:rsidRPr="00B06633">
        <w:rPr>
          <w:b/>
        </w:rPr>
        <w:t>fund</w:t>
      </w:r>
    </w:p>
    <w:p w:rsidR="0003279A" w:rsidRPr="00B06633" w:rsidRDefault="0003279A" w:rsidP="003B314A">
      <w:pPr>
        <w:spacing w:after="240"/>
        <w:jc w:val="both"/>
        <w:rPr>
          <w:b/>
        </w:rPr>
      </w:pPr>
      <w:r w:rsidRPr="00B06633">
        <w:t>The system used by district and borough councils to keep Council Tax separate from their own accounts. The amount in the collection fund each year is fed into the Council Tax calculation for the following year.</w:t>
      </w:r>
    </w:p>
    <w:p w:rsidR="0003279A" w:rsidRPr="00B06633" w:rsidRDefault="0003279A" w:rsidP="003B314A">
      <w:pPr>
        <w:jc w:val="both"/>
        <w:rPr>
          <w:b/>
        </w:rPr>
      </w:pPr>
      <w:r w:rsidRPr="00B06633">
        <w:rPr>
          <w:b/>
        </w:rPr>
        <w:t>Construction Contract</w:t>
      </w:r>
    </w:p>
    <w:p w:rsidR="009B5763" w:rsidRPr="00D6238B" w:rsidRDefault="0003279A" w:rsidP="003B314A">
      <w:pPr>
        <w:jc w:val="both"/>
      </w:pPr>
      <w:r w:rsidRPr="00B06633">
        <w:t>A contract specifically negotiated for the construction of an asset and services related to the construction, for example architects.</w:t>
      </w:r>
    </w:p>
    <w:p w:rsidR="009B5763" w:rsidRDefault="009B5763" w:rsidP="003B314A">
      <w:pPr>
        <w:jc w:val="both"/>
        <w:rPr>
          <w:b/>
        </w:rPr>
      </w:pPr>
    </w:p>
    <w:p w:rsidR="0003279A" w:rsidRPr="00B06633" w:rsidRDefault="0003279A" w:rsidP="003B314A">
      <w:pPr>
        <w:jc w:val="both"/>
        <w:rPr>
          <w:b/>
        </w:rPr>
      </w:pPr>
      <w:r w:rsidRPr="00B06633">
        <w:rPr>
          <w:b/>
        </w:rPr>
        <w:t>Contingent liabilities</w:t>
      </w:r>
    </w:p>
    <w:p w:rsidR="0003279A" w:rsidRPr="00B06633" w:rsidRDefault="0003279A" w:rsidP="003B314A">
      <w:pPr>
        <w:spacing w:after="240"/>
        <w:jc w:val="both"/>
      </w:pPr>
      <w:r w:rsidRPr="00B06633">
        <w:t>Liabilities relating to a known set of circumstances which may or may not arise. They can also be liabilities which are likely to arise but which are very difficult to measure until future developments make things clearer.</w:t>
      </w:r>
    </w:p>
    <w:p w:rsidR="00095933" w:rsidRPr="00B06633" w:rsidRDefault="00095933" w:rsidP="003B314A">
      <w:pPr>
        <w:spacing w:after="240"/>
        <w:jc w:val="both"/>
      </w:pPr>
    </w:p>
    <w:p w:rsidR="0003279A" w:rsidRPr="00B06633" w:rsidRDefault="0003279A" w:rsidP="003B314A">
      <w:pPr>
        <w:jc w:val="both"/>
        <w:rPr>
          <w:b/>
        </w:rPr>
      </w:pPr>
      <w:r w:rsidRPr="00B06633">
        <w:rPr>
          <w:b/>
        </w:rPr>
        <w:lastRenderedPageBreak/>
        <w:t>Contributions equivalent premium</w:t>
      </w:r>
    </w:p>
    <w:p w:rsidR="0003279A" w:rsidRPr="00B06633" w:rsidRDefault="0003279A" w:rsidP="003B314A">
      <w:pPr>
        <w:spacing w:after="240"/>
        <w:jc w:val="both"/>
      </w:pPr>
      <w:r w:rsidRPr="00B06633">
        <w:t>Money that is repaid to the DSS when someone opts out of the county pension scheme and rejoins the state scheme. All benefits are repaid as if that person had never left the state scheme.</w:t>
      </w:r>
    </w:p>
    <w:p w:rsidR="0003279A" w:rsidRPr="00B06633" w:rsidRDefault="0003279A" w:rsidP="003B314A">
      <w:pPr>
        <w:jc w:val="both"/>
      </w:pPr>
      <w:r w:rsidRPr="00B06633">
        <w:rPr>
          <w:b/>
        </w:rPr>
        <w:t>Corporate and democratic core</w:t>
      </w:r>
    </w:p>
    <w:p w:rsidR="0003279A" w:rsidRPr="00B06633" w:rsidRDefault="0003279A" w:rsidP="003B314A">
      <w:pPr>
        <w:spacing w:after="240"/>
        <w:jc w:val="both"/>
      </w:pPr>
      <w:r w:rsidRPr="00B06633">
        <w:t>The corporate and democratic core comprises all activities which local authorities engage in specifically because they are elected, multi-purpose authorities. The cost of these activities are thus over and above those which would be incurred by a series of independent, single purpose, nominated bodies managing the same services. There is therefore no logical basis for apportioning these costs to the services.</w:t>
      </w:r>
    </w:p>
    <w:p w:rsidR="0003279A" w:rsidRPr="00B06633" w:rsidRDefault="0003279A" w:rsidP="003B314A">
      <w:pPr>
        <w:jc w:val="both"/>
        <w:rPr>
          <w:b/>
        </w:rPr>
      </w:pPr>
      <w:r w:rsidRPr="00B06633">
        <w:rPr>
          <w:b/>
        </w:rPr>
        <w:t>Corporate governance</w:t>
      </w:r>
    </w:p>
    <w:p w:rsidR="0003279A" w:rsidRPr="00B06633" w:rsidRDefault="0003279A" w:rsidP="003B314A">
      <w:pPr>
        <w:spacing w:after="240"/>
        <w:jc w:val="both"/>
      </w:pPr>
      <w:r w:rsidRPr="00B06633">
        <w:t>The authoritative rules and controls in place within an organisation required to promote openness, inclusivity, integrity and accountability.</w:t>
      </w:r>
    </w:p>
    <w:p w:rsidR="0003279A" w:rsidRPr="00B06633" w:rsidRDefault="0003279A" w:rsidP="003B314A">
      <w:pPr>
        <w:jc w:val="both"/>
        <w:rPr>
          <w:b/>
        </w:rPr>
      </w:pPr>
      <w:r w:rsidRPr="00B06633">
        <w:rPr>
          <w:b/>
        </w:rPr>
        <w:t>Council Tax precept</w:t>
      </w:r>
    </w:p>
    <w:p w:rsidR="0003279A" w:rsidRPr="00B06633" w:rsidRDefault="0003279A" w:rsidP="003B314A">
      <w:pPr>
        <w:spacing w:after="240"/>
        <w:jc w:val="both"/>
      </w:pPr>
      <w:r w:rsidRPr="00B06633">
        <w:t xml:space="preserve">The Council Tax charged by one authority (the precepting authority) which is collected by another authority (the billing authority). The </w:t>
      </w:r>
      <w:r w:rsidR="001F1A1A">
        <w:t>County Council</w:t>
      </w:r>
      <w:r w:rsidRPr="00B06633">
        <w:t xml:space="preserve">’s Council Tax income is charged through a precept on the district councils’ collection funds. (The Environment Agency also charges the </w:t>
      </w:r>
      <w:r w:rsidR="001F1A1A">
        <w:t>County Council</w:t>
      </w:r>
      <w:r w:rsidRPr="00B06633">
        <w:t xml:space="preserve"> a precept for flood prevention purposes).</w:t>
      </w:r>
    </w:p>
    <w:p w:rsidR="0003279A" w:rsidRPr="00B06633" w:rsidRDefault="0003279A" w:rsidP="003B314A">
      <w:pPr>
        <w:jc w:val="both"/>
        <w:rPr>
          <w:b/>
        </w:rPr>
      </w:pPr>
      <w:smartTag w:uri="urn:schemas-microsoft-com:office:smarttags" w:element="place">
        <w:smartTag w:uri="urn:schemas-microsoft-com:office:smarttags" w:element="PlaceType">
          <w:r w:rsidRPr="00B06633">
            <w:rPr>
              <w:b/>
            </w:rPr>
            <w:t>County</w:t>
          </w:r>
        </w:smartTag>
        <w:r w:rsidRPr="00B06633">
          <w:rPr>
            <w:b/>
          </w:rPr>
          <w:t xml:space="preserve"> </w:t>
        </w:r>
        <w:smartTag w:uri="urn:schemas-microsoft-com:office:smarttags" w:element="PlaceName">
          <w:r w:rsidRPr="00B06633">
            <w:rPr>
              <w:b/>
            </w:rPr>
            <w:t>Fund</w:t>
          </w:r>
        </w:smartTag>
      </w:smartTag>
    </w:p>
    <w:p w:rsidR="0003279A" w:rsidRPr="00B06633" w:rsidRDefault="0003279A" w:rsidP="003B314A">
      <w:pPr>
        <w:spacing w:after="240"/>
        <w:jc w:val="both"/>
        <w:rPr>
          <w:b/>
        </w:rPr>
      </w:pPr>
      <w:r w:rsidRPr="00B06633">
        <w:t xml:space="preserve">The main revenue fund used to provide </w:t>
      </w:r>
      <w:r w:rsidR="001F1A1A">
        <w:t>County Council</w:t>
      </w:r>
      <w:r w:rsidRPr="00B06633">
        <w:t xml:space="preserve"> services (also known as the ‘</w:t>
      </w:r>
      <w:r w:rsidR="00F730B9" w:rsidRPr="00B06633">
        <w:t>County fund</w:t>
      </w:r>
      <w:r w:rsidRPr="00B06633">
        <w:t>’). Income to the fund consists of the county precept on the collection funds, government grants and other income.</w:t>
      </w:r>
    </w:p>
    <w:p w:rsidR="0003279A" w:rsidRPr="00B06633" w:rsidRDefault="0003279A" w:rsidP="003B314A">
      <w:pPr>
        <w:jc w:val="both"/>
        <w:rPr>
          <w:b/>
        </w:rPr>
      </w:pPr>
      <w:r w:rsidRPr="00B06633">
        <w:rPr>
          <w:b/>
        </w:rPr>
        <w:t>Creditors</w:t>
      </w:r>
    </w:p>
    <w:p w:rsidR="0003279A" w:rsidRPr="00B06633" w:rsidRDefault="0003279A" w:rsidP="003B314A">
      <w:pPr>
        <w:spacing w:after="240"/>
        <w:jc w:val="both"/>
      </w:pPr>
      <w:r w:rsidRPr="00B06633">
        <w:t xml:space="preserve">Amounts owed by the </w:t>
      </w:r>
      <w:r w:rsidR="001F1A1A">
        <w:t>County Council</w:t>
      </w:r>
      <w:r w:rsidRPr="00B06633">
        <w:t xml:space="preserve"> for work carried out, goods received or services provided, which had not been paid by the date of the balance sheet.</w:t>
      </w:r>
    </w:p>
    <w:p w:rsidR="0003279A" w:rsidRPr="00B06633" w:rsidRDefault="0003279A" w:rsidP="003B314A">
      <w:pPr>
        <w:jc w:val="both"/>
        <w:rPr>
          <w:b/>
        </w:rPr>
      </w:pPr>
      <w:r w:rsidRPr="00B06633">
        <w:rPr>
          <w:b/>
        </w:rPr>
        <w:t>Current assets and liabilities</w:t>
      </w:r>
    </w:p>
    <w:p w:rsidR="0003279A" w:rsidRPr="00B06633" w:rsidRDefault="0003279A" w:rsidP="003B314A">
      <w:pPr>
        <w:spacing w:after="240"/>
        <w:jc w:val="both"/>
      </w:pPr>
      <w:r w:rsidRPr="00B06633">
        <w:t>Current assets are cash, cash equivalents and items that can be readily converted into cash. Current liabilities are items that are due for payment immediately or in the short term.</w:t>
      </w:r>
    </w:p>
    <w:p w:rsidR="0003279A" w:rsidRPr="00B06633" w:rsidRDefault="0003279A" w:rsidP="003B314A">
      <w:pPr>
        <w:spacing w:after="240"/>
        <w:jc w:val="both"/>
      </w:pPr>
      <w:r w:rsidRPr="00B06633">
        <w:t>By convention these items are ordered by reference to the ease that the asset can be converted into cash, and the timescale in which the liability falls due.</w:t>
      </w:r>
    </w:p>
    <w:p w:rsidR="0003279A" w:rsidRPr="00B06633" w:rsidRDefault="0003279A" w:rsidP="003B314A">
      <w:pPr>
        <w:jc w:val="both"/>
        <w:rPr>
          <w:b/>
        </w:rPr>
      </w:pPr>
      <w:r w:rsidRPr="00B06633">
        <w:rPr>
          <w:b/>
        </w:rPr>
        <w:t>Current service cost (IAS 19)</w:t>
      </w:r>
    </w:p>
    <w:p w:rsidR="0003279A" w:rsidRPr="00B06633" w:rsidRDefault="0003279A" w:rsidP="003B314A">
      <w:pPr>
        <w:spacing w:after="240"/>
        <w:jc w:val="both"/>
      </w:pPr>
      <w:r w:rsidRPr="00B06633">
        <w:t xml:space="preserve">The increase in the </w:t>
      </w:r>
      <w:r w:rsidR="001F1A1A">
        <w:t>County Council</w:t>
      </w:r>
      <w:r w:rsidRPr="00B06633">
        <w:t>’s defined benefit scheme obligation (pension scheme liability) as a result of employees’ service during the current year.</w:t>
      </w:r>
    </w:p>
    <w:p w:rsidR="0003279A" w:rsidRPr="00B06633" w:rsidRDefault="0003279A" w:rsidP="003B314A">
      <w:pPr>
        <w:jc w:val="both"/>
        <w:rPr>
          <w:b/>
        </w:rPr>
      </w:pPr>
      <w:r w:rsidRPr="00B06633">
        <w:rPr>
          <w:b/>
        </w:rPr>
        <w:t>Curtailment cost (IAS 19)</w:t>
      </w:r>
    </w:p>
    <w:p w:rsidR="0003279A" w:rsidRPr="00B06633" w:rsidRDefault="0003279A" w:rsidP="003B314A">
      <w:pPr>
        <w:spacing w:after="240"/>
        <w:jc w:val="both"/>
      </w:pPr>
      <w:r w:rsidRPr="00B06633">
        <w:t>Additional pension scheme liabilities as a result of redundancies and efficiency retirements during the year.</w:t>
      </w:r>
    </w:p>
    <w:p w:rsidR="0003279A" w:rsidRPr="00B06633" w:rsidRDefault="0003279A" w:rsidP="003B314A">
      <w:pPr>
        <w:jc w:val="both"/>
        <w:rPr>
          <w:b/>
        </w:rPr>
      </w:pPr>
      <w:r w:rsidRPr="00B06633">
        <w:rPr>
          <w:b/>
        </w:rPr>
        <w:t>Debt redemption</w:t>
      </w:r>
    </w:p>
    <w:p w:rsidR="0003279A" w:rsidRPr="00B06633" w:rsidRDefault="0003279A" w:rsidP="003B314A">
      <w:pPr>
        <w:jc w:val="both"/>
      </w:pPr>
      <w:r w:rsidRPr="00B06633">
        <w:t>This is where a debt is repaid early.</w:t>
      </w:r>
    </w:p>
    <w:p w:rsidR="0003279A" w:rsidRPr="00B06633" w:rsidRDefault="0003279A" w:rsidP="003B314A">
      <w:pPr>
        <w:jc w:val="both"/>
        <w:rPr>
          <w:b/>
        </w:rPr>
      </w:pPr>
    </w:p>
    <w:p w:rsidR="0003279A" w:rsidRPr="00B06633" w:rsidRDefault="0003279A" w:rsidP="003B314A">
      <w:pPr>
        <w:jc w:val="both"/>
        <w:rPr>
          <w:b/>
        </w:rPr>
      </w:pPr>
      <w:r w:rsidRPr="00B06633">
        <w:rPr>
          <w:b/>
        </w:rPr>
        <w:t>Debtors</w:t>
      </w:r>
    </w:p>
    <w:p w:rsidR="00095933" w:rsidRPr="00B06633" w:rsidRDefault="0003279A" w:rsidP="003B314A">
      <w:pPr>
        <w:spacing w:after="240"/>
        <w:jc w:val="both"/>
      </w:pPr>
      <w:r w:rsidRPr="00B06633">
        <w:t xml:space="preserve">Amounts owed to the </w:t>
      </w:r>
      <w:r w:rsidR="001F1A1A">
        <w:t>County Council</w:t>
      </w:r>
      <w:r w:rsidRPr="00B06633">
        <w:t xml:space="preserve"> which had not been paid by the date of the balance sheet.</w:t>
      </w:r>
    </w:p>
    <w:p w:rsidR="0003279A" w:rsidRPr="00B06633" w:rsidRDefault="0003279A" w:rsidP="003B314A">
      <w:pPr>
        <w:jc w:val="both"/>
        <w:rPr>
          <w:b/>
        </w:rPr>
      </w:pPr>
      <w:r w:rsidRPr="00B06633">
        <w:rPr>
          <w:b/>
        </w:rPr>
        <w:t>Deferred charge</w:t>
      </w:r>
    </w:p>
    <w:p w:rsidR="0003279A" w:rsidRPr="00B06633" w:rsidRDefault="0003279A" w:rsidP="003B314A">
      <w:pPr>
        <w:spacing w:after="240"/>
        <w:jc w:val="both"/>
      </w:pPr>
      <w:r w:rsidRPr="00B06633">
        <w:lastRenderedPageBreak/>
        <w:t xml:space="preserve">Capital expenditure which does not produce an asset that is controlled by the </w:t>
      </w:r>
      <w:r w:rsidR="001F1A1A">
        <w:t>County Council</w:t>
      </w:r>
      <w:r w:rsidRPr="00B06633">
        <w:t xml:space="preserve"> – for example, grants to other authorities for capital purposes.</w:t>
      </w:r>
    </w:p>
    <w:p w:rsidR="0003279A" w:rsidRPr="00B06633" w:rsidRDefault="0003279A" w:rsidP="003B314A">
      <w:pPr>
        <w:jc w:val="both"/>
        <w:rPr>
          <w:b/>
        </w:rPr>
      </w:pPr>
      <w:r w:rsidRPr="00B06633">
        <w:rPr>
          <w:b/>
        </w:rPr>
        <w:t>Deferred credit</w:t>
      </w:r>
    </w:p>
    <w:p w:rsidR="0003279A" w:rsidRPr="00B06633" w:rsidRDefault="0003279A" w:rsidP="003B314A">
      <w:pPr>
        <w:spacing w:after="240"/>
        <w:jc w:val="both"/>
      </w:pPr>
      <w:r w:rsidRPr="00B06633">
        <w:t>Money received but not yet reported as income in the revenue account.</w:t>
      </w:r>
    </w:p>
    <w:p w:rsidR="0003279A" w:rsidRPr="00B06633" w:rsidRDefault="0003279A" w:rsidP="003B314A">
      <w:pPr>
        <w:jc w:val="both"/>
        <w:rPr>
          <w:b/>
        </w:rPr>
      </w:pPr>
      <w:r w:rsidRPr="00B06633">
        <w:rPr>
          <w:b/>
        </w:rPr>
        <w:t>Deferred liabilities</w:t>
      </w:r>
    </w:p>
    <w:p w:rsidR="0003279A" w:rsidRPr="00B06633" w:rsidRDefault="0003279A" w:rsidP="003B314A">
      <w:pPr>
        <w:spacing w:after="240"/>
        <w:jc w:val="both"/>
      </w:pPr>
      <w:r w:rsidRPr="00B06633">
        <w:t>Debts to be settled some time in the future, but the actual date is not certain.</w:t>
      </w:r>
    </w:p>
    <w:p w:rsidR="0003279A" w:rsidRPr="00B06633" w:rsidRDefault="0003279A" w:rsidP="003B314A">
      <w:pPr>
        <w:jc w:val="both"/>
        <w:rPr>
          <w:b/>
        </w:rPr>
      </w:pPr>
      <w:r w:rsidRPr="00B06633">
        <w:rPr>
          <w:b/>
        </w:rPr>
        <w:t>Defined Benefit Scheme</w:t>
      </w:r>
    </w:p>
    <w:p w:rsidR="0003279A" w:rsidRPr="00B06633" w:rsidRDefault="0003279A" w:rsidP="003B314A">
      <w:pPr>
        <w:spacing w:after="240"/>
        <w:jc w:val="both"/>
      </w:pPr>
      <w:r w:rsidRPr="00B06633">
        <w:t>A pension or other retirement benefit scheme other than a defined contribution scheme. Usually, the scheme rules define the benefits independently of the contributions payable, and the benefits are not directly related to the investments of the scheme. The scheme may be funded or unfunded.</w:t>
      </w:r>
    </w:p>
    <w:p w:rsidR="0003279A" w:rsidRPr="00B06633" w:rsidRDefault="0003279A" w:rsidP="003B314A">
      <w:pPr>
        <w:jc w:val="both"/>
      </w:pPr>
      <w:r w:rsidRPr="00B06633">
        <w:rPr>
          <w:b/>
        </w:rPr>
        <w:t>Defined Contribution Scheme</w:t>
      </w:r>
    </w:p>
    <w:p w:rsidR="0003279A" w:rsidRPr="00B06633" w:rsidRDefault="0003279A" w:rsidP="003B314A">
      <w:pPr>
        <w:spacing w:after="240"/>
        <w:jc w:val="both"/>
      </w:pPr>
      <w:r w:rsidRPr="00B06633">
        <w:t>A pension or other retirement benefit scheme into which an employer pays regular contributions fixed as an amount or as a percentage of pay and will have no legal or constructive obligation to pay further contributions if the scheme does not have sufficient assets to pay all employee benefits relating to employee service in the current and prior periods.</w:t>
      </w:r>
    </w:p>
    <w:p w:rsidR="0003279A" w:rsidRPr="00B06633" w:rsidRDefault="0003279A" w:rsidP="003B314A">
      <w:pPr>
        <w:jc w:val="both"/>
        <w:rPr>
          <w:b/>
        </w:rPr>
      </w:pPr>
      <w:r w:rsidRPr="00B06633">
        <w:rPr>
          <w:b/>
        </w:rPr>
        <w:t>Depreciation</w:t>
      </w:r>
    </w:p>
    <w:p w:rsidR="0003279A" w:rsidRPr="00B06633" w:rsidRDefault="0003279A" w:rsidP="003B314A">
      <w:pPr>
        <w:spacing w:after="240"/>
        <w:jc w:val="both"/>
      </w:pPr>
      <w:r w:rsidRPr="00B06633">
        <w:t>Charges to the income and expenditure account to reflect a decrease in the value of assets as a result of use or ageing.</w:t>
      </w:r>
    </w:p>
    <w:p w:rsidR="0003279A" w:rsidRPr="00B06633" w:rsidRDefault="0003279A" w:rsidP="003B314A">
      <w:pPr>
        <w:jc w:val="both"/>
        <w:rPr>
          <w:b/>
        </w:rPr>
      </w:pPr>
      <w:r w:rsidRPr="00B06633">
        <w:rPr>
          <w:b/>
        </w:rPr>
        <w:t>Discretionary benefits</w:t>
      </w:r>
    </w:p>
    <w:p w:rsidR="0003279A" w:rsidRPr="00B06633" w:rsidRDefault="0003279A" w:rsidP="003B314A">
      <w:pPr>
        <w:spacing w:after="240"/>
        <w:jc w:val="both"/>
      </w:pPr>
      <w:r w:rsidRPr="00B06633">
        <w:t>Retirement benefits which the employer has no legal, contractual or constructive obligation to award and are awarded under the authority’s discretionary powers.</w:t>
      </w:r>
    </w:p>
    <w:p w:rsidR="0003279A" w:rsidRPr="00B06633" w:rsidRDefault="0003279A" w:rsidP="003B314A">
      <w:pPr>
        <w:jc w:val="both"/>
        <w:rPr>
          <w:b/>
        </w:rPr>
      </w:pPr>
      <w:r w:rsidRPr="00B06633">
        <w:rPr>
          <w:b/>
        </w:rPr>
        <w:t>Devolved financial management (DFM)</w:t>
      </w:r>
    </w:p>
    <w:p w:rsidR="0003279A" w:rsidRPr="00B06633" w:rsidRDefault="0003279A" w:rsidP="003B314A">
      <w:pPr>
        <w:spacing w:after="240"/>
        <w:jc w:val="both"/>
      </w:pPr>
      <w:r w:rsidRPr="00B06633">
        <w:t xml:space="preserve">The </w:t>
      </w:r>
      <w:r w:rsidR="001F1A1A">
        <w:t>County Council</w:t>
      </w:r>
      <w:r w:rsidRPr="00B06633">
        <w:t>’s budget management system. The budget is managed by those who make the decisions in each area of responsibility (‘accountable officers’).</w:t>
      </w:r>
    </w:p>
    <w:p w:rsidR="0003279A" w:rsidRPr="00B06633" w:rsidRDefault="0003279A" w:rsidP="003B314A">
      <w:pPr>
        <w:spacing w:after="240"/>
        <w:jc w:val="both"/>
        <w:rPr>
          <w:b/>
        </w:rPr>
      </w:pPr>
      <w:r w:rsidRPr="00B06633">
        <w:rPr>
          <w:b/>
        </w:rPr>
        <w:t>Direct service organisation (DSO)</w:t>
      </w:r>
    </w:p>
    <w:p w:rsidR="0003279A" w:rsidRPr="00B06633" w:rsidRDefault="0003279A" w:rsidP="003B314A">
      <w:pPr>
        <w:spacing w:after="240"/>
        <w:jc w:val="both"/>
      </w:pPr>
      <w:r w:rsidRPr="00B06633">
        <w:t xml:space="preserve">An organisation set up within the </w:t>
      </w:r>
      <w:r w:rsidR="001F1A1A">
        <w:t>County Council</w:t>
      </w:r>
      <w:r w:rsidRPr="00B06633">
        <w:t xml:space="preserve"> to carry out certain activities subject to competitive tendering.</w:t>
      </w:r>
    </w:p>
    <w:p w:rsidR="0003279A" w:rsidRPr="00B06633" w:rsidRDefault="0003279A" w:rsidP="003B314A">
      <w:pPr>
        <w:jc w:val="both"/>
        <w:rPr>
          <w:b/>
        </w:rPr>
      </w:pPr>
      <w:r w:rsidRPr="00B06633">
        <w:rPr>
          <w:b/>
        </w:rPr>
        <w:t>Employer’s pension contributions</w:t>
      </w:r>
    </w:p>
    <w:p w:rsidR="0003279A" w:rsidRPr="00B06633" w:rsidRDefault="0003279A" w:rsidP="003B314A">
      <w:pPr>
        <w:spacing w:after="240"/>
        <w:jc w:val="both"/>
      </w:pPr>
      <w:r w:rsidRPr="00B06633">
        <w:t xml:space="preserve">Payments to the pension scheme made by the </w:t>
      </w:r>
      <w:r w:rsidR="001F1A1A">
        <w:t>County Council</w:t>
      </w:r>
      <w:r w:rsidRPr="00B06633">
        <w:t xml:space="preserve"> for current employees.</w:t>
      </w:r>
    </w:p>
    <w:p w:rsidR="0003279A" w:rsidRPr="00B06633" w:rsidRDefault="0003279A" w:rsidP="003B314A">
      <w:pPr>
        <w:jc w:val="both"/>
        <w:rPr>
          <w:b/>
        </w:rPr>
      </w:pPr>
      <w:r w:rsidRPr="00B06633">
        <w:rPr>
          <w:b/>
        </w:rPr>
        <w:t>Exchange Transactions</w:t>
      </w:r>
    </w:p>
    <w:p w:rsidR="0003279A" w:rsidRPr="00B06633" w:rsidRDefault="0003279A" w:rsidP="003B314A">
      <w:pPr>
        <w:jc w:val="both"/>
      </w:pPr>
      <w:r w:rsidRPr="00B06633">
        <w:t>The authority receives assets or services or has liabilities extinguished, and directly gives approximately equal value (primarily in the form of cash, goods, services and use of assets) to another entity in exchange.</w:t>
      </w:r>
    </w:p>
    <w:p w:rsidR="0003279A" w:rsidRPr="00B06633" w:rsidRDefault="0003279A" w:rsidP="003B314A">
      <w:pPr>
        <w:jc w:val="both"/>
        <w:rPr>
          <w:b/>
        </w:rPr>
      </w:pPr>
    </w:p>
    <w:p w:rsidR="0003279A" w:rsidRPr="00B06633" w:rsidRDefault="0003279A" w:rsidP="003B314A">
      <w:pPr>
        <w:jc w:val="both"/>
        <w:rPr>
          <w:b/>
        </w:rPr>
      </w:pPr>
      <w:r w:rsidRPr="00B06633">
        <w:rPr>
          <w:b/>
        </w:rPr>
        <w:t>Expected return on assets (IAS 19)</w:t>
      </w:r>
    </w:p>
    <w:p w:rsidR="0003279A" w:rsidRPr="00B06633" w:rsidRDefault="0003279A" w:rsidP="003B314A">
      <w:pPr>
        <w:spacing w:after="240"/>
        <w:jc w:val="both"/>
      </w:pPr>
      <w:r w:rsidRPr="00B06633">
        <w:t>The average rate of return expected on investment assets held by the pension scheme.</w:t>
      </w:r>
    </w:p>
    <w:p w:rsidR="00D6238B" w:rsidRDefault="00D6238B" w:rsidP="003B314A">
      <w:pPr>
        <w:jc w:val="both"/>
        <w:rPr>
          <w:b/>
        </w:rPr>
      </w:pPr>
    </w:p>
    <w:p w:rsidR="00D6238B" w:rsidRDefault="00D6238B" w:rsidP="003B314A">
      <w:pPr>
        <w:jc w:val="both"/>
        <w:rPr>
          <w:b/>
        </w:rPr>
      </w:pPr>
    </w:p>
    <w:p w:rsidR="0003279A" w:rsidRPr="00B06633" w:rsidRDefault="0003279A" w:rsidP="003B314A">
      <w:pPr>
        <w:jc w:val="both"/>
        <w:rPr>
          <w:b/>
        </w:rPr>
      </w:pPr>
      <w:r w:rsidRPr="00B06633">
        <w:rPr>
          <w:b/>
        </w:rPr>
        <w:t>Fair value</w:t>
      </w:r>
    </w:p>
    <w:p w:rsidR="0003279A" w:rsidRPr="00B06633" w:rsidRDefault="0003279A" w:rsidP="003B314A">
      <w:pPr>
        <w:spacing w:after="240"/>
        <w:jc w:val="both"/>
      </w:pPr>
      <w:r w:rsidRPr="00B06633">
        <w:lastRenderedPageBreak/>
        <w:t>Fair value is the amount for which an asset could be exchanged, or a liability settled, in an arm’s length transaction less, where applicable, any grants receivable towards the purchase or use of the asset.</w:t>
      </w:r>
    </w:p>
    <w:p w:rsidR="0003279A" w:rsidRPr="00B06633" w:rsidRDefault="0003279A" w:rsidP="003B314A">
      <w:pPr>
        <w:jc w:val="both"/>
        <w:rPr>
          <w:b/>
        </w:rPr>
      </w:pPr>
      <w:r w:rsidRPr="00B06633">
        <w:rPr>
          <w:b/>
        </w:rPr>
        <w:t>Finance Lease</w:t>
      </w:r>
    </w:p>
    <w:p w:rsidR="0003279A" w:rsidRPr="00B06633" w:rsidRDefault="0003279A" w:rsidP="003B314A">
      <w:pPr>
        <w:jc w:val="both"/>
      </w:pPr>
      <w:r w:rsidRPr="00B06633">
        <w:t>A lease that transfers substantially all the risks and rewards related to the ownership of the asset to the lessee.</w:t>
      </w:r>
    </w:p>
    <w:p w:rsidR="0003279A" w:rsidRPr="00B06633" w:rsidRDefault="0003279A" w:rsidP="003B314A">
      <w:pPr>
        <w:jc w:val="both"/>
      </w:pPr>
    </w:p>
    <w:p w:rsidR="0003279A" w:rsidRPr="00B06633" w:rsidRDefault="0003279A" w:rsidP="003B314A">
      <w:pPr>
        <w:jc w:val="both"/>
        <w:rPr>
          <w:b/>
        </w:rPr>
      </w:pPr>
      <w:r w:rsidRPr="00B06633">
        <w:rPr>
          <w:b/>
        </w:rPr>
        <w:t>Financial year</w:t>
      </w:r>
    </w:p>
    <w:p w:rsidR="0003279A" w:rsidRPr="00B06633" w:rsidRDefault="0003279A" w:rsidP="003B314A">
      <w:pPr>
        <w:spacing w:after="240"/>
        <w:jc w:val="both"/>
      </w:pPr>
      <w:r w:rsidRPr="00B06633">
        <w:t>The period of 12 months for which the accounts are drawn up. For local authorities the financial year (or ‘accounting period’) begins on 1 April and finishes on 31 March of the following year.</w:t>
      </w:r>
    </w:p>
    <w:p w:rsidR="0003279A" w:rsidRPr="00B06633" w:rsidRDefault="0003279A" w:rsidP="003B314A">
      <w:pPr>
        <w:jc w:val="both"/>
        <w:rPr>
          <w:b/>
        </w:rPr>
      </w:pPr>
      <w:r w:rsidRPr="00B06633">
        <w:rPr>
          <w:b/>
        </w:rPr>
        <w:t>Financing charges</w:t>
      </w:r>
    </w:p>
    <w:p w:rsidR="0003279A" w:rsidRPr="00B06633" w:rsidRDefault="0003279A" w:rsidP="003B314A">
      <w:pPr>
        <w:spacing w:after="240"/>
        <w:jc w:val="both"/>
      </w:pPr>
      <w:r w:rsidRPr="00B06633">
        <w:t xml:space="preserve">Repayments on amounts loaned to the </w:t>
      </w:r>
      <w:r w:rsidR="001F1A1A">
        <w:t>County Council</w:t>
      </w:r>
      <w:r w:rsidRPr="00B06633">
        <w:t xml:space="preserve"> by external organisations. These charges include interest as well as repayment of the amount borrowed (the ‘principal’).</w:t>
      </w:r>
    </w:p>
    <w:p w:rsidR="00873018" w:rsidRPr="00B06633" w:rsidRDefault="00873018" w:rsidP="003B314A">
      <w:pPr>
        <w:jc w:val="both"/>
        <w:rPr>
          <w:b/>
        </w:rPr>
      </w:pPr>
      <w:r w:rsidRPr="00B06633">
        <w:rPr>
          <w:b/>
        </w:rPr>
        <w:t>Financial instrument</w:t>
      </w:r>
    </w:p>
    <w:p w:rsidR="0003279A" w:rsidRPr="00B06633" w:rsidRDefault="0003279A" w:rsidP="003B314A">
      <w:pPr>
        <w:spacing w:after="240"/>
        <w:jc w:val="both"/>
        <w:rPr>
          <w:b/>
        </w:rPr>
      </w:pPr>
      <w:r w:rsidRPr="00B06633">
        <w:t>A financial instrument can be a financial asset or a financial liability.  A financial asset is a contract such as an investment or loan representing amounts due to the authority. A financial liability is a contract such as borrowing representing amounts owed by the authority.</w:t>
      </w:r>
    </w:p>
    <w:p w:rsidR="0003279A" w:rsidRPr="00B06633" w:rsidRDefault="0003279A" w:rsidP="003B314A">
      <w:pPr>
        <w:jc w:val="both"/>
        <w:rPr>
          <w:b/>
        </w:rPr>
      </w:pPr>
      <w:r w:rsidRPr="00B06633">
        <w:rPr>
          <w:b/>
        </w:rPr>
        <w:t>Fixed assets</w:t>
      </w:r>
    </w:p>
    <w:p w:rsidR="0003279A" w:rsidRPr="00B06633" w:rsidRDefault="0003279A" w:rsidP="003B314A">
      <w:pPr>
        <w:spacing w:after="240"/>
        <w:jc w:val="both"/>
      </w:pPr>
      <w:r w:rsidRPr="00B06633">
        <w:t>Assets intended to be used for several years – for example, buildings, machinery and vehicles.</w:t>
      </w:r>
    </w:p>
    <w:p w:rsidR="0003279A" w:rsidRPr="00B06633" w:rsidRDefault="0003279A" w:rsidP="003B314A">
      <w:pPr>
        <w:jc w:val="both"/>
        <w:rPr>
          <w:b/>
        </w:rPr>
      </w:pPr>
      <w:r w:rsidRPr="00B06633">
        <w:rPr>
          <w:b/>
        </w:rPr>
        <w:t>General Fund</w:t>
      </w:r>
    </w:p>
    <w:p w:rsidR="0003279A" w:rsidRPr="00B06633" w:rsidRDefault="0003279A" w:rsidP="003B314A">
      <w:pPr>
        <w:jc w:val="both"/>
      </w:pPr>
      <w:r w:rsidRPr="00B06633">
        <w:t>See ‘</w:t>
      </w:r>
      <w:smartTag w:uri="urn:schemas-microsoft-com:office:smarttags" w:element="place">
        <w:smartTag w:uri="urn:schemas-microsoft-com:office:smarttags" w:element="PlaceType">
          <w:r w:rsidRPr="00B06633">
            <w:t>County</w:t>
          </w:r>
        </w:smartTag>
        <w:r w:rsidRPr="00B06633">
          <w:t xml:space="preserve"> </w:t>
        </w:r>
        <w:smartTag w:uri="urn:schemas-microsoft-com:office:smarttags" w:element="PlaceName">
          <w:r w:rsidRPr="00B06633">
            <w:t>Fund</w:t>
          </w:r>
        </w:smartTag>
      </w:smartTag>
      <w:r w:rsidRPr="00B06633">
        <w:t>’.</w:t>
      </w:r>
    </w:p>
    <w:p w:rsidR="0003279A" w:rsidRPr="00B06633" w:rsidRDefault="0003279A" w:rsidP="003B314A">
      <w:pPr>
        <w:jc w:val="both"/>
        <w:rPr>
          <w:b/>
        </w:rPr>
      </w:pPr>
    </w:p>
    <w:p w:rsidR="0003279A" w:rsidRPr="00B06633" w:rsidRDefault="0003279A" w:rsidP="003B314A">
      <w:pPr>
        <w:jc w:val="both"/>
        <w:rPr>
          <w:b/>
        </w:rPr>
      </w:pPr>
      <w:r w:rsidRPr="00B06633">
        <w:rPr>
          <w:b/>
        </w:rPr>
        <w:t>Global custodian</w:t>
      </w:r>
    </w:p>
    <w:p w:rsidR="0003279A" w:rsidRPr="00B06633" w:rsidRDefault="0003279A" w:rsidP="003B314A">
      <w:pPr>
        <w:spacing w:after="240"/>
        <w:jc w:val="both"/>
      </w:pPr>
      <w:r w:rsidRPr="00B06633">
        <w:t>A financial institution responsible for keeping up-to-date records of equities and bonds owned by a pension fund.</w:t>
      </w:r>
    </w:p>
    <w:p w:rsidR="0003279A" w:rsidRPr="00B06633" w:rsidRDefault="0003279A" w:rsidP="003B314A">
      <w:pPr>
        <w:jc w:val="both"/>
        <w:rPr>
          <w:b/>
        </w:rPr>
      </w:pPr>
      <w:r w:rsidRPr="00B06633">
        <w:rPr>
          <w:b/>
        </w:rPr>
        <w:t>Government grants</w:t>
      </w:r>
    </w:p>
    <w:p w:rsidR="0003279A" w:rsidRPr="00B06633" w:rsidRDefault="0003279A" w:rsidP="003B314A">
      <w:pPr>
        <w:spacing w:after="240"/>
        <w:jc w:val="both"/>
      </w:pPr>
      <w:r w:rsidRPr="00B06633">
        <w:t>Assistance by government and inter-government agencies and similar bodies, whether local, national or international, in the form of cash or transfers of assets to an authority in return for past or future compliance with certain conditions relating to the activities of the authority.</w:t>
      </w:r>
    </w:p>
    <w:p w:rsidR="0003279A" w:rsidRPr="00B06633" w:rsidRDefault="0003279A" w:rsidP="003B314A">
      <w:pPr>
        <w:jc w:val="both"/>
        <w:rPr>
          <w:b/>
        </w:rPr>
      </w:pPr>
      <w:r w:rsidRPr="00B06633">
        <w:rPr>
          <w:b/>
        </w:rPr>
        <w:t>Historic cost</w:t>
      </w:r>
    </w:p>
    <w:p w:rsidR="0003279A" w:rsidRPr="00B06633" w:rsidRDefault="0003279A" w:rsidP="003B314A">
      <w:pPr>
        <w:jc w:val="both"/>
      </w:pPr>
      <w:r w:rsidRPr="00B06633">
        <w:t>The cost of an asset at the time it was bought.</w:t>
      </w:r>
    </w:p>
    <w:p w:rsidR="0003279A" w:rsidRPr="00B06633" w:rsidRDefault="0003279A" w:rsidP="003B314A">
      <w:pPr>
        <w:jc w:val="both"/>
      </w:pPr>
    </w:p>
    <w:p w:rsidR="0003279A" w:rsidRPr="00B06633" w:rsidRDefault="0003279A" w:rsidP="003B314A">
      <w:pPr>
        <w:jc w:val="both"/>
        <w:rPr>
          <w:b/>
        </w:rPr>
      </w:pPr>
      <w:r w:rsidRPr="00B06633">
        <w:rPr>
          <w:b/>
        </w:rPr>
        <w:t>Impairment</w:t>
      </w:r>
    </w:p>
    <w:p w:rsidR="0003279A" w:rsidRPr="00B06633" w:rsidRDefault="0003279A" w:rsidP="003B314A">
      <w:pPr>
        <w:jc w:val="both"/>
      </w:pPr>
      <w:r w:rsidRPr="00B06633">
        <w:t>This is where the useful working life of an asset is significantly reduced – for example, because of damage to a piece of equipment or changes in technology which mean that a service can be provided more efficiently in other ways.  When the amount at which the asset is held exceeds the amount the authority could receive for the asset, an impairment loss is recognised.</w:t>
      </w:r>
    </w:p>
    <w:p w:rsidR="0003279A" w:rsidRPr="00B06633" w:rsidRDefault="0003279A" w:rsidP="003B314A">
      <w:pPr>
        <w:jc w:val="both"/>
        <w:rPr>
          <w:b/>
        </w:rPr>
      </w:pPr>
    </w:p>
    <w:p w:rsidR="0003279A" w:rsidRPr="00B06633" w:rsidRDefault="0003279A" w:rsidP="003B314A">
      <w:pPr>
        <w:jc w:val="both"/>
        <w:rPr>
          <w:b/>
        </w:rPr>
      </w:pPr>
      <w:r w:rsidRPr="00B06633">
        <w:rPr>
          <w:b/>
        </w:rPr>
        <w:t>Infrastructure assets</w:t>
      </w:r>
    </w:p>
    <w:p w:rsidR="0003279A" w:rsidRPr="00B06633" w:rsidRDefault="0003279A" w:rsidP="003B314A">
      <w:pPr>
        <w:spacing w:after="240"/>
        <w:jc w:val="both"/>
      </w:pPr>
      <w:r w:rsidRPr="00B06633">
        <w:t>Highways fixed assets – for example, roads and bridges.</w:t>
      </w:r>
    </w:p>
    <w:p w:rsidR="0003279A" w:rsidRPr="00B06633" w:rsidRDefault="0003279A" w:rsidP="003B314A">
      <w:pPr>
        <w:jc w:val="both"/>
        <w:rPr>
          <w:b/>
        </w:rPr>
      </w:pPr>
      <w:r w:rsidRPr="00B06633">
        <w:rPr>
          <w:b/>
        </w:rPr>
        <w:t>Intangible assets</w:t>
      </w:r>
    </w:p>
    <w:p w:rsidR="0003279A" w:rsidRPr="00B06633" w:rsidRDefault="0003279A" w:rsidP="003B314A">
      <w:pPr>
        <w:spacing w:after="240"/>
        <w:jc w:val="both"/>
      </w:pPr>
      <w:r w:rsidRPr="00B06633">
        <w:t>Assets which do not have a physical form. Examples include computer software, brand names, patents and copyrights.</w:t>
      </w:r>
    </w:p>
    <w:p w:rsidR="0003279A" w:rsidRPr="00B06633" w:rsidRDefault="0003279A" w:rsidP="003B314A">
      <w:pPr>
        <w:jc w:val="both"/>
        <w:rPr>
          <w:b/>
        </w:rPr>
      </w:pPr>
      <w:r w:rsidRPr="00B06633">
        <w:rPr>
          <w:b/>
        </w:rPr>
        <w:lastRenderedPageBreak/>
        <w:t>Interest cost (pensions)</w:t>
      </w:r>
    </w:p>
    <w:p w:rsidR="0003279A" w:rsidRPr="00B06633" w:rsidRDefault="0003279A" w:rsidP="003B314A">
      <w:pPr>
        <w:spacing w:after="240"/>
        <w:jc w:val="both"/>
      </w:pPr>
      <w:r w:rsidRPr="00B06633">
        <w:t>The expected increase in the value of pension scheme liabilities because benefits are one year closer to being paid.</w:t>
      </w:r>
    </w:p>
    <w:p w:rsidR="00873018" w:rsidRPr="00B06633" w:rsidRDefault="0003279A" w:rsidP="003B314A">
      <w:pPr>
        <w:spacing w:after="240"/>
        <w:jc w:val="both"/>
      </w:pPr>
      <w:r w:rsidRPr="00B06633">
        <w:rPr>
          <w:b/>
        </w:rPr>
        <w:t>Investing Activities</w:t>
      </w:r>
      <w:r w:rsidRPr="00B06633">
        <w:rPr>
          <w:b/>
        </w:rPr>
        <w:br/>
      </w:r>
      <w:r w:rsidRPr="00B06633">
        <w:t>The acquisition of and disposal of long term assets and other investments not included as part of cash equivalents.</w:t>
      </w:r>
    </w:p>
    <w:p w:rsidR="0003279A" w:rsidRPr="00B06633" w:rsidRDefault="0003279A" w:rsidP="003B314A">
      <w:pPr>
        <w:jc w:val="both"/>
        <w:rPr>
          <w:b/>
        </w:rPr>
      </w:pPr>
      <w:r w:rsidRPr="00B06633">
        <w:rPr>
          <w:b/>
        </w:rPr>
        <w:t>Investment Property</w:t>
      </w:r>
    </w:p>
    <w:p w:rsidR="0003279A" w:rsidRPr="00B06633" w:rsidRDefault="0003279A" w:rsidP="003B314A">
      <w:pPr>
        <w:jc w:val="both"/>
      </w:pPr>
      <w:r w:rsidRPr="00B06633">
        <w:t>Property which is held solely to earn rentals or for capital appreciation, not as part of service delivery.</w:t>
      </w:r>
    </w:p>
    <w:p w:rsidR="0003279A" w:rsidRPr="00B06633" w:rsidRDefault="0003279A" w:rsidP="003B314A">
      <w:pPr>
        <w:jc w:val="both"/>
      </w:pPr>
    </w:p>
    <w:p w:rsidR="0003279A" w:rsidRPr="00B06633" w:rsidRDefault="0003279A" w:rsidP="003B314A">
      <w:pPr>
        <w:jc w:val="both"/>
        <w:rPr>
          <w:b/>
        </w:rPr>
      </w:pPr>
      <w:r w:rsidRPr="00B06633">
        <w:rPr>
          <w:b/>
        </w:rPr>
        <w:t>Landfill Allowance Trading Scheme (LATS)</w:t>
      </w:r>
    </w:p>
    <w:p w:rsidR="0003279A" w:rsidRPr="00B06633" w:rsidRDefault="0003279A" w:rsidP="003B314A">
      <w:pPr>
        <w:spacing w:after="240"/>
        <w:jc w:val="both"/>
      </w:pPr>
      <w:r w:rsidRPr="00B06633">
        <w:t xml:space="preserve">The scheme allocates tradable landfill allowances to each waste disposal authority in </w:t>
      </w:r>
      <w:smartTag w:uri="urn:schemas-microsoft-com:office:smarttags" w:element="place">
        <w:smartTag w:uri="urn:schemas-microsoft-com:office:smarttags" w:element="country-region">
          <w:r w:rsidRPr="00B06633">
            <w:t>England</w:t>
          </w:r>
        </w:smartTag>
      </w:smartTag>
      <w:r w:rsidRPr="00B06633">
        <w:t xml:space="preserve"> and authorities can buy, sell or carry forward landfill allowances depending on usage requirements.</w:t>
      </w:r>
    </w:p>
    <w:p w:rsidR="0003279A" w:rsidRPr="00B06633" w:rsidRDefault="0003279A" w:rsidP="003B314A">
      <w:pPr>
        <w:jc w:val="both"/>
        <w:rPr>
          <w:b/>
        </w:rPr>
      </w:pPr>
      <w:r w:rsidRPr="00B06633">
        <w:rPr>
          <w:b/>
        </w:rPr>
        <w:t>Local Authority Business Growth Incentive Scheme (LABGI)</w:t>
      </w:r>
    </w:p>
    <w:p w:rsidR="0003279A" w:rsidRPr="00B06633" w:rsidRDefault="0003279A" w:rsidP="003B314A">
      <w:pPr>
        <w:spacing w:after="240"/>
        <w:jc w:val="both"/>
      </w:pPr>
      <w:r w:rsidRPr="00B06633">
        <w:t>The Local Authority Business Growth Incentives Scheme provides an incentive for local authorities to promote economic growth in the area by allowing them to retain a proportion of any increase in business rates revenues.</w:t>
      </w:r>
    </w:p>
    <w:p w:rsidR="0003279A" w:rsidRPr="00B06633" w:rsidRDefault="0003279A" w:rsidP="003B314A">
      <w:pPr>
        <w:jc w:val="both"/>
        <w:rPr>
          <w:b/>
        </w:rPr>
      </w:pPr>
      <w:r w:rsidRPr="00B06633">
        <w:rPr>
          <w:b/>
        </w:rPr>
        <w:t>Local Public Service Agreement (LPSA)</w:t>
      </w:r>
    </w:p>
    <w:p w:rsidR="0003279A" w:rsidRPr="00B06633" w:rsidRDefault="0003279A" w:rsidP="003B314A">
      <w:pPr>
        <w:spacing w:after="240"/>
        <w:jc w:val="both"/>
      </w:pPr>
      <w:r w:rsidRPr="00B06633">
        <w:t>Government initiative whereby demanding performance targets are set to deliver improvements for local people through partnerships with district councils and other organisations.</w:t>
      </w:r>
    </w:p>
    <w:p w:rsidR="0003279A" w:rsidRPr="00B06633" w:rsidRDefault="0003279A" w:rsidP="003B314A">
      <w:pPr>
        <w:jc w:val="both"/>
        <w:rPr>
          <w:b/>
        </w:rPr>
      </w:pPr>
      <w:r w:rsidRPr="00B06633">
        <w:rPr>
          <w:b/>
        </w:rPr>
        <w:t>Market value</w:t>
      </w:r>
    </w:p>
    <w:p w:rsidR="0003279A" w:rsidRPr="00B06633" w:rsidRDefault="0003279A" w:rsidP="003B314A">
      <w:pPr>
        <w:spacing w:after="240"/>
        <w:jc w:val="both"/>
      </w:pPr>
      <w:r w:rsidRPr="00B06633">
        <w:t>The monetary value of an asset as determined by current market conditions at the balance sheet date.</w:t>
      </w:r>
    </w:p>
    <w:p w:rsidR="0003279A" w:rsidRPr="00B06633" w:rsidRDefault="0003279A" w:rsidP="003B314A">
      <w:pPr>
        <w:jc w:val="both"/>
        <w:rPr>
          <w:b/>
        </w:rPr>
      </w:pPr>
      <w:r w:rsidRPr="00B06633">
        <w:rPr>
          <w:b/>
        </w:rPr>
        <w:t>Materiality</w:t>
      </w:r>
    </w:p>
    <w:p w:rsidR="0003279A" w:rsidRPr="00B06633" w:rsidRDefault="0003279A" w:rsidP="003B314A">
      <w:pPr>
        <w:spacing w:after="240"/>
        <w:jc w:val="both"/>
      </w:pPr>
      <w:r w:rsidRPr="00B06633">
        <w:t>The concept that any omission from or inaccuracy in the statement of accounts should not be so large as to affect the understanding of those statements by a reader.</w:t>
      </w:r>
    </w:p>
    <w:p w:rsidR="0003279A" w:rsidRPr="00B06633" w:rsidRDefault="0003279A" w:rsidP="003B314A">
      <w:pPr>
        <w:jc w:val="both"/>
        <w:rPr>
          <w:b/>
        </w:rPr>
      </w:pPr>
      <w:r w:rsidRPr="00B06633">
        <w:rPr>
          <w:b/>
        </w:rPr>
        <w:t>Minimum revenue provision</w:t>
      </w:r>
    </w:p>
    <w:p w:rsidR="0003279A" w:rsidRPr="00B06633" w:rsidRDefault="0003279A" w:rsidP="003B314A">
      <w:pPr>
        <w:spacing w:after="240"/>
        <w:jc w:val="both"/>
      </w:pPr>
      <w:r w:rsidRPr="00B06633">
        <w:t xml:space="preserve">The minimum amount (as laid down in statute) that the </w:t>
      </w:r>
      <w:r w:rsidR="001F1A1A">
        <w:t>County Council</w:t>
      </w:r>
      <w:r w:rsidRPr="00B06633">
        <w:t xml:space="preserve"> must charge to the accounts each year in order to meet the costs of repaying amounts borrowed.</w:t>
      </w:r>
    </w:p>
    <w:p w:rsidR="0003279A" w:rsidRPr="00B06633" w:rsidRDefault="0003279A" w:rsidP="003B314A">
      <w:pPr>
        <w:jc w:val="both"/>
        <w:rPr>
          <w:b/>
        </w:rPr>
      </w:pPr>
      <w:r w:rsidRPr="00B06633">
        <w:rPr>
          <w:b/>
        </w:rPr>
        <w:t>National non-domestic rate</w:t>
      </w:r>
    </w:p>
    <w:p w:rsidR="0003279A" w:rsidRPr="00B06633" w:rsidRDefault="0003279A" w:rsidP="003B314A">
      <w:pPr>
        <w:spacing w:after="240"/>
        <w:jc w:val="both"/>
      </w:pPr>
      <w:r w:rsidRPr="00B06633">
        <w:t>The government levies a standard rate on all properties used for commercial purposes and cannot increase it by any more that the retail price index. The rates are collected on behalf of the government by district councils, and are then redistributed from a national pot as part of formula grant.</w:t>
      </w:r>
    </w:p>
    <w:p w:rsidR="0003279A" w:rsidRPr="00B06633" w:rsidRDefault="0003279A" w:rsidP="003B314A">
      <w:pPr>
        <w:jc w:val="both"/>
        <w:rPr>
          <w:b/>
        </w:rPr>
      </w:pPr>
      <w:r w:rsidRPr="00B06633">
        <w:rPr>
          <w:b/>
        </w:rPr>
        <w:t>Net book value</w:t>
      </w:r>
    </w:p>
    <w:p w:rsidR="0003279A" w:rsidRPr="00B06633" w:rsidRDefault="0003279A" w:rsidP="003B314A">
      <w:pPr>
        <w:spacing w:after="240"/>
        <w:jc w:val="both"/>
      </w:pPr>
      <w:r w:rsidRPr="00B06633">
        <w:t>The amount at which fixed assets are included in the balance sheet, i.e. their historical cost or current value less the cumulative amounts provided for depreciation.</w:t>
      </w:r>
    </w:p>
    <w:p w:rsidR="0003279A" w:rsidRPr="00B06633" w:rsidRDefault="0003279A" w:rsidP="003B314A">
      <w:pPr>
        <w:jc w:val="both"/>
        <w:rPr>
          <w:b/>
        </w:rPr>
      </w:pPr>
      <w:r w:rsidRPr="00B06633">
        <w:rPr>
          <w:b/>
        </w:rPr>
        <w:t>Net nil trading position</w:t>
      </w:r>
    </w:p>
    <w:p w:rsidR="0003279A" w:rsidRPr="00B06633" w:rsidRDefault="0003279A" w:rsidP="003B314A">
      <w:pPr>
        <w:jc w:val="both"/>
      </w:pPr>
      <w:r w:rsidRPr="00B06633">
        <w:t>This is where spending matches income.</w:t>
      </w:r>
    </w:p>
    <w:p w:rsidR="0003279A" w:rsidRPr="00B06633" w:rsidRDefault="0003279A" w:rsidP="003B314A">
      <w:pPr>
        <w:jc w:val="both"/>
      </w:pPr>
    </w:p>
    <w:p w:rsidR="00D6238B" w:rsidRDefault="00D6238B" w:rsidP="003B314A">
      <w:pPr>
        <w:jc w:val="both"/>
        <w:rPr>
          <w:b/>
        </w:rPr>
      </w:pPr>
    </w:p>
    <w:p w:rsidR="00D6238B" w:rsidRDefault="00D6238B" w:rsidP="003B314A">
      <w:pPr>
        <w:jc w:val="both"/>
        <w:rPr>
          <w:b/>
        </w:rPr>
      </w:pPr>
    </w:p>
    <w:p w:rsidR="0003279A" w:rsidRPr="00B06633" w:rsidRDefault="0003279A" w:rsidP="003B314A">
      <w:pPr>
        <w:jc w:val="both"/>
        <w:rPr>
          <w:b/>
        </w:rPr>
      </w:pPr>
      <w:r w:rsidRPr="00B06633">
        <w:rPr>
          <w:b/>
        </w:rPr>
        <w:lastRenderedPageBreak/>
        <w:t>Net current replacement cost</w:t>
      </w:r>
    </w:p>
    <w:p w:rsidR="0003279A" w:rsidRPr="00B06633" w:rsidRDefault="0003279A" w:rsidP="003B314A">
      <w:pPr>
        <w:jc w:val="both"/>
      </w:pPr>
      <w:r w:rsidRPr="00B06633">
        <w:t xml:space="preserve">The cost of replacing or recreating the particular asset in its existing condition and in its existing use, </w:t>
      </w:r>
      <w:r w:rsidR="00FB45F6" w:rsidRPr="00B06633">
        <w:t>i.e.</w:t>
      </w:r>
      <w:r w:rsidRPr="00B06633">
        <w:t xml:space="preserve"> the cost of its replacement or of the nearest equivalent asset, adjusted to reflect the current condition of the existing asset.</w:t>
      </w:r>
    </w:p>
    <w:p w:rsidR="0003279A" w:rsidRPr="00B06633" w:rsidRDefault="0003279A" w:rsidP="003B314A">
      <w:pPr>
        <w:jc w:val="both"/>
      </w:pPr>
    </w:p>
    <w:p w:rsidR="0003279A" w:rsidRPr="00B06633" w:rsidRDefault="0003279A" w:rsidP="003B314A">
      <w:pPr>
        <w:jc w:val="both"/>
      </w:pPr>
      <w:r w:rsidRPr="00B06633">
        <w:rPr>
          <w:b/>
        </w:rPr>
        <w:t>Net Debt</w:t>
      </w:r>
    </w:p>
    <w:p w:rsidR="0003279A" w:rsidRPr="00B06633" w:rsidRDefault="0003279A" w:rsidP="003B314A">
      <w:pPr>
        <w:jc w:val="both"/>
      </w:pPr>
      <w:r w:rsidRPr="00B06633">
        <w:t>The authority’s borrowings less cash and liquid resources. Where cash and liquid resources exceed borrowings, reference should be to net funds rather than net debt.</w:t>
      </w:r>
    </w:p>
    <w:p w:rsidR="00FE6407" w:rsidRPr="00B06633" w:rsidRDefault="00FE6407" w:rsidP="003B314A">
      <w:pPr>
        <w:jc w:val="both"/>
        <w:rPr>
          <w:b/>
        </w:rPr>
      </w:pPr>
    </w:p>
    <w:p w:rsidR="0003279A" w:rsidRPr="00B06633" w:rsidRDefault="0003279A" w:rsidP="003B314A">
      <w:pPr>
        <w:jc w:val="both"/>
        <w:rPr>
          <w:b/>
        </w:rPr>
      </w:pPr>
      <w:r w:rsidRPr="00B06633">
        <w:rPr>
          <w:b/>
        </w:rPr>
        <w:t>Net pension liability</w:t>
      </w:r>
    </w:p>
    <w:p w:rsidR="0003279A" w:rsidRPr="00B06633" w:rsidRDefault="0003279A" w:rsidP="003B314A">
      <w:pPr>
        <w:spacing w:after="240"/>
        <w:jc w:val="both"/>
      </w:pPr>
      <w:r w:rsidRPr="00B06633">
        <w:t>The amount the pension scheme will have to pay out in the future, less the value of pension fund assets.</w:t>
      </w:r>
    </w:p>
    <w:p w:rsidR="0003279A" w:rsidRPr="00B06633" w:rsidRDefault="0003279A" w:rsidP="003B314A">
      <w:pPr>
        <w:jc w:val="both"/>
        <w:rPr>
          <w:b/>
        </w:rPr>
      </w:pPr>
      <w:r w:rsidRPr="00B06633">
        <w:rPr>
          <w:b/>
        </w:rPr>
        <w:t>Net realisable value</w:t>
      </w:r>
    </w:p>
    <w:p w:rsidR="0003279A" w:rsidRPr="00B06633" w:rsidRDefault="0003279A" w:rsidP="003B314A">
      <w:pPr>
        <w:spacing w:after="240"/>
        <w:jc w:val="both"/>
      </w:pPr>
      <w:r w:rsidRPr="00B06633">
        <w:t>The amount for which an asset can be sold, less the cost of selling it.</w:t>
      </w:r>
    </w:p>
    <w:p w:rsidR="0003279A" w:rsidRPr="00B06633" w:rsidRDefault="0003279A" w:rsidP="003B314A">
      <w:pPr>
        <w:jc w:val="both"/>
        <w:rPr>
          <w:b/>
        </w:rPr>
      </w:pPr>
      <w:r w:rsidRPr="00B06633">
        <w:rPr>
          <w:b/>
        </w:rPr>
        <w:t>Nil consideration</w:t>
      </w:r>
    </w:p>
    <w:p w:rsidR="0003279A" w:rsidRPr="00B06633" w:rsidRDefault="0003279A" w:rsidP="003B314A">
      <w:pPr>
        <w:spacing w:after="240"/>
        <w:jc w:val="both"/>
      </w:pPr>
      <w:r w:rsidRPr="00B06633">
        <w:t>Where no charge is made for an item.</w:t>
      </w:r>
    </w:p>
    <w:p w:rsidR="00873018" w:rsidRPr="00B06633" w:rsidRDefault="0003279A" w:rsidP="003B314A">
      <w:pPr>
        <w:jc w:val="both"/>
        <w:rPr>
          <w:b/>
        </w:rPr>
      </w:pPr>
      <w:r w:rsidRPr="00B06633">
        <w:rPr>
          <w:b/>
        </w:rPr>
        <w:t>Nominal value of a financial instrument</w:t>
      </w:r>
    </w:p>
    <w:p w:rsidR="0003279A" w:rsidRPr="00B06633" w:rsidRDefault="0003279A" w:rsidP="003B314A">
      <w:pPr>
        <w:spacing w:after="240"/>
        <w:jc w:val="both"/>
      </w:pPr>
      <w:r w:rsidRPr="00B06633">
        <w:t>The nominal value of a financial instrument is the amount, exclusive of interest, payable or receivable when the instrument matures.</w:t>
      </w:r>
    </w:p>
    <w:p w:rsidR="0003279A" w:rsidRPr="00B06633" w:rsidRDefault="0003279A" w:rsidP="003B314A">
      <w:pPr>
        <w:jc w:val="both"/>
        <w:rPr>
          <w:b/>
        </w:rPr>
      </w:pPr>
      <w:r w:rsidRPr="00B06633">
        <w:rPr>
          <w:b/>
        </w:rPr>
        <w:t>Non-cash adjustments</w:t>
      </w:r>
    </w:p>
    <w:p w:rsidR="0003279A" w:rsidRPr="00B06633" w:rsidRDefault="0003279A" w:rsidP="003B314A">
      <w:pPr>
        <w:spacing w:after="240"/>
        <w:jc w:val="both"/>
      </w:pPr>
      <w:r w:rsidRPr="00B06633">
        <w:t>Changes in debtors’ and creditors’ balances over the year.</w:t>
      </w:r>
    </w:p>
    <w:p w:rsidR="0003279A" w:rsidRPr="00B06633" w:rsidRDefault="0003279A" w:rsidP="003B314A">
      <w:pPr>
        <w:jc w:val="both"/>
        <w:rPr>
          <w:b/>
        </w:rPr>
      </w:pPr>
      <w:r w:rsidRPr="00B06633">
        <w:rPr>
          <w:b/>
        </w:rPr>
        <w:t>Non-distributed costs</w:t>
      </w:r>
    </w:p>
    <w:p w:rsidR="0003279A" w:rsidRPr="00B06633" w:rsidRDefault="0003279A" w:rsidP="003B314A">
      <w:pPr>
        <w:spacing w:after="240"/>
        <w:jc w:val="both"/>
      </w:pPr>
      <w:r w:rsidRPr="00B06633">
        <w:t>These are costs that cannot be specifically applied to a service or services and are held centrally, comprising certain pension costs and the costs of unused shares of IT facilities and other assets.</w:t>
      </w:r>
    </w:p>
    <w:p w:rsidR="0003279A" w:rsidRPr="00B06633" w:rsidRDefault="0003279A" w:rsidP="003B314A">
      <w:pPr>
        <w:jc w:val="both"/>
        <w:rPr>
          <w:b/>
        </w:rPr>
      </w:pPr>
      <w:r w:rsidRPr="00B06633">
        <w:rPr>
          <w:b/>
        </w:rPr>
        <w:t>Non-operational assets</w:t>
      </w:r>
    </w:p>
    <w:p w:rsidR="0003279A" w:rsidRPr="00B06633" w:rsidRDefault="0003279A" w:rsidP="003B314A">
      <w:pPr>
        <w:jc w:val="both"/>
      </w:pPr>
      <w:r w:rsidRPr="00B06633">
        <w:t>Assets which are not in use.</w:t>
      </w:r>
    </w:p>
    <w:p w:rsidR="0003279A" w:rsidRPr="00B06633" w:rsidRDefault="0003279A" w:rsidP="003B314A">
      <w:pPr>
        <w:jc w:val="both"/>
        <w:rPr>
          <w:b/>
        </w:rPr>
      </w:pPr>
    </w:p>
    <w:p w:rsidR="0003279A" w:rsidRPr="00B06633" w:rsidRDefault="0003279A" w:rsidP="003B314A">
      <w:pPr>
        <w:jc w:val="both"/>
        <w:rPr>
          <w:b/>
        </w:rPr>
      </w:pPr>
      <w:r w:rsidRPr="00B06633">
        <w:rPr>
          <w:b/>
        </w:rPr>
        <w:t>Operating lease</w:t>
      </w:r>
    </w:p>
    <w:p w:rsidR="0003279A" w:rsidRPr="00B06633" w:rsidRDefault="0003279A" w:rsidP="003B314A">
      <w:pPr>
        <w:spacing w:after="240"/>
        <w:jc w:val="both"/>
      </w:pPr>
      <w:r w:rsidRPr="00B06633">
        <w:t xml:space="preserve">A lease where ownership of the goods remains with the company leasing them to the </w:t>
      </w:r>
      <w:r w:rsidR="001F1A1A">
        <w:t>County Council</w:t>
      </w:r>
      <w:r w:rsidRPr="00B06633">
        <w:t>.</w:t>
      </w:r>
    </w:p>
    <w:p w:rsidR="0003279A" w:rsidRPr="00B06633" w:rsidRDefault="0003279A" w:rsidP="003B314A">
      <w:pPr>
        <w:jc w:val="both"/>
        <w:rPr>
          <w:b/>
        </w:rPr>
      </w:pPr>
      <w:r w:rsidRPr="00B06633">
        <w:rPr>
          <w:b/>
        </w:rPr>
        <w:t>Operational assets</w:t>
      </w:r>
    </w:p>
    <w:p w:rsidR="0003279A" w:rsidRPr="00B06633" w:rsidRDefault="0003279A" w:rsidP="003B314A">
      <w:pPr>
        <w:spacing w:after="240"/>
        <w:jc w:val="both"/>
      </w:pPr>
      <w:r w:rsidRPr="00B06633">
        <w:t>Assets used for day-to-day activities – for example, land, buildings, furniture and equipment.</w:t>
      </w:r>
    </w:p>
    <w:p w:rsidR="0003279A" w:rsidRPr="00B06633" w:rsidRDefault="0003279A" w:rsidP="003B314A">
      <w:pPr>
        <w:jc w:val="both"/>
        <w:rPr>
          <w:b/>
        </w:rPr>
      </w:pPr>
      <w:r w:rsidRPr="00B06633">
        <w:rPr>
          <w:b/>
        </w:rPr>
        <w:t>Participating interest</w:t>
      </w:r>
    </w:p>
    <w:p w:rsidR="0003279A" w:rsidRPr="00B06633" w:rsidRDefault="0003279A" w:rsidP="003B314A">
      <w:pPr>
        <w:spacing w:after="240"/>
        <w:jc w:val="both"/>
      </w:pPr>
      <w:r w:rsidRPr="00B06633">
        <w:t>When an organisation owns a significant proportion of shares (normally 20% or more) in another company.</w:t>
      </w:r>
    </w:p>
    <w:p w:rsidR="0003279A" w:rsidRPr="00B06633" w:rsidRDefault="0003279A" w:rsidP="003B314A">
      <w:pPr>
        <w:jc w:val="both"/>
        <w:rPr>
          <w:b/>
        </w:rPr>
      </w:pPr>
      <w:r w:rsidRPr="00B06633">
        <w:rPr>
          <w:b/>
        </w:rPr>
        <w:t>Past service cost or gain (</w:t>
      </w:r>
      <w:r w:rsidR="00535159" w:rsidRPr="00B06633">
        <w:rPr>
          <w:b/>
        </w:rPr>
        <w:t>IAS 19</w:t>
      </w:r>
      <w:r w:rsidRPr="00B06633">
        <w:rPr>
          <w:b/>
        </w:rPr>
        <w:t>)</w:t>
      </w:r>
    </w:p>
    <w:p w:rsidR="0003279A" w:rsidRPr="00B06633" w:rsidRDefault="0003279A" w:rsidP="003B314A">
      <w:pPr>
        <w:spacing w:after="240"/>
        <w:jc w:val="both"/>
      </w:pPr>
      <w:r w:rsidRPr="00B06633">
        <w:t>The increase or decrease in pension scheme liabilities as a result of changes to benefits earned in previous years – for example, because of early retirement or changes to pension scheme regulations.</w:t>
      </w:r>
    </w:p>
    <w:p w:rsidR="0003279A" w:rsidRPr="00B06633" w:rsidRDefault="0003279A" w:rsidP="003B314A">
      <w:pPr>
        <w:jc w:val="both"/>
        <w:rPr>
          <w:b/>
        </w:rPr>
      </w:pPr>
      <w:r w:rsidRPr="00B06633">
        <w:rPr>
          <w:b/>
        </w:rPr>
        <w:t>Pension enhancements</w:t>
      </w:r>
    </w:p>
    <w:p w:rsidR="0003279A" w:rsidRPr="00B06633" w:rsidRDefault="0003279A" w:rsidP="003B314A">
      <w:pPr>
        <w:spacing w:after="240"/>
        <w:jc w:val="both"/>
      </w:pPr>
      <w:r w:rsidRPr="00B06633">
        <w:t xml:space="preserve">Additional pension benefits (such as added years on early retirement) awarded to scheme members in line with the </w:t>
      </w:r>
      <w:r w:rsidR="001F1A1A">
        <w:t>County Council</w:t>
      </w:r>
      <w:r w:rsidRPr="00B06633">
        <w:t>’s general conditions of employment.</w:t>
      </w:r>
    </w:p>
    <w:p w:rsidR="0003279A" w:rsidRPr="00B06633" w:rsidRDefault="0003279A" w:rsidP="003B314A">
      <w:pPr>
        <w:jc w:val="both"/>
        <w:rPr>
          <w:b/>
        </w:rPr>
      </w:pPr>
      <w:r w:rsidRPr="00B06633">
        <w:rPr>
          <w:b/>
        </w:rPr>
        <w:lastRenderedPageBreak/>
        <w:t>Pooled investment vehicle</w:t>
      </w:r>
    </w:p>
    <w:p w:rsidR="0003279A" w:rsidRPr="00B06633" w:rsidRDefault="0003279A" w:rsidP="003B314A">
      <w:pPr>
        <w:spacing w:after="240"/>
        <w:jc w:val="both"/>
      </w:pPr>
      <w:r w:rsidRPr="00B06633">
        <w:t>This is where a pension fund invests in a fund with other investors. This fund in turn buys and owns assets.</w:t>
      </w:r>
    </w:p>
    <w:p w:rsidR="0003279A" w:rsidRPr="00B06633" w:rsidRDefault="0003279A" w:rsidP="003B314A">
      <w:pPr>
        <w:jc w:val="both"/>
        <w:rPr>
          <w:b/>
        </w:rPr>
      </w:pPr>
      <w:r w:rsidRPr="00B06633">
        <w:rPr>
          <w:b/>
        </w:rPr>
        <w:t>Precept</w:t>
      </w:r>
    </w:p>
    <w:p w:rsidR="0003279A" w:rsidRPr="00B06633" w:rsidRDefault="0003279A" w:rsidP="003B314A">
      <w:pPr>
        <w:jc w:val="both"/>
      </w:pPr>
      <w:r w:rsidRPr="00B06633">
        <w:t>A charge made by one authority which is collected by another authority – for example, the Council Tax precept.</w:t>
      </w:r>
    </w:p>
    <w:p w:rsidR="0003279A" w:rsidRPr="00B06633" w:rsidRDefault="0003279A" w:rsidP="003B314A">
      <w:pPr>
        <w:jc w:val="both"/>
        <w:rPr>
          <w:b/>
        </w:rPr>
      </w:pPr>
    </w:p>
    <w:p w:rsidR="0003279A" w:rsidRPr="00B06633" w:rsidRDefault="0003279A" w:rsidP="003B314A">
      <w:pPr>
        <w:jc w:val="both"/>
        <w:rPr>
          <w:b/>
        </w:rPr>
      </w:pPr>
      <w:r w:rsidRPr="00B06633">
        <w:rPr>
          <w:b/>
        </w:rPr>
        <w:t>Principal</w:t>
      </w:r>
    </w:p>
    <w:p w:rsidR="00FE6407" w:rsidRPr="00B06633" w:rsidRDefault="0003279A" w:rsidP="003B314A">
      <w:pPr>
        <w:spacing w:after="240"/>
        <w:jc w:val="both"/>
      </w:pPr>
      <w:r w:rsidRPr="00B06633">
        <w:t>The amount of money borrowed, not including interest charges.</w:t>
      </w:r>
    </w:p>
    <w:p w:rsidR="0003279A" w:rsidRPr="00B06633" w:rsidRDefault="0003279A" w:rsidP="003B314A">
      <w:pPr>
        <w:jc w:val="both"/>
        <w:rPr>
          <w:b/>
        </w:rPr>
      </w:pPr>
      <w:r w:rsidRPr="00B06633">
        <w:rPr>
          <w:b/>
        </w:rPr>
        <w:t>Principal repayment of debt</w:t>
      </w:r>
    </w:p>
    <w:p w:rsidR="0003279A" w:rsidRPr="00B06633" w:rsidRDefault="0003279A" w:rsidP="003B314A">
      <w:pPr>
        <w:jc w:val="both"/>
      </w:pPr>
      <w:r w:rsidRPr="00B06633">
        <w:t>Re-payment of a loan, not including interest charges.</w:t>
      </w:r>
    </w:p>
    <w:p w:rsidR="0003279A" w:rsidRPr="00B06633" w:rsidRDefault="0003279A" w:rsidP="003B314A">
      <w:pPr>
        <w:jc w:val="both"/>
        <w:rPr>
          <w:b/>
        </w:rPr>
      </w:pPr>
    </w:p>
    <w:p w:rsidR="0003279A" w:rsidRPr="00B06633" w:rsidRDefault="0003279A" w:rsidP="003B314A">
      <w:pPr>
        <w:jc w:val="both"/>
        <w:rPr>
          <w:b/>
        </w:rPr>
      </w:pPr>
      <w:r w:rsidRPr="00B06633">
        <w:rPr>
          <w:b/>
        </w:rPr>
        <w:t>Prior period adjustments</w:t>
      </w:r>
    </w:p>
    <w:p w:rsidR="00DA6557" w:rsidRPr="00B06633" w:rsidRDefault="0003279A" w:rsidP="003B314A">
      <w:pPr>
        <w:jc w:val="both"/>
      </w:pPr>
      <w:r w:rsidRPr="00B06633">
        <w:t xml:space="preserve">Those material adjustments applicable to prior years arising from changes in accounting policies or from the correction of fundamental errors. </w:t>
      </w:r>
    </w:p>
    <w:p w:rsidR="0003279A" w:rsidRPr="00B06633" w:rsidRDefault="0003279A" w:rsidP="003B314A">
      <w:pPr>
        <w:jc w:val="both"/>
      </w:pPr>
      <w:r w:rsidRPr="00B06633">
        <w:t>A fundamental error is one that is of such significance as to destroy the validity of the financial statements. They do not include normal recurring corrections or adjustments of accounting estimates made in prior years.</w:t>
      </w:r>
    </w:p>
    <w:p w:rsidR="0003279A" w:rsidRPr="00B06633" w:rsidRDefault="0003279A" w:rsidP="003B314A">
      <w:pPr>
        <w:jc w:val="both"/>
      </w:pPr>
    </w:p>
    <w:p w:rsidR="0003279A" w:rsidRPr="00B06633" w:rsidRDefault="0003279A" w:rsidP="003B314A">
      <w:pPr>
        <w:jc w:val="both"/>
        <w:rPr>
          <w:b/>
        </w:rPr>
      </w:pPr>
      <w:r w:rsidRPr="00B06633">
        <w:rPr>
          <w:b/>
        </w:rPr>
        <w:t>Private finance initiative (PFI)</w:t>
      </w:r>
    </w:p>
    <w:p w:rsidR="0003279A" w:rsidRPr="00B06633" w:rsidRDefault="0003279A" w:rsidP="003B314A">
      <w:pPr>
        <w:jc w:val="both"/>
      </w:pPr>
      <w:r w:rsidRPr="00B06633">
        <w:t>A means of securing new assets and associated services in partnership with the private sector.</w:t>
      </w:r>
    </w:p>
    <w:p w:rsidR="0003279A" w:rsidRPr="00B06633" w:rsidRDefault="0003279A" w:rsidP="003B314A">
      <w:pPr>
        <w:jc w:val="both"/>
      </w:pPr>
    </w:p>
    <w:p w:rsidR="0003279A" w:rsidRPr="00B06633" w:rsidRDefault="0003279A" w:rsidP="003B314A">
      <w:pPr>
        <w:jc w:val="both"/>
        <w:rPr>
          <w:b/>
        </w:rPr>
      </w:pPr>
      <w:r w:rsidRPr="00B06633">
        <w:rPr>
          <w:b/>
        </w:rPr>
        <w:t>Projected unit method (Pensions)</w:t>
      </w:r>
    </w:p>
    <w:p w:rsidR="0003279A" w:rsidRPr="00B06633" w:rsidRDefault="0003279A" w:rsidP="003B314A">
      <w:pPr>
        <w:jc w:val="both"/>
      </w:pPr>
      <w:r w:rsidRPr="00B06633">
        <w:t>An accrued benefits valuation method in which the scheme liabilities make allowance for the projected earnings. An accrued benefits valuation method is a valuation method in which the scheme liabilities at the valuation date relate to:</w:t>
      </w:r>
    </w:p>
    <w:p w:rsidR="0003279A" w:rsidRPr="00B06633" w:rsidRDefault="0003279A" w:rsidP="003B314A">
      <w:pPr>
        <w:jc w:val="both"/>
      </w:pPr>
    </w:p>
    <w:p w:rsidR="0003279A" w:rsidRPr="00B06633" w:rsidRDefault="0003279A" w:rsidP="003B314A">
      <w:pPr>
        <w:ind w:left="720" w:hanging="720"/>
        <w:jc w:val="both"/>
      </w:pPr>
      <w:r w:rsidRPr="00B06633">
        <w:t>(a)</w:t>
      </w:r>
      <w:r w:rsidRPr="00B06633">
        <w:tab/>
        <w:t>the benefits for pensioners and deferred pensioners (</w:t>
      </w:r>
      <w:r w:rsidR="00FB45F6" w:rsidRPr="00B06633">
        <w:t>i.e.</w:t>
      </w:r>
      <w:r w:rsidRPr="00B06633">
        <w:t xml:space="preserve"> individuals who have ceased to be active members but are entitled to benefits payable at a later date) and their dependants, allowing where appropriate for future increases, and</w:t>
      </w:r>
    </w:p>
    <w:p w:rsidR="0003279A" w:rsidRPr="00B06633" w:rsidRDefault="0003279A" w:rsidP="003B314A">
      <w:pPr>
        <w:ind w:left="720" w:hanging="720"/>
        <w:jc w:val="both"/>
      </w:pPr>
    </w:p>
    <w:p w:rsidR="0003279A" w:rsidRPr="00B06633" w:rsidRDefault="0003279A" w:rsidP="003B314A">
      <w:pPr>
        <w:ind w:left="720" w:hanging="720"/>
        <w:jc w:val="both"/>
      </w:pPr>
      <w:r w:rsidRPr="00B06633">
        <w:t>(b)</w:t>
      </w:r>
      <w:r w:rsidRPr="00B06633">
        <w:tab/>
      </w:r>
      <w:r w:rsidR="0003666B" w:rsidRPr="00B06633">
        <w:t>The</w:t>
      </w:r>
      <w:r w:rsidRPr="00B06633">
        <w:t xml:space="preserve"> accrued benefits for members in service on the valuation date.</w:t>
      </w:r>
    </w:p>
    <w:p w:rsidR="0003279A" w:rsidRPr="00B06633" w:rsidRDefault="0003279A" w:rsidP="003B314A">
      <w:pPr>
        <w:ind w:left="720" w:hanging="720"/>
        <w:jc w:val="both"/>
      </w:pPr>
    </w:p>
    <w:p w:rsidR="0003279A" w:rsidRPr="00B06633" w:rsidRDefault="0003279A" w:rsidP="003B314A">
      <w:pPr>
        <w:jc w:val="both"/>
      </w:pPr>
      <w:r w:rsidRPr="00B06633">
        <w:t xml:space="preserve">The accrued benefits are the benefits for service up to a given point in time, whether vested rights or not. </w:t>
      </w:r>
    </w:p>
    <w:p w:rsidR="0003279A" w:rsidRPr="00B06633" w:rsidRDefault="0003279A" w:rsidP="003B314A">
      <w:pPr>
        <w:jc w:val="both"/>
        <w:rPr>
          <w:b/>
        </w:rPr>
      </w:pPr>
    </w:p>
    <w:p w:rsidR="0003279A" w:rsidRPr="00B06633" w:rsidRDefault="0003279A" w:rsidP="003B314A">
      <w:pPr>
        <w:jc w:val="both"/>
        <w:rPr>
          <w:b/>
        </w:rPr>
      </w:pPr>
      <w:r w:rsidRPr="00B06633">
        <w:rPr>
          <w:b/>
        </w:rPr>
        <w:t>Provisions</w:t>
      </w:r>
    </w:p>
    <w:p w:rsidR="0003279A" w:rsidRPr="00B06633" w:rsidRDefault="0003279A" w:rsidP="003B314A">
      <w:pPr>
        <w:jc w:val="both"/>
      </w:pPr>
      <w:r w:rsidRPr="00B06633">
        <w:t>Funds set aside to cover specific past expenses, where the exact cost or timing is still uncertain.</w:t>
      </w:r>
    </w:p>
    <w:p w:rsidR="0003279A" w:rsidRPr="00B06633" w:rsidRDefault="0003279A" w:rsidP="003B314A">
      <w:pPr>
        <w:jc w:val="both"/>
        <w:rPr>
          <w:b/>
        </w:rPr>
      </w:pPr>
    </w:p>
    <w:p w:rsidR="0003279A" w:rsidRPr="00B06633" w:rsidRDefault="0003279A" w:rsidP="003B314A">
      <w:pPr>
        <w:jc w:val="both"/>
        <w:rPr>
          <w:b/>
        </w:rPr>
      </w:pPr>
      <w:r w:rsidRPr="00B06633">
        <w:rPr>
          <w:b/>
        </w:rPr>
        <w:t>Public Works Loan Board (PWLB)</w:t>
      </w:r>
    </w:p>
    <w:p w:rsidR="0003279A" w:rsidRPr="00B06633" w:rsidRDefault="0003279A" w:rsidP="003B314A">
      <w:pPr>
        <w:spacing w:after="240"/>
        <w:jc w:val="both"/>
      </w:pPr>
      <w:r w:rsidRPr="00B06633">
        <w:t>A government agency which provides longer</w:t>
      </w:r>
      <w:r w:rsidRPr="00B06633">
        <w:noBreakHyphen/>
        <w:t>term loans to local authorities at interest rates only slightly higher than those at which the government itself can borrow.</w:t>
      </w:r>
    </w:p>
    <w:p w:rsidR="0003279A" w:rsidRPr="00B06633" w:rsidRDefault="0003279A" w:rsidP="003B314A">
      <w:pPr>
        <w:jc w:val="both"/>
        <w:rPr>
          <w:b/>
        </w:rPr>
      </w:pPr>
      <w:r w:rsidRPr="00B06633">
        <w:rPr>
          <w:b/>
        </w:rPr>
        <w:t>Realisable value</w:t>
      </w:r>
    </w:p>
    <w:p w:rsidR="0003279A" w:rsidRPr="00B06633" w:rsidRDefault="0003279A" w:rsidP="003B314A">
      <w:pPr>
        <w:jc w:val="both"/>
      </w:pPr>
      <w:r w:rsidRPr="00B06633">
        <w:t>The amount for which an asset can be sold.</w:t>
      </w:r>
    </w:p>
    <w:p w:rsidR="0003279A" w:rsidRPr="00B06633" w:rsidRDefault="0003279A" w:rsidP="003B314A">
      <w:pPr>
        <w:jc w:val="both"/>
        <w:rPr>
          <w:b/>
        </w:rPr>
      </w:pPr>
    </w:p>
    <w:p w:rsidR="0003279A" w:rsidRPr="00B06633" w:rsidRDefault="0003279A" w:rsidP="003B314A">
      <w:pPr>
        <w:jc w:val="both"/>
        <w:rPr>
          <w:b/>
        </w:rPr>
      </w:pPr>
      <w:r w:rsidRPr="00B06633">
        <w:rPr>
          <w:b/>
        </w:rPr>
        <w:t>Reconciliation</w:t>
      </w:r>
    </w:p>
    <w:p w:rsidR="0003279A" w:rsidRPr="00B06633" w:rsidRDefault="0003279A" w:rsidP="003B314A">
      <w:pPr>
        <w:spacing w:after="240"/>
        <w:jc w:val="both"/>
      </w:pPr>
      <w:r w:rsidRPr="00B06633">
        <w:t>The process of checking figures from different areas which should logically match up – for example, matching invoices paid against amounts banked.</w:t>
      </w:r>
    </w:p>
    <w:p w:rsidR="0003279A" w:rsidRPr="00B06633" w:rsidRDefault="0003279A" w:rsidP="003B314A">
      <w:pPr>
        <w:jc w:val="both"/>
        <w:rPr>
          <w:b/>
        </w:rPr>
      </w:pPr>
      <w:r w:rsidRPr="00B06633">
        <w:rPr>
          <w:b/>
        </w:rPr>
        <w:lastRenderedPageBreak/>
        <w:t>Related party</w:t>
      </w:r>
    </w:p>
    <w:p w:rsidR="0003279A" w:rsidRPr="00B06633" w:rsidRDefault="0003279A" w:rsidP="003B314A">
      <w:pPr>
        <w:jc w:val="both"/>
      </w:pPr>
      <w:r w:rsidRPr="00B06633">
        <w:t>A person or organisation which has influence over another person or organisation.</w:t>
      </w:r>
    </w:p>
    <w:p w:rsidR="0003279A" w:rsidRPr="00B06633" w:rsidRDefault="0003279A" w:rsidP="003B314A">
      <w:pPr>
        <w:jc w:val="both"/>
        <w:rPr>
          <w:b/>
        </w:rPr>
      </w:pPr>
    </w:p>
    <w:p w:rsidR="0003279A" w:rsidRPr="00B06633" w:rsidRDefault="0003279A" w:rsidP="003B314A">
      <w:pPr>
        <w:jc w:val="both"/>
        <w:rPr>
          <w:b/>
        </w:rPr>
      </w:pPr>
      <w:r w:rsidRPr="00B06633">
        <w:rPr>
          <w:b/>
        </w:rPr>
        <w:t>Reserves</w:t>
      </w:r>
    </w:p>
    <w:p w:rsidR="0003279A" w:rsidRPr="00B06633" w:rsidRDefault="0003279A" w:rsidP="003B314A">
      <w:pPr>
        <w:spacing w:after="240"/>
        <w:jc w:val="both"/>
      </w:pPr>
      <w:r w:rsidRPr="00B06633">
        <w:t>Amounts set aside in one year’s accounts which can be spent in later years. Some types of reserve can only be spent if certain conditions are met.</w:t>
      </w:r>
    </w:p>
    <w:p w:rsidR="0003279A" w:rsidRPr="00B06633" w:rsidRDefault="0003279A" w:rsidP="003B314A">
      <w:pPr>
        <w:jc w:val="both"/>
        <w:rPr>
          <w:b/>
        </w:rPr>
      </w:pPr>
      <w:r w:rsidRPr="00B06633">
        <w:rPr>
          <w:b/>
        </w:rPr>
        <w:t>Residual value</w:t>
      </w:r>
    </w:p>
    <w:p w:rsidR="0003279A" w:rsidRPr="00B06633" w:rsidRDefault="0003279A" w:rsidP="003B314A">
      <w:pPr>
        <w:jc w:val="both"/>
      </w:pPr>
      <w:r w:rsidRPr="00B06633">
        <w:t>The amount an asset can be sold for, less the cost of selling it.</w:t>
      </w:r>
    </w:p>
    <w:p w:rsidR="00095933" w:rsidRPr="00B06633" w:rsidRDefault="00095933" w:rsidP="003B314A">
      <w:pPr>
        <w:jc w:val="both"/>
        <w:rPr>
          <w:b/>
        </w:rPr>
      </w:pPr>
    </w:p>
    <w:p w:rsidR="0003279A" w:rsidRPr="00B06633" w:rsidRDefault="0003279A" w:rsidP="003B314A">
      <w:pPr>
        <w:jc w:val="both"/>
        <w:rPr>
          <w:b/>
        </w:rPr>
      </w:pPr>
      <w:r w:rsidRPr="00B06633">
        <w:rPr>
          <w:b/>
        </w:rPr>
        <w:t>Revenue account</w:t>
      </w:r>
    </w:p>
    <w:p w:rsidR="0003279A" w:rsidRPr="00B06633" w:rsidRDefault="0003279A" w:rsidP="003B314A">
      <w:pPr>
        <w:spacing w:after="240"/>
        <w:jc w:val="both"/>
      </w:pPr>
      <w:r w:rsidRPr="00B06633">
        <w:t xml:space="preserve">An account which records the </w:t>
      </w:r>
      <w:r w:rsidR="001F1A1A">
        <w:t>County Council</w:t>
      </w:r>
      <w:r w:rsidRPr="00B06633">
        <w:t>’s day to day expenditure and income relating to items such as salaries, wages and the costs of running services.</w:t>
      </w:r>
    </w:p>
    <w:p w:rsidR="0003279A" w:rsidRPr="00B06633" w:rsidRDefault="0003279A" w:rsidP="003B314A">
      <w:pPr>
        <w:jc w:val="both"/>
        <w:rPr>
          <w:b/>
        </w:rPr>
      </w:pPr>
      <w:r w:rsidRPr="00B06633">
        <w:rPr>
          <w:b/>
        </w:rPr>
        <w:t>Revenue contribution to capital outlay</w:t>
      </w:r>
    </w:p>
    <w:p w:rsidR="0003279A" w:rsidRPr="00B06633" w:rsidRDefault="0003279A" w:rsidP="003B314A">
      <w:pPr>
        <w:spacing w:after="240"/>
        <w:jc w:val="both"/>
      </w:pPr>
      <w:r w:rsidRPr="00B06633">
        <w:t>This is where capital expenditure is financed by a direct contribution from the revenue account, rather than by a loan or another form of finance.</w:t>
      </w:r>
    </w:p>
    <w:p w:rsidR="0003279A" w:rsidRPr="00B06633" w:rsidRDefault="0003279A" w:rsidP="003B314A">
      <w:pPr>
        <w:jc w:val="both"/>
        <w:rPr>
          <w:b/>
        </w:rPr>
      </w:pPr>
      <w:r w:rsidRPr="00B06633">
        <w:rPr>
          <w:b/>
        </w:rPr>
        <w:t>Revenue expenditure</w:t>
      </w:r>
    </w:p>
    <w:p w:rsidR="0003279A" w:rsidRPr="00B06633" w:rsidRDefault="0003279A" w:rsidP="003B314A">
      <w:pPr>
        <w:spacing w:after="240"/>
        <w:jc w:val="both"/>
      </w:pPr>
      <w:r w:rsidRPr="00B06633">
        <w:t xml:space="preserve">The </w:t>
      </w:r>
      <w:r w:rsidR="001F1A1A">
        <w:t>County Council</w:t>
      </w:r>
      <w:r w:rsidRPr="00B06633">
        <w:t>’s day-to-day spending. This is charged to the revenue account and consists mainly of salaries and wages, running costs and financing charges.</w:t>
      </w:r>
    </w:p>
    <w:p w:rsidR="0003279A" w:rsidRPr="00B06633" w:rsidRDefault="0003279A" w:rsidP="003B314A">
      <w:pPr>
        <w:jc w:val="both"/>
        <w:rPr>
          <w:b/>
        </w:rPr>
      </w:pPr>
      <w:r w:rsidRPr="00B06633">
        <w:rPr>
          <w:b/>
        </w:rPr>
        <w:t>Revenue Support Grant</w:t>
      </w:r>
    </w:p>
    <w:p w:rsidR="0003279A" w:rsidRPr="00B06633" w:rsidRDefault="0003279A" w:rsidP="003B314A">
      <w:pPr>
        <w:spacing w:after="240"/>
        <w:jc w:val="both"/>
      </w:pPr>
      <w:r w:rsidRPr="00B06633">
        <w:t>A general grant from central government to contribute towards the cost of providing services.</w:t>
      </w:r>
    </w:p>
    <w:p w:rsidR="0003279A" w:rsidRPr="00B06633" w:rsidRDefault="0003279A" w:rsidP="003B314A">
      <w:pPr>
        <w:jc w:val="both"/>
        <w:rPr>
          <w:b/>
        </w:rPr>
      </w:pPr>
      <w:r w:rsidRPr="00B06633">
        <w:rPr>
          <w:b/>
        </w:rPr>
        <w:t>Reversed out</w:t>
      </w:r>
    </w:p>
    <w:p w:rsidR="0003279A" w:rsidRPr="00B06633" w:rsidRDefault="0003279A" w:rsidP="003B314A">
      <w:pPr>
        <w:spacing w:after="240"/>
        <w:jc w:val="both"/>
      </w:pPr>
      <w:r w:rsidRPr="00B06633">
        <w:t>This is where an opposite entry is made in the accounts, to cancel the effect of a transaction.</w:t>
      </w:r>
    </w:p>
    <w:p w:rsidR="0003279A" w:rsidRPr="00B06633" w:rsidRDefault="0003279A" w:rsidP="003B314A">
      <w:pPr>
        <w:jc w:val="both"/>
        <w:rPr>
          <w:b/>
        </w:rPr>
      </w:pPr>
      <w:r w:rsidRPr="00B06633">
        <w:rPr>
          <w:b/>
        </w:rPr>
        <w:t>Specific grants</w:t>
      </w:r>
    </w:p>
    <w:p w:rsidR="0003279A" w:rsidRPr="00B06633" w:rsidRDefault="0003279A" w:rsidP="003B314A">
      <w:pPr>
        <w:spacing w:after="240"/>
        <w:jc w:val="both"/>
      </w:pPr>
      <w:r w:rsidRPr="00B06633">
        <w:t>Government grants for a particular service – for example, the Standards Fund Grant.</w:t>
      </w:r>
    </w:p>
    <w:p w:rsidR="0003279A" w:rsidRPr="00B06633" w:rsidRDefault="0003279A" w:rsidP="003B314A">
      <w:pPr>
        <w:jc w:val="both"/>
        <w:rPr>
          <w:b/>
        </w:rPr>
      </w:pPr>
      <w:r w:rsidRPr="00B06633">
        <w:rPr>
          <w:b/>
        </w:rPr>
        <w:t>Standing orders</w:t>
      </w:r>
    </w:p>
    <w:p w:rsidR="0003279A" w:rsidRPr="00B06633" w:rsidRDefault="0003279A" w:rsidP="003B314A">
      <w:pPr>
        <w:jc w:val="both"/>
      </w:pPr>
      <w:r w:rsidRPr="00B06633">
        <w:t xml:space="preserve">The rules the </w:t>
      </w:r>
      <w:r w:rsidR="001F1A1A">
        <w:t>County Council</w:t>
      </w:r>
      <w:r w:rsidRPr="00B06633">
        <w:t xml:space="preserve"> must follow when buying goods, services and work. These rules are set out in the council’s constitution.</w:t>
      </w:r>
    </w:p>
    <w:p w:rsidR="0003279A" w:rsidRPr="00B06633" w:rsidRDefault="0003279A" w:rsidP="003B314A">
      <w:pPr>
        <w:jc w:val="both"/>
      </w:pPr>
    </w:p>
    <w:p w:rsidR="0003279A" w:rsidRPr="00B06633" w:rsidRDefault="0003279A" w:rsidP="003B314A">
      <w:pPr>
        <w:jc w:val="both"/>
        <w:rPr>
          <w:b/>
        </w:rPr>
      </w:pPr>
      <w:r w:rsidRPr="00B06633">
        <w:rPr>
          <w:b/>
        </w:rPr>
        <w:t>Stock</w:t>
      </w:r>
    </w:p>
    <w:p w:rsidR="0003279A" w:rsidRPr="00B06633" w:rsidRDefault="0003279A" w:rsidP="003B314A">
      <w:pPr>
        <w:jc w:val="both"/>
      </w:pPr>
      <w:r w:rsidRPr="00B06633">
        <w:t>Raw materials and consumable goods bought but not yet used at the end of the accounting period.</w:t>
      </w:r>
    </w:p>
    <w:p w:rsidR="0003279A" w:rsidRPr="00B06633" w:rsidRDefault="0003279A" w:rsidP="003B314A">
      <w:pPr>
        <w:jc w:val="both"/>
      </w:pPr>
    </w:p>
    <w:p w:rsidR="0003279A" w:rsidRPr="00B06633" w:rsidRDefault="0003279A" w:rsidP="003B314A">
      <w:pPr>
        <w:jc w:val="both"/>
        <w:rPr>
          <w:b/>
        </w:rPr>
      </w:pPr>
      <w:r w:rsidRPr="00B06633">
        <w:rPr>
          <w:b/>
        </w:rPr>
        <w:t>Tangible assets</w:t>
      </w:r>
    </w:p>
    <w:p w:rsidR="0003279A" w:rsidRPr="00B06633" w:rsidRDefault="0003279A" w:rsidP="003B314A">
      <w:pPr>
        <w:spacing w:after="240"/>
        <w:jc w:val="both"/>
      </w:pPr>
      <w:r w:rsidRPr="00B06633">
        <w:t>Assets which have a physical form – for example, buildings, furniture and equipment.</w:t>
      </w:r>
    </w:p>
    <w:p w:rsidR="0003279A" w:rsidRPr="00B06633" w:rsidRDefault="0003279A" w:rsidP="003B314A">
      <w:pPr>
        <w:jc w:val="both"/>
        <w:rPr>
          <w:b/>
        </w:rPr>
      </w:pPr>
      <w:r w:rsidRPr="00B06633">
        <w:rPr>
          <w:b/>
        </w:rPr>
        <w:t>Total net worth</w:t>
      </w:r>
    </w:p>
    <w:p w:rsidR="0003279A" w:rsidRPr="00B06633" w:rsidRDefault="0003279A" w:rsidP="003B314A">
      <w:pPr>
        <w:spacing w:after="240"/>
        <w:jc w:val="both"/>
      </w:pPr>
      <w:r w:rsidRPr="00B06633">
        <w:t>The total net value of resources available to or owned by the council.</w:t>
      </w:r>
    </w:p>
    <w:p w:rsidR="0003279A" w:rsidRPr="00B06633" w:rsidRDefault="0003279A" w:rsidP="003B314A">
      <w:pPr>
        <w:jc w:val="both"/>
        <w:rPr>
          <w:b/>
        </w:rPr>
      </w:pPr>
      <w:r w:rsidRPr="00B06633">
        <w:rPr>
          <w:b/>
        </w:rPr>
        <w:t>Transfer in</w:t>
      </w:r>
    </w:p>
    <w:p w:rsidR="0003279A" w:rsidRPr="00B06633" w:rsidRDefault="0003279A" w:rsidP="003B314A">
      <w:pPr>
        <w:spacing w:after="240"/>
        <w:jc w:val="both"/>
      </w:pPr>
      <w:r w:rsidRPr="00B06633">
        <w:t>A transfer of money into the pension fund from another pension fund.</w:t>
      </w:r>
    </w:p>
    <w:p w:rsidR="0003279A" w:rsidRPr="00B06633" w:rsidRDefault="0003279A" w:rsidP="003B314A">
      <w:pPr>
        <w:jc w:val="both"/>
        <w:rPr>
          <w:b/>
        </w:rPr>
      </w:pPr>
      <w:r w:rsidRPr="00B06633">
        <w:rPr>
          <w:b/>
        </w:rPr>
        <w:t>Transfer out</w:t>
      </w:r>
    </w:p>
    <w:p w:rsidR="0003279A" w:rsidRPr="00B06633" w:rsidRDefault="0003279A" w:rsidP="003B314A">
      <w:pPr>
        <w:spacing w:after="240"/>
        <w:jc w:val="both"/>
      </w:pPr>
      <w:r w:rsidRPr="00B06633">
        <w:t>A transfer of money out of the pension fund to another pension fund.</w:t>
      </w:r>
    </w:p>
    <w:p w:rsidR="00D6238B" w:rsidRDefault="00D6238B" w:rsidP="003B314A">
      <w:pPr>
        <w:jc w:val="both"/>
        <w:rPr>
          <w:b/>
        </w:rPr>
      </w:pPr>
    </w:p>
    <w:p w:rsidR="0003279A" w:rsidRPr="00B06633" w:rsidRDefault="0003279A" w:rsidP="003B314A">
      <w:pPr>
        <w:jc w:val="both"/>
        <w:rPr>
          <w:b/>
        </w:rPr>
      </w:pPr>
      <w:r w:rsidRPr="00B06633">
        <w:rPr>
          <w:b/>
        </w:rPr>
        <w:lastRenderedPageBreak/>
        <w:t>Transfer value</w:t>
      </w:r>
    </w:p>
    <w:p w:rsidR="0003279A" w:rsidRPr="00B06633" w:rsidRDefault="0003279A" w:rsidP="003B314A">
      <w:pPr>
        <w:spacing w:after="240"/>
        <w:jc w:val="both"/>
      </w:pPr>
      <w:r w:rsidRPr="00B06633">
        <w:t>A payment made by one pension fund to another when a scheme member changes schemes.</w:t>
      </w:r>
    </w:p>
    <w:p w:rsidR="0003279A" w:rsidRPr="00B06633" w:rsidRDefault="0003279A" w:rsidP="003B314A">
      <w:pPr>
        <w:jc w:val="both"/>
        <w:rPr>
          <w:b/>
        </w:rPr>
      </w:pPr>
      <w:r w:rsidRPr="00B06633">
        <w:rPr>
          <w:b/>
        </w:rPr>
        <w:t>Useful life</w:t>
      </w:r>
    </w:p>
    <w:p w:rsidR="0003279A" w:rsidRPr="00B06633" w:rsidRDefault="0003279A" w:rsidP="003B314A">
      <w:pPr>
        <w:jc w:val="both"/>
      </w:pPr>
      <w:r w:rsidRPr="00B06633">
        <w:t>The period which an asset is expected to be available for use.</w:t>
      </w:r>
    </w:p>
    <w:p w:rsidR="0003279A" w:rsidRPr="00B06633" w:rsidRDefault="0003279A" w:rsidP="003B314A">
      <w:pPr>
        <w:jc w:val="both"/>
      </w:pPr>
    </w:p>
    <w:p w:rsidR="0003279A" w:rsidRPr="00B06633" w:rsidRDefault="0003279A" w:rsidP="003B314A">
      <w:pPr>
        <w:jc w:val="both"/>
        <w:rPr>
          <w:b/>
        </w:rPr>
      </w:pPr>
      <w:r w:rsidRPr="00B06633">
        <w:rPr>
          <w:b/>
        </w:rPr>
        <w:t>Undischarged obligations</w:t>
      </w:r>
    </w:p>
    <w:p w:rsidR="0003279A" w:rsidRPr="00B06633" w:rsidRDefault="0003279A" w:rsidP="003B314A">
      <w:pPr>
        <w:spacing w:after="240"/>
        <w:jc w:val="both"/>
        <w:rPr>
          <w:b/>
        </w:rPr>
      </w:pPr>
      <w:r w:rsidRPr="00B06633">
        <w:t xml:space="preserve">Payments we are committed to make in the future. </w:t>
      </w:r>
    </w:p>
    <w:p w:rsidR="0003279A" w:rsidRPr="00B06633" w:rsidRDefault="0003279A" w:rsidP="003B314A">
      <w:pPr>
        <w:jc w:val="both"/>
        <w:rPr>
          <w:b/>
        </w:rPr>
      </w:pPr>
      <w:r w:rsidRPr="00B06633">
        <w:rPr>
          <w:b/>
        </w:rPr>
        <w:t>Withholding tax</w:t>
      </w:r>
    </w:p>
    <w:p w:rsidR="0003279A" w:rsidRPr="00B06633" w:rsidRDefault="0003279A" w:rsidP="003B314A">
      <w:pPr>
        <w:spacing w:after="240"/>
        <w:jc w:val="both"/>
      </w:pPr>
      <w:r w:rsidRPr="00B06633">
        <w:t>A tax on dividend income, charged at source.</w:t>
      </w:r>
    </w:p>
    <w:p w:rsidR="0003279A" w:rsidRPr="00B06633" w:rsidRDefault="0003279A" w:rsidP="003B314A">
      <w:pPr>
        <w:jc w:val="both"/>
      </w:pPr>
      <w:r w:rsidRPr="00B06633">
        <w:rPr>
          <w:b/>
        </w:rPr>
        <w:t>Write down</w:t>
      </w:r>
    </w:p>
    <w:p w:rsidR="0003279A" w:rsidRDefault="0003279A" w:rsidP="003B314A">
      <w:pPr>
        <w:jc w:val="both"/>
      </w:pPr>
      <w:r w:rsidRPr="00B06633">
        <w:t>This is where amounts are charged to the revenue account or offset against another balance sheet account.</w:t>
      </w:r>
    </w:p>
    <w:p w:rsidR="00865C04" w:rsidRDefault="00865C04" w:rsidP="005F7CEE">
      <w:pPr>
        <w:jc w:val="both"/>
      </w:pPr>
    </w:p>
    <w:p w:rsidR="00865C04" w:rsidRDefault="00865C04" w:rsidP="005F7CEE">
      <w:pPr>
        <w:jc w:val="both"/>
      </w:pPr>
    </w:p>
    <w:sectPr w:rsidR="00865C04" w:rsidSect="003018D5">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D1B" w:rsidRDefault="00A41D1B">
      <w:r>
        <w:separator/>
      </w:r>
    </w:p>
  </w:endnote>
  <w:endnote w:type="continuationSeparator" w:id="0">
    <w:p w:rsidR="00A41D1B" w:rsidRDefault="00A41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abon">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QEJOBV+Helvetica-Bold">
    <w:altName w:val="Helvetica"/>
    <w:panose1 w:val="00000000000000000000"/>
    <w:charset w:val="00"/>
    <w:family w:val="swiss"/>
    <w:notTrueType/>
    <w:pitch w:val="default"/>
    <w:sig w:usb0="00000003" w:usb1="00000000" w:usb2="00000000" w:usb3="00000000" w:csb0="00000001" w:csb1="00000000"/>
  </w:font>
  <w:font w:name="Gill Sans MT Pro Medium">
    <w:altName w:val="Gill Sans MT Pro Medium"/>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Helvetica-Light">
    <w:panose1 w:val="00000000000000000000"/>
    <w:charset w:val="00"/>
    <w:family w:val="auto"/>
    <w:notTrueType/>
    <w:pitch w:val="default"/>
    <w:sig w:usb0="00000003" w:usb1="00000000" w:usb2="00000000" w:usb3="00000000" w:csb0="00000001" w:csb1="00000000"/>
  </w:font>
  <w:font w:name="SUDADR+Helvetica-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1B" w:rsidRDefault="00A41D1B" w:rsidP="00EC3E91">
    <w:pPr>
      <w:pStyle w:val="Footer"/>
      <w:jc w:val="right"/>
      <w:rPr>
        <w:sz w:val="20"/>
      </w:rPr>
    </w:pPr>
  </w:p>
  <w:p w:rsidR="00A41D1B" w:rsidRDefault="00A41D1B" w:rsidP="00EC3E91">
    <w:pPr>
      <w:pStyle w:val="Footer"/>
      <w:jc w:val="right"/>
      <w:rPr>
        <w:sz w:val="20"/>
      </w:rPr>
    </w:pPr>
    <w:r>
      <w:rPr>
        <w:sz w:val="20"/>
      </w:rPr>
      <w:t>Statement of Accounts 2011/12</w:t>
    </w:r>
  </w:p>
  <w:p w:rsidR="00A41D1B" w:rsidRDefault="00A41D1B" w:rsidP="00EC3E91">
    <w:pPr>
      <w:pStyle w:val="Footer"/>
      <w:jc w:val="right"/>
      <w:rPr>
        <w:sz w:val="20"/>
      </w:rPr>
    </w:pPr>
    <w:r>
      <w:rPr>
        <w:sz w:val="20"/>
      </w:rPr>
      <w:t xml:space="preserve">  </w:t>
    </w:r>
    <w:r>
      <w:rPr>
        <w:sz w:val="20"/>
      </w:rPr>
      <w:sym w:font="Wingdings 2" w:char="F097"/>
    </w:r>
    <w:r>
      <w:rPr>
        <w:sz w:val="20"/>
      </w:rPr>
      <w:t xml:space="preserve">  </w:t>
    </w:r>
    <w:r>
      <w:rPr>
        <w:rStyle w:val="PageNumber"/>
      </w:rPr>
      <w:fldChar w:fldCharType="begin"/>
    </w:r>
    <w:r>
      <w:rPr>
        <w:rStyle w:val="PageNumber"/>
      </w:rPr>
      <w:instrText xml:space="preserve"> PAGE </w:instrText>
    </w:r>
    <w:r>
      <w:rPr>
        <w:rStyle w:val="PageNumber"/>
      </w:rPr>
      <w:fldChar w:fldCharType="separate"/>
    </w:r>
    <w:r w:rsidR="00FD3C2D">
      <w:rPr>
        <w:rStyle w:val="PageNumber"/>
        <w:noProof/>
      </w:rPr>
      <w:t>29</w:t>
    </w:r>
    <w:r>
      <w:rPr>
        <w:rStyle w:val="PageNumber"/>
      </w:rPr>
      <w:fldChar w:fldCharType="end"/>
    </w:r>
  </w:p>
  <w:p w:rsidR="00A41D1B" w:rsidRPr="00EC3E91" w:rsidRDefault="00A41D1B" w:rsidP="00EC3E91">
    <w:pPr>
      <w:pStyle w:val="Footer"/>
      <w:jc w:val="right"/>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1B" w:rsidRDefault="00A41D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A41D1B" w:rsidRDefault="00A41D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D1B" w:rsidRDefault="00A41D1B">
      <w:r>
        <w:separator/>
      </w:r>
    </w:p>
  </w:footnote>
  <w:footnote w:type="continuationSeparator" w:id="0">
    <w:p w:rsidR="00A41D1B" w:rsidRDefault="00A41D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1B" w:rsidRDefault="00A41D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1B" w:rsidRDefault="00A41D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1B" w:rsidRDefault="00A41D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7F0"/>
    <w:multiLevelType w:val="hybridMultilevel"/>
    <w:tmpl w:val="FEDC0476"/>
    <w:lvl w:ilvl="0" w:tplc="31B4185C">
      <w:start w:val="6"/>
      <w:numFmt w:val="decimal"/>
      <w:lvlText w:val="%1."/>
      <w:lvlJc w:val="left"/>
      <w:pPr>
        <w:ind w:left="1080" w:hanging="360"/>
      </w:pPr>
      <w:rPr>
        <w:rFonts w:hint="default"/>
        <w:b/>
      </w:rPr>
    </w:lvl>
    <w:lvl w:ilvl="1" w:tplc="2FDC7D96">
      <w:start w:val="1"/>
      <w:numFmt w:val="lowerLetter"/>
      <w:lvlText w:val="%2."/>
      <w:lvlJc w:val="left"/>
      <w:pPr>
        <w:ind w:left="1800" w:hanging="360"/>
      </w:pPr>
    </w:lvl>
    <w:lvl w:ilvl="2" w:tplc="64AECDDE" w:tentative="1">
      <w:start w:val="1"/>
      <w:numFmt w:val="lowerRoman"/>
      <w:lvlText w:val="%3."/>
      <w:lvlJc w:val="right"/>
      <w:pPr>
        <w:ind w:left="2520" w:hanging="180"/>
      </w:pPr>
    </w:lvl>
    <w:lvl w:ilvl="3" w:tplc="786E9258" w:tentative="1">
      <w:start w:val="1"/>
      <w:numFmt w:val="decimal"/>
      <w:lvlText w:val="%4."/>
      <w:lvlJc w:val="left"/>
      <w:pPr>
        <w:ind w:left="3240" w:hanging="360"/>
      </w:pPr>
    </w:lvl>
    <w:lvl w:ilvl="4" w:tplc="B5C01DA4" w:tentative="1">
      <w:start w:val="1"/>
      <w:numFmt w:val="lowerLetter"/>
      <w:lvlText w:val="%5."/>
      <w:lvlJc w:val="left"/>
      <w:pPr>
        <w:ind w:left="3960" w:hanging="360"/>
      </w:pPr>
    </w:lvl>
    <w:lvl w:ilvl="5" w:tplc="7B96BC8A" w:tentative="1">
      <w:start w:val="1"/>
      <w:numFmt w:val="lowerRoman"/>
      <w:lvlText w:val="%6."/>
      <w:lvlJc w:val="right"/>
      <w:pPr>
        <w:ind w:left="4680" w:hanging="180"/>
      </w:pPr>
    </w:lvl>
    <w:lvl w:ilvl="6" w:tplc="8D185334" w:tentative="1">
      <w:start w:val="1"/>
      <w:numFmt w:val="decimal"/>
      <w:lvlText w:val="%7."/>
      <w:lvlJc w:val="left"/>
      <w:pPr>
        <w:ind w:left="5400" w:hanging="360"/>
      </w:pPr>
    </w:lvl>
    <w:lvl w:ilvl="7" w:tplc="4D5413CC" w:tentative="1">
      <w:start w:val="1"/>
      <w:numFmt w:val="lowerLetter"/>
      <w:lvlText w:val="%8."/>
      <w:lvlJc w:val="left"/>
      <w:pPr>
        <w:ind w:left="6120" w:hanging="360"/>
      </w:pPr>
    </w:lvl>
    <w:lvl w:ilvl="8" w:tplc="EE4EBEE2" w:tentative="1">
      <w:start w:val="1"/>
      <w:numFmt w:val="lowerRoman"/>
      <w:lvlText w:val="%9."/>
      <w:lvlJc w:val="right"/>
      <w:pPr>
        <w:ind w:left="6840" w:hanging="180"/>
      </w:pPr>
    </w:lvl>
  </w:abstractNum>
  <w:abstractNum w:abstractNumId="1">
    <w:nsid w:val="03213403"/>
    <w:multiLevelType w:val="hybridMultilevel"/>
    <w:tmpl w:val="B14E7936"/>
    <w:lvl w:ilvl="0" w:tplc="4F48DF9E">
      <w:start w:val="1"/>
      <w:numFmt w:val="decimal"/>
      <w:pStyle w:val="Bodytextnumbered"/>
      <w:lvlText w:val="%1"/>
      <w:lvlJc w:val="left"/>
      <w:pPr>
        <w:tabs>
          <w:tab w:val="num" w:pos="397"/>
        </w:tabs>
        <w:ind w:left="397" w:hanging="397"/>
      </w:pPr>
      <w:rPr>
        <w:b/>
        <w:i w:val="0"/>
        <w:color w:val="7AB800"/>
        <w:sz w:val="24"/>
        <w:szCs w:val="20"/>
      </w:rPr>
    </w:lvl>
    <w:lvl w:ilvl="1" w:tplc="6E563438">
      <w:start w:val="1"/>
      <w:numFmt w:val="lowerLetter"/>
      <w:lvlText w:val="%2."/>
      <w:lvlJc w:val="left"/>
      <w:pPr>
        <w:tabs>
          <w:tab w:val="num" w:pos="1440"/>
        </w:tabs>
        <w:ind w:left="1440" w:hanging="360"/>
      </w:pPr>
    </w:lvl>
    <w:lvl w:ilvl="2" w:tplc="D6E49F72">
      <w:start w:val="1"/>
      <w:numFmt w:val="decimal"/>
      <w:lvlText w:val="%3."/>
      <w:lvlJc w:val="left"/>
      <w:pPr>
        <w:tabs>
          <w:tab w:val="num" w:pos="2160"/>
        </w:tabs>
        <w:ind w:left="2160" w:hanging="360"/>
      </w:pPr>
    </w:lvl>
    <w:lvl w:ilvl="3" w:tplc="6332D828">
      <w:start w:val="1"/>
      <w:numFmt w:val="decimal"/>
      <w:lvlText w:val="%4."/>
      <w:lvlJc w:val="left"/>
      <w:pPr>
        <w:tabs>
          <w:tab w:val="num" w:pos="2880"/>
        </w:tabs>
        <w:ind w:left="2880" w:hanging="360"/>
      </w:pPr>
      <w:rPr>
        <w:b/>
        <w:i w:val="0"/>
        <w:color w:val="083863"/>
        <w:sz w:val="20"/>
        <w:szCs w:val="20"/>
      </w:rPr>
    </w:lvl>
    <w:lvl w:ilvl="4" w:tplc="22C0A374">
      <w:start w:val="1"/>
      <w:numFmt w:val="decimal"/>
      <w:lvlText w:val="%5."/>
      <w:lvlJc w:val="left"/>
      <w:pPr>
        <w:tabs>
          <w:tab w:val="num" w:pos="3600"/>
        </w:tabs>
        <w:ind w:left="3600" w:hanging="360"/>
      </w:pPr>
    </w:lvl>
    <w:lvl w:ilvl="5" w:tplc="3288D9E2">
      <w:start w:val="1"/>
      <w:numFmt w:val="decimal"/>
      <w:lvlText w:val="%6."/>
      <w:lvlJc w:val="left"/>
      <w:pPr>
        <w:tabs>
          <w:tab w:val="num" w:pos="4320"/>
        </w:tabs>
        <w:ind w:left="4320" w:hanging="360"/>
      </w:pPr>
    </w:lvl>
    <w:lvl w:ilvl="6" w:tplc="4A40C83A">
      <w:start w:val="1"/>
      <w:numFmt w:val="decimal"/>
      <w:lvlText w:val="%7."/>
      <w:lvlJc w:val="left"/>
      <w:pPr>
        <w:tabs>
          <w:tab w:val="num" w:pos="5040"/>
        </w:tabs>
        <w:ind w:left="5040" w:hanging="360"/>
      </w:pPr>
    </w:lvl>
    <w:lvl w:ilvl="7" w:tplc="F7E22A5C">
      <w:start w:val="1"/>
      <w:numFmt w:val="decimal"/>
      <w:lvlText w:val="%8."/>
      <w:lvlJc w:val="left"/>
      <w:pPr>
        <w:tabs>
          <w:tab w:val="num" w:pos="5760"/>
        </w:tabs>
        <w:ind w:left="5760" w:hanging="360"/>
      </w:pPr>
    </w:lvl>
    <w:lvl w:ilvl="8" w:tplc="4EB85108">
      <w:start w:val="1"/>
      <w:numFmt w:val="decimal"/>
      <w:lvlText w:val="%9."/>
      <w:lvlJc w:val="left"/>
      <w:pPr>
        <w:tabs>
          <w:tab w:val="num" w:pos="6480"/>
        </w:tabs>
        <w:ind w:left="6480" w:hanging="360"/>
      </w:pPr>
    </w:lvl>
  </w:abstractNum>
  <w:abstractNum w:abstractNumId="2">
    <w:nsid w:val="03DA747C"/>
    <w:multiLevelType w:val="hybridMultilevel"/>
    <w:tmpl w:val="C9A8BADC"/>
    <w:lvl w:ilvl="0" w:tplc="C950865C">
      <w:start w:val="1"/>
      <w:numFmt w:val="bullet"/>
      <w:lvlText w:val=""/>
      <w:lvlJc w:val="left"/>
      <w:pPr>
        <w:tabs>
          <w:tab w:val="num" w:pos="1353"/>
        </w:tabs>
        <w:ind w:left="1353" w:hanging="360"/>
      </w:pPr>
      <w:rPr>
        <w:rFonts w:ascii="Symbol" w:hAnsi="Symbol" w:hint="default"/>
      </w:rPr>
    </w:lvl>
    <w:lvl w:ilvl="1" w:tplc="E236F2FC">
      <w:start w:val="1"/>
      <w:numFmt w:val="bullet"/>
      <w:lvlText w:val="o"/>
      <w:lvlJc w:val="left"/>
      <w:pPr>
        <w:tabs>
          <w:tab w:val="num" w:pos="2073"/>
        </w:tabs>
        <w:ind w:left="2073" w:hanging="360"/>
      </w:pPr>
      <w:rPr>
        <w:rFonts w:ascii="Courier New" w:hAnsi="Courier New" w:cs="Courier New" w:hint="default"/>
      </w:rPr>
    </w:lvl>
    <w:lvl w:ilvl="2" w:tplc="4C8E7C56" w:tentative="1">
      <w:start w:val="1"/>
      <w:numFmt w:val="bullet"/>
      <w:lvlText w:val=""/>
      <w:lvlJc w:val="left"/>
      <w:pPr>
        <w:tabs>
          <w:tab w:val="num" w:pos="2793"/>
        </w:tabs>
        <w:ind w:left="2793" w:hanging="360"/>
      </w:pPr>
      <w:rPr>
        <w:rFonts w:ascii="Wingdings" w:hAnsi="Wingdings" w:hint="default"/>
      </w:rPr>
    </w:lvl>
    <w:lvl w:ilvl="3" w:tplc="839C954A" w:tentative="1">
      <w:start w:val="1"/>
      <w:numFmt w:val="bullet"/>
      <w:lvlText w:val=""/>
      <w:lvlJc w:val="left"/>
      <w:pPr>
        <w:tabs>
          <w:tab w:val="num" w:pos="3513"/>
        </w:tabs>
        <w:ind w:left="3513" w:hanging="360"/>
      </w:pPr>
      <w:rPr>
        <w:rFonts w:ascii="Symbol" w:hAnsi="Symbol" w:hint="default"/>
      </w:rPr>
    </w:lvl>
    <w:lvl w:ilvl="4" w:tplc="BE820CC0" w:tentative="1">
      <w:start w:val="1"/>
      <w:numFmt w:val="bullet"/>
      <w:lvlText w:val="o"/>
      <w:lvlJc w:val="left"/>
      <w:pPr>
        <w:tabs>
          <w:tab w:val="num" w:pos="4233"/>
        </w:tabs>
        <w:ind w:left="4233" w:hanging="360"/>
      </w:pPr>
      <w:rPr>
        <w:rFonts w:ascii="Courier New" w:hAnsi="Courier New" w:cs="Courier New" w:hint="default"/>
      </w:rPr>
    </w:lvl>
    <w:lvl w:ilvl="5" w:tplc="69B0EF1C" w:tentative="1">
      <w:start w:val="1"/>
      <w:numFmt w:val="bullet"/>
      <w:lvlText w:val=""/>
      <w:lvlJc w:val="left"/>
      <w:pPr>
        <w:tabs>
          <w:tab w:val="num" w:pos="4953"/>
        </w:tabs>
        <w:ind w:left="4953" w:hanging="360"/>
      </w:pPr>
      <w:rPr>
        <w:rFonts w:ascii="Wingdings" w:hAnsi="Wingdings" w:hint="default"/>
      </w:rPr>
    </w:lvl>
    <w:lvl w:ilvl="6" w:tplc="912008B2" w:tentative="1">
      <w:start w:val="1"/>
      <w:numFmt w:val="bullet"/>
      <w:lvlText w:val=""/>
      <w:lvlJc w:val="left"/>
      <w:pPr>
        <w:tabs>
          <w:tab w:val="num" w:pos="5673"/>
        </w:tabs>
        <w:ind w:left="5673" w:hanging="360"/>
      </w:pPr>
      <w:rPr>
        <w:rFonts w:ascii="Symbol" w:hAnsi="Symbol" w:hint="default"/>
      </w:rPr>
    </w:lvl>
    <w:lvl w:ilvl="7" w:tplc="F13ACF1E" w:tentative="1">
      <w:start w:val="1"/>
      <w:numFmt w:val="bullet"/>
      <w:lvlText w:val="o"/>
      <w:lvlJc w:val="left"/>
      <w:pPr>
        <w:tabs>
          <w:tab w:val="num" w:pos="6393"/>
        </w:tabs>
        <w:ind w:left="6393" w:hanging="360"/>
      </w:pPr>
      <w:rPr>
        <w:rFonts w:ascii="Courier New" w:hAnsi="Courier New" w:cs="Courier New" w:hint="default"/>
      </w:rPr>
    </w:lvl>
    <w:lvl w:ilvl="8" w:tplc="3DB01546" w:tentative="1">
      <w:start w:val="1"/>
      <w:numFmt w:val="bullet"/>
      <w:lvlText w:val=""/>
      <w:lvlJc w:val="left"/>
      <w:pPr>
        <w:tabs>
          <w:tab w:val="num" w:pos="7113"/>
        </w:tabs>
        <w:ind w:left="7113" w:hanging="360"/>
      </w:pPr>
      <w:rPr>
        <w:rFonts w:ascii="Wingdings" w:hAnsi="Wingdings" w:hint="default"/>
      </w:rPr>
    </w:lvl>
  </w:abstractNum>
  <w:abstractNum w:abstractNumId="3">
    <w:nsid w:val="064B169F"/>
    <w:multiLevelType w:val="hybridMultilevel"/>
    <w:tmpl w:val="197C05E2"/>
    <w:lvl w:ilvl="0" w:tplc="3ECC779A">
      <w:start w:val="1"/>
      <w:numFmt w:val="bullet"/>
      <w:lvlText w:val=""/>
      <w:lvlJc w:val="left"/>
      <w:pPr>
        <w:ind w:left="1245" w:hanging="360"/>
      </w:pPr>
      <w:rPr>
        <w:rFonts w:ascii="Symbol" w:hAnsi="Symbol" w:hint="default"/>
      </w:rPr>
    </w:lvl>
    <w:lvl w:ilvl="1" w:tplc="08090019" w:tentative="1">
      <w:start w:val="1"/>
      <w:numFmt w:val="bullet"/>
      <w:lvlText w:val="o"/>
      <w:lvlJc w:val="left"/>
      <w:pPr>
        <w:ind w:left="1965" w:hanging="360"/>
      </w:pPr>
      <w:rPr>
        <w:rFonts w:ascii="Courier New" w:hAnsi="Courier New" w:cs="Courier New" w:hint="default"/>
      </w:rPr>
    </w:lvl>
    <w:lvl w:ilvl="2" w:tplc="0809001B" w:tentative="1">
      <w:start w:val="1"/>
      <w:numFmt w:val="bullet"/>
      <w:lvlText w:val=""/>
      <w:lvlJc w:val="left"/>
      <w:pPr>
        <w:ind w:left="2685" w:hanging="360"/>
      </w:pPr>
      <w:rPr>
        <w:rFonts w:ascii="Wingdings" w:hAnsi="Wingdings" w:hint="default"/>
      </w:rPr>
    </w:lvl>
    <w:lvl w:ilvl="3" w:tplc="0809000F" w:tentative="1">
      <w:start w:val="1"/>
      <w:numFmt w:val="bullet"/>
      <w:lvlText w:val=""/>
      <w:lvlJc w:val="left"/>
      <w:pPr>
        <w:ind w:left="3405" w:hanging="360"/>
      </w:pPr>
      <w:rPr>
        <w:rFonts w:ascii="Symbol" w:hAnsi="Symbol" w:hint="default"/>
      </w:rPr>
    </w:lvl>
    <w:lvl w:ilvl="4" w:tplc="08090019" w:tentative="1">
      <w:start w:val="1"/>
      <w:numFmt w:val="bullet"/>
      <w:lvlText w:val="o"/>
      <w:lvlJc w:val="left"/>
      <w:pPr>
        <w:ind w:left="4125" w:hanging="360"/>
      </w:pPr>
      <w:rPr>
        <w:rFonts w:ascii="Courier New" w:hAnsi="Courier New" w:cs="Courier New" w:hint="default"/>
      </w:rPr>
    </w:lvl>
    <w:lvl w:ilvl="5" w:tplc="0809001B" w:tentative="1">
      <w:start w:val="1"/>
      <w:numFmt w:val="bullet"/>
      <w:lvlText w:val=""/>
      <w:lvlJc w:val="left"/>
      <w:pPr>
        <w:ind w:left="4845" w:hanging="360"/>
      </w:pPr>
      <w:rPr>
        <w:rFonts w:ascii="Wingdings" w:hAnsi="Wingdings" w:hint="default"/>
      </w:rPr>
    </w:lvl>
    <w:lvl w:ilvl="6" w:tplc="0809000F" w:tentative="1">
      <w:start w:val="1"/>
      <w:numFmt w:val="bullet"/>
      <w:lvlText w:val=""/>
      <w:lvlJc w:val="left"/>
      <w:pPr>
        <w:ind w:left="5565" w:hanging="360"/>
      </w:pPr>
      <w:rPr>
        <w:rFonts w:ascii="Symbol" w:hAnsi="Symbol" w:hint="default"/>
      </w:rPr>
    </w:lvl>
    <w:lvl w:ilvl="7" w:tplc="08090019" w:tentative="1">
      <w:start w:val="1"/>
      <w:numFmt w:val="bullet"/>
      <w:lvlText w:val="o"/>
      <w:lvlJc w:val="left"/>
      <w:pPr>
        <w:ind w:left="6285" w:hanging="360"/>
      </w:pPr>
      <w:rPr>
        <w:rFonts w:ascii="Courier New" w:hAnsi="Courier New" w:cs="Courier New" w:hint="default"/>
      </w:rPr>
    </w:lvl>
    <w:lvl w:ilvl="8" w:tplc="0809001B" w:tentative="1">
      <w:start w:val="1"/>
      <w:numFmt w:val="bullet"/>
      <w:lvlText w:val=""/>
      <w:lvlJc w:val="left"/>
      <w:pPr>
        <w:ind w:left="7005" w:hanging="360"/>
      </w:pPr>
      <w:rPr>
        <w:rFonts w:ascii="Wingdings" w:hAnsi="Wingdings" w:hint="default"/>
      </w:rPr>
    </w:lvl>
  </w:abstractNum>
  <w:abstractNum w:abstractNumId="4">
    <w:nsid w:val="06B207B6"/>
    <w:multiLevelType w:val="hybridMultilevel"/>
    <w:tmpl w:val="ADCCF4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
      <w:lvlJc w:val="left"/>
      <w:pPr>
        <w:tabs>
          <w:tab w:val="num" w:pos="1080"/>
        </w:tabs>
        <w:ind w:left="1080" w:hanging="360"/>
      </w:pPr>
      <w:rPr>
        <w:rFonts w:ascii="Symbol" w:hAnsi="Symbol" w:hint="default"/>
      </w:r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5">
    <w:nsid w:val="090071E5"/>
    <w:multiLevelType w:val="hybridMultilevel"/>
    <w:tmpl w:val="DF12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B1033C"/>
    <w:multiLevelType w:val="hybridMultilevel"/>
    <w:tmpl w:val="E12251D4"/>
    <w:lvl w:ilvl="0" w:tplc="7EDEA5AC">
      <w:start w:val="1"/>
      <w:numFmt w:val="lowerLetter"/>
      <w:lvlText w:val="%1)"/>
      <w:lvlJc w:val="left"/>
      <w:pPr>
        <w:ind w:left="1069" w:hanging="360"/>
      </w:pPr>
      <w:rPr>
        <w:rFonts w:hint="default"/>
      </w:rPr>
    </w:lvl>
    <w:lvl w:ilvl="1" w:tplc="459E48E2" w:tentative="1">
      <w:start w:val="1"/>
      <w:numFmt w:val="lowerLetter"/>
      <w:lvlText w:val="%2."/>
      <w:lvlJc w:val="left"/>
      <w:pPr>
        <w:ind w:left="1789" w:hanging="360"/>
      </w:pPr>
    </w:lvl>
    <w:lvl w:ilvl="2" w:tplc="9836BADA" w:tentative="1">
      <w:start w:val="1"/>
      <w:numFmt w:val="lowerRoman"/>
      <w:lvlText w:val="%3."/>
      <w:lvlJc w:val="right"/>
      <w:pPr>
        <w:ind w:left="2509" w:hanging="180"/>
      </w:pPr>
    </w:lvl>
    <w:lvl w:ilvl="3" w:tplc="C944E374" w:tentative="1">
      <w:start w:val="1"/>
      <w:numFmt w:val="decimal"/>
      <w:lvlText w:val="%4."/>
      <w:lvlJc w:val="left"/>
      <w:pPr>
        <w:ind w:left="3229" w:hanging="360"/>
      </w:pPr>
    </w:lvl>
    <w:lvl w:ilvl="4" w:tplc="879627F2" w:tentative="1">
      <w:start w:val="1"/>
      <w:numFmt w:val="lowerLetter"/>
      <w:lvlText w:val="%5."/>
      <w:lvlJc w:val="left"/>
      <w:pPr>
        <w:ind w:left="3949" w:hanging="360"/>
      </w:pPr>
    </w:lvl>
    <w:lvl w:ilvl="5" w:tplc="B3E27734" w:tentative="1">
      <w:start w:val="1"/>
      <w:numFmt w:val="lowerRoman"/>
      <w:lvlText w:val="%6."/>
      <w:lvlJc w:val="right"/>
      <w:pPr>
        <w:ind w:left="4669" w:hanging="180"/>
      </w:pPr>
    </w:lvl>
    <w:lvl w:ilvl="6" w:tplc="A37C7272" w:tentative="1">
      <w:start w:val="1"/>
      <w:numFmt w:val="decimal"/>
      <w:lvlText w:val="%7."/>
      <w:lvlJc w:val="left"/>
      <w:pPr>
        <w:ind w:left="5389" w:hanging="360"/>
      </w:pPr>
    </w:lvl>
    <w:lvl w:ilvl="7" w:tplc="FE84CB5E" w:tentative="1">
      <w:start w:val="1"/>
      <w:numFmt w:val="lowerLetter"/>
      <w:lvlText w:val="%8."/>
      <w:lvlJc w:val="left"/>
      <w:pPr>
        <w:ind w:left="6109" w:hanging="360"/>
      </w:pPr>
    </w:lvl>
    <w:lvl w:ilvl="8" w:tplc="91029890" w:tentative="1">
      <w:start w:val="1"/>
      <w:numFmt w:val="lowerRoman"/>
      <w:lvlText w:val="%9."/>
      <w:lvlJc w:val="right"/>
      <w:pPr>
        <w:ind w:left="6829" w:hanging="180"/>
      </w:pPr>
    </w:lvl>
  </w:abstractNum>
  <w:abstractNum w:abstractNumId="7">
    <w:nsid w:val="0DD56906"/>
    <w:multiLevelType w:val="hybridMultilevel"/>
    <w:tmpl w:val="92684A32"/>
    <w:lvl w:ilvl="0" w:tplc="BB5C49AE">
      <w:start w:val="27"/>
      <w:numFmt w:val="decimal"/>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0F710FC3"/>
    <w:multiLevelType w:val="hybridMultilevel"/>
    <w:tmpl w:val="A120DC8C"/>
    <w:lvl w:ilvl="0" w:tplc="E272B694">
      <w:start w:val="1"/>
      <w:numFmt w:val="bullet"/>
      <w:lvlText w:val=""/>
      <w:lvlJc w:val="left"/>
      <w:pPr>
        <w:ind w:left="1429" w:hanging="360"/>
      </w:pPr>
      <w:rPr>
        <w:rFonts w:ascii="Symbol" w:hAnsi="Symbol" w:hint="default"/>
      </w:rPr>
    </w:lvl>
    <w:lvl w:ilvl="1" w:tplc="08090019" w:tentative="1">
      <w:start w:val="1"/>
      <w:numFmt w:val="bullet"/>
      <w:lvlText w:val="o"/>
      <w:lvlJc w:val="left"/>
      <w:pPr>
        <w:ind w:left="2149" w:hanging="360"/>
      </w:pPr>
      <w:rPr>
        <w:rFonts w:ascii="Courier New" w:hAnsi="Courier New" w:cs="Courier New" w:hint="default"/>
      </w:rPr>
    </w:lvl>
    <w:lvl w:ilvl="2" w:tplc="0809001B" w:tentative="1">
      <w:start w:val="1"/>
      <w:numFmt w:val="bullet"/>
      <w:lvlText w:val=""/>
      <w:lvlJc w:val="left"/>
      <w:pPr>
        <w:ind w:left="2869" w:hanging="360"/>
      </w:pPr>
      <w:rPr>
        <w:rFonts w:ascii="Wingdings" w:hAnsi="Wingdings" w:hint="default"/>
      </w:rPr>
    </w:lvl>
    <w:lvl w:ilvl="3" w:tplc="0809000F" w:tentative="1">
      <w:start w:val="1"/>
      <w:numFmt w:val="bullet"/>
      <w:lvlText w:val=""/>
      <w:lvlJc w:val="left"/>
      <w:pPr>
        <w:ind w:left="3589" w:hanging="360"/>
      </w:pPr>
      <w:rPr>
        <w:rFonts w:ascii="Symbol" w:hAnsi="Symbol" w:hint="default"/>
      </w:rPr>
    </w:lvl>
    <w:lvl w:ilvl="4" w:tplc="08090019" w:tentative="1">
      <w:start w:val="1"/>
      <w:numFmt w:val="bullet"/>
      <w:lvlText w:val="o"/>
      <w:lvlJc w:val="left"/>
      <w:pPr>
        <w:ind w:left="4309" w:hanging="360"/>
      </w:pPr>
      <w:rPr>
        <w:rFonts w:ascii="Courier New" w:hAnsi="Courier New" w:cs="Courier New" w:hint="default"/>
      </w:rPr>
    </w:lvl>
    <w:lvl w:ilvl="5" w:tplc="0809001B" w:tentative="1">
      <w:start w:val="1"/>
      <w:numFmt w:val="bullet"/>
      <w:lvlText w:val=""/>
      <w:lvlJc w:val="left"/>
      <w:pPr>
        <w:ind w:left="5029" w:hanging="360"/>
      </w:pPr>
      <w:rPr>
        <w:rFonts w:ascii="Wingdings" w:hAnsi="Wingdings" w:hint="default"/>
      </w:rPr>
    </w:lvl>
    <w:lvl w:ilvl="6" w:tplc="0809000F" w:tentative="1">
      <w:start w:val="1"/>
      <w:numFmt w:val="bullet"/>
      <w:lvlText w:val=""/>
      <w:lvlJc w:val="left"/>
      <w:pPr>
        <w:ind w:left="5749" w:hanging="360"/>
      </w:pPr>
      <w:rPr>
        <w:rFonts w:ascii="Symbol" w:hAnsi="Symbol" w:hint="default"/>
      </w:rPr>
    </w:lvl>
    <w:lvl w:ilvl="7" w:tplc="08090019" w:tentative="1">
      <w:start w:val="1"/>
      <w:numFmt w:val="bullet"/>
      <w:lvlText w:val="o"/>
      <w:lvlJc w:val="left"/>
      <w:pPr>
        <w:ind w:left="6469" w:hanging="360"/>
      </w:pPr>
      <w:rPr>
        <w:rFonts w:ascii="Courier New" w:hAnsi="Courier New" w:cs="Courier New" w:hint="default"/>
      </w:rPr>
    </w:lvl>
    <w:lvl w:ilvl="8" w:tplc="0809001B" w:tentative="1">
      <w:start w:val="1"/>
      <w:numFmt w:val="bullet"/>
      <w:lvlText w:val=""/>
      <w:lvlJc w:val="left"/>
      <w:pPr>
        <w:ind w:left="7189" w:hanging="360"/>
      </w:pPr>
      <w:rPr>
        <w:rFonts w:ascii="Wingdings" w:hAnsi="Wingdings" w:hint="default"/>
      </w:rPr>
    </w:lvl>
  </w:abstractNum>
  <w:abstractNum w:abstractNumId="9">
    <w:nsid w:val="10472337"/>
    <w:multiLevelType w:val="hybridMultilevel"/>
    <w:tmpl w:val="C038D2A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10746927"/>
    <w:multiLevelType w:val="hybridMultilevel"/>
    <w:tmpl w:val="7C78933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1">
    <w:nsid w:val="129D3330"/>
    <w:multiLevelType w:val="hybridMultilevel"/>
    <w:tmpl w:val="9F228AC6"/>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Courier New"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Courier New"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Courier New"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2">
    <w:nsid w:val="12D9503E"/>
    <w:multiLevelType w:val="hybridMultilevel"/>
    <w:tmpl w:val="1C4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36F3AF1"/>
    <w:multiLevelType w:val="singleLevel"/>
    <w:tmpl w:val="9B742896"/>
    <w:lvl w:ilvl="0">
      <w:start w:val="1"/>
      <w:numFmt w:val="decimal"/>
      <w:lvlText w:val="%1."/>
      <w:lvlJc w:val="left"/>
      <w:pPr>
        <w:tabs>
          <w:tab w:val="num" w:pos="540"/>
        </w:tabs>
        <w:ind w:left="540" w:hanging="360"/>
      </w:pPr>
      <w:rPr>
        <w:b/>
      </w:rPr>
    </w:lvl>
  </w:abstractNum>
  <w:abstractNum w:abstractNumId="14">
    <w:nsid w:val="14BD3EA1"/>
    <w:multiLevelType w:val="singleLevel"/>
    <w:tmpl w:val="77182FF4"/>
    <w:lvl w:ilvl="0">
      <w:start w:val="1"/>
      <w:numFmt w:val="bullet"/>
      <w:lvlText w:val=""/>
      <w:lvlJc w:val="left"/>
      <w:pPr>
        <w:tabs>
          <w:tab w:val="num" w:pos="360"/>
        </w:tabs>
        <w:ind w:left="360" w:hanging="360"/>
      </w:pPr>
      <w:rPr>
        <w:rFonts w:ascii="Symbol" w:hAnsi="Symbol" w:hint="default"/>
        <w:sz w:val="20"/>
      </w:rPr>
    </w:lvl>
  </w:abstractNum>
  <w:abstractNum w:abstractNumId="15">
    <w:nsid w:val="1729414D"/>
    <w:multiLevelType w:val="hybridMultilevel"/>
    <w:tmpl w:val="1A72D8C8"/>
    <w:lvl w:ilvl="0" w:tplc="0E5C42CA">
      <w:start w:val="14"/>
      <w:numFmt w:val="bullet"/>
      <w:pStyle w:val="Bullet2"/>
      <w:lvlText w:val=""/>
      <w:lvlJc w:val="left"/>
      <w:pPr>
        <w:tabs>
          <w:tab w:val="num" w:pos="1191"/>
        </w:tabs>
        <w:ind w:left="1191" w:hanging="397"/>
      </w:pPr>
      <w:rPr>
        <w:rFonts w:ascii="Symbol" w:hAnsi="Symbol" w:hint="default"/>
        <w:b/>
        <w:i w:val="0"/>
        <w:color w:val="7AB800"/>
      </w:rPr>
    </w:lvl>
    <w:lvl w:ilvl="1" w:tplc="8A742B56">
      <w:start w:val="1"/>
      <w:numFmt w:val="decimal"/>
      <w:lvlText w:val="%2."/>
      <w:lvlJc w:val="left"/>
      <w:pPr>
        <w:tabs>
          <w:tab w:val="num" w:pos="1440"/>
        </w:tabs>
        <w:ind w:left="1440" w:hanging="360"/>
      </w:pPr>
    </w:lvl>
    <w:lvl w:ilvl="2" w:tplc="FB429D6A">
      <w:start w:val="1"/>
      <w:numFmt w:val="decimal"/>
      <w:lvlText w:val="%3."/>
      <w:lvlJc w:val="left"/>
      <w:pPr>
        <w:tabs>
          <w:tab w:val="num" w:pos="2160"/>
        </w:tabs>
        <w:ind w:left="2160" w:hanging="360"/>
      </w:pPr>
    </w:lvl>
    <w:lvl w:ilvl="3" w:tplc="569AB25C">
      <w:start w:val="1"/>
      <w:numFmt w:val="decimal"/>
      <w:lvlText w:val="%4."/>
      <w:lvlJc w:val="left"/>
      <w:pPr>
        <w:tabs>
          <w:tab w:val="num" w:pos="2880"/>
        </w:tabs>
        <w:ind w:left="2880" w:hanging="360"/>
      </w:pPr>
    </w:lvl>
    <w:lvl w:ilvl="4" w:tplc="F510007C">
      <w:start w:val="1"/>
      <w:numFmt w:val="decimal"/>
      <w:lvlText w:val="%5."/>
      <w:lvlJc w:val="left"/>
      <w:pPr>
        <w:tabs>
          <w:tab w:val="num" w:pos="3600"/>
        </w:tabs>
        <w:ind w:left="3600" w:hanging="360"/>
      </w:pPr>
    </w:lvl>
    <w:lvl w:ilvl="5" w:tplc="DC58C84E">
      <w:start w:val="1"/>
      <w:numFmt w:val="decimal"/>
      <w:lvlText w:val="%6."/>
      <w:lvlJc w:val="left"/>
      <w:pPr>
        <w:tabs>
          <w:tab w:val="num" w:pos="4320"/>
        </w:tabs>
        <w:ind w:left="4320" w:hanging="360"/>
      </w:pPr>
    </w:lvl>
    <w:lvl w:ilvl="6" w:tplc="DE04D892">
      <w:start w:val="1"/>
      <w:numFmt w:val="decimal"/>
      <w:lvlText w:val="%7."/>
      <w:lvlJc w:val="left"/>
      <w:pPr>
        <w:tabs>
          <w:tab w:val="num" w:pos="5040"/>
        </w:tabs>
        <w:ind w:left="5040" w:hanging="360"/>
      </w:pPr>
    </w:lvl>
    <w:lvl w:ilvl="7" w:tplc="E722BF38">
      <w:start w:val="1"/>
      <w:numFmt w:val="decimal"/>
      <w:lvlText w:val="%8."/>
      <w:lvlJc w:val="left"/>
      <w:pPr>
        <w:tabs>
          <w:tab w:val="num" w:pos="5760"/>
        </w:tabs>
        <w:ind w:left="5760" w:hanging="360"/>
      </w:pPr>
    </w:lvl>
    <w:lvl w:ilvl="8" w:tplc="5AF02D66">
      <w:start w:val="1"/>
      <w:numFmt w:val="decimal"/>
      <w:lvlText w:val="%9."/>
      <w:lvlJc w:val="left"/>
      <w:pPr>
        <w:tabs>
          <w:tab w:val="num" w:pos="6480"/>
        </w:tabs>
        <w:ind w:left="6480" w:hanging="360"/>
      </w:pPr>
    </w:lvl>
  </w:abstractNum>
  <w:abstractNum w:abstractNumId="16">
    <w:nsid w:val="174F6F21"/>
    <w:multiLevelType w:val="multilevel"/>
    <w:tmpl w:val="EC42485A"/>
    <w:lvl w:ilvl="0">
      <w:start w:val="1"/>
      <w:numFmt w:val="decimal"/>
      <w:pStyle w:val="Bullet4"/>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97A1B54"/>
    <w:multiLevelType w:val="hybridMultilevel"/>
    <w:tmpl w:val="4A2E55FE"/>
    <w:lvl w:ilvl="0" w:tplc="B832E55E">
      <w:start w:val="1"/>
      <w:numFmt w:val="bullet"/>
      <w:lvlText w:val=""/>
      <w:lvlJc w:val="left"/>
      <w:pPr>
        <w:tabs>
          <w:tab w:val="num" w:pos="1440"/>
        </w:tabs>
        <w:ind w:left="1440" w:hanging="360"/>
      </w:pPr>
      <w:rPr>
        <w:rFonts w:ascii="Symbol" w:hAnsi="Symbol" w:hint="default"/>
      </w:rPr>
    </w:lvl>
    <w:lvl w:ilvl="1" w:tplc="D7CE7AAA" w:tentative="1">
      <w:start w:val="1"/>
      <w:numFmt w:val="bullet"/>
      <w:lvlText w:val="o"/>
      <w:lvlJc w:val="left"/>
      <w:pPr>
        <w:tabs>
          <w:tab w:val="num" w:pos="2160"/>
        </w:tabs>
        <w:ind w:left="2160" w:hanging="360"/>
      </w:pPr>
      <w:rPr>
        <w:rFonts w:ascii="Courier New" w:hAnsi="Courier New" w:cs="Courier New" w:hint="default"/>
      </w:rPr>
    </w:lvl>
    <w:lvl w:ilvl="2" w:tplc="6ED2F262" w:tentative="1">
      <w:start w:val="1"/>
      <w:numFmt w:val="bullet"/>
      <w:lvlText w:val=""/>
      <w:lvlJc w:val="left"/>
      <w:pPr>
        <w:tabs>
          <w:tab w:val="num" w:pos="2880"/>
        </w:tabs>
        <w:ind w:left="2880" w:hanging="360"/>
      </w:pPr>
      <w:rPr>
        <w:rFonts w:ascii="Wingdings" w:hAnsi="Wingdings" w:hint="default"/>
      </w:rPr>
    </w:lvl>
    <w:lvl w:ilvl="3" w:tplc="61962E68" w:tentative="1">
      <w:start w:val="1"/>
      <w:numFmt w:val="bullet"/>
      <w:lvlText w:val=""/>
      <w:lvlJc w:val="left"/>
      <w:pPr>
        <w:tabs>
          <w:tab w:val="num" w:pos="3600"/>
        </w:tabs>
        <w:ind w:left="3600" w:hanging="360"/>
      </w:pPr>
      <w:rPr>
        <w:rFonts w:ascii="Symbol" w:hAnsi="Symbol" w:hint="default"/>
      </w:rPr>
    </w:lvl>
    <w:lvl w:ilvl="4" w:tplc="C682E91E" w:tentative="1">
      <w:start w:val="1"/>
      <w:numFmt w:val="bullet"/>
      <w:lvlText w:val="o"/>
      <w:lvlJc w:val="left"/>
      <w:pPr>
        <w:tabs>
          <w:tab w:val="num" w:pos="4320"/>
        </w:tabs>
        <w:ind w:left="4320" w:hanging="360"/>
      </w:pPr>
      <w:rPr>
        <w:rFonts w:ascii="Courier New" w:hAnsi="Courier New" w:cs="Courier New" w:hint="default"/>
      </w:rPr>
    </w:lvl>
    <w:lvl w:ilvl="5" w:tplc="B4E8AE52" w:tentative="1">
      <w:start w:val="1"/>
      <w:numFmt w:val="bullet"/>
      <w:lvlText w:val=""/>
      <w:lvlJc w:val="left"/>
      <w:pPr>
        <w:tabs>
          <w:tab w:val="num" w:pos="5040"/>
        </w:tabs>
        <w:ind w:left="5040" w:hanging="360"/>
      </w:pPr>
      <w:rPr>
        <w:rFonts w:ascii="Wingdings" w:hAnsi="Wingdings" w:hint="default"/>
      </w:rPr>
    </w:lvl>
    <w:lvl w:ilvl="6" w:tplc="16729A94" w:tentative="1">
      <w:start w:val="1"/>
      <w:numFmt w:val="bullet"/>
      <w:lvlText w:val=""/>
      <w:lvlJc w:val="left"/>
      <w:pPr>
        <w:tabs>
          <w:tab w:val="num" w:pos="5760"/>
        </w:tabs>
        <w:ind w:left="5760" w:hanging="360"/>
      </w:pPr>
      <w:rPr>
        <w:rFonts w:ascii="Symbol" w:hAnsi="Symbol" w:hint="default"/>
      </w:rPr>
    </w:lvl>
    <w:lvl w:ilvl="7" w:tplc="962A4B3C" w:tentative="1">
      <w:start w:val="1"/>
      <w:numFmt w:val="bullet"/>
      <w:lvlText w:val="o"/>
      <w:lvlJc w:val="left"/>
      <w:pPr>
        <w:tabs>
          <w:tab w:val="num" w:pos="6480"/>
        </w:tabs>
        <w:ind w:left="6480" w:hanging="360"/>
      </w:pPr>
      <w:rPr>
        <w:rFonts w:ascii="Courier New" w:hAnsi="Courier New" w:cs="Courier New" w:hint="default"/>
      </w:rPr>
    </w:lvl>
    <w:lvl w:ilvl="8" w:tplc="8CF288AC" w:tentative="1">
      <w:start w:val="1"/>
      <w:numFmt w:val="bullet"/>
      <w:lvlText w:val=""/>
      <w:lvlJc w:val="left"/>
      <w:pPr>
        <w:tabs>
          <w:tab w:val="num" w:pos="7200"/>
        </w:tabs>
        <w:ind w:left="7200" w:hanging="360"/>
      </w:pPr>
      <w:rPr>
        <w:rFonts w:ascii="Wingdings" w:hAnsi="Wingdings" w:hint="default"/>
      </w:rPr>
    </w:lvl>
  </w:abstractNum>
  <w:abstractNum w:abstractNumId="18">
    <w:nsid w:val="19E47C49"/>
    <w:multiLevelType w:val="hybridMultilevel"/>
    <w:tmpl w:val="7E26F0EA"/>
    <w:lvl w:ilvl="0" w:tplc="F2369262">
      <w:start w:val="1"/>
      <w:numFmt w:val="bullet"/>
      <w:lvlText w:val=""/>
      <w:lvlJc w:val="left"/>
      <w:pPr>
        <w:tabs>
          <w:tab w:val="num" w:pos="1440"/>
        </w:tabs>
        <w:ind w:left="1440" w:hanging="360"/>
      </w:pPr>
      <w:rPr>
        <w:rFonts w:ascii="Symbol" w:hAnsi="Symbol" w:hint="default"/>
      </w:rPr>
    </w:lvl>
    <w:lvl w:ilvl="1" w:tplc="2CBA502C" w:tentative="1">
      <w:start w:val="1"/>
      <w:numFmt w:val="bullet"/>
      <w:lvlText w:val="o"/>
      <w:lvlJc w:val="left"/>
      <w:pPr>
        <w:tabs>
          <w:tab w:val="num" w:pos="2160"/>
        </w:tabs>
        <w:ind w:left="2160" w:hanging="360"/>
      </w:pPr>
      <w:rPr>
        <w:rFonts w:ascii="Courier New" w:hAnsi="Courier New" w:cs="Courier New" w:hint="default"/>
      </w:rPr>
    </w:lvl>
    <w:lvl w:ilvl="2" w:tplc="145C5AE0" w:tentative="1">
      <w:start w:val="1"/>
      <w:numFmt w:val="bullet"/>
      <w:lvlText w:val=""/>
      <w:lvlJc w:val="left"/>
      <w:pPr>
        <w:tabs>
          <w:tab w:val="num" w:pos="2880"/>
        </w:tabs>
        <w:ind w:left="2880" w:hanging="360"/>
      </w:pPr>
      <w:rPr>
        <w:rFonts w:ascii="Wingdings" w:hAnsi="Wingdings" w:hint="default"/>
      </w:rPr>
    </w:lvl>
    <w:lvl w:ilvl="3" w:tplc="A75ABA4C" w:tentative="1">
      <w:start w:val="1"/>
      <w:numFmt w:val="bullet"/>
      <w:lvlText w:val=""/>
      <w:lvlJc w:val="left"/>
      <w:pPr>
        <w:tabs>
          <w:tab w:val="num" w:pos="3600"/>
        </w:tabs>
        <w:ind w:left="3600" w:hanging="360"/>
      </w:pPr>
      <w:rPr>
        <w:rFonts w:ascii="Symbol" w:hAnsi="Symbol" w:hint="default"/>
      </w:rPr>
    </w:lvl>
    <w:lvl w:ilvl="4" w:tplc="8AA43D98" w:tentative="1">
      <w:start w:val="1"/>
      <w:numFmt w:val="bullet"/>
      <w:lvlText w:val="o"/>
      <w:lvlJc w:val="left"/>
      <w:pPr>
        <w:tabs>
          <w:tab w:val="num" w:pos="4320"/>
        </w:tabs>
        <w:ind w:left="4320" w:hanging="360"/>
      </w:pPr>
      <w:rPr>
        <w:rFonts w:ascii="Courier New" w:hAnsi="Courier New" w:cs="Courier New" w:hint="default"/>
      </w:rPr>
    </w:lvl>
    <w:lvl w:ilvl="5" w:tplc="5C1AAB60" w:tentative="1">
      <w:start w:val="1"/>
      <w:numFmt w:val="bullet"/>
      <w:lvlText w:val=""/>
      <w:lvlJc w:val="left"/>
      <w:pPr>
        <w:tabs>
          <w:tab w:val="num" w:pos="5040"/>
        </w:tabs>
        <w:ind w:left="5040" w:hanging="360"/>
      </w:pPr>
      <w:rPr>
        <w:rFonts w:ascii="Wingdings" w:hAnsi="Wingdings" w:hint="default"/>
      </w:rPr>
    </w:lvl>
    <w:lvl w:ilvl="6" w:tplc="1C1839D0" w:tentative="1">
      <w:start w:val="1"/>
      <w:numFmt w:val="bullet"/>
      <w:lvlText w:val=""/>
      <w:lvlJc w:val="left"/>
      <w:pPr>
        <w:tabs>
          <w:tab w:val="num" w:pos="5760"/>
        </w:tabs>
        <w:ind w:left="5760" w:hanging="360"/>
      </w:pPr>
      <w:rPr>
        <w:rFonts w:ascii="Symbol" w:hAnsi="Symbol" w:hint="default"/>
      </w:rPr>
    </w:lvl>
    <w:lvl w:ilvl="7" w:tplc="42120DB0" w:tentative="1">
      <w:start w:val="1"/>
      <w:numFmt w:val="bullet"/>
      <w:lvlText w:val="o"/>
      <w:lvlJc w:val="left"/>
      <w:pPr>
        <w:tabs>
          <w:tab w:val="num" w:pos="6480"/>
        </w:tabs>
        <w:ind w:left="6480" w:hanging="360"/>
      </w:pPr>
      <w:rPr>
        <w:rFonts w:ascii="Courier New" w:hAnsi="Courier New" w:cs="Courier New" w:hint="default"/>
      </w:rPr>
    </w:lvl>
    <w:lvl w:ilvl="8" w:tplc="89AE7C5A" w:tentative="1">
      <w:start w:val="1"/>
      <w:numFmt w:val="bullet"/>
      <w:lvlText w:val=""/>
      <w:lvlJc w:val="left"/>
      <w:pPr>
        <w:tabs>
          <w:tab w:val="num" w:pos="7200"/>
        </w:tabs>
        <w:ind w:left="7200" w:hanging="360"/>
      </w:pPr>
      <w:rPr>
        <w:rFonts w:ascii="Wingdings" w:hAnsi="Wingdings" w:hint="default"/>
      </w:rPr>
    </w:lvl>
  </w:abstractNum>
  <w:abstractNum w:abstractNumId="19">
    <w:nsid w:val="19FC0EF9"/>
    <w:multiLevelType w:val="singleLevel"/>
    <w:tmpl w:val="77182FF4"/>
    <w:lvl w:ilvl="0">
      <w:start w:val="1"/>
      <w:numFmt w:val="bullet"/>
      <w:lvlText w:val=""/>
      <w:lvlJc w:val="left"/>
      <w:pPr>
        <w:tabs>
          <w:tab w:val="num" w:pos="360"/>
        </w:tabs>
        <w:ind w:left="360" w:hanging="360"/>
      </w:pPr>
      <w:rPr>
        <w:rFonts w:ascii="Symbol" w:hAnsi="Symbol" w:hint="default"/>
        <w:sz w:val="20"/>
      </w:rPr>
    </w:lvl>
  </w:abstractNum>
  <w:abstractNum w:abstractNumId="20">
    <w:nsid w:val="1C023256"/>
    <w:multiLevelType w:val="hybridMultilevel"/>
    <w:tmpl w:val="8FC63364"/>
    <w:lvl w:ilvl="0" w:tplc="04BAA250">
      <w:start w:val="1"/>
      <w:numFmt w:val="bullet"/>
      <w:lvlText w:val=""/>
      <w:lvlJc w:val="left"/>
      <w:pPr>
        <w:ind w:left="1440" w:hanging="360"/>
      </w:pPr>
      <w:rPr>
        <w:rFonts w:ascii="Symbol" w:hAnsi="Symbol" w:hint="default"/>
      </w:rPr>
    </w:lvl>
    <w:lvl w:ilvl="1" w:tplc="3F88C2A8" w:tentative="1">
      <w:start w:val="1"/>
      <w:numFmt w:val="bullet"/>
      <w:lvlText w:val="o"/>
      <w:lvlJc w:val="left"/>
      <w:pPr>
        <w:ind w:left="2160" w:hanging="360"/>
      </w:pPr>
      <w:rPr>
        <w:rFonts w:ascii="Courier New" w:hAnsi="Courier New" w:cs="Courier New" w:hint="default"/>
      </w:rPr>
    </w:lvl>
    <w:lvl w:ilvl="2" w:tplc="4D5A03C4" w:tentative="1">
      <w:start w:val="1"/>
      <w:numFmt w:val="bullet"/>
      <w:lvlText w:val=""/>
      <w:lvlJc w:val="left"/>
      <w:pPr>
        <w:ind w:left="2880" w:hanging="360"/>
      </w:pPr>
      <w:rPr>
        <w:rFonts w:ascii="Wingdings" w:hAnsi="Wingdings" w:hint="default"/>
      </w:rPr>
    </w:lvl>
    <w:lvl w:ilvl="3" w:tplc="BAAA8B50" w:tentative="1">
      <w:start w:val="1"/>
      <w:numFmt w:val="bullet"/>
      <w:lvlText w:val=""/>
      <w:lvlJc w:val="left"/>
      <w:pPr>
        <w:ind w:left="3600" w:hanging="360"/>
      </w:pPr>
      <w:rPr>
        <w:rFonts w:ascii="Symbol" w:hAnsi="Symbol" w:hint="default"/>
      </w:rPr>
    </w:lvl>
    <w:lvl w:ilvl="4" w:tplc="051AF85C" w:tentative="1">
      <w:start w:val="1"/>
      <w:numFmt w:val="bullet"/>
      <w:lvlText w:val="o"/>
      <w:lvlJc w:val="left"/>
      <w:pPr>
        <w:ind w:left="4320" w:hanging="360"/>
      </w:pPr>
      <w:rPr>
        <w:rFonts w:ascii="Courier New" w:hAnsi="Courier New" w:cs="Courier New" w:hint="default"/>
      </w:rPr>
    </w:lvl>
    <w:lvl w:ilvl="5" w:tplc="6884195C" w:tentative="1">
      <w:start w:val="1"/>
      <w:numFmt w:val="bullet"/>
      <w:lvlText w:val=""/>
      <w:lvlJc w:val="left"/>
      <w:pPr>
        <w:ind w:left="5040" w:hanging="360"/>
      </w:pPr>
      <w:rPr>
        <w:rFonts w:ascii="Wingdings" w:hAnsi="Wingdings" w:hint="default"/>
      </w:rPr>
    </w:lvl>
    <w:lvl w:ilvl="6" w:tplc="65E2FE50" w:tentative="1">
      <w:start w:val="1"/>
      <w:numFmt w:val="bullet"/>
      <w:lvlText w:val=""/>
      <w:lvlJc w:val="left"/>
      <w:pPr>
        <w:ind w:left="5760" w:hanging="360"/>
      </w:pPr>
      <w:rPr>
        <w:rFonts w:ascii="Symbol" w:hAnsi="Symbol" w:hint="default"/>
      </w:rPr>
    </w:lvl>
    <w:lvl w:ilvl="7" w:tplc="FAA41C22" w:tentative="1">
      <w:start w:val="1"/>
      <w:numFmt w:val="bullet"/>
      <w:lvlText w:val="o"/>
      <w:lvlJc w:val="left"/>
      <w:pPr>
        <w:ind w:left="6480" w:hanging="360"/>
      </w:pPr>
      <w:rPr>
        <w:rFonts w:ascii="Courier New" w:hAnsi="Courier New" w:cs="Courier New" w:hint="default"/>
      </w:rPr>
    </w:lvl>
    <w:lvl w:ilvl="8" w:tplc="9B50F9C0" w:tentative="1">
      <w:start w:val="1"/>
      <w:numFmt w:val="bullet"/>
      <w:lvlText w:val=""/>
      <w:lvlJc w:val="left"/>
      <w:pPr>
        <w:ind w:left="7200" w:hanging="360"/>
      </w:pPr>
      <w:rPr>
        <w:rFonts w:ascii="Wingdings" w:hAnsi="Wingdings" w:hint="default"/>
      </w:rPr>
    </w:lvl>
  </w:abstractNum>
  <w:abstractNum w:abstractNumId="21">
    <w:nsid w:val="1E8D47D3"/>
    <w:multiLevelType w:val="hybridMultilevel"/>
    <w:tmpl w:val="57D27B12"/>
    <w:lvl w:ilvl="0" w:tplc="FF46E5DC">
      <w:start w:val="1"/>
      <w:numFmt w:val="bullet"/>
      <w:lvlText w:val=""/>
      <w:lvlJc w:val="left"/>
      <w:pPr>
        <w:tabs>
          <w:tab w:val="num" w:pos="1440"/>
        </w:tabs>
        <w:ind w:left="1440" w:hanging="360"/>
      </w:pPr>
      <w:rPr>
        <w:rFonts w:ascii="Symbol" w:hAnsi="Symbol" w:hint="default"/>
      </w:rPr>
    </w:lvl>
    <w:lvl w:ilvl="1" w:tplc="CF6849AC" w:tentative="1">
      <w:start w:val="1"/>
      <w:numFmt w:val="bullet"/>
      <w:lvlText w:val="o"/>
      <w:lvlJc w:val="left"/>
      <w:pPr>
        <w:tabs>
          <w:tab w:val="num" w:pos="2160"/>
        </w:tabs>
        <w:ind w:left="2160" w:hanging="360"/>
      </w:pPr>
      <w:rPr>
        <w:rFonts w:ascii="Courier New" w:hAnsi="Courier New" w:cs="Courier New" w:hint="default"/>
      </w:rPr>
    </w:lvl>
    <w:lvl w:ilvl="2" w:tplc="CD62A7EE" w:tentative="1">
      <w:start w:val="1"/>
      <w:numFmt w:val="bullet"/>
      <w:lvlText w:val=""/>
      <w:lvlJc w:val="left"/>
      <w:pPr>
        <w:tabs>
          <w:tab w:val="num" w:pos="2880"/>
        </w:tabs>
        <w:ind w:left="2880" w:hanging="360"/>
      </w:pPr>
      <w:rPr>
        <w:rFonts w:ascii="Wingdings" w:hAnsi="Wingdings" w:hint="default"/>
      </w:rPr>
    </w:lvl>
    <w:lvl w:ilvl="3" w:tplc="D70C6352" w:tentative="1">
      <w:start w:val="1"/>
      <w:numFmt w:val="bullet"/>
      <w:lvlText w:val=""/>
      <w:lvlJc w:val="left"/>
      <w:pPr>
        <w:tabs>
          <w:tab w:val="num" w:pos="3600"/>
        </w:tabs>
        <w:ind w:left="3600" w:hanging="360"/>
      </w:pPr>
      <w:rPr>
        <w:rFonts w:ascii="Symbol" w:hAnsi="Symbol" w:hint="default"/>
      </w:rPr>
    </w:lvl>
    <w:lvl w:ilvl="4" w:tplc="B810B10C" w:tentative="1">
      <w:start w:val="1"/>
      <w:numFmt w:val="bullet"/>
      <w:lvlText w:val="o"/>
      <w:lvlJc w:val="left"/>
      <w:pPr>
        <w:tabs>
          <w:tab w:val="num" w:pos="4320"/>
        </w:tabs>
        <w:ind w:left="4320" w:hanging="360"/>
      </w:pPr>
      <w:rPr>
        <w:rFonts w:ascii="Courier New" w:hAnsi="Courier New" w:cs="Courier New" w:hint="default"/>
      </w:rPr>
    </w:lvl>
    <w:lvl w:ilvl="5" w:tplc="9B00B50E" w:tentative="1">
      <w:start w:val="1"/>
      <w:numFmt w:val="bullet"/>
      <w:lvlText w:val=""/>
      <w:lvlJc w:val="left"/>
      <w:pPr>
        <w:tabs>
          <w:tab w:val="num" w:pos="5040"/>
        </w:tabs>
        <w:ind w:left="5040" w:hanging="360"/>
      </w:pPr>
      <w:rPr>
        <w:rFonts w:ascii="Wingdings" w:hAnsi="Wingdings" w:hint="default"/>
      </w:rPr>
    </w:lvl>
    <w:lvl w:ilvl="6" w:tplc="8DA44FE4" w:tentative="1">
      <w:start w:val="1"/>
      <w:numFmt w:val="bullet"/>
      <w:lvlText w:val=""/>
      <w:lvlJc w:val="left"/>
      <w:pPr>
        <w:tabs>
          <w:tab w:val="num" w:pos="5760"/>
        </w:tabs>
        <w:ind w:left="5760" w:hanging="360"/>
      </w:pPr>
      <w:rPr>
        <w:rFonts w:ascii="Symbol" w:hAnsi="Symbol" w:hint="default"/>
      </w:rPr>
    </w:lvl>
    <w:lvl w:ilvl="7" w:tplc="2E40DA58" w:tentative="1">
      <w:start w:val="1"/>
      <w:numFmt w:val="bullet"/>
      <w:lvlText w:val="o"/>
      <w:lvlJc w:val="left"/>
      <w:pPr>
        <w:tabs>
          <w:tab w:val="num" w:pos="6480"/>
        </w:tabs>
        <w:ind w:left="6480" w:hanging="360"/>
      </w:pPr>
      <w:rPr>
        <w:rFonts w:ascii="Courier New" w:hAnsi="Courier New" w:cs="Courier New" w:hint="default"/>
      </w:rPr>
    </w:lvl>
    <w:lvl w:ilvl="8" w:tplc="E6E6C26A" w:tentative="1">
      <w:start w:val="1"/>
      <w:numFmt w:val="bullet"/>
      <w:lvlText w:val=""/>
      <w:lvlJc w:val="left"/>
      <w:pPr>
        <w:tabs>
          <w:tab w:val="num" w:pos="7200"/>
        </w:tabs>
        <w:ind w:left="7200" w:hanging="360"/>
      </w:pPr>
      <w:rPr>
        <w:rFonts w:ascii="Wingdings" w:hAnsi="Wingdings" w:hint="default"/>
      </w:rPr>
    </w:lvl>
  </w:abstractNum>
  <w:abstractNum w:abstractNumId="22">
    <w:nsid w:val="1FF358F1"/>
    <w:multiLevelType w:val="hybridMultilevel"/>
    <w:tmpl w:val="A9328C06"/>
    <w:lvl w:ilvl="0" w:tplc="08090019">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23">
    <w:nsid w:val="205170F5"/>
    <w:multiLevelType w:val="hybridMultilevel"/>
    <w:tmpl w:val="58483484"/>
    <w:lvl w:ilvl="0" w:tplc="7F660E6C">
      <w:start w:val="1"/>
      <w:numFmt w:val="bullet"/>
      <w:lvlText w:val=""/>
      <w:lvlJc w:val="left"/>
      <w:pPr>
        <w:ind w:left="1245" w:hanging="360"/>
      </w:pPr>
      <w:rPr>
        <w:rFonts w:ascii="Symbol" w:hAnsi="Symbol" w:hint="default"/>
      </w:rPr>
    </w:lvl>
    <w:lvl w:ilvl="1" w:tplc="08090019" w:tentative="1">
      <w:start w:val="1"/>
      <w:numFmt w:val="bullet"/>
      <w:lvlText w:val="o"/>
      <w:lvlJc w:val="left"/>
      <w:pPr>
        <w:ind w:left="1965" w:hanging="360"/>
      </w:pPr>
      <w:rPr>
        <w:rFonts w:ascii="Courier New" w:hAnsi="Courier New" w:cs="Courier New" w:hint="default"/>
      </w:rPr>
    </w:lvl>
    <w:lvl w:ilvl="2" w:tplc="0809001B" w:tentative="1">
      <w:start w:val="1"/>
      <w:numFmt w:val="bullet"/>
      <w:lvlText w:val=""/>
      <w:lvlJc w:val="left"/>
      <w:pPr>
        <w:ind w:left="2685" w:hanging="360"/>
      </w:pPr>
      <w:rPr>
        <w:rFonts w:ascii="Wingdings" w:hAnsi="Wingdings" w:hint="default"/>
      </w:rPr>
    </w:lvl>
    <w:lvl w:ilvl="3" w:tplc="0809000F" w:tentative="1">
      <w:start w:val="1"/>
      <w:numFmt w:val="bullet"/>
      <w:lvlText w:val=""/>
      <w:lvlJc w:val="left"/>
      <w:pPr>
        <w:ind w:left="3405" w:hanging="360"/>
      </w:pPr>
      <w:rPr>
        <w:rFonts w:ascii="Symbol" w:hAnsi="Symbol" w:hint="default"/>
      </w:rPr>
    </w:lvl>
    <w:lvl w:ilvl="4" w:tplc="08090019" w:tentative="1">
      <w:start w:val="1"/>
      <w:numFmt w:val="bullet"/>
      <w:lvlText w:val="o"/>
      <w:lvlJc w:val="left"/>
      <w:pPr>
        <w:ind w:left="4125" w:hanging="360"/>
      </w:pPr>
      <w:rPr>
        <w:rFonts w:ascii="Courier New" w:hAnsi="Courier New" w:cs="Courier New" w:hint="default"/>
      </w:rPr>
    </w:lvl>
    <w:lvl w:ilvl="5" w:tplc="0809001B" w:tentative="1">
      <w:start w:val="1"/>
      <w:numFmt w:val="bullet"/>
      <w:lvlText w:val=""/>
      <w:lvlJc w:val="left"/>
      <w:pPr>
        <w:ind w:left="4845" w:hanging="360"/>
      </w:pPr>
      <w:rPr>
        <w:rFonts w:ascii="Wingdings" w:hAnsi="Wingdings" w:hint="default"/>
      </w:rPr>
    </w:lvl>
    <w:lvl w:ilvl="6" w:tplc="0809000F" w:tentative="1">
      <w:start w:val="1"/>
      <w:numFmt w:val="bullet"/>
      <w:lvlText w:val=""/>
      <w:lvlJc w:val="left"/>
      <w:pPr>
        <w:ind w:left="5565" w:hanging="360"/>
      </w:pPr>
      <w:rPr>
        <w:rFonts w:ascii="Symbol" w:hAnsi="Symbol" w:hint="default"/>
      </w:rPr>
    </w:lvl>
    <w:lvl w:ilvl="7" w:tplc="08090019" w:tentative="1">
      <w:start w:val="1"/>
      <w:numFmt w:val="bullet"/>
      <w:lvlText w:val="o"/>
      <w:lvlJc w:val="left"/>
      <w:pPr>
        <w:ind w:left="6285" w:hanging="360"/>
      </w:pPr>
      <w:rPr>
        <w:rFonts w:ascii="Courier New" w:hAnsi="Courier New" w:cs="Courier New" w:hint="default"/>
      </w:rPr>
    </w:lvl>
    <w:lvl w:ilvl="8" w:tplc="0809001B" w:tentative="1">
      <w:start w:val="1"/>
      <w:numFmt w:val="bullet"/>
      <w:lvlText w:val=""/>
      <w:lvlJc w:val="left"/>
      <w:pPr>
        <w:ind w:left="7005" w:hanging="360"/>
      </w:pPr>
      <w:rPr>
        <w:rFonts w:ascii="Wingdings" w:hAnsi="Wingdings" w:hint="default"/>
      </w:rPr>
    </w:lvl>
  </w:abstractNum>
  <w:abstractNum w:abstractNumId="24">
    <w:nsid w:val="205C2F6F"/>
    <w:multiLevelType w:val="hybridMultilevel"/>
    <w:tmpl w:val="CA3E3D60"/>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5">
    <w:nsid w:val="210E4A13"/>
    <w:multiLevelType w:val="hybridMultilevel"/>
    <w:tmpl w:val="17F8C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22A83B71"/>
    <w:multiLevelType w:val="multilevel"/>
    <w:tmpl w:val="6994C1A8"/>
    <w:lvl w:ilvl="0">
      <w:start w:val="1"/>
      <w:numFmt w:val="bullet"/>
      <w:pStyle w:val="BulletSingle"/>
      <w:lvlText w:val=""/>
      <w:lvlJc w:val="left"/>
      <w:pPr>
        <w:tabs>
          <w:tab w:val="num" w:pos="360"/>
        </w:tabs>
        <w:ind w:left="357" w:hanging="357"/>
      </w:pPr>
      <w:rPr>
        <w:rFonts w:ascii="Wingdings" w:hAnsi="Wingdings" w:hint="default"/>
        <w:sz w:val="20"/>
      </w:rPr>
    </w:lvl>
    <w:lvl w:ilvl="1">
      <w:start w:val="1"/>
      <w:numFmt w:val="bullet"/>
      <w:pStyle w:val="BulletSingle2"/>
      <w:lvlText w:val=""/>
      <w:lvlJc w:val="left"/>
      <w:pPr>
        <w:tabs>
          <w:tab w:val="num" w:pos="720"/>
        </w:tabs>
        <w:ind w:left="720" w:hanging="360"/>
      </w:pPr>
      <w:rPr>
        <w:rFonts w:ascii="Wingdings" w:hAnsi="Wingdings" w:hint="default"/>
        <w:sz w:val="20"/>
      </w:rPr>
    </w:lvl>
    <w:lvl w:ilvl="2">
      <w:start w:val="1"/>
      <w:numFmt w:val="bullet"/>
      <w:pStyle w:val="BulletSingle3"/>
      <w:lvlText w:val=""/>
      <w:lvlJc w:val="left"/>
      <w:pPr>
        <w:tabs>
          <w:tab w:val="num" w:pos="1080"/>
        </w:tabs>
        <w:ind w:left="1080" w:hanging="360"/>
      </w:pPr>
      <w:rPr>
        <w:rFonts w:ascii="Wingdings" w:hAnsi="Wingdings" w:hint="default"/>
        <w:sz w:val="20"/>
      </w:rPr>
    </w:lvl>
    <w:lvl w:ilvl="3">
      <w:start w:val="1"/>
      <w:numFmt w:val="bullet"/>
      <w:pStyle w:val="BulletSingle"/>
      <w:lvlText w:val=""/>
      <w:lvlJc w:val="left"/>
      <w:pPr>
        <w:tabs>
          <w:tab w:val="num" w:pos="1800"/>
        </w:tabs>
        <w:ind w:left="1800" w:hanging="360"/>
      </w:pPr>
      <w:rPr>
        <w:rFonts w:ascii="Wingdings" w:hAnsi="Wingdings"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3104272"/>
    <w:multiLevelType w:val="hybridMultilevel"/>
    <w:tmpl w:val="AFEC8DFC"/>
    <w:lvl w:ilvl="0" w:tplc="6BBA1B18">
      <w:start w:val="1"/>
      <w:numFmt w:val="bullet"/>
      <w:lvlText w:val=""/>
      <w:lvlJc w:val="left"/>
      <w:pPr>
        <w:tabs>
          <w:tab w:val="num" w:pos="757"/>
        </w:tabs>
        <w:ind w:left="75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2A3609F2"/>
    <w:multiLevelType w:val="hybridMultilevel"/>
    <w:tmpl w:val="638ED42E"/>
    <w:lvl w:ilvl="0" w:tplc="5EA0A8F6">
      <w:start w:val="1"/>
      <w:numFmt w:val="bullet"/>
      <w:lvlText w:val=""/>
      <w:lvlJc w:val="left"/>
      <w:pPr>
        <w:ind w:left="720" w:hanging="360"/>
      </w:pPr>
      <w:rPr>
        <w:rFonts w:ascii="Symbol" w:hAnsi="Symbol" w:hint="default"/>
      </w:rPr>
    </w:lvl>
    <w:lvl w:ilvl="1" w:tplc="95F6997E" w:tentative="1">
      <w:start w:val="1"/>
      <w:numFmt w:val="bullet"/>
      <w:lvlText w:val="o"/>
      <w:lvlJc w:val="left"/>
      <w:pPr>
        <w:ind w:left="1440" w:hanging="360"/>
      </w:pPr>
      <w:rPr>
        <w:rFonts w:ascii="Courier New" w:hAnsi="Courier New" w:cs="Courier New" w:hint="default"/>
      </w:rPr>
    </w:lvl>
    <w:lvl w:ilvl="2" w:tplc="ECE6F5D2" w:tentative="1">
      <w:start w:val="1"/>
      <w:numFmt w:val="bullet"/>
      <w:lvlText w:val=""/>
      <w:lvlJc w:val="left"/>
      <w:pPr>
        <w:ind w:left="2160" w:hanging="360"/>
      </w:pPr>
      <w:rPr>
        <w:rFonts w:ascii="Wingdings" w:hAnsi="Wingdings" w:hint="default"/>
      </w:rPr>
    </w:lvl>
    <w:lvl w:ilvl="3" w:tplc="002E64BE" w:tentative="1">
      <w:start w:val="1"/>
      <w:numFmt w:val="bullet"/>
      <w:lvlText w:val=""/>
      <w:lvlJc w:val="left"/>
      <w:pPr>
        <w:ind w:left="2880" w:hanging="360"/>
      </w:pPr>
      <w:rPr>
        <w:rFonts w:ascii="Symbol" w:hAnsi="Symbol" w:hint="default"/>
      </w:rPr>
    </w:lvl>
    <w:lvl w:ilvl="4" w:tplc="5DD648BC" w:tentative="1">
      <w:start w:val="1"/>
      <w:numFmt w:val="bullet"/>
      <w:lvlText w:val="o"/>
      <w:lvlJc w:val="left"/>
      <w:pPr>
        <w:ind w:left="3600" w:hanging="360"/>
      </w:pPr>
      <w:rPr>
        <w:rFonts w:ascii="Courier New" w:hAnsi="Courier New" w:cs="Courier New" w:hint="default"/>
      </w:rPr>
    </w:lvl>
    <w:lvl w:ilvl="5" w:tplc="C41A8C7A" w:tentative="1">
      <w:start w:val="1"/>
      <w:numFmt w:val="bullet"/>
      <w:lvlText w:val=""/>
      <w:lvlJc w:val="left"/>
      <w:pPr>
        <w:ind w:left="4320" w:hanging="360"/>
      </w:pPr>
      <w:rPr>
        <w:rFonts w:ascii="Wingdings" w:hAnsi="Wingdings" w:hint="default"/>
      </w:rPr>
    </w:lvl>
    <w:lvl w:ilvl="6" w:tplc="A0AC68EA" w:tentative="1">
      <w:start w:val="1"/>
      <w:numFmt w:val="bullet"/>
      <w:lvlText w:val=""/>
      <w:lvlJc w:val="left"/>
      <w:pPr>
        <w:ind w:left="5040" w:hanging="360"/>
      </w:pPr>
      <w:rPr>
        <w:rFonts w:ascii="Symbol" w:hAnsi="Symbol" w:hint="default"/>
      </w:rPr>
    </w:lvl>
    <w:lvl w:ilvl="7" w:tplc="784699FE" w:tentative="1">
      <w:start w:val="1"/>
      <w:numFmt w:val="bullet"/>
      <w:lvlText w:val="o"/>
      <w:lvlJc w:val="left"/>
      <w:pPr>
        <w:ind w:left="5760" w:hanging="360"/>
      </w:pPr>
      <w:rPr>
        <w:rFonts w:ascii="Courier New" w:hAnsi="Courier New" w:cs="Courier New" w:hint="default"/>
      </w:rPr>
    </w:lvl>
    <w:lvl w:ilvl="8" w:tplc="561AB426" w:tentative="1">
      <w:start w:val="1"/>
      <w:numFmt w:val="bullet"/>
      <w:lvlText w:val=""/>
      <w:lvlJc w:val="left"/>
      <w:pPr>
        <w:ind w:left="6480" w:hanging="360"/>
      </w:pPr>
      <w:rPr>
        <w:rFonts w:ascii="Wingdings" w:hAnsi="Wingdings" w:hint="default"/>
      </w:rPr>
    </w:lvl>
  </w:abstractNum>
  <w:abstractNum w:abstractNumId="29">
    <w:nsid w:val="2B384CA8"/>
    <w:multiLevelType w:val="hybridMultilevel"/>
    <w:tmpl w:val="156AC120"/>
    <w:lvl w:ilvl="0" w:tplc="61685FB8">
      <w:start w:val="1"/>
      <w:numFmt w:val="bullet"/>
      <w:lvlText w:val=""/>
      <w:lvlJc w:val="left"/>
      <w:pPr>
        <w:ind w:left="720" w:hanging="360"/>
      </w:pPr>
      <w:rPr>
        <w:rFonts w:ascii="Symbol" w:hAnsi="Symbol" w:hint="default"/>
      </w:rPr>
    </w:lvl>
    <w:lvl w:ilvl="1" w:tplc="7542C116" w:tentative="1">
      <w:start w:val="1"/>
      <w:numFmt w:val="bullet"/>
      <w:lvlText w:val="o"/>
      <w:lvlJc w:val="left"/>
      <w:pPr>
        <w:ind w:left="1440" w:hanging="360"/>
      </w:pPr>
      <w:rPr>
        <w:rFonts w:ascii="Courier New" w:hAnsi="Courier New" w:cs="Courier New" w:hint="default"/>
      </w:rPr>
    </w:lvl>
    <w:lvl w:ilvl="2" w:tplc="1780077C" w:tentative="1">
      <w:start w:val="1"/>
      <w:numFmt w:val="bullet"/>
      <w:lvlText w:val=""/>
      <w:lvlJc w:val="left"/>
      <w:pPr>
        <w:ind w:left="2160" w:hanging="360"/>
      </w:pPr>
      <w:rPr>
        <w:rFonts w:ascii="Wingdings" w:hAnsi="Wingdings" w:hint="default"/>
      </w:rPr>
    </w:lvl>
    <w:lvl w:ilvl="3" w:tplc="82B62790" w:tentative="1">
      <w:start w:val="1"/>
      <w:numFmt w:val="bullet"/>
      <w:lvlText w:val=""/>
      <w:lvlJc w:val="left"/>
      <w:pPr>
        <w:ind w:left="2880" w:hanging="360"/>
      </w:pPr>
      <w:rPr>
        <w:rFonts w:ascii="Symbol" w:hAnsi="Symbol" w:hint="default"/>
      </w:rPr>
    </w:lvl>
    <w:lvl w:ilvl="4" w:tplc="1118355E" w:tentative="1">
      <w:start w:val="1"/>
      <w:numFmt w:val="bullet"/>
      <w:lvlText w:val="o"/>
      <w:lvlJc w:val="left"/>
      <w:pPr>
        <w:ind w:left="3600" w:hanging="360"/>
      </w:pPr>
      <w:rPr>
        <w:rFonts w:ascii="Courier New" w:hAnsi="Courier New" w:cs="Courier New" w:hint="default"/>
      </w:rPr>
    </w:lvl>
    <w:lvl w:ilvl="5" w:tplc="9FCE128A" w:tentative="1">
      <w:start w:val="1"/>
      <w:numFmt w:val="bullet"/>
      <w:lvlText w:val=""/>
      <w:lvlJc w:val="left"/>
      <w:pPr>
        <w:ind w:left="4320" w:hanging="360"/>
      </w:pPr>
      <w:rPr>
        <w:rFonts w:ascii="Wingdings" w:hAnsi="Wingdings" w:hint="default"/>
      </w:rPr>
    </w:lvl>
    <w:lvl w:ilvl="6" w:tplc="B5A0562E" w:tentative="1">
      <w:start w:val="1"/>
      <w:numFmt w:val="bullet"/>
      <w:lvlText w:val=""/>
      <w:lvlJc w:val="left"/>
      <w:pPr>
        <w:ind w:left="5040" w:hanging="360"/>
      </w:pPr>
      <w:rPr>
        <w:rFonts w:ascii="Symbol" w:hAnsi="Symbol" w:hint="default"/>
      </w:rPr>
    </w:lvl>
    <w:lvl w:ilvl="7" w:tplc="97D8A028" w:tentative="1">
      <w:start w:val="1"/>
      <w:numFmt w:val="bullet"/>
      <w:lvlText w:val="o"/>
      <w:lvlJc w:val="left"/>
      <w:pPr>
        <w:ind w:left="5760" w:hanging="360"/>
      </w:pPr>
      <w:rPr>
        <w:rFonts w:ascii="Courier New" w:hAnsi="Courier New" w:cs="Courier New" w:hint="default"/>
      </w:rPr>
    </w:lvl>
    <w:lvl w:ilvl="8" w:tplc="CCA8EE34" w:tentative="1">
      <w:start w:val="1"/>
      <w:numFmt w:val="bullet"/>
      <w:lvlText w:val=""/>
      <w:lvlJc w:val="left"/>
      <w:pPr>
        <w:ind w:left="6480" w:hanging="360"/>
      </w:pPr>
      <w:rPr>
        <w:rFonts w:ascii="Wingdings" w:hAnsi="Wingdings" w:hint="default"/>
      </w:rPr>
    </w:lvl>
  </w:abstractNum>
  <w:abstractNum w:abstractNumId="30">
    <w:nsid w:val="2C5C6F77"/>
    <w:multiLevelType w:val="hybridMultilevel"/>
    <w:tmpl w:val="F5464546"/>
    <w:lvl w:ilvl="0" w:tplc="08090001">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1">
    <w:nsid w:val="2CCB10DC"/>
    <w:multiLevelType w:val="hybridMultilevel"/>
    <w:tmpl w:val="13563344"/>
    <w:lvl w:ilvl="0" w:tplc="33C0DA44">
      <w:start w:val="1"/>
      <w:numFmt w:val="bullet"/>
      <w:lvlText w:val=""/>
      <w:lvlJc w:val="left"/>
      <w:pPr>
        <w:tabs>
          <w:tab w:val="num" w:pos="753"/>
        </w:tabs>
        <w:ind w:left="753" w:hanging="360"/>
      </w:pPr>
      <w:rPr>
        <w:rFonts w:ascii="Symbol" w:hAnsi="Symbol" w:hint="default"/>
      </w:rPr>
    </w:lvl>
    <w:lvl w:ilvl="1" w:tplc="08090019" w:tentative="1">
      <w:start w:val="1"/>
      <w:numFmt w:val="bullet"/>
      <w:lvlText w:val="o"/>
      <w:lvlJc w:val="left"/>
      <w:pPr>
        <w:tabs>
          <w:tab w:val="num" w:pos="1473"/>
        </w:tabs>
        <w:ind w:left="1473" w:hanging="360"/>
      </w:pPr>
      <w:rPr>
        <w:rFonts w:ascii="Courier New" w:hAnsi="Courier New" w:cs="Courier New" w:hint="default"/>
      </w:rPr>
    </w:lvl>
    <w:lvl w:ilvl="2" w:tplc="0809001B" w:tentative="1">
      <w:start w:val="1"/>
      <w:numFmt w:val="bullet"/>
      <w:lvlText w:val=""/>
      <w:lvlJc w:val="left"/>
      <w:pPr>
        <w:tabs>
          <w:tab w:val="num" w:pos="2193"/>
        </w:tabs>
        <w:ind w:left="2193" w:hanging="360"/>
      </w:pPr>
      <w:rPr>
        <w:rFonts w:ascii="Wingdings" w:hAnsi="Wingdings" w:hint="default"/>
      </w:rPr>
    </w:lvl>
    <w:lvl w:ilvl="3" w:tplc="0809000F" w:tentative="1">
      <w:start w:val="1"/>
      <w:numFmt w:val="bullet"/>
      <w:lvlText w:val=""/>
      <w:lvlJc w:val="left"/>
      <w:pPr>
        <w:tabs>
          <w:tab w:val="num" w:pos="2913"/>
        </w:tabs>
        <w:ind w:left="2913" w:hanging="360"/>
      </w:pPr>
      <w:rPr>
        <w:rFonts w:ascii="Symbol" w:hAnsi="Symbol" w:hint="default"/>
      </w:rPr>
    </w:lvl>
    <w:lvl w:ilvl="4" w:tplc="08090019" w:tentative="1">
      <w:start w:val="1"/>
      <w:numFmt w:val="bullet"/>
      <w:lvlText w:val="o"/>
      <w:lvlJc w:val="left"/>
      <w:pPr>
        <w:tabs>
          <w:tab w:val="num" w:pos="3633"/>
        </w:tabs>
        <w:ind w:left="3633" w:hanging="360"/>
      </w:pPr>
      <w:rPr>
        <w:rFonts w:ascii="Courier New" w:hAnsi="Courier New" w:cs="Courier New" w:hint="default"/>
      </w:rPr>
    </w:lvl>
    <w:lvl w:ilvl="5" w:tplc="0809001B" w:tentative="1">
      <w:start w:val="1"/>
      <w:numFmt w:val="bullet"/>
      <w:lvlText w:val=""/>
      <w:lvlJc w:val="left"/>
      <w:pPr>
        <w:tabs>
          <w:tab w:val="num" w:pos="4353"/>
        </w:tabs>
        <w:ind w:left="4353" w:hanging="360"/>
      </w:pPr>
      <w:rPr>
        <w:rFonts w:ascii="Wingdings" w:hAnsi="Wingdings" w:hint="default"/>
      </w:rPr>
    </w:lvl>
    <w:lvl w:ilvl="6" w:tplc="0809000F" w:tentative="1">
      <w:start w:val="1"/>
      <w:numFmt w:val="bullet"/>
      <w:lvlText w:val=""/>
      <w:lvlJc w:val="left"/>
      <w:pPr>
        <w:tabs>
          <w:tab w:val="num" w:pos="5073"/>
        </w:tabs>
        <w:ind w:left="5073" w:hanging="360"/>
      </w:pPr>
      <w:rPr>
        <w:rFonts w:ascii="Symbol" w:hAnsi="Symbol" w:hint="default"/>
      </w:rPr>
    </w:lvl>
    <w:lvl w:ilvl="7" w:tplc="08090019" w:tentative="1">
      <w:start w:val="1"/>
      <w:numFmt w:val="bullet"/>
      <w:lvlText w:val="o"/>
      <w:lvlJc w:val="left"/>
      <w:pPr>
        <w:tabs>
          <w:tab w:val="num" w:pos="5793"/>
        </w:tabs>
        <w:ind w:left="5793" w:hanging="360"/>
      </w:pPr>
      <w:rPr>
        <w:rFonts w:ascii="Courier New" w:hAnsi="Courier New" w:cs="Courier New" w:hint="default"/>
      </w:rPr>
    </w:lvl>
    <w:lvl w:ilvl="8" w:tplc="0809001B" w:tentative="1">
      <w:start w:val="1"/>
      <w:numFmt w:val="bullet"/>
      <w:lvlText w:val=""/>
      <w:lvlJc w:val="left"/>
      <w:pPr>
        <w:tabs>
          <w:tab w:val="num" w:pos="6513"/>
        </w:tabs>
        <w:ind w:left="6513" w:hanging="360"/>
      </w:pPr>
      <w:rPr>
        <w:rFonts w:ascii="Wingdings" w:hAnsi="Wingdings" w:hint="default"/>
      </w:rPr>
    </w:lvl>
  </w:abstractNum>
  <w:abstractNum w:abstractNumId="32">
    <w:nsid w:val="2D264083"/>
    <w:multiLevelType w:val="hybridMultilevel"/>
    <w:tmpl w:val="E084E786"/>
    <w:lvl w:ilvl="0" w:tplc="08090001">
      <w:start w:val="1"/>
      <w:numFmt w:val="lowerLetter"/>
      <w:lvlText w:val="(%1)"/>
      <w:lvlJc w:val="left"/>
      <w:pPr>
        <w:ind w:left="1800" w:hanging="360"/>
      </w:pPr>
      <w:rPr>
        <w:rFonts w:hint="default"/>
      </w:rPr>
    </w:lvl>
    <w:lvl w:ilvl="1" w:tplc="08090003" w:tentative="1">
      <w:start w:val="1"/>
      <w:numFmt w:val="lowerLetter"/>
      <w:lvlText w:val="%2."/>
      <w:lvlJc w:val="left"/>
      <w:pPr>
        <w:ind w:left="2520" w:hanging="360"/>
      </w:pPr>
    </w:lvl>
    <w:lvl w:ilvl="2" w:tplc="08090005" w:tentative="1">
      <w:start w:val="1"/>
      <w:numFmt w:val="lowerRoman"/>
      <w:lvlText w:val="%3."/>
      <w:lvlJc w:val="right"/>
      <w:pPr>
        <w:ind w:left="3240" w:hanging="180"/>
      </w:pPr>
    </w:lvl>
    <w:lvl w:ilvl="3" w:tplc="08090001" w:tentative="1">
      <w:start w:val="1"/>
      <w:numFmt w:val="decimal"/>
      <w:lvlText w:val="%4."/>
      <w:lvlJc w:val="left"/>
      <w:pPr>
        <w:ind w:left="3960" w:hanging="360"/>
      </w:pPr>
    </w:lvl>
    <w:lvl w:ilvl="4" w:tplc="08090003" w:tentative="1">
      <w:start w:val="1"/>
      <w:numFmt w:val="lowerLetter"/>
      <w:lvlText w:val="%5."/>
      <w:lvlJc w:val="left"/>
      <w:pPr>
        <w:ind w:left="4680" w:hanging="360"/>
      </w:pPr>
    </w:lvl>
    <w:lvl w:ilvl="5" w:tplc="08090005" w:tentative="1">
      <w:start w:val="1"/>
      <w:numFmt w:val="lowerRoman"/>
      <w:lvlText w:val="%6."/>
      <w:lvlJc w:val="right"/>
      <w:pPr>
        <w:ind w:left="5400" w:hanging="180"/>
      </w:pPr>
    </w:lvl>
    <w:lvl w:ilvl="6" w:tplc="08090001" w:tentative="1">
      <w:start w:val="1"/>
      <w:numFmt w:val="decimal"/>
      <w:lvlText w:val="%7."/>
      <w:lvlJc w:val="left"/>
      <w:pPr>
        <w:ind w:left="6120" w:hanging="360"/>
      </w:pPr>
    </w:lvl>
    <w:lvl w:ilvl="7" w:tplc="08090003" w:tentative="1">
      <w:start w:val="1"/>
      <w:numFmt w:val="lowerLetter"/>
      <w:lvlText w:val="%8."/>
      <w:lvlJc w:val="left"/>
      <w:pPr>
        <w:ind w:left="6840" w:hanging="360"/>
      </w:pPr>
    </w:lvl>
    <w:lvl w:ilvl="8" w:tplc="08090005" w:tentative="1">
      <w:start w:val="1"/>
      <w:numFmt w:val="lowerRoman"/>
      <w:lvlText w:val="%9."/>
      <w:lvlJc w:val="right"/>
      <w:pPr>
        <w:ind w:left="7560" w:hanging="180"/>
      </w:pPr>
    </w:lvl>
  </w:abstractNum>
  <w:abstractNum w:abstractNumId="33">
    <w:nsid w:val="322A4331"/>
    <w:multiLevelType w:val="multilevel"/>
    <w:tmpl w:val="5600977C"/>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080"/>
        </w:tabs>
        <w:ind w:left="1080" w:hanging="360"/>
      </w:pPr>
    </w:lvl>
    <w:lvl w:ilvl="2">
      <w:start w:val="8"/>
      <w:numFmt w:val="upperLetter"/>
      <w:lvlText w:val="%3."/>
      <w:lvlJc w:val="left"/>
      <w:pPr>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32923BD6"/>
    <w:multiLevelType w:val="hybridMultilevel"/>
    <w:tmpl w:val="77B4C4FA"/>
    <w:lvl w:ilvl="0" w:tplc="C76C31CA">
      <w:start w:val="1"/>
      <w:numFmt w:val="bullet"/>
      <w:lvlText w:val=""/>
      <w:lvlJc w:val="left"/>
      <w:pPr>
        <w:tabs>
          <w:tab w:val="num" w:pos="1080"/>
        </w:tabs>
        <w:ind w:left="1080" w:hanging="360"/>
      </w:pPr>
      <w:rPr>
        <w:rFonts w:ascii="Symbol" w:hAnsi="Symbol" w:hint="default"/>
        <w:sz w:val="20"/>
      </w:rPr>
    </w:lvl>
    <w:lvl w:ilvl="1" w:tplc="8480BA0C" w:tentative="1">
      <w:start w:val="1"/>
      <w:numFmt w:val="bullet"/>
      <w:lvlText w:val="o"/>
      <w:lvlJc w:val="left"/>
      <w:pPr>
        <w:ind w:left="2160" w:hanging="360"/>
      </w:pPr>
      <w:rPr>
        <w:rFonts w:ascii="Courier New" w:hAnsi="Courier New" w:cs="Courier New" w:hint="default"/>
      </w:rPr>
    </w:lvl>
    <w:lvl w:ilvl="2" w:tplc="16DA1FBE" w:tentative="1">
      <w:start w:val="1"/>
      <w:numFmt w:val="bullet"/>
      <w:lvlText w:val=""/>
      <w:lvlJc w:val="left"/>
      <w:pPr>
        <w:ind w:left="2880" w:hanging="360"/>
      </w:pPr>
      <w:rPr>
        <w:rFonts w:ascii="Wingdings" w:hAnsi="Wingdings" w:hint="default"/>
      </w:rPr>
    </w:lvl>
    <w:lvl w:ilvl="3" w:tplc="12D4A32C" w:tentative="1">
      <w:start w:val="1"/>
      <w:numFmt w:val="bullet"/>
      <w:lvlText w:val=""/>
      <w:lvlJc w:val="left"/>
      <w:pPr>
        <w:ind w:left="3600" w:hanging="360"/>
      </w:pPr>
      <w:rPr>
        <w:rFonts w:ascii="Symbol" w:hAnsi="Symbol" w:hint="default"/>
      </w:rPr>
    </w:lvl>
    <w:lvl w:ilvl="4" w:tplc="421A2F58" w:tentative="1">
      <w:start w:val="1"/>
      <w:numFmt w:val="bullet"/>
      <w:lvlText w:val="o"/>
      <w:lvlJc w:val="left"/>
      <w:pPr>
        <w:ind w:left="4320" w:hanging="360"/>
      </w:pPr>
      <w:rPr>
        <w:rFonts w:ascii="Courier New" w:hAnsi="Courier New" w:cs="Courier New" w:hint="default"/>
      </w:rPr>
    </w:lvl>
    <w:lvl w:ilvl="5" w:tplc="A9B63064" w:tentative="1">
      <w:start w:val="1"/>
      <w:numFmt w:val="bullet"/>
      <w:lvlText w:val=""/>
      <w:lvlJc w:val="left"/>
      <w:pPr>
        <w:ind w:left="5040" w:hanging="360"/>
      </w:pPr>
      <w:rPr>
        <w:rFonts w:ascii="Wingdings" w:hAnsi="Wingdings" w:hint="default"/>
      </w:rPr>
    </w:lvl>
    <w:lvl w:ilvl="6" w:tplc="FB688AB2" w:tentative="1">
      <w:start w:val="1"/>
      <w:numFmt w:val="bullet"/>
      <w:lvlText w:val=""/>
      <w:lvlJc w:val="left"/>
      <w:pPr>
        <w:ind w:left="5760" w:hanging="360"/>
      </w:pPr>
      <w:rPr>
        <w:rFonts w:ascii="Symbol" w:hAnsi="Symbol" w:hint="default"/>
      </w:rPr>
    </w:lvl>
    <w:lvl w:ilvl="7" w:tplc="5C604016" w:tentative="1">
      <w:start w:val="1"/>
      <w:numFmt w:val="bullet"/>
      <w:lvlText w:val="o"/>
      <w:lvlJc w:val="left"/>
      <w:pPr>
        <w:ind w:left="6480" w:hanging="360"/>
      </w:pPr>
      <w:rPr>
        <w:rFonts w:ascii="Courier New" w:hAnsi="Courier New" w:cs="Courier New" w:hint="default"/>
      </w:rPr>
    </w:lvl>
    <w:lvl w:ilvl="8" w:tplc="F9724F5C" w:tentative="1">
      <w:start w:val="1"/>
      <w:numFmt w:val="bullet"/>
      <w:lvlText w:val=""/>
      <w:lvlJc w:val="left"/>
      <w:pPr>
        <w:ind w:left="7200" w:hanging="360"/>
      </w:pPr>
      <w:rPr>
        <w:rFonts w:ascii="Wingdings" w:hAnsi="Wingdings" w:hint="default"/>
      </w:rPr>
    </w:lvl>
  </w:abstractNum>
  <w:abstractNum w:abstractNumId="35">
    <w:nsid w:val="350D67EA"/>
    <w:multiLevelType w:val="hybridMultilevel"/>
    <w:tmpl w:val="7E2A9864"/>
    <w:lvl w:ilvl="0" w:tplc="6222185E">
      <w:start w:val="1"/>
      <w:numFmt w:val="bullet"/>
      <w:lvlText w:val=""/>
      <w:lvlJc w:val="left"/>
      <w:pPr>
        <w:ind w:left="1146" w:hanging="360"/>
      </w:pPr>
      <w:rPr>
        <w:rFonts w:ascii="Symbol" w:hAnsi="Symbol" w:hint="default"/>
      </w:rPr>
    </w:lvl>
    <w:lvl w:ilvl="1" w:tplc="3A18F3CA" w:tentative="1">
      <w:start w:val="1"/>
      <w:numFmt w:val="bullet"/>
      <w:lvlText w:val="o"/>
      <w:lvlJc w:val="left"/>
      <w:pPr>
        <w:ind w:left="1866" w:hanging="360"/>
      </w:pPr>
      <w:rPr>
        <w:rFonts w:ascii="Courier New" w:hAnsi="Courier New" w:cs="Courier New" w:hint="default"/>
      </w:rPr>
    </w:lvl>
    <w:lvl w:ilvl="2" w:tplc="18E46B96" w:tentative="1">
      <w:start w:val="1"/>
      <w:numFmt w:val="bullet"/>
      <w:lvlText w:val=""/>
      <w:lvlJc w:val="left"/>
      <w:pPr>
        <w:ind w:left="2586" w:hanging="360"/>
      </w:pPr>
      <w:rPr>
        <w:rFonts w:ascii="Wingdings" w:hAnsi="Wingdings" w:hint="default"/>
      </w:rPr>
    </w:lvl>
    <w:lvl w:ilvl="3" w:tplc="B59A7C60" w:tentative="1">
      <w:start w:val="1"/>
      <w:numFmt w:val="bullet"/>
      <w:lvlText w:val=""/>
      <w:lvlJc w:val="left"/>
      <w:pPr>
        <w:ind w:left="3306" w:hanging="360"/>
      </w:pPr>
      <w:rPr>
        <w:rFonts w:ascii="Symbol" w:hAnsi="Symbol" w:hint="default"/>
      </w:rPr>
    </w:lvl>
    <w:lvl w:ilvl="4" w:tplc="15D84B7E" w:tentative="1">
      <w:start w:val="1"/>
      <w:numFmt w:val="bullet"/>
      <w:lvlText w:val="o"/>
      <w:lvlJc w:val="left"/>
      <w:pPr>
        <w:ind w:left="4026" w:hanging="360"/>
      </w:pPr>
      <w:rPr>
        <w:rFonts w:ascii="Courier New" w:hAnsi="Courier New" w:cs="Courier New" w:hint="default"/>
      </w:rPr>
    </w:lvl>
    <w:lvl w:ilvl="5" w:tplc="938033A4" w:tentative="1">
      <w:start w:val="1"/>
      <w:numFmt w:val="bullet"/>
      <w:lvlText w:val=""/>
      <w:lvlJc w:val="left"/>
      <w:pPr>
        <w:ind w:left="4746" w:hanging="360"/>
      </w:pPr>
      <w:rPr>
        <w:rFonts w:ascii="Wingdings" w:hAnsi="Wingdings" w:hint="default"/>
      </w:rPr>
    </w:lvl>
    <w:lvl w:ilvl="6" w:tplc="7130B20E" w:tentative="1">
      <w:start w:val="1"/>
      <w:numFmt w:val="bullet"/>
      <w:lvlText w:val=""/>
      <w:lvlJc w:val="left"/>
      <w:pPr>
        <w:ind w:left="5466" w:hanging="360"/>
      </w:pPr>
      <w:rPr>
        <w:rFonts w:ascii="Symbol" w:hAnsi="Symbol" w:hint="default"/>
      </w:rPr>
    </w:lvl>
    <w:lvl w:ilvl="7" w:tplc="44F03B2C" w:tentative="1">
      <w:start w:val="1"/>
      <w:numFmt w:val="bullet"/>
      <w:lvlText w:val="o"/>
      <w:lvlJc w:val="left"/>
      <w:pPr>
        <w:ind w:left="6186" w:hanging="360"/>
      </w:pPr>
      <w:rPr>
        <w:rFonts w:ascii="Courier New" w:hAnsi="Courier New" w:cs="Courier New" w:hint="default"/>
      </w:rPr>
    </w:lvl>
    <w:lvl w:ilvl="8" w:tplc="73F4F1A6" w:tentative="1">
      <w:start w:val="1"/>
      <w:numFmt w:val="bullet"/>
      <w:lvlText w:val=""/>
      <w:lvlJc w:val="left"/>
      <w:pPr>
        <w:ind w:left="6906" w:hanging="360"/>
      </w:pPr>
      <w:rPr>
        <w:rFonts w:ascii="Wingdings" w:hAnsi="Wingdings" w:hint="default"/>
      </w:rPr>
    </w:lvl>
  </w:abstractNum>
  <w:abstractNum w:abstractNumId="36">
    <w:nsid w:val="35E54D0C"/>
    <w:multiLevelType w:val="singleLevel"/>
    <w:tmpl w:val="F02C6FD0"/>
    <w:lvl w:ilvl="0">
      <w:start w:val="1"/>
      <w:numFmt w:val="bullet"/>
      <w:pStyle w:val="Bullets"/>
      <w:lvlText w:val=""/>
      <w:lvlJc w:val="left"/>
      <w:pPr>
        <w:tabs>
          <w:tab w:val="num" w:pos="397"/>
        </w:tabs>
        <w:ind w:left="397" w:hanging="397"/>
      </w:pPr>
      <w:rPr>
        <w:rFonts w:ascii="Wingdings" w:hAnsi="Wingdings" w:hint="default"/>
        <w:sz w:val="12"/>
      </w:rPr>
    </w:lvl>
  </w:abstractNum>
  <w:abstractNum w:abstractNumId="37">
    <w:nsid w:val="38914DAE"/>
    <w:multiLevelType w:val="hybridMultilevel"/>
    <w:tmpl w:val="9238F6C6"/>
    <w:lvl w:ilvl="0" w:tplc="20DCDCC8">
      <w:start w:val="1"/>
      <w:numFmt w:val="bullet"/>
      <w:lvlText w:val=""/>
      <w:lvlJc w:val="left"/>
      <w:pPr>
        <w:ind w:left="1080" w:hanging="360"/>
      </w:pPr>
      <w:rPr>
        <w:rFonts w:ascii="Symbol" w:hAnsi="Symbol" w:hint="default"/>
      </w:rPr>
    </w:lvl>
    <w:lvl w:ilvl="1" w:tplc="A6FC9870" w:tentative="1">
      <w:start w:val="1"/>
      <w:numFmt w:val="bullet"/>
      <w:lvlText w:val="o"/>
      <w:lvlJc w:val="left"/>
      <w:pPr>
        <w:ind w:left="1800" w:hanging="360"/>
      </w:pPr>
      <w:rPr>
        <w:rFonts w:ascii="Courier New" w:hAnsi="Courier New" w:cs="Courier New" w:hint="default"/>
      </w:rPr>
    </w:lvl>
    <w:lvl w:ilvl="2" w:tplc="AC3E45BE" w:tentative="1">
      <w:start w:val="1"/>
      <w:numFmt w:val="bullet"/>
      <w:lvlText w:val=""/>
      <w:lvlJc w:val="left"/>
      <w:pPr>
        <w:ind w:left="2520" w:hanging="360"/>
      </w:pPr>
      <w:rPr>
        <w:rFonts w:ascii="Wingdings" w:hAnsi="Wingdings" w:hint="default"/>
      </w:rPr>
    </w:lvl>
    <w:lvl w:ilvl="3" w:tplc="E4E6F088" w:tentative="1">
      <w:start w:val="1"/>
      <w:numFmt w:val="bullet"/>
      <w:lvlText w:val=""/>
      <w:lvlJc w:val="left"/>
      <w:pPr>
        <w:ind w:left="3240" w:hanging="360"/>
      </w:pPr>
      <w:rPr>
        <w:rFonts w:ascii="Symbol" w:hAnsi="Symbol" w:hint="default"/>
      </w:rPr>
    </w:lvl>
    <w:lvl w:ilvl="4" w:tplc="4C806402" w:tentative="1">
      <w:start w:val="1"/>
      <w:numFmt w:val="bullet"/>
      <w:lvlText w:val="o"/>
      <w:lvlJc w:val="left"/>
      <w:pPr>
        <w:ind w:left="3960" w:hanging="360"/>
      </w:pPr>
      <w:rPr>
        <w:rFonts w:ascii="Courier New" w:hAnsi="Courier New" w:cs="Courier New" w:hint="default"/>
      </w:rPr>
    </w:lvl>
    <w:lvl w:ilvl="5" w:tplc="376223F0" w:tentative="1">
      <w:start w:val="1"/>
      <w:numFmt w:val="bullet"/>
      <w:lvlText w:val=""/>
      <w:lvlJc w:val="left"/>
      <w:pPr>
        <w:ind w:left="4680" w:hanging="360"/>
      </w:pPr>
      <w:rPr>
        <w:rFonts w:ascii="Wingdings" w:hAnsi="Wingdings" w:hint="default"/>
      </w:rPr>
    </w:lvl>
    <w:lvl w:ilvl="6" w:tplc="EFBC90A8" w:tentative="1">
      <w:start w:val="1"/>
      <w:numFmt w:val="bullet"/>
      <w:lvlText w:val=""/>
      <w:lvlJc w:val="left"/>
      <w:pPr>
        <w:ind w:left="5400" w:hanging="360"/>
      </w:pPr>
      <w:rPr>
        <w:rFonts w:ascii="Symbol" w:hAnsi="Symbol" w:hint="default"/>
      </w:rPr>
    </w:lvl>
    <w:lvl w:ilvl="7" w:tplc="1AD6DAC0" w:tentative="1">
      <w:start w:val="1"/>
      <w:numFmt w:val="bullet"/>
      <w:lvlText w:val="o"/>
      <w:lvlJc w:val="left"/>
      <w:pPr>
        <w:ind w:left="6120" w:hanging="360"/>
      </w:pPr>
      <w:rPr>
        <w:rFonts w:ascii="Courier New" w:hAnsi="Courier New" w:cs="Courier New" w:hint="default"/>
      </w:rPr>
    </w:lvl>
    <w:lvl w:ilvl="8" w:tplc="7B640F8E" w:tentative="1">
      <w:start w:val="1"/>
      <w:numFmt w:val="bullet"/>
      <w:lvlText w:val=""/>
      <w:lvlJc w:val="left"/>
      <w:pPr>
        <w:ind w:left="6840" w:hanging="360"/>
      </w:pPr>
      <w:rPr>
        <w:rFonts w:ascii="Wingdings" w:hAnsi="Wingdings" w:hint="default"/>
      </w:rPr>
    </w:lvl>
  </w:abstractNum>
  <w:abstractNum w:abstractNumId="38">
    <w:nsid w:val="3A51683F"/>
    <w:multiLevelType w:val="hybridMultilevel"/>
    <w:tmpl w:val="50880164"/>
    <w:lvl w:ilvl="0" w:tplc="E6AABF10">
      <w:start w:val="26"/>
      <w:numFmt w:val="decimal"/>
      <w:lvlText w:val="%1."/>
      <w:lvlJc w:val="left"/>
      <w:pPr>
        <w:ind w:left="1080" w:hanging="360"/>
      </w:pPr>
      <w:rPr>
        <w:rFonts w:hint="default"/>
      </w:rPr>
    </w:lvl>
    <w:lvl w:ilvl="1" w:tplc="4F26E1B4" w:tentative="1">
      <w:start w:val="1"/>
      <w:numFmt w:val="lowerLetter"/>
      <w:lvlText w:val="%2."/>
      <w:lvlJc w:val="left"/>
      <w:pPr>
        <w:ind w:left="1800" w:hanging="360"/>
      </w:pPr>
    </w:lvl>
    <w:lvl w:ilvl="2" w:tplc="6344B1E8" w:tentative="1">
      <w:start w:val="1"/>
      <w:numFmt w:val="lowerRoman"/>
      <w:lvlText w:val="%3."/>
      <w:lvlJc w:val="right"/>
      <w:pPr>
        <w:ind w:left="2520" w:hanging="180"/>
      </w:pPr>
    </w:lvl>
    <w:lvl w:ilvl="3" w:tplc="C7103F36" w:tentative="1">
      <w:start w:val="1"/>
      <w:numFmt w:val="decimal"/>
      <w:lvlText w:val="%4."/>
      <w:lvlJc w:val="left"/>
      <w:pPr>
        <w:ind w:left="3240" w:hanging="360"/>
      </w:pPr>
    </w:lvl>
    <w:lvl w:ilvl="4" w:tplc="820A42EC" w:tentative="1">
      <w:start w:val="1"/>
      <w:numFmt w:val="lowerLetter"/>
      <w:lvlText w:val="%5."/>
      <w:lvlJc w:val="left"/>
      <w:pPr>
        <w:ind w:left="3960" w:hanging="360"/>
      </w:pPr>
    </w:lvl>
    <w:lvl w:ilvl="5" w:tplc="D91A7872" w:tentative="1">
      <w:start w:val="1"/>
      <w:numFmt w:val="lowerRoman"/>
      <w:lvlText w:val="%6."/>
      <w:lvlJc w:val="right"/>
      <w:pPr>
        <w:ind w:left="4680" w:hanging="180"/>
      </w:pPr>
    </w:lvl>
    <w:lvl w:ilvl="6" w:tplc="3EF24298" w:tentative="1">
      <w:start w:val="1"/>
      <w:numFmt w:val="decimal"/>
      <w:lvlText w:val="%7."/>
      <w:lvlJc w:val="left"/>
      <w:pPr>
        <w:ind w:left="5400" w:hanging="360"/>
      </w:pPr>
    </w:lvl>
    <w:lvl w:ilvl="7" w:tplc="0DB8991A" w:tentative="1">
      <w:start w:val="1"/>
      <w:numFmt w:val="lowerLetter"/>
      <w:lvlText w:val="%8."/>
      <w:lvlJc w:val="left"/>
      <w:pPr>
        <w:ind w:left="6120" w:hanging="360"/>
      </w:pPr>
    </w:lvl>
    <w:lvl w:ilvl="8" w:tplc="F69C4636" w:tentative="1">
      <w:start w:val="1"/>
      <w:numFmt w:val="lowerRoman"/>
      <w:lvlText w:val="%9."/>
      <w:lvlJc w:val="right"/>
      <w:pPr>
        <w:ind w:left="6840" w:hanging="180"/>
      </w:pPr>
    </w:lvl>
  </w:abstractNum>
  <w:abstractNum w:abstractNumId="39">
    <w:nsid w:val="3B527191"/>
    <w:multiLevelType w:val="hybridMultilevel"/>
    <w:tmpl w:val="054A6AE4"/>
    <w:lvl w:ilvl="0" w:tplc="69648060">
      <w:start w:val="1"/>
      <w:numFmt w:val="bullet"/>
      <w:lvlText w:val=""/>
      <w:lvlJc w:val="left"/>
      <w:pPr>
        <w:tabs>
          <w:tab w:val="num" w:pos="1080"/>
        </w:tabs>
        <w:ind w:left="1080" w:hanging="360"/>
      </w:pPr>
      <w:rPr>
        <w:rFonts w:ascii="Symbol" w:hAnsi="Symbol" w:hint="default"/>
        <w:sz w:val="20"/>
      </w:rPr>
    </w:lvl>
    <w:lvl w:ilvl="1" w:tplc="08090019" w:tentative="1">
      <w:start w:val="1"/>
      <w:numFmt w:val="bullet"/>
      <w:lvlText w:val="o"/>
      <w:lvlJc w:val="left"/>
      <w:pPr>
        <w:ind w:left="2160" w:hanging="360"/>
      </w:pPr>
      <w:rPr>
        <w:rFonts w:ascii="Courier New" w:hAnsi="Courier New" w:cs="Courier New" w:hint="default"/>
      </w:rPr>
    </w:lvl>
    <w:lvl w:ilvl="2" w:tplc="0809001B" w:tentative="1">
      <w:start w:val="1"/>
      <w:numFmt w:val="bullet"/>
      <w:lvlText w:val=""/>
      <w:lvlJc w:val="left"/>
      <w:pPr>
        <w:ind w:left="2880" w:hanging="360"/>
      </w:pPr>
      <w:rPr>
        <w:rFonts w:ascii="Wingdings" w:hAnsi="Wingdings" w:hint="default"/>
      </w:rPr>
    </w:lvl>
    <w:lvl w:ilvl="3" w:tplc="0809000F" w:tentative="1">
      <w:start w:val="1"/>
      <w:numFmt w:val="bullet"/>
      <w:lvlText w:val=""/>
      <w:lvlJc w:val="left"/>
      <w:pPr>
        <w:ind w:left="3600" w:hanging="360"/>
      </w:pPr>
      <w:rPr>
        <w:rFonts w:ascii="Symbol" w:hAnsi="Symbol" w:hint="default"/>
      </w:rPr>
    </w:lvl>
    <w:lvl w:ilvl="4" w:tplc="08090019" w:tentative="1">
      <w:start w:val="1"/>
      <w:numFmt w:val="bullet"/>
      <w:lvlText w:val="o"/>
      <w:lvlJc w:val="left"/>
      <w:pPr>
        <w:ind w:left="4320" w:hanging="360"/>
      </w:pPr>
      <w:rPr>
        <w:rFonts w:ascii="Courier New" w:hAnsi="Courier New" w:cs="Courier New" w:hint="default"/>
      </w:rPr>
    </w:lvl>
    <w:lvl w:ilvl="5" w:tplc="0809001B" w:tentative="1">
      <w:start w:val="1"/>
      <w:numFmt w:val="bullet"/>
      <w:lvlText w:val=""/>
      <w:lvlJc w:val="left"/>
      <w:pPr>
        <w:ind w:left="5040" w:hanging="360"/>
      </w:pPr>
      <w:rPr>
        <w:rFonts w:ascii="Wingdings" w:hAnsi="Wingdings" w:hint="default"/>
      </w:rPr>
    </w:lvl>
    <w:lvl w:ilvl="6" w:tplc="0809000F" w:tentative="1">
      <w:start w:val="1"/>
      <w:numFmt w:val="bullet"/>
      <w:lvlText w:val=""/>
      <w:lvlJc w:val="left"/>
      <w:pPr>
        <w:ind w:left="5760" w:hanging="360"/>
      </w:pPr>
      <w:rPr>
        <w:rFonts w:ascii="Symbol" w:hAnsi="Symbol" w:hint="default"/>
      </w:rPr>
    </w:lvl>
    <w:lvl w:ilvl="7" w:tplc="08090019" w:tentative="1">
      <w:start w:val="1"/>
      <w:numFmt w:val="bullet"/>
      <w:lvlText w:val="o"/>
      <w:lvlJc w:val="left"/>
      <w:pPr>
        <w:ind w:left="6480" w:hanging="360"/>
      </w:pPr>
      <w:rPr>
        <w:rFonts w:ascii="Courier New" w:hAnsi="Courier New" w:cs="Courier New" w:hint="default"/>
      </w:rPr>
    </w:lvl>
    <w:lvl w:ilvl="8" w:tplc="0809001B" w:tentative="1">
      <w:start w:val="1"/>
      <w:numFmt w:val="bullet"/>
      <w:lvlText w:val=""/>
      <w:lvlJc w:val="left"/>
      <w:pPr>
        <w:ind w:left="7200" w:hanging="360"/>
      </w:pPr>
      <w:rPr>
        <w:rFonts w:ascii="Wingdings" w:hAnsi="Wingdings" w:hint="default"/>
      </w:rPr>
    </w:lvl>
  </w:abstractNum>
  <w:abstractNum w:abstractNumId="40">
    <w:nsid w:val="3BA85150"/>
    <w:multiLevelType w:val="hybridMultilevel"/>
    <w:tmpl w:val="81AC427A"/>
    <w:lvl w:ilvl="0" w:tplc="77182FF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3DB460F8"/>
    <w:multiLevelType w:val="multilevel"/>
    <w:tmpl w:val="D234C816"/>
    <w:lvl w:ilvl="0">
      <w:start w:val="1"/>
      <w:numFmt w:val="decimal"/>
      <w:lvlText w:val=" %1"/>
      <w:lvlJc w:val="left"/>
      <w:pPr>
        <w:tabs>
          <w:tab w:val="num" w:pos="720"/>
        </w:tabs>
        <w:ind w:left="720" w:hanging="720"/>
      </w:pPr>
      <w:rPr>
        <w:rFonts w:hint="default"/>
        <w:b w:val="0"/>
        <w:i w:val="0"/>
      </w:rPr>
    </w:lvl>
    <w:lvl w:ilvl="1">
      <w:start w:val="1"/>
      <w:numFmt w:val="decimal"/>
      <w:pStyle w:val="OutlineNum2"/>
      <w:lvlText w:val="%1.%2"/>
      <w:lvlJc w:val="left"/>
      <w:pPr>
        <w:tabs>
          <w:tab w:val="num" w:pos="720"/>
        </w:tabs>
        <w:ind w:left="720" w:hanging="720"/>
      </w:pPr>
      <w:rPr>
        <w:rFonts w:ascii="Arial" w:hAnsi="Arial" w:hint="default"/>
        <w:b w:val="0"/>
        <w:i w:val="0"/>
        <w:sz w:val="22"/>
        <w:szCs w:val="22"/>
      </w:rPr>
    </w:lvl>
    <w:lvl w:ilvl="2">
      <w:start w:val="1"/>
      <w:numFmt w:val="decimal"/>
      <w:pStyle w:val="OutlineNum3"/>
      <w:lvlText w:val="%1.%2.%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DDA2447"/>
    <w:multiLevelType w:val="hybridMultilevel"/>
    <w:tmpl w:val="DC02DA7C"/>
    <w:lvl w:ilvl="0" w:tplc="7AC20B44">
      <w:start w:val="1"/>
      <w:numFmt w:val="bullet"/>
      <w:lvlText w:val=""/>
      <w:lvlJc w:val="left"/>
      <w:pPr>
        <w:tabs>
          <w:tab w:val="num" w:pos="1353"/>
        </w:tabs>
        <w:ind w:left="1353" w:hanging="360"/>
      </w:pPr>
      <w:rPr>
        <w:rFonts w:ascii="Symbol" w:hAnsi="Symbol" w:hint="default"/>
      </w:rPr>
    </w:lvl>
    <w:lvl w:ilvl="1" w:tplc="704A52F2" w:tentative="1">
      <w:start w:val="1"/>
      <w:numFmt w:val="bullet"/>
      <w:lvlText w:val="o"/>
      <w:lvlJc w:val="left"/>
      <w:pPr>
        <w:tabs>
          <w:tab w:val="num" w:pos="2073"/>
        </w:tabs>
        <w:ind w:left="2073" w:hanging="360"/>
      </w:pPr>
      <w:rPr>
        <w:rFonts w:ascii="Courier New" w:hAnsi="Courier New" w:cs="Courier New" w:hint="default"/>
      </w:rPr>
    </w:lvl>
    <w:lvl w:ilvl="2" w:tplc="6BC84E56" w:tentative="1">
      <w:start w:val="1"/>
      <w:numFmt w:val="bullet"/>
      <w:lvlText w:val=""/>
      <w:lvlJc w:val="left"/>
      <w:pPr>
        <w:tabs>
          <w:tab w:val="num" w:pos="2793"/>
        </w:tabs>
        <w:ind w:left="2793" w:hanging="360"/>
      </w:pPr>
      <w:rPr>
        <w:rFonts w:ascii="Wingdings" w:hAnsi="Wingdings" w:hint="default"/>
      </w:rPr>
    </w:lvl>
    <w:lvl w:ilvl="3" w:tplc="A67EC936" w:tentative="1">
      <w:start w:val="1"/>
      <w:numFmt w:val="bullet"/>
      <w:lvlText w:val=""/>
      <w:lvlJc w:val="left"/>
      <w:pPr>
        <w:tabs>
          <w:tab w:val="num" w:pos="3513"/>
        </w:tabs>
        <w:ind w:left="3513" w:hanging="360"/>
      </w:pPr>
      <w:rPr>
        <w:rFonts w:ascii="Symbol" w:hAnsi="Symbol" w:hint="default"/>
      </w:rPr>
    </w:lvl>
    <w:lvl w:ilvl="4" w:tplc="AEF21080" w:tentative="1">
      <w:start w:val="1"/>
      <w:numFmt w:val="bullet"/>
      <w:lvlText w:val="o"/>
      <w:lvlJc w:val="left"/>
      <w:pPr>
        <w:tabs>
          <w:tab w:val="num" w:pos="4233"/>
        </w:tabs>
        <w:ind w:left="4233" w:hanging="360"/>
      </w:pPr>
      <w:rPr>
        <w:rFonts w:ascii="Courier New" w:hAnsi="Courier New" w:cs="Courier New" w:hint="default"/>
      </w:rPr>
    </w:lvl>
    <w:lvl w:ilvl="5" w:tplc="568E1FF2" w:tentative="1">
      <w:start w:val="1"/>
      <w:numFmt w:val="bullet"/>
      <w:lvlText w:val=""/>
      <w:lvlJc w:val="left"/>
      <w:pPr>
        <w:tabs>
          <w:tab w:val="num" w:pos="4953"/>
        </w:tabs>
        <w:ind w:left="4953" w:hanging="360"/>
      </w:pPr>
      <w:rPr>
        <w:rFonts w:ascii="Wingdings" w:hAnsi="Wingdings" w:hint="default"/>
      </w:rPr>
    </w:lvl>
    <w:lvl w:ilvl="6" w:tplc="D48CB26E" w:tentative="1">
      <w:start w:val="1"/>
      <w:numFmt w:val="bullet"/>
      <w:lvlText w:val=""/>
      <w:lvlJc w:val="left"/>
      <w:pPr>
        <w:tabs>
          <w:tab w:val="num" w:pos="5673"/>
        </w:tabs>
        <w:ind w:left="5673" w:hanging="360"/>
      </w:pPr>
      <w:rPr>
        <w:rFonts w:ascii="Symbol" w:hAnsi="Symbol" w:hint="default"/>
      </w:rPr>
    </w:lvl>
    <w:lvl w:ilvl="7" w:tplc="A646716E" w:tentative="1">
      <w:start w:val="1"/>
      <w:numFmt w:val="bullet"/>
      <w:lvlText w:val="o"/>
      <w:lvlJc w:val="left"/>
      <w:pPr>
        <w:tabs>
          <w:tab w:val="num" w:pos="6393"/>
        </w:tabs>
        <w:ind w:left="6393" w:hanging="360"/>
      </w:pPr>
      <w:rPr>
        <w:rFonts w:ascii="Courier New" w:hAnsi="Courier New" w:cs="Courier New" w:hint="default"/>
      </w:rPr>
    </w:lvl>
    <w:lvl w:ilvl="8" w:tplc="E4BC8996" w:tentative="1">
      <w:start w:val="1"/>
      <w:numFmt w:val="bullet"/>
      <w:lvlText w:val=""/>
      <w:lvlJc w:val="left"/>
      <w:pPr>
        <w:tabs>
          <w:tab w:val="num" w:pos="7113"/>
        </w:tabs>
        <w:ind w:left="7113" w:hanging="360"/>
      </w:pPr>
      <w:rPr>
        <w:rFonts w:ascii="Wingdings" w:hAnsi="Wingdings" w:hint="default"/>
      </w:rPr>
    </w:lvl>
  </w:abstractNum>
  <w:abstractNum w:abstractNumId="43">
    <w:nsid w:val="440109DB"/>
    <w:multiLevelType w:val="hybridMultilevel"/>
    <w:tmpl w:val="763672D6"/>
    <w:lvl w:ilvl="0" w:tplc="CA500076">
      <w:start w:val="1"/>
      <w:numFmt w:val="bullet"/>
      <w:lvlText w:val=""/>
      <w:lvlJc w:val="left"/>
      <w:pPr>
        <w:ind w:left="1440" w:hanging="360"/>
      </w:pPr>
      <w:rPr>
        <w:rFonts w:ascii="Symbol" w:hAnsi="Symbol" w:hint="default"/>
      </w:rPr>
    </w:lvl>
    <w:lvl w:ilvl="1" w:tplc="2DE4FF2C" w:tentative="1">
      <w:start w:val="1"/>
      <w:numFmt w:val="bullet"/>
      <w:lvlText w:val="o"/>
      <w:lvlJc w:val="left"/>
      <w:pPr>
        <w:ind w:left="2160" w:hanging="360"/>
      </w:pPr>
      <w:rPr>
        <w:rFonts w:ascii="Courier New" w:hAnsi="Courier New" w:cs="Courier New" w:hint="default"/>
      </w:rPr>
    </w:lvl>
    <w:lvl w:ilvl="2" w:tplc="09BE066A" w:tentative="1">
      <w:start w:val="1"/>
      <w:numFmt w:val="bullet"/>
      <w:lvlText w:val=""/>
      <w:lvlJc w:val="left"/>
      <w:pPr>
        <w:ind w:left="2880" w:hanging="360"/>
      </w:pPr>
      <w:rPr>
        <w:rFonts w:ascii="Wingdings" w:hAnsi="Wingdings" w:hint="default"/>
      </w:rPr>
    </w:lvl>
    <w:lvl w:ilvl="3" w:tplc="79343C8A" w:tentative="1">
      <w:start w:val="1"/>
      <w:numFmt w:val="bullet"/>
      <w:lvlText w:val=""/>
      <w:lvlJc w:val="left"/>
      <w:pPr>
        <w:ind w:left="3600" w:hanging="360"/>
      </w:pPr>
      <w:rPr>
        <w:rFonts w:ascii="Symbol" w:hAnsi="Symbol" w:hint="default"/>
      </w:rPr>
    </w:lvl>
    <w:lvl w:ilvl="4" w:tplc="0504DE84" w:tentative="1">
      <w:start w:val="1"/>
      <w:numFmt w:val="bullet"/>
      <w:lvlText w:val="o"/>
      <w:lvlJc w:val="left"/>
      <w:pPr>
        <w:ind w:left="4320" w:hanging="360"/>
      </w:pPr>
      <w:rPr>
        <w:rFonts w:ascii="Courier New" w:hAnsi="Courier New" w:cs="Courier New" w:hint="default"/>
      </w:rPr>
    </w:lvl>
    <w:lvl w:ilvl="5" w:tplc="27D691E0" w:tentative="1">
      <w:start w:val="1"/>
      <w:numFmt w:val="bullet"/>
      <w:lvlText w:val=""/>
      <w:lvlJc w:val="left"/>
      <w:pPr>
        <w:ind w:left="5040" w:hanging="360"/>
      </w:pPr>
      <w:rPr>
        <w:rFonts w:ascii="Wingdings" w:hAnsi="Wingdings" w:hint="default"/>
      </w:rPr>
    </w:lvl>
    <w:lvl w:ilvl="6" w:tplc="A78ACD6C" w:tentative="1">
      <w:start w:val="1"/>
      <w:numFmt w:val="bullet"/>
      <w:lvlText w:val=""/>
      <w:lvlJc w:val="left"/>
      <w:pPr>
        <w:ind w:left="5760" w:hanging="360"/>
      </w:pPr>
      <w:rPr>
        <w:rFonts w:ascii="Symbol" w:hAnsi="Symbol" w:hint="default"/>
      </w:rPr>
    </w:lvl>
    <w:lvl w:ilvl="7" w:tplc="6352994C" w:tentative="1">
      <w:start w:val="1"/>
      <w:numFmt w:val="bullet"/>
      <w:lvlText w:val="o"/>
      <w:lvlJc w:val="left"/>
      <w:pPr>
        <w:ind w:left="6480" w:hanging="360"/>
      </w:pPr>
      <w:rPr>
        <w:rFonts w:ascii="Courier New" w:hAnsi="Courier New" w:cs="Courier New" w:hint="default"/>
      </w:rPr>
    </w:lvl>
    <w:lvl w:ilvl="8" w:tplc="9416BCEA" w:tentative="1">
      <w:start w:val="1"/>
      <w:numFmt w:val="bullet"/>
      <w:lvlText w:val=""/>
      <w:lvlJc w:val="left"/>
      <w:pPr>
        <w:ind w:left="7200" w:hanging="360"/>
      </w:pPr>
      <w:rPr>
        <w:rFonts w:ascii="Wingdings" w:hAnsi="Wingdings" w:hint="default"/>
      </w:rPr>
    </w:lvl>
  </w:abstractNum>
  <w:abstractNum w:abstractNumId="44">
    <w:nsid w:val="445A722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5">
    <w:nsid w:val="44A24F3B"/>
    <w:multiLevelType w:val="hybridMultilevel"/>
    <w:tmpl w:val="CBC28D86"/>
    <w:lvl w:ilvl="0" w:tplc="39D2BA54">
      <w:start w:val="1"/>
      <w:numFmt w:val="bullet"/>
      <w:pStyle w:val="Bullet1"/>
      <w:lvlText w:val=""/>
      <w:lvlJc w:val="left"/>
      <w:pPr>
        <w:tabs>
          <w:tab w:val="num" w:pos="794"/>
        </w:tabs>
        <w:ind w:left="794" w:hanging="397"/>
      </w:pPr>
      <w:rPr>
        <w:rFonts w:ascii="Symbol" w:hAnsi="Symbol" w:hint="default"/>
      </w:rPr>
    </w:lvl>
    <w:lvl w:ilvl="1" w:tplc="B802C278">
      <w:start w:val="1"/>
      <w:numFmt w:val="bullet"/>
      <w:lvlText w:val="o"/>
      <w:lvlJc w:val="left"/>
      <w:pPr>
        <w:tabs>
          <w:tab w:val="num" w:pos="1440"/>
        </w:tabs>
        <w:ind w:left="1440" w:hanging="360"/>
      </w:pPr>
      <w:rPr>
        <w:rFonts w:ascii="Courier New" w:hAnsi="Courier New" w:cs="Courier New" w:hint="default"/>
      </w:rPr>
    </w:lvl>
    <w:lvl w:ilvl="2" w:tplc="07361BDE" w:tentative="1">
      <w:start w:val="1"/>
      <w:numFmt w:val="bullet"/>
      <w:lvlText w:val=""/>
      <w:lvlJc w:val="left"/>
      <w:pPr>
        <w:tabs>
          <w:tab w:val="num" w:pos="2160"/>
        </w:tabs>
        <w:ind w:left="2160" w:hanging="360"/>
      </w:pPr>
      <w:rPr>
        <w:rFonts w:ascii="Wingdings" w:hAnsi="Wingdings" w:hint="default"/>
      </w:rPr>
    </w:lvl>
    <w:lvl w:ilvl="3" w:tplc="603C77CC" w:tentative="1">
      <w:start w:val="1"/>
      <w:numFmt w:val="bullet"/>
      <w:lvlText w:val=""/>
      <w:lvlJc w:val="left"/>
      <w:pPr>
        <w:tabs>
          <w:tab w:val="num" w:pos="2880"/>
        </w:tabs>
        <w:ind w:left="2880" w:hanging="360"/>
      </w:pPr>
      <w:rPr>
        <w:rFonts w:ascii="Symbol" w:hAnsi="Symbol" w:hint="default"/>
      </w:rPr>
    </w:lvl>
    <w:lvl w:ilvl="4" w:tplc="5F583E76" w:tentative="1">
      <w:start w:val="1"/>
      <w:numFmt w:val="bullet"/>
      <w:lvlText w:val="o"/>
      <w:lvlJc w:val="left"/>
      <w:pPr>
        <w:tabs>
          <w:tab w:val="num" w:pos="3600"/>
        </w:tabs>
        <w:ind w:left="3600" w:hanging="360"/>
      </w:pPr>
      <w:rPr>
        <w:rFonts w:ascii="Courier New" w:hAnsi="Courier New" w:cs="Courier New" w:hint="default"/>
      </w:rPr>
    </w:lvl>
    <w:lvl w:ilvl="5" w:tplc="B9EAE25E" w:tentative="1">
      <w:start w:val="1"/>
      <w:numFmt w:val="bullet"/>
      <w:lvlText w:val=""/>
      <w:lvlJc w:val="left"/>
      <w:pPr>
        <w:tabs>
          <w:tab w:val="num" w:pos="4320"/>
        </w:tabs>
        <w:ind w:left="4320" w:hanging="360"/>
      </w:pPr>
      <w:rPr>
        <w:rFonts w:ascii="Wingdings" w:hAnsi="Wingdings" w:hint="default"/>
      </w:rPr>
    </w:lvl>
    <w:lvl w:ilvl="6" w:tplc="F67451A0" w:tentative="1">
      <w:start w:val="1"/>
      <w:numFmt w:val="bullet"/>
      <w:lvlText w:val=""/>
      <w:lvlJc w:val="left"/>
      <w:pPr>
        <w:tabs>
          <w:tab w:val="num" w:pos="5040"/>
        </w:tabs>
        <w:ind w:left="5040" w:hanging="360"/>
      </w:pPr>
      <w:rPr>
        <w:rFonts w:ascii="Symbol" w:hAnsi="Symbol" w:hint="default"/>
      </w:rPr>
    </w:lvl>
    <w:lvl w:ilvl="7" w:tplc="CE0082E8" w:tentative="1">
      <w:start w:val="1"/>
      <w:numFmt w:val="bullet"/>
      <w:lvlText w:val="o"/>
      <w:lvlJc w:val="left"/>
      <w:pPr>
        <w:tabs>
          <w:tab w:val="num" w:pos="5760"/>
        </w:tabs>
        <w:ind w:left="5760" w:hanging="360"/>
      </w:pPr>
      <w:rPr>
        <w:rFonts w:ascii="Courier New" w:hAnsi="Courier New" w:cs="Courier New" w:hint="default"/>
      </w:rPr>
    </w:lvl>
    <w:lvl w:ilvl="8" w:tplc="850C8A1E" w:tentative="1">
      <w:start w:val="1"/>
      <w:numFmt w:val="bullet"/>
      <w:lvlText w:val=""/>
      <w:lvlJc w:val="left"/>
      <w:pPr>
        <w:tabs>
          <w:tab w:val="num" w:pos="6480"/>
        </w:tabs>
        <w:ind w:left="6480" w:hanging="360"/>
      </w:pPr>
      <w:rPr>
        <w:rFonts w:ascii="Wingdings" w:hAnsi="Wingdings" w:hint="default"/>
      </w:rPr>
    </w:lvl>
  </w:abstractNum>
  <w:abstractNum w:abstractNumId="46">
    <w:nsid w:val="48117AA6"/>
    <w:multiLevelType w:val="hybridMultilevel"/>
    <w:tmpl w:val="22E4E216"/>
    <w:lvl w:ilvl="0" w:tplc="11BE1C1A">
      <w:start w:val="1"/>
      <w:numFmt w:val="bullet"/>
      <w:lvlText w:val=""/>
      <w:lvlJc w:val="left"/>
      <w:pPr>
        <w:tabs>
          <w:tab w:val="num" w:pos="5220"/>
        </w:tabs>
        <w:ind w:left="5220" w:hanging="360"/>
      </w:pPr>
      <w:rPr>
        <w:rFonts w:ascii="Symbol" w:hAnsi="Symbol" w:hint="default"/>
      </w:rPr>
    </w:lvl>
    <w:lvl w:ilvl="1" w:tplc="5CEE82BC">
      <w:start w:val="1"/>
      <w:numFmt w:val="bullet"/>
      <w:lvlText w:val=""/>
      <w:lvlJc w:val="left"/>
      <w:pPr>
        <w:tabs>
          <w:tab w:val="num" w:pos="1440"/>
        </w:tabs>
        <w:ind w:left="1440" w:hanging="360"/>
      </w:pPr>
      <w:rPr>
        <w:rFonts w:ascii="Symbol" w:hAnsi="Symbol" w:hint="default"/>
      </w:rPr>
    </w:lvl>
    <w:lvl w:ilvl="2" w:tplc="D3A062C4" w:tentative="1">
      <w:start w:val="1"/>
      <w:numFmt w:val="bullet"/>
      <w:lvlText w:val=""/>
      <w:lvlJc w:val="left"/>
      <w:pPr>
        <w:tabs>
          <w:tab w:val="num" w:pos="2160"/>
        </w:tabs>
        <w:ind w:left="2160" w:hanging="360"/>
      </w:pPr>
      <w:rPr>
        <w:rFonts w:ascii="Wingdings" w:hAnsi="Wingdings" w:hint="default"/>
      </w:rPr>
    </w:lvl>
    <w:lvl w:ilvl="3" w:tplc="589256A6" w:tentative="1">
      <w:start w:val="1"/>
      <w:numFmt w:val="bullet"/>
      <w:lvlText w:val=""/>
      <w:lvlJc w:val="left"/>
      <w:pPr>
        <w:tabs>
          <w:tab w:val="num" w:pos="2880"/>
        </w:tabs>
        <w:ind w:left="2880" w:hanging="360"/>
      </w:pPr>
      <w:rPr>
        <w:rFonts w:ascii="Symbol" w:hAnsi="Symbol" w:hint="default"/>
      </w:rPr>
    </w:lvl>
    <w:lvl w:ilvl="4" w:tplc="AE4E93C0" w:tentative="1">
      <w:start w:val="1"/>
      <w:numFmt w:val="bullet"/>
      <w:lvlText w:val="o"/>
      <w:lvlJc w:val="left"/>
      <w:pPr>
        <w:tabs>
          <w:tab w:val="num" w:pos="3600"/>
        </w:tabs>
        <w:ind w:left="3600" w:hanging="360"/>
      </w:pPr>
      <w:rPr>
        <w:rFonts w:ascii="Courier New" w:hAnsi="Courier New" w:cs="Courier New" w:hint="default"/>
      </w:rPr>
    </w:lvl>
    <w:lvl w:ilvl="5" w:tplc="D7E4E1EA" w:tentative="1">
      <w:start w:val="1"/>
      <w:numFmt w:val="bullet"/>
      <w:lvlText w:val=""/>
      <w:lvlJc w:val="left"/>
      <w:pPr>
        <w:tabs>
          <w:tab w:val="num" w:pos="4320"/>
        </w:tabs>
        <w:ind w:left="4320" w:hanging="360"/>
      </w:pPr>
      <w:rPr>
        <w:rFonts w:ascii="Wingdings" w:hAnsi="Wingdings" w:hint="default"/>
      </w:rPr>
    </w:lvl>
    <w:lvl w:ilvl="6" w:tplc="7B9CA81E" w:tentative="1">
      <w:start w:val="1"/>
      <w:numFmt w:val="bullet"/>
      <w:lvlText w:val=""/>
      <w:lvlJc w:val="left"/>
      <w:pPr>
        <w:tabs>
          <w:tab w:val="num" w:pos="5040"/>
        </w:tabs>
        <w:ind w:left="5040" w:hanging="360"/>
      </w:pPr>
      <w:rPr>
        <w:rFonts w:ascii="Symbol" w:hAnsi="Symbol" w:hint="default"/>
      </w:rPr>
    </w:lvl>
    <w:lvl w:ilvl="7" w:tplc="35F0997E" w:tentative="1">
      <w:start w:val="1"/>
      <w:numFmt w:val="bullet"/>
      <w:lvlText w:val="o"/>
      <w:lvlJc w:val="left"/>
      <w:pPr>
        <w:tabs>
          <w:tab w:val="num" w:pos="5760"/>
        </w:tabs>
        <w:ind w:left="5760" w:hanging="360"/>
      </w:pPr>
      <w:rPr>
        <w:rFonts w:ascii="Courier New" w:hAnsi="Courier New" w:cs="Courier New" w:hint="default"/>
      </w:rPr>
    </w:lvl>
    <w:lvl w:ilvl="8" w:tplc="15165DBC" w:tentative="1">
      <w:start w:val="1"/>
      <w:numFmt w:val="bullet"/>
      <w:lvlText w:val=""/>
      <w:lvlJc w:val="left"/>
      <w:pPr>
        <w:tabs>
          <w:tab w:val="num" w:pos="6480"/>
        </w:tabs>
        <w:ind w:left="6480" w:hanging="360"/>
      </w:pPr>
      <w:rPr>
        <w:rFonts w:ascii="Wingdings" w:hAnsi="Wingdings" w:hint="default"/>
      </w:rPr>
    </w:lvl>
  </w:abstractNum>
  <w:abstractNum w:abstractNumId="47">
    <w:nsid w:val="48440E3D"/>
    <w:multiLevelType w:val="hybridMultilevel"/>
    <w:tmpl w:val="070CD4FC"/>
    <w:lvl w:ilvl="0" w:tplc="F10CEAAE">
      <w:start w:val="1"/>
      <w:numFmt w:val="decimal"/>
      <w:lvlText w:val="%1."/>
      <w:lvlJc w:val="left"/>
      <w:pPr>
        <w:tabs>
          <w:tab w:val="num" w:pos="720"/>
        </w:tabs>
        <w:ind w:left="720" w:hanging="720"/>
      </w:pPr>
      <w:rPr>
        <w:rFonts w:hint="default"/>
        <w:b/>
        <w:i w:val="0"/>
        <w:color w:val="auto"/>
        <w:sz w:val="24"/>
      </w:rPr>
    </w:lvl>
    <w:lvl w:ilvl="1" w:tplc="0809000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8">
    <w:nsid w:val="497004C2"/>
    <w:multiLevelType w:val="hybridMultilevel"/>
    <w:tmpl w:val="D2DA7EAE"/>
    <w:lvl w:ilvl="0" w:tplc="08090001">
      <w:start w:val="12"/>
      <w:numFmt w:val="bullet"/>
      <w:lvlText w:val="-"/>
      <w:lvlJc w:val="left"/>
      <w:pPr>
        <w:tabs>
          <w:tab w:val="num" w:pos="1440"/>
        </w:tabs>
        <w:ind w:left="1440" w:hanging="360"/>
      </w:pPr>
      <w:rPr>
        <w:rFonts w:ascii="Arial" w:eastAsia="Times New Roman" w:hAnsi="Arial" w:cs="Arial" w:hint="default"/>
      </w:rPr>
    </w:lvl>
    <w:lvl w:ilvl="1" w:tplc="08090001"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9">
    <w:nsid w:val="4AF54D02"/>
    <w:multiLevelType w:val="hybridMultilevel"/>
    <w:tmpl w:val="05004F06"/>
    <w:lvl w:ilvl="0" w:tplc="6BBA1B18">
      <w:start w:val="1"/>
      <w:numFmt w:val="bullet"/>
      <w:lvlText w:val=""/>
      <w:lvlJc w:val="left"/>
      <w:pPr>
        <w:tabs>
          <w:tab w:val="num" w:pos="757"/>
        </w:tabs>
        <w:ind w:left="75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4E3D47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nsid w:val="4F581E77"/>
    <w:multiLevelType w:val="hybridMultilevel"/>
    <w:tmpl w:val="54FCD23E"/>
    <w:lvl w:ilvl="0" w:tplc="5BBA678E">
      <w:start w:val="1"/>
      <w:numFmt w:val="bullet"/>
      <w:lvlText w:val=""/>
      <w:lvlJc w:val="left"/>
      <w:pPr>
        <w:tabs>
          <w:tab w:val="num" w:pos="5220"/>
        </w:tabs>
        <w:ind w:left="5220" w:hanging="360"/>
      </w:pPr>
      <w:rPr>
        <w:rFonts w:ascii="Symbol" w:hAnsi="Symbol" w:hint="default"/>
      </w:rPr>
    </w:lvl>
    <w:lvl w:ilvl="1" w:tplc="4D90E7AC">
      <w:start w:val="1"/>
      <w:numFmt w:val="bullet"/>
      <w:lvlText w:val="o"/>
      <w:lvlJc w:val="left"/>
      <w:pPr>
        <w:tabs>
          <w:tab w:val="num" w:pos="1440"/>
        </w:tabs>
        <w:ind w:left="1440" w:hanging="360"/>
      </w:pPr>
      <w:rPr>
        <w:rFonts w:ascii="Courier New" w:hAnsi="Courier New" w:cs="Courier New" w:hint="default"/>
      </w:rPr>
    </w:lvl>
    <w:lvl w:ilvl="2" w:tplc="4724C59C" w:tentative="1">
      <w:start w:val="1"/>
      <w:numFmt w:val="bullet"/>
      <w:lvlText w:val=""/>
      <w:lvlJc w:val="left"/>
      <w:pPr>
        <w:tabs>
          <w:tab w:val="num" w:pos="2160"/>
        </w:tabs>
        <w:ind w:left="2160" w:hanging="360"/>
      </w:pPr>
      <w:rPr>
        <w:rFonts w:ascii="Wingdings" w:hAnsi="Wingdings" w:hint="default"/>
      </w:rPr>
    </w:lvl>
    <w:lvl w:ilvl="3" w:tplc="79AE63B6" w:tentative="1">
      <w:start w:val="1"/>
      <w:numFmt w:val="bullet"/>
      <w:lvlText w:val=""/>
      <w:lvlJc w:val="left"/>
      <w:pPr>
        <w:tabs>
          <w:tab w:val="num" w:pos="2880"/>
        </w:tabs>
        <w:ind w:left="2880" w:hanging="360"/>
      </w:pPr>
      <w:rPr>
        <w:rFonts w:ascii="Symbol" w:hAnsi="Symbol" w:hint="default"/>
      </w:rPr>
    </w:lvl>
    <w:lvl w:ilvl="4" w:tplc="B17A34BA" w:tentative="1">
      <w:start w:val="1"/>
      <w:numFmt w:val="bullet"/>
      <w:lvlText w:val="o"/>
      <w:lvlJc w:val="left"/>
      <w:pPr>
        <w:tabs>
          <w:tab w:val="num" w:pos="3600"/>
        </w:tabs>
        <w:ind w:left="3600" w:hanging="360"/>
      </w:pPr>
      <w:rPr>
        <w:rFonts w:ascii="Courier New" w:hAnsi="Courier New" w:cs="Courier New" w:hint="default"/>
      </w:rPr>
    </w:lvl>
    <w:lvl w:ilvl="5" w:tplc="3FA873FA" w:tentative="1">
      <w:start w:val="1"/>
      <w:numFmt w:val="bullet"/>
      <w:lvlText w:val=""/>
      <w:lvlJc w:val="left"/>
      <w:pPr>
        <w:tabs>
          <w:tab w:val="num" w:pos="4320"/>
        </w:tabs>
        <w:ind w:left="4320" w:hanging="360"/>
      </w:pPr>
      <w:rPr>
        <w:rFonts w:ascii="Wingdings" w:hAnsi="Wingdings" w:hint="default"/>
      </w:rPr>
    </w:lvl>
    <w:lvl w:ilvl="6" w:tplc="BFE897EA" w:tentative="1">
      <w:start w:val="1"/>
      <w:numFmt w:val="bullet"/>
      <w:lvlText w:val=""/>
      <w:lvlJc w:val="left"/>
      <w:pPr>
        <w:tabs>
          <w:tab w:val="num" w:pos="5040"/>
        </w:tabs>
        <w:ind w:left="5040" w:hanging="360"/>
      </w:pPr>
      <w:rPr>
        <w:rFonts w:ascii="Symbol" w:hAnsi="Symbol" w:hint="default"/>
      </w:rPr>
    </w:lvl>
    <w:lvl w:ilvl="7" w:tplc="6670401A" w:tentative="1">
      <w:start w:val="1"/>
      <w:numFmt w:val="bullet"/>
      <w:lvlText w:val="o"/>
      <w:lvlJc w:val="left"/>
      <w:pPr>
        <w:tabs>
          <w:tab w:val="num" w:pos="5760"/>
        </w:tabs>
        <w:ind w:left="5760" w:hanging="360"/>
      </w:pPr>
      <w:rPr>
        <w:rFonts w:ascii="Courier New" w:hAnsi="Courier New" w:cs="Courier New" w:hint="default"/>
      </w:rPr>
    </w:lvl>
    <w:lvl w:ilvl="8" w:tplc="70E80DBC" w:tentative="1">
      <w:start w:val="1"/>
      <w:numFmt w:val="bullet"/>
      <w:lvlText w:val=""/>
      <w:lvlJc w:val="left"/>
      <w:pPr>
        <w:tabs>
          <w:tab w:val="num" w:pos="6480"/>
        </w:tabs>
        <w:ind w:left="6480" w:hanging="360"/>
      </w:pPr>
      <w:rPr>
        <w:rFonts w:ascii="Wingdings" w:hAnsi="Wingdings" w:hint="default"/>
      </w:rPr>
    </w:lvl>
  </w:abstractNum>
  <w:abstractNum w:abstractNumId="52">
    <w:nsid w:val="50D83936"/>
    <w:multiLevelType w:val="hybridMultilevel"/>
    <w:tmpl w:val="2102ADC2"/>
    <w:lvl w:ilvl="0" w:tplc="77182F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4742E0B"/>
    <w:multiLevelType w:val="singleLevel"/>
    <w:tmpl w:val="74E28358"/>
    <w:lvl w:ilvl="0">
      <w:start w:val="2"/>
      <w:numFmt w:val="bullet"/>
      <w:lvlText w:val="-"/>
      <w:lvlJc w:val="left"/>
      <w:pPr>
        <w:ind w:left="720" w:hanging="360"/>
      </w:pPr>
      <w:rPr>
        <w:rFonts w:ascii="Times New Roman" w:hAnsi="Times New Roman" w:hint="default"/>
      </w:rPr>
    </w:lvl>
  </w:abstractNum>
  <w:abstractNum w:abstractNumId="54">
    <w:nsid w:val="57F102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nsid w:val="5BE64EA2"/>
    <w:multiLevelType w:val="hybridMultilevel"/>
    <w:tmpl w:val="B5DAE494"/>
    <w:lvl w:ilvl="0" w:tplc="115EC338">
      <w:start w:val="1"/>
      <w:numFmt w:val="bullet"/>
      <w:lvlText w:val=""/>
      <w:lvlJc w:val="left"/>
      <w:pPr>
        <w:ind w:left="1146" w:hanging="360"/>
      </w:pPr>
      <w:rPr>
        <w:rFonts w:ascii="Symbol" w:hAnsi="Symbol" w:hint="default"/>
      </w:rPr>
    </w:lvl>
    <w:lvl w:ilvl="1" w:tplc="B28E6504" w:tentative="1">
      <w:start w:val="1"/>
      <w:numFmt w:val="bullet"/>
      <w:lvlText w:val="o"/>
      <w:lvlJc w:val="left"/>
      <w:pPr>
        <w:ind w:left="1866" w:hanging="360"/>
      </w:pPr>
      <w:rPr>
        <w:rFonts w:ascii="Courier New" w:hAnsi="Courier New" w:cs="Courier New" w:hint="default"/>
      </w:rPr>
    </w:lvl>
    <w:lvl w:ilvl="2" w:tplc="E3607F54" w:tentative="1">
      <w:start w:val="1"/>
      <w:numFmt w:val="bullet"/>
      <w:lvlText w:val=""/>
      <w:lvlJc w:val="left"/>
      <w:pPr>
        <w:ind w:left="2586" w:hanging="360"/>
      </w:pPr>
      <w:rPr>
        <w:rFonts w:ascii="Wingdings" w:hAnsi="Wingdings" w:hint="default"/>
      </w:rPr>
    </w:lvl>
    <w:lvl w:ilvl="3" w:tplc="4EFC87BE" w:tentative="1">
      <w:start w:val="1"/>
      <w:numFmt w:val="bullet"/>
      <w:lvlText w:val=""/>
      <w:lvlJc w:val="left"/>
      <w:pPr>
        <w:ind w:left="3306" w:hanging="360"/>
      </w:pPr>
      <w:rPr>
        <w:rFonts w:ascii="Symbol" w:hAnsi="Symbol" w:hint="default"/>
      </w:rPr>
    </w:lvl>
    <w:lvl w:ilvl="4" w:tplc="1084FFC4" w:tentative="1">
      <w:start w:val="1"/>
      <w:numFmt w:val="bullet"/>
      <w:lvlText w:val="o"/>
      <w:lvlJc w:val="left"/>
      <w:pPr>
        <w:ind w:left="4026" w:hanging="360"/>
      </w:pPr>
      <w:rPr>
        <w:rFonts w:ascii="Courier New" w:hAnsi="Courier New" w:cs="Courier New" w:hint="default"/>
      </w:rPr>
    </w:lvl>
    <w:lvl w:ilvl="5" w:tplc="9376B998" w:tentative="1">
      <w:start w:val="1"/>
      <w:numFmt w:val="bullet"/>
      <w:lvlText w:val=""/>
      <w:lvlJc w:val="left"/>
      <w:pPr>
        <w:ind w:left="4746" w:hanging="360"/>
      </w:pPr>
      <w:rPr>
        <w:rFonts w:ascii="Wingdings" w:hAnsi="Wingdings" w:hint="default"/>
      </w:rPr>
    </w:lvl>
    <w:lvl w:ilvl="6" w:tplc="6A9A269A" w:tentative="1">
      <w:start w:val="1"/>
      <w:numFmt w:val="bullet"/>
      <w:lvlText w:val=""/>
      <w:lvlJc w:val="left"/>
      <w:pPr>
        <w:ind w:left="5466" w:hanging="360"/>
      </w:pPr>
      <w:rPr>
        <w:rFonts w:ascii="Symbol" w:hAnsi="Symbol" w:hint="default"/>
      </w:rPr>
    </w:lvl>
    <w:lvl w:ilvl="7" w:tplc="6EC4F6BA" w:tentative="1">
      <w:start w:val="1"/>
      <w:numFmt w:val="bullet"/>
      <w:lvlText w:val="o"/>
      <w:lvlJc w:val="left"/>
      <w:pPr>
        <w:ind w:left="6186" w:hanging="360"/>
      </w:pPr>
      <w:rPr>
        <w:rFonts w:ascii="Courier New" w:hAnsi="Courier New" w:cs="Courier New" w:hint="default"/>
      </w:rPr>
    </w:lvl>
    <w:lvl w:ilvl="8" w:tplc="C22C8DFE" w:tentative="1">
      <w:start w:val="1"/>
      <w:numFmt w:val="bullet"/>
      <w:lvlText w:val=""/>
      <w:lvlJc w:val="left"/>
      <w:pPr>
        <w:ind w:left="6906" w:hanging="360"/>
      </w:pPr>
      <w:rPr>
        <w:rFonts w:ascii="Wingdings" w:hAnsi="Wingdings" w:hint="default"/>
      </w:rPr>
    </w:lvl>
  </w:abstractNum>
  <w:abstractNum w:abstractNumId="56">
    <w:nsid w:val="5DA124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nsid w:val="5DD915D6"/>
    <w:multiLevelType w:val="singleLevel"/>
    <w:tmpl w:val="77182FF4"/>
    <w:lvl w:ilvl="0">
      <w:start w:val="1"/>
      <w:numFmt w:val="bullet"/>
      <w:lvlText w:val=""/>
      <w:lvlJc w:val="left"/>
      <w:pPr>
        <w:tabs>
          <w:tab w:val="num" w:pos="360"/>
        </w:tabs>
        <w:ind w:left="360" w:hanging="360"/>
      </w:pPr>
      <w:rPr>
        <w:rFonts w:ascii="Symbol" w:hAnsi="Symbol" w:hint="default"/>
        <w:sz w:val="20"/>
      </w:rPr>
    </w:lvl>
  </w:abstractNum>
  <w:abstractNum w:abstractNumId="58">
    <w:nsid w:val="66621203"/>
    <w:multiLevelType w:val="hybridMultilevel"/>
    <w:tmpl w:val="45706A08"/>
    <w:lvl w:ilvl="0" w:tplc="C2887F20">
      <w:start w:val="1"/>
      <w:numFmt w:val="lowerRoman"/>
      <w:lvlText w:val="%1."/>
      <w:lvlJc w:val="right"/>
      <w:pPr>
        <w:ind w:left="927" w:hanging="360"/>
      </w:pPr>
    </w:lvl>
    <w:lvl w:ilvl="1" w:tplc="84D6A620" w:tentative="1">
      <w:start w:val="1"/>
      <w:numFmt w:val="lowerLetter"/>
      <w:lvlText w:val="%2."/>
      <w:lvlJc w:val="left"/>
      <w:pPr>
        <w:ind w:left="1647" w:hanging="360"/>
      </w:pPr>
    </w:lvl>
    <w:lvl w:ilvl="2" w:tplc="C4E8ADD8" w:tentative="1">
      <w:start w:val="1"/>
      <w:numFmt w:val="lowerRoman"/>
      <w:lvlText w:val="%3."/>
      <w:lvlJc w:val="right"/>
      <w:pPr>
        <w:ind w:left="2367" w:hanging="180"/>
      </w:pPr>
    </w:lvl>
    <w:lvl w:ilvl="3" w:tplc="AA4E1C20" w:tentative="1">
      <w:start w:val="1"/>
      <w:numFmt w:val="decimal"/>
      <w:lvlText w:val="%4."/>
      <w:lvlJc w:val="left"/>
      <w:pPr>
        <w:ind w:left="3087" w:hanging="360"/>
      </w:pPr>
    </w:lvl>
    <w:lvl w:ilvl="4" w:tplc="37260848" w:tentative="1">
      <w:start w:val="1"/>
      <w:numFmt w:val="lowerLetter"/>
      <w:lvlText w:val="%5."/>
      <w:lvlJc w:val="left"/>
      <w:pPr>
        <w:ind w:left="3807" w:hanging="360"/>
      </w:pPr>
    </w:lvl>
    <w:lvl w:ilvl="5" w:tplc="32CC4A64" w:tentative="1">
      <w:start w:val="1"/>
      <w:numFmt w:val="lowerRoman"/>
      <w:lvlText w:val="%6."/>
      <w:lvlJc w:val="right"/>
      <w:pPr>
        <w:ind w:left="4527" w:hanging="180"/>
      </w:pPr>
    </w:lvl>
    <w:lvl w:ilvl="6" w:tplc="33B8878C" w:tentative="1">
      <w:start w:val="1"/>
      <w:numFmt w:val="decimal"/>
      <w:lvlText w:val="%7."/>
      <w:lvlJc w:val="left"/>
      <w:pPr>
        <w:ind w:left="5247" w:hanging="360"/>
      </w:pPr>
    </w:lvl>
    <w:lvl w:ilvl="7" w:tplc="88BC0BC4" w:tentative="1">
      <w:start w:val="1"/>
      <w:numFmt w:val="lowerLetter"/>
      <w:lvlText w:val="%8."/>
      <w:lvlJc w:val="left"/>
      <w:pPr>
        <w:ind w:left="5967" w:hanging="360"/>
      </w:pPr>
    </w:lvl>
    <w:lvl w:ilvl="8" w:tplc="D0A0319E" w:tentative="1">
      <w:start w:val="1"/>
      <w:numFmt w:val="lowerRoman"/>
      <w:lvlText w:val="%9."/>
      <w:lvlJc w:val="right"/>
      <w:pPr>
        <w:ind w:left="6687" w:hanging="180"/>
      </w:pPr>
    </w:lvl>
  </w:abstractNum>
  <w:abstractNum w:abstractNumId="59">
    <w:nsid w:val="688C06B5"/>
    <w:multiLevelType w:val="hybridMultilevel"/>
    <w:tmpl w:val="F066356A"/>
    <w:lvl w:ilvl="0" w:tplc="0809001B">
      <w:start w:val="1"/>
      <w:numFmt w:val="bullet"/>
      <w:lvlText w:val=""/>
      <w:lvlJc w:val="left"/>
      <w:pPr>
        <w:tabs>
          <w:tab w:val="num" w:pos="1080"/>
        </w:tabs>
        <w:ind w:left="1080" w:hanging="360"/>
      </w:pPr>
      <w:rPr>
        <w:rFonts w:ascii="Symbol" w:hAnsi="Symbol" w:hint="default"/>
      </w:rPr>
    </w:lvl>
    <w:lvl w:ilvl="1" w:tplc="08090019" w:tentative="1">
      <w:start w:val="1"/>
      <w:numFmt w:val="bullet"/>
      <w:lvlText w:val="o"/>
      <w:lvlJc w:val="left"/>
      <w:pPr>
        <w:tabs>
          <w:tab w:val="num" w:pos="1800"/>
        </w:tabs>
        <w:ind w:left="1800" w:hanging="360"/>
      </w:pPr>
      <w:rPr>
        <w:rFonts w:ascii="Courier New" w:hAnsi="Courier New" w:cs="Courier New" w:hint="default"/>
      </w:rPr>
    </w:lvl>
    <w:lvl w:ilvl="2" w:tplc="0809001B" w:tentative="1">
      <w:start w:val="1"/>
      <w:numFmt w:val="bullet"/>
      <w:lvlText w:val=""/>
      <w:lvlJc w:val="left"/>
      <w:pPr>
        <w:tabs>
          <w:tab w:val="num" w:pos="2520"/>
        </w:tabs>
        <w:ind w:left="2520" w:hanging="360"/>
      </w:pPr>
      <w:rPr>
        <w:rFonts w:ascii="Wingdings" w:hAnsi="Wingdings" w:hint="default"/>
      </w:rPr>
    </w:lvl>
    <w:lvl w:ilvl="3" w:tplc="0809000F" w:tentative="1">
      <w:start w:val="1"/>
      <w:numFmt w:val="bullet"/>
      <w:lvlText w:val=""/>
      <w:lvlJc w:val="left"/>
      <w:pPr>
        <w:tabs>
          <w:tab w:val="num" w:pos="3240"/>
        </w:tabs>
        <w:ind w:left="3240" w:hanging="360"/>
      </w:pPr>
      <w:rPr>
        <w:rFonts w:ascii="Symbol" w:hAnsi="Symbol" w:hint="default"/>
      </w:rPr>
    </w:lvl>
    <w:lvl w:ilvl="4" w:tplc="08090019" w:tentative="1">
      <w:start w:val="1"/>
      <w:numFmt w:val="bullet"/>
      <w:lvlText w:val="o"/>
      <w:lvlJc w:val="left"/>
      <w:pPr>
        <w:tabs>
          <w:tab w:val="num" w:pos="3960"/>
        </w:tabs>
        <w:ind w:left="3960" w:hanging="360"/>
      </w:pPr>
      <w:rPr>
        <w:rFonts w:ascii="Courier New" w:hAnsi="Courier New" w:cs="Courier New" w:hint="default"/>
      </w:rPr>
    </w:lvl>
    <w:lvl w:ilvl="5" w:tplc="0809001B" w:tentative="1">
      <w:start w:val="1"/>
      <w:numFmt w:val="bullet"/>
      <w:lvlText w:val=""/>
      <w:lvlJc w:val="left"/>
      <w:pPr>
        <w:tabs>
          <w:tab w:val="num" w:pos="4680"/>
        </w:tabs>
        <w:ind w:left="4680" w:hanging="360"/>
      </w:pPr>
      <w:rPr>
        <w:rFonts w:ascii="Wingdings" w:hAnsi="Wingdings" w:hint="default"/>
      </w:rPr>
    </w:lvl>
    <w:lvl w:ilvl="6" w:tplc="0809000F" w:tentative="1">
      <w:start w:val="1"/>
      <w:numFmt w:val="bullet"/>
      <w:lvlText w:val=""/>
      <w:lvlJc w:val="left"/>
      <w:pPr>
        <w:tabs>
          <w:tab w:val="num" w:pos="5400"/>
        </w:tabs>
        <w:ind w:left="5400" w:hanging="360"/>
      </w:pPr>
      <w:rPr>
        <w:rFonts w:ascii="Symbol" w:hAnsi="Symbol" w:hint="default"/>
      </w:rPr>
    </w:lvl>
    <w:lvl w:ilvl="7" w:tplc="08090019" w:tentative="1">
      <w:start w:val="1"/>
      <w:numFmt w:val="bullet"/>
      <w:lvlText w:val="o"/>
      <w:lvlJc w:val="left"/>
      <w:pPr>
        <w:tabs>
          <w:tab w:val="num" w:pos="6120"/>
        </w:tabs>
        <w:ind w:left="6120" w:hanging="360"/>
      </w:pPr>
      <w:rPr>
        <w:rFonts w:ascii="Courier New" w:hAnsi="Courier New" w:cs="Courier New" w:hint="default"/>
      </w:rPr>
    </w:lvl>
    <w:lvl w:ilvl="8" w:tplc="0809001B" w:tentative="1">
      <w:start w:val="1"/>
      <w:numFmt w:val="bullet"/>
      <w:lvlText w:val=""/>
      <w:lvlJc w:val="left"/>
      <w:pPr>
        <w:tabs>
          <w:tab w:val="num" w:pos="6840"/>
        </w:tabs>
        <w:ind w:left="6840" w:hanging="360"/>
      </w:pPr>
      <w:rPr>
        <w:rFonts w:ascii="Wingdings" w:hAnsi="Wingdings" w:hint="default"/>
      </w:rPr>
    </w:lvl>
  </w:abstractNum>
  <w:abstractNum w:abstractNumId="60">
    <w:nsid w:val="6D17550A"/>
    <w:multiLevelType w:val="singleLevel"/>
    <w:tmpl w:val="77182FF4"/>
    <w:lvl w:ilvl="0">
      <w:start w:val="1"/>
      <w:numFmt w:val="bullet"/>
      <w:lvlText w:val=""/>
      <w:lvlJc w:val="left"/>
      <w:pPr>
        <w:tabs>
          <w:tab w:val="num" w:pos="360"/>
        </w:tabs>
        <w:ind w:left="360" w:hanging="360"/>
      </w:pPr>
      <w:rPr>
        <w:rFonts w:ascii="Symbol" w:hAnsi="Symbol" w:hint="default"/>
        <w:sz w:val="20"/>
      </w:rPr>
    </w:lvl>
  </w:abstractNum>
  <w:abstractNum w:abstractNumId="61">
    <w:nsid w:val="717970F6"/>
    <w:multiLevelType w:val="hybridMultilevel"/>
    <w:tmpl w:val="BB6EFE48"/>
    <w:lvl w:ilvl="0" w:tplc="A3C2B45E">
      <w:start w:val="1"/>
      <w:numFmt w:val="bullet"/>
      <w:lvlText w:val=""/>
      <w:lvlJc w:val="left"/>
      <w:pPr>
        <w:ind w:left="1260" w:hanging="360"/>
      </w:pPr>
      <w:rPr>
        <w:rFonts w:ascii="Symbol" w:hAnsi="Symbol" w:hint="default"/>
      </w:rPr>
    </w:lvl>
    <w:lvl w:ilvl="1" w:tplc="1E2244FE" w:tentative="1">
      <w:start w:val="1"/>
      <w:numFmt w:val="bullet"/>
      <w:lvlText w:val="o"/>
      <w:lvlJc w:val="left"/>
      <w:pPr>
        <w:ind w:left="1980" w:hanging="360"/>
      </w:pPr>
      <w:rPr>
        <w:rFonts w:ascii="Courier New" w:hAnsi="Courier New" w:cs="Courier New" w:hint="default"/>
      </w:rPr>
    </w:lvl>
    <w:lvl w:ilvl="2" w:tplc="3CDC24FE" w:tentative="1">
      <w:start w:val="1"/>
      <w:numFmt w:val="bullet"/>
      <w:lvlText w:val=""/>
      <w:lvlJc w:val="left"/>
      <w:pPr>
        <w:ind w:left="2700" w:hanging="360"/>
      </w:pPr>
      <w:rPr>
        <w:rFonts w:ascii="Wingdings" w:hAnsi="Wingdings" w:hint="default"/>
      </w:rPr>
    </w:lvl>
    <w:lvl w:ilvl="3" w:tplc="A16AEF04" w:tentative="1">
      <w:start w:val="1"/>
      <w:numFmt w:val="bullet"/>
      <w:lvlText w:val=""/>
      <w:lvlJc w:val="left"/>
      <w:pPr>
        <w:ind w:left="3420" w:hanging="360"/>
      </w:pPr>
      <w:rPr>
        <w:rFonts w:ascii="Symbol" w:hAnsi="Symbol" w:hint="default"/>
      </w:rPr>
    </w:lvl>
    <w:lvl w:ilvl="4" w:tplc="0C209CD4" w:tentative="1">
      <w:start w:val="1"/>
      <w:numFmt w:val="bullet"/>
      <w:lvlText w:val="o"/>
      <w:lvlJc w:val="left"/>
      <w:pPr>
        <w:ind w:left="4140" w:hanging="360"/>
      </w:pPr>
      <w:rPr>
        <w:rFonts w:ascii="Courier New" w:hAnsi="Courier New" w:cs="Courier New" w:hint="default"/>
      </w:rPr>
    </w:lvl>
    <w:lvl w:ilvl="5" w:tplc="E5EE9E60" w:tentative="1">
      <w:start w:val="1"/>
      <w:numFmt w:val="bullet"/>
      <w:lvlText w:val=""/>
      <w:lvlJc w:val="left"/>
      <w:pPr>
        <w:ind w:left="4860" w:hanging="360"/>
      </w:pPr>
      <w:rPr>
        <w:rFonts w:ascii="Wingdings" w:hAnsi="Wingdings" w:hint="default"/>
      </w:rPr>
    </w:lvl>
    <w:lvl w:ilvl="6" w:tplc="77404718" w:tentative="1">
      <w:start w:val="1"/>
      <w:numFmt w:val="bullet"/>
      <w:lvlText w:val=""/>
      <w:lvlJc w:val="left"/>
      <w:pPr>
        <w:ind w:left="5580" w:hanging="360"/>
      </w:pPr>
      <w:rPr>
        <w:rFonts w:ascii="Symbol" w:hAnsi="Symbol" w:hint="default"/>
      </w:rPr>
    </w:lvl>
    <w:lvl w:ilvl="7" w:tplc="F9FA89F8" w:tentative="1">
      <w:start w:val="1"/>
      <w:numFmt w:val="bullet"/>
      <w:lvlText w:val="o"/>
      <w:lvlJc w:val="left"/>
      <w:pPr>
        <w:ind w:left="6300" w:hanging="360"/>
      </w:pPr>
      <w:rPr>
        <w:rFonts w:ascii="Courier New" w:hAnsi="Courier New" w:cs="Courier New" w:hint="default"/>
      </w:rPr>
    </w:lvl>
    <w:lvl w:ilvl="8" w:tplc="82EE59CA" w:tentative="1">
      <w:start w:val="1"/>
      <w:numFmt w:val="bullet"/>
      <w:lvlText w:val=""/>
      <w:lvlJc w:val="left"/>
      <w:pPr>
        <w:ind w:left="7020" w:hanging="360"/>
      </w:pPr>
      <w:rPr>
        <w:rFonts w:ascii="Wingdings" w:hAnsi="Wingdings" w:hint="default"/>
      </w:rPr>
    </w:lvl>
  </w:abstractNum>
  <w:abstractNum w:abstractNumId="62">
    <w:nsid w:val="71965AAA"/>
    <w:multiLevelType w:val="hybridMultilevel"/>
    <w:tmpl w:val="D946FE64"/>
    <w:lvl w:ilvl="0" w:tplc="24FA06FE">
      <w:start w:val="1"/>
      <w:numFmt w:val="bullet"/>
      <w:lvlText w:val=""/>
      <w:lvlJc w:val="left"/>
      <w:pPr>
        <w:ind w:left="720" w:hanging="360"/>
      </w:pPr>
      <w:rPr>
        <w:rFonts w:ascii="Symbol" w:hAnsi="Symbol" w:hint="default"/>
      </w:rPr>
    </w:lvl>
    <w:lvl w:ilvl="1" w:tplc="965858CE" w:tentative="1">
      <w:start w:val="1"/>
      <w:numFmt w:val="bullet"/>
      <w:lvlText w:val="o"/>
      <w:lvlJc w:val="left"/>
      <w:pPr>
        <w:ind w:left="1440" w:hanging="360"/>
      </w:pPr>
      <w:rPr>
        <w:rFonts w:ascii="Courier New" w:hAnsi="Courier New" w:cs="Courier New" w:hint="default"/>
      </w:rPr>
    </w:lvl>
    <w:lvl w:ilvl="2" w:tplc="3BAC9ABA" w:tentative="1">
      <w:start w:val="1"/>
      <w:numFmt w:val="bullet"/>
      <w:lvlText w:val=""/>
      <w:lvlJc w:val="left"/>
      <w:pPr>
        <w:ind w:left="2160" w:hanging="360"/>
      </w:pPr>
      <w:rPr>
        <w:rFonts w:ascii="Wingdings" w:hAnsi="Wingdings" w:hint="default"/>
      </w:rPr>
    </w:lvl>
    <w:lvl w:ilvl="3" w:tplc="396AF122" w:tentative="1">
      <w:start w:val="1"/>
      <w:numFmt w:val="bullet"/>
      <w:lvlText w:val=""/>
      <w:lvlJc w:val="left"/>
      <w:pPr>
        <w:ind w:left="2880" w:hanging="360"/>
      </w:pPr>
      <w:rPr>
        <w:rFonts w:ascii="Symbol" w:hAnsi="Symbol" w:hint="default"/>
      </w:rPr>
    </w:lvl>
    <w:lvl w:ilvl="4" w:tplc="33CA4786" w:tentative="1">
      <w:start w:val="1"/>
      <w:numFmt w:val="bullet"/>
      <w:lvlText w:val="o"/>
      <w:lvlJc w:val="left"/>
      <w:pPr>
        <w:ind w:left="3600" w:hanging="360"/>
      </w:pPr>
      <w:rPr>
        <w:rFonts w:ascii="Courier New" w:hAnsi="Courier New" w:cs="Courier New" w:hint="default"/>
      </w:rPr>
    </w:lvl>
    <w:lvl w:ilvl="5" w:tplc="4DDC5F14" w:tentative="1">
      <w:start w:val="1"/>
      <w:numFmt w:val="bullet"/>
      <w:lvlText w:val=""/>
      <w:lvlJc w:val="left"/>
      <w:pPr>
        <w:ind w:left="4320" w:hanging="360"/>
      </w:pPr>
      <w:rPr>
        <w:rFonts w:ascii="Wingdings" w:hAnsi="Wingdings" w:hint="default"/>
      </w:rPr>
    </w:lvl>
    <w:lvl w:ilvl="6" w:tplc="F46422DA" w:tentative="1">
      <w:start w:val="1"/>
      <w:numFmt w:val="bullet"/>
      <w:lvlText w:val=""/>
      <w:lvlJc w:val="left"/>
      <w:pPr>
        <w:ind w:left="5040" w:hanging="360"/>
      </w:pPr>
      <w:rPr>
        <w:rFonts w:ascii="Symbol" w:hAnsi="Symbol" w:hint="default"/>
      </w:rPr>
    </w:lvl>
    <w:lvl w:ilvl="7" w:tplc="5D90C5BE" w:tentative="1">
      <w:start w:val="1"/>
      <w:numFmt w:val="bullet"/>
      <w:lvlText w:val="o"/>
      <w:lvlJc w:val="left"/>
      <w:pPr>
        <w:ind w:left="5760" w:hanging="360"/>
      </w:pPr>
      <w:rPr>
        <w:rFonts w:ascii="Courier New" w:hAnsi="Courier New" w:cs="Courier New" w:hint="default"/>
      </w:rPr>
    </w:lvl>
    <w:lvl w:ilvl="8" w:tplc="A12EF34E" w:tentative="1">
      <w:start w:val="1"/>
      <w:numFmt w:val="bullet"/>
      <w:lvlText w:val=""/>
      <w:lvlJc w:val="left"/>
      <w:pPr>
        <w:ind w:left="6480" w:hanging="360"/>
      </w:pPr>
      <w:rPr>
        <w:rFonts w:ascii="Wingdings" w:hAnsi="Wingdings" w:hint="default"/>
      </w:rPr>
    </w:lvl>
  </w:abstractNum>
  <w:abstractNum w:abstractNumId="63">
    <w:nsid w:val="73F60870"/>
    <w:multiLevelType w:val="hybridMultilevel"/>
    <w:tmpl w:val="E190DA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4">
    <w:nsid w:val="74535A8A"/>
    <w:multiLevelType w:val="hybridMultilevel"/>
    <w:tmpl w:val="2B3E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7EA21C3"/>
    <w:multiLevelType w:val="hybridMultilevel"/>
    <w:tmpl w:val="D71042E6"/>
    <w:lvl w:ilvl="0" w:tplc="08090001">
      <w:start w:val="1"/>
      <w:numFmt w:val="lowerLetter"/>
      <w:lvlText w:val="(%1)"/>
      <w:lvlJc w:val="left"/>
      <w:pPr>
        <w:tabs>
          <w:tab w:val="num" w:pos="1440"/>
        </w:tabs>
        <w:ind w:left="1440" w:hanging="360"/>
      </w:pPr>
      <w:rPr>
        <w:rFonts w:hint="default"/>
      </w:rPr>
    </w:lvl>
    <w:lvl w:ilvl="1" w:tplc="08090003" w:tentative="1">
      <w:start w:val="1"/>
      <w:numFmt w:val="lowerLetter"/>
      <w:lvlText w:val="%2."/>
      <w:lvlJc w:val="left"/>
      <w:pPr>
        <w:tabs>
          <w:tab w:val="num" w:pos="2160"/>
        </w:tabs>
        <w:ind w:left="2160" w:hanging="360"/>
      </w:pPr>
    </w:lvl>
    <w:lvl w:ilvl="2" w:tplc="08090005" w:tentative="1">
      <w:start w:val="1"/>
      <w:numFmt w:val="lowerRoman"/>
      <w:lvlText w:val="%3."/>
      <w:lvlJc w:val="right"/>
      <w:pPr>
        <w:tabs>
          <w:tab w:val="num" w:pos="2880"/>
        </w:tabs>
        <w:ind w:left="2880" w:hanging="180"/>
      </w:pPr>
    </w:lvl>
    <w:lvl w:ilvl="3" w:tplc="08090001" w:tentative="1">
      <w:start w:val="1"/>
      <w:numFmt w:val="decimal"/>
      <w:lvlText w:val="%4."/>
      <w:lvlJc w:val="left"/>
      <w:pPr>
        <w:tabs>
          <w:tab w:val="num" w:pos="3600"/>
        </w:tabs>
        <w:ind w:left="3600" w:hanging="360"/>
      </w:pPr>
    </w:lvl>
    <w:lvl w:ilvl="4" w:tplc="08090003" w:tentative="1">
      <w:start w:val="1"/>
      <w:numFmt w:val="lowerLetter"/>
      <w:lvlText w:val="%5."/>
      <w:lvlJc w:val="left"/>
      <w:pPr>
        <w:tabs>
          <w:tab w:val="num" w:pos="4320"/>
        </w:tabs>
        <w:ind w:left="4320" w:hanging="360"/>
      </w:pPr>
    </w:lvl>
    <w:lvl w:ilvl="5" w:tplc="08090005" w:tentative="1">
      <w:start w:val="1"/>
      <w:numFmt w:val="lowerRoman"/>
      <w:lvlText w:val="%6."/>
      <w:lvlJc w:val="right"/>
      <w:pPr>
        <w:tabs>
          <w:tab w:val="num" w:pos="5040"/>
        </w:tabs>
        <w:ind w:left="5040" w:hanging="180"/>
      </w:pPr>
    </w:lvl>
    <w:lvl w:ilvl="6" w:tplc="08090001" w:tentative="1">
      <w:start w:val="1"/>
      <w:numFmt w:val="decimal"/>
      <w:lvlText w:val="%7."/>
      <w:lvlJc w:val="left"/>
      <w:pPr>
        <w:tabs>
          <w:tab w:val="num" w:pos="5760"/>
        </w:tabs>
        <w:ind w:left="5760" w:hanging="360"/>
      </w:pPr>
    </w:lvl>
    <w:lvl w:ilvl="7" w:tplc="08090003" w:tentative="1">
      <w:start w:val="1"/>
      <w:numFmt w:val="lowerLetter"/>
      <w:lvlText w:val="%8."/>
      <w:lvlJc w:val="left"/>
      <w:pPr>
        <w:tabs>
          <w:tab w:val="num" w:pos="6480"/>
        </w:tabs>
        <w:ind w:left="6480" w:hanging="360"/>
      </w:pPr>
    </w:lvl>
    <w:lvl w:ilvl="8" w:tplc="08090005" w:tentative="1">
      <w:start w:val="1"/>
      <w:numFmt w:val="lowerRoman"/>
      <w:lvlText w:val="%9."/>
      <w:lvlJc w:val="right"/>
      <w:pPr>
        <w:tabs>
          <w:tab w:val="num" w:pos="7200"/>
        </w:tabs>
        <w:ind w:left="7200" w:hanging="180"/>
      </w:pPr>
    </w:lvl>
  </w:abstractNum>
  <w:abstractNum w:abstractNumId="66">
    <w:nsid w:val="7CFB7B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nsid w:val="7E1C5C54"/>
    <w:multiLevelType w:val="hybridMultilevel"/>
    <w:tmpl w:val="84A2A736"/>
    <w:lvl w:ilvl="0" w:tplc="1D5A449A">
      <w:start w:val="1"/>
      <w:numFmt w:val="bullet"/>
      <w:lvlText w:val=""/>
      <w:lvlJc w:val="left"/>
      <w:pPr>
        <w:tabs>
          <w:tab w:val="num" w:pos="1440"/>
        </w:tabs>
        <w:ind w:left="1440" w:hanging="360"/>
      </w:pPr>
      <w:rPr>
        <w:rFonts w:ascii="Symbol" w:hAnsi="Symbol" w:hint="default"/>
      </w:rPr>
    </w:lvl>
    <w:lvl w:ilvl="1" w:tplc="3A28A1D6" w:tentative="1">
      <w:start w:val="1"/>
      <w:numFmt w:val="bullet"/>
      <w:lvlText w:val="o"/>
      <w:lvlJc w:val="left"/>
      <w:pPr>
        <w:tabs>
          <w:tab w:val="num" w:pos="2160"/>
        </w:tabs>
        <w:ind w:left="2160" w:hanging="360"/>
      </w:pPr>
      <w:rPr>
        <w:rFonts w:ascii="Courier New" w:hAnsi="Courier New" w:cs="Courier New" w:hint="default"/>
      </w:rPr>
    </w:lvl>
    <w:lvl w:ilvl="2" w:tplc="11CE6750" w:tentative="1">
      <w:start w:val="1"/>
      <w:numFmt w:val="bullet"/>
      <w:lvlText w:val=""/>
      <w:lvlJc w:val="left"/>
      <w:pPr>
        <w:tabs>
          <w:tab w:val="num" w:pos="2880"/>
        </w:tabs>
        <w:ind w:left="2880" w:hanging="360"/>
      </w:pPr>
      <w:rPr>
        <w:rFonts w:ascii="Wingdings" w:hAnsi="Wingdings" w:hint="default"/>
      </w:rPr>
    </w:lvl>
    <w:lvl w:ilvl="3" w:tplc="EA461E2E" w:tentative="1">
      <w:start w:val="1"/>
      <w:numFmt w:val="bullet"/>
      <w:lvlText w:val=""/>
      <w:lvlJc w:val="left"/>
      <w:pPr>
        <w:tabs>
          <w:tab w:val="num" w:pos="3600"/>
        </w:tabs>
        <w:ind w:left="3600" w:hanging="360"/>
      </w:pPr>
      <w:rPr>
        <w:rFonts w:ascii="Symbol" w:hAnsi="Symbol" w:hint="default"/>
      </w:rPr>
    </w:lvl>
    <w:lvl w:ilvl="4" w:tplc="1C9CF508" w:tentative="1">
      <w:start w:val="1"/>
      <w:numFmt w:val="bullet"/>
      <w:lvlText w:val="o"/>
      <w:lvlJc w:val="left"/>
      <w:pPr>
        <w:tabs>
          <w:tab w:val="num" w:pos="4320"/>
        </w:tabs>
        <w:ind w:left="4320" w:hanging="360"/>
      </w:pPr>
      <w:rPr>
        <w:rFonts w:ascii="Courier New" w:hAnsi="Courier New" w:cs="Courier New" w:hint="default"/>
      </w:rPr>
    </w:lvl>
    <w:lvl w:ilvl="5" w:tplc="FB1022E6" w:tentative="1">
      <w:start w:val="1"/>
      <w:numFmt w:val="bullet"/>
      <w:lvlText w:val=""/>
      <w:lvlJc w:val="left"/>
      <w:pPr>
        <w:tabs>
          <w:tab w:val="num" w:pos="5040"/>
        </w:tabs>
        <w:ind w:left="5040" w:hanging="360"/>
      </w:pPr>
      <w:rPr>
        <w:rFonts w:ascii="Wingdings" w:hAnsi="Wingdings" w:hint="default"/>
      </w:rPr>
    </w:lvl>
    <w:lvl w:ilvl="6" w:tplc="20E2E504" w:tentative="1">
      <w:start w:val="1"/>
      <w:numFmt w:val="bullet"/>
      <w:lvlText w:val=""/>
      <w:lvlJc w:val="left"/>
      <w:pPr>
        <w:tabs>
          <w:tab w:val="num" w:pos="5760"/>
        </w:tabs>
        <w:ind w:left="5760" w:hanging="360"/>
      </w:pPr>
      <w:rPr>
        <w:rFonts w:ascii="Symbol" w:hAnsi="Symbol" w:hint="default"/>
      </w:rPr>
    </w:lvl>
    <w:lvl w:ilvl="7" w:tplc="759C57E6" w:tentative="1">
      <w:start w:val="1"/>
      <w:numFmt w:val="bullet"/>
      <w:lvlText w:val="o"/>
      <w:lvlJc w:val="left"/>
      <w:pPr>
        <w:tabs>
          <w:tab w:val="num" w:pos="6480"/>
        </w:tabs>
        <w:ind w:left="6480" w:hanging="360"/>
      </w:pPr>
      <w:rPr>
        <w:rFonts w:ascii="Courier New" w:hAnsi="Courier New" w:cs="Courier New" w:hint="default"/>
      </w:rPr>
    </w:lvl>
    <w:lvl w:ilvl="8" w:tplc="755CD7CA" w:tentative="1">
      <w:start w:val="1"/>
      <w:numFmt w:val="bullet"/>
      <w:lvlText w:val=""/>
      <w:lvlJc w:val="left"/>
      <w:pPr>
        <w:tabs>
          <w:tab w:val="num" w:pos="7200"/>
        </w:tabs>
        <w:ind w:left="7200" w:hanging="360"/>
      </w:pPr>
      <w:rPr>
        <w:rFonts w:ascii="Wingdings" w:hAnsi="Wingdings" w:hint="default"/>
      </w:rPr>
    </w:lvl>
  </w:abstractNum>
  <w:abstractNum w:abstractNumId="68">
    <w:nsid w:val="7F720237"/>
    <w:multiLevelType w:val="hybridMultilevel"/>
    <w:tmpl w:val="6D2C9AF6"/>
    <w:lvl w:ilvl="0" w:tplc="21B45920">
      <w:start w:val="1"/>
      <w:numFmt w:val="bullet"/>
      <w:lvlText w:val=""/>
      <w:lvlJc w:val="left"/>
      <w:pPr>
        <w:tabs>
          <w:tab w:val="num" w:pos="1455"/>
        </w:tabs>
        <w:ind w:left="1455" w:hanging="360"/>
      </w:pPr>
      <w:rPr>
        <w:rFonts w:ascii="Symbol" w:hAnsi="Symbol" w:hint="default"/>
      </w:rPr>
    </w:lvl>
    <w:lvl w:ilvl="1" w:tplc="B9522A8C" w:tentative="1">
      <w:start w:val="1"/>
      <w:numFmt w:val="bullet"/>
      <w:lvlText w:val="o"/>
      <w:lvlJc w:val="left"/>
      <w:pPr>
        <w:tabs>
          <w:tab w:val="num" w:pos="2175"/>
        </w:tabs>
        <w:ind w:left="2175" w:hanging="360"/>
      </w:pPr>
      <w:rPr>
        <w:rFonts w:ascii="Courier New" w:hAnsi="Courier New" w:cs="Courier New" w:hint="default"/>
      </w:rPr>
    </w:lvl>
    <w:lvl w:ilvl="2" w:tplc="887457B0" w:tentative="1">
      <w:start w:val="1"/>
      <w:numFmt w:val="bullet"/>
      <w:lvlText w:val=""/>
      <w:lvlJc w:val="left"/>
      <w:pPr>
        <w:tabs>
          <w:tab w:val="num" w:pos="2895"/>
        </w:tabs>
        <w:ind w:left="2895" w:hanging="360"/>
      </w:pPr>
      <w:rPr>
        <w:rFonts w:ascii="Wingdings" w:hAnsi="Wingdings" w:hint="default"/>
      </w:rPr>
    </w:lvl>
    <w:lvl w:ilvl="3" w:tplc="5BD0B0B8" w:tentative="1">
      <w:start w:val="1"/>
      <w:numFmt w:val="bullet"/>
      <w:lvlText w:val=""/>
      <w:lvlJc w:val="left"/>
      <w:pPr>
        <w:tabs>
          <w:tab w:val="num" w:pos="3615"/>
        </w:tabs>
        <w:ind w:left="3615" w:hanging="360"/>
      </w:pPr>
      <w:rPr>
        <w:rFonts w:ascii="Symbol" w:hAnsi="Symbol" w:hint="default"/>
      </w:rPr>
    </w:lvl>
    <w:lvl w:ilvl="4" w:tplc="16BA6592" w:tentative="1">
      <w:start w:val="1"/>
      <w:numFmt w:val="bullet"/>
      <w:lvlText w:val="o"/>
      <w:lvlJc w:val="left"/>
      <w:pPr>
        <w:tabs>
          <w:tab w:val="num" w:pos="4335"/>
        </w:tabs>
        <w:ind w:left="4335" w:hanging="360"/>
      </w:pPr>
      <w:rPr>
        <w:rFonts w:ascii="Courier New" w:hAnsi="Courier New" w:cs="Courier New" w:hint="default"/>
      </w:rPr>
    </w:lvl>
    <w:lvl w:ilvl="5" w:tplc="F2265CAC" w:tentative="1">
      <w:start w:val="1"/>
      <w:numFmt w:val="bullet"/>
      <w:lvlText w:val=""/>
      <w:lvlJc w:val="left"/>
      <w:pPr>
        <w:tabs>
          <w:tab w:val="num" w:pos="5055"/>
        </w:tabs>
        <w:ind w:left="5055" w:hanging="360"/>
      </w:pPr>
      <w:rPr>
        <w:rFonts w:ascii="Wingdings" w:hAnsi="Wingdings" w:hint="default"/>
      </w:rPr>
    </w:lvl>
    <w:lvl w:ilvl="6" w:tplc="C3D4199A" w:tentative="1">
      <w:start w:val="1"/>
      <w:numFmt w:val="bullet"/>
      <w:lvlText w:val=""/>
      <w:lvlJc w:val="left"/>
      <w:pPr>
        <w:tabs>
          <w:tab w:val="num" w:pos="5775"/>
        </w:tabs>
        <w:ind w:left="5775" w:hanging="360"/>
      </w:pPr>
      <w:rPr>
        <w:rFonts w:ascii="Symbol" w:hAnsi="Symbol" w:hint="default"/>
      </w:rPr>
    </w:lvl>
    <w:lvl w:ilvl="7" w:tplc="6722156A" w:tentative="1">
      <w:start w:val="1"/>
      <w:numFmt w:val="bullet"/>
      <w:lvlText w:val="o"/>
      <w:lvlJc w:val="left"/>
      <w:pPr>
        <w:tabs>
          <w:tab w:val="num" w:pos="6495"/>
        </w:tabs>
        <w:ind w:left="6495" w:hanging="360"/>
      </w:pPr>
      <w:rPr>
        <w:rFonts w:ascii="Courier New" w:hAnsi="Courier New" w:cs="Courier New" w:hint="default"/>
      </w:rPr>
    </w:lvl>
    <w:lvl w:ilvl="8" w:tplc="FDCC3876" w:tentative="1">
      <w:start w:val="1"/>
      <w:numFmt w:val="bullet"/>
      <w:lvlText w:val=""/>
      <w:lvlJc w:val="left"/>
      <w:pPr>
        <w:tabs>
          <w:tab w:val="num" w:pos="7215"/>
        </w:tabs>
        <w:ind w:left="7215" w:hanging="360"/>
      </w:pPr>
      <w:rPr>
        <w:rFonts w:ascii="Wingdings" w:hAnsi="Wingdings" w:hint="default"/>
      </w:rPr>
    </w:lvl>
  </w:abstractNum>
  <w:num w:numId="1">
    <w:abstractNumId w:val="19"/>
  </w:num>
  <w:num w:numId="2">
    <w:abstractNumId w:val="36"/>
  </w:num>
  <w:num w:numId="3">
    <w:abstractNumId w:val="14"/>
  </w:num>
  <w:num w:numId="4">
    <w:abstractNumId w:val="60"/>
  </w:num>
  <w:num w:numId="5">
    <w:abstractNumId w:val="13"/>
  </w:num>
  <w:num w:numId="6">
    <w:abstractNumId w:val="57"/>
  </w:num>
  <w:num w:numId="7">
    <w:abstractNumId w:val="66"/>
  </w:num>
  <w:num w:numId="8">
    <w:abstractNumId w:val="56"/>
  </w:num>
  <w:num w:numId="9">
    <w:abstractNumId w:val="54"/>
  </w:num>
  <w:num w:numId="10">
    <w:abstractNumId w:val="45"/>
  </w:num>
  <w:num w:numId="11">
    <w:abstractNumId w:val="18"/>
  </w:num>
  <w:num w:numId="12">
    <w:abstractNumId w:val="2"/>
  </w:num>
  <w:num w:numId="13">
    <w:abstractNumId w:val="68"/>
  </w:num>
  <w:num w:numId="14">
    <w:abstractNumId w:val="21"/>
  </w:num>
  <w:num w:numId="15">
    <w:abstractNumId w:val="67"/>
  </w:num>
  <w:num w:numId="16">
    <w:abstractNumId w:val="42"/>
  </w:num>
  <w:num w:numId="17">
    <w:abstractNumId w:val="11"/>
  </w:num>
  <w:num w:numId="18">
    <w:abstractNumId w:val="48"/>
  </w:num>
  <w:num w:numId="19">
    <w:abstractNumId w:val="17"/>
  </w:num>
  <w:num w:numId="20">
    <w:abstractNumId w:val="25"/>
  </w:num>
  <w:num w:numId="21">
    <w:abstractNumId w:val="47"/>
  </w:num>
  <w:num w:numId="22">
    <w:abstractNumId w:val="51"/>
  </w:num>
  <w:num w:numId="23">
    <w:abstractNumId w:val="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0"/>
  </w:num>
  <w:num w:numId="28">
    <w:abstractNumId w:val="8"/>
  </w:num>
  <w:num w:numId="29">
    <w:abstractNumId w:val="65"/>
  </w:num>
  <w:num w:numId="30">
    <w:abstractNumId w:val="34"/>
  </w:num>
  <w:num w:numId="31">
    <w:abstractNumId w:val="59"/>
  </w:num>
  <w:num w:numId="32">
    <w:abstractNumId w:val="31"/>
  </w:num>
  <w:num w:numId="33">
    <w:abstractNumId w:val="44"/>
  </w:num>
  <w:num w:numId="34">
    <w:abstractNumId w:val="16"/>
  </w:num>
  <w:num w:numId="35">
    <w:abstractNumId w:val="41"/>
  </w:num>
  <w:num w:numId="36">
    <w:abstractNumId w:val="26"/>
  </w:num>
  <w:num w:numId="37">
    <w:abstractNumId w:val="5"/>
  </w:num>
  <w:num w:numId="38">
    <w:abstractNumId w:val="37"/>
  </w:num>
  <w:num w:numId="39">
    <w:abstractNumId w:val="3"/>
  </w:num>
  <w:num w:numId="40">
    <w:abstractNumId w:val="23"/>
  </w:num>
  <w:num w:numId="41">
    <w:abstractNumId w:val="24"/>
  </w:num>
  <w:num w:numId="42">
    <w:abstractNumId w:val="40"/>
  </w:num>
  <w:num w:numId="43">
    <w:abstractNumId w:val="61"/>
  </w:num>
  <w:num w:numId="44">
    <w:abstractNumId w:val="62"/>
  </w:num>
  <w:num w:numId="45">
    <w:abstractNumId w:val="39"/>
  </w:num>
  <w:num w:numId="46">
    <w:abstractNumId w:val="22"/>
  </w:num>
  <w:num w:numId="47">
    <w:abstractNumId w:val="55"/>
  </w:num>
  <w:num w:numId="48">
    <w:abstractNumId w:val="35"/>
  </w:num>
  <w:num w:numId="49">
    <w:abstractNumId w:val="32"/>
  </w:num>
  <w:num w:numId="50">
    <w:abstractNumId w:val="0"/>
  </w:num>
  <w:num w:numId="51">
    <w:abstractNumId w:val="12"/>
  </w:num>
  <w:num w:numId="52">
    <w:abstractNumId w:val="28"/>
  </w:num>
  <w:num w:numId="53">
    <w:abstractNumId w:val="43"/>
  </w:num>
  <w:num w:numId="54">
    <w:abstractNumId w:val="64"/>
  </w:num>
  <w:num w:numId="55">
    <w:abstractNumId w:val="52"/>
  </w:num>
  <w:num w:numId="56">
    <w:abstractNumId w:val="9"/>
  </w:num>
  <w:num w:numId="57">
    <w:abstractNumId w:val="29"/>
  </w:num>
  <w:num w:numId="58">
    <w:abstractNumId w:val="63"/>
  </w:num>
  <w:num w:numId="59">
    <w:abstractNumId w:val="46"/>
  </w:num>
  <w:num w:numId="60">
    <w:abstractNumId w:val="33"/>
  </w:num>
  <w:num w:numId="61">
    <w:abstractNumId w:val="53"/>
  </w:num>
  <w:num w:numId="62">
    <w:abstractNumId w:val="50"/>
  </w:num>
  <w:num w:numId="63">
    <w:abstractNumId w:val="58"/>
  </w:num>
  <w:num w:numId="64">
    <w:abstractNumId w:val="30"/>
  </w:num>
  <w:num w:numId="65">
    <w:abstractNumId w:val="6"/>
  </w:num>
  <w:num w:numId="66">
    <w:abstractNumId w:val="38"/>
  </w:num>
  <w:num w:numId="67">
    <w:abstractNumId w:val="7"/>
  </w:num>
  <w:num w:numId="68">
    <w:abstractNumId w:val="49"/>
  </w:num>
  <w:num w:numId="69">
    <w:abstractNumId w:val="27"/>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5E2EFC"/>
    <w:rsid w:val="0000000C"/>
    <w:rsid w:val="00000743"/>
    <w:rsid w:val="00000A94"/>
    <w:rsid w:val="00000BD8"/>
    <w:rsid w:val="00001A63"/>
    <w:rsid w:val="0000220E"/>
    <w:rsid w:val="00002E9C"/>
    <w:rsid w:val="00003CDC"/>
    <w:rsid w:val="00003E01"/>
    <w:rsid w:val="00004258"/>
    <w:rsid w:val="0000485D"/>
    <w:rsid w:val="00004D43"/>
    <w:rsid w:val="00004F83"/>
    <w:rsid w:val="0000503D"/>
    <w:rsid w:val="0000534A"/>
    <w:rsid w:val="00005B78"/>
    <w:rsid w:val="000062BC"/>
    <w:rsid w:val="00007636"/>
    <w:rsid w:val="00007A74"/>
    <w:rsid w:val="00007F9E"/>
    <w:rsid w:val="0001091E"/>
    <w:rsid w:val="000112A8"/>
    <w:rsid w:val="00013DAA"/>
    <w:rsid w:val="00013DB7"/>
    <w:rsid w:val="00014310"/>
    <w:rsid w:val="0001467D"/>
    <w:rsid w:val="00014E9E"/>
    <w:rsid w:val="00015452"/>
    <w:rsid w:val="000158EC"/>
    <w:rsid w:val="00015B59"/>
    <w:rsid w:val="000164A9"/>
    <w:rsid w:val="00016636"/>
    <w:rsid w:val="00017001"/>
    <w:rsid w:val="0001725C"/>
    <w:rsid w:val="000172AB"/>
    <w:rsid w:val="00020102"/>
    <w:rsid w:val="00020885"/>
    <w:rsid w:val="00020A83"/>
    <w:rsid w:val="000216E6"/>
    <w:rsid w:val="00021A2B"/>
    <w:rsid w:val="00022137"/>
    <w:rsid w:val="000223B4"/>
    <w:rsid w:val="000223F1"/>
    <w:rsid w:val="00022855"/>
    <w:rsid w:val="00022A7C"/>
    <w:rsid w:val="00022DB7"/>
    <w:rsid w:val="00023DE2"/>
    <w:rsid w:val="00024097"/>
    <w:rsid w:val="0002480C"/>
    <w:rsid w:val="00024B14"/>
    <w:rsid w:val="00024BBB"/>
    <w:rsid w:val="000250B6"/>
    <w:rsid w:val="000253F3"/>
    <w:rsid w:val="000254EA"/>
    <w:rsid w:val="00025FD6"/>
    <w:rsid w:val="00026125"/>
    <w:rsid w:val="00026734"/>
    <w:rsid w:val="00026850"/>
    <w:rsid w:val="0002707E"/>
    <w:rsid w:val="00027799"/>
    <w:rsid w:val="00027AE7"/>
    <w:rsid w:val="00030E5E"/>
    <w:rsid w:val="0003107B"/>
    <w:rsid w:val="00031B8F"/>
    <w:rsid w:val="0003279A"/>
    <w:rsid w:val="00033475"/>
    <w:rsid w:val="00033E5B"/>
    <w:rsid w:val="000345DE"/>
    <w:rsid w:val="00034BF3"/>
    <w:rsid w:val="0003543C"/>
    <w:rsid w:val="00035B99"/>
    <w:rsid w:val="00036525"/>
    <w:rsid w:val="0003666B"/>
    <w:rsid w:val="00037578"/>
    <w:rsid w:val="0004097A"/>
    <w:rsid w:val="00040C0E"/>
    <w:rsid w:val="00040CED"/>
    <w:rsid w:val="00040EA0"/>
    <w:rsid w:val="00040F45"/>
    <w:rsid w:val="00041003"/>
    <w:rsid w:val="00041868"/>
    <w:rsid w:val="00041D9F"/>
    <w:rsid w:val="00041F99"/>
    <w:rsid w:val="0004221E"/>
    <w:rsid w:val="00042587"/>
    <w:rsid w:val="00042D21"/>
    <w:rsid w:val="00043009"/>
    <w:rsid w:val="00044010"/>
    <w:rsid w:val="00044109"/>
    <w:rsid w:val="000441E0"/>
    <w:rsid w:val="00044799"/>
    <w:rsid w:val="00044869"/>
    <w:rsid w:val="00044970"/>
    <w:rsid w:val="0004498C"/>
    <w:rsid w:val="00044FED"/>
    <w:rsid w:val="000452EA"/>
    <w:rsid w:val="0004570A"/>
    <w:rsid w:val="00045EAA"/>
    <w:rsid w:val="00046EEC"/>
    <w:rsid w:val="00047233"/>
    <w:rsid w:val="00047963"/>
    <w:rsid w:val="0005025E"/>
    <w:rsid w:val="0005055D"/>
    <w:rsid w:val="000506ED"/>
    <w:rsid w:val="00050BE4"/>
    <w:rsid w:val="000518BA"/>
    <w:rsid w:val="0005257F"/>
    <w:rsid w:val="00053A62"/>
    <w:rsid w:val="00054D0B"/>
    <w:rsid w:val="000550AE"/>
    <w:rsid w:val="00055239"/>
    <w:rsid w:val="0005525F"/>
    <w:rsid w:val="00055467"/>
    <w:rsid w:val="00055996"/>
    <w:rsid w:val="000559C1"/>
    <w:rsid w:val="0005689E"/>
    <w:rsid w:val="00056FDF"/>
    <w:rsid w:val="00057762"/>
    <w:rsid w:val="000579ED"/>
    <w:rsid w:val="00057C8B"/>
    <w:rsid w:val="000601B1"/>
    <w:rsid w:val="000603DE"/>
    <w:rsid w:val="000603EA"/>
    <w:rsid w:val="00060E28"/>
    <w:rsid w:val="00060F53"/>
    <w:rsid w:val="0006103B"/>
    <w:rsid w:val="00061B3B"/>
    <w:rsid w:val="00061BAF"/>
    <w:rsid w:val="00061DD3"/>
    <w:rsid w:val="00062681"/>
    <w:rsid w:val="00063F3A"/>
    <w:rsid w:val="0006466D"/>
    <w:rsid w:val="00065199"/>
    <w:rsid w:val="0006539B"/>
    <w:rsid w:val="00065456"/>
    <w:rsid w:val="0006591B"/>
    <w:rsid w:val="00065C66"/>
    <w:rsid w:val="00065C98"/>
    <w:rsid w:val="00066564"/>
    <w:rsid w:val="000666EB"/>
    <w:rsid w:val="000667B0"/>
    <w:rsid w:val="00066B10"/>
    <w:rsid w:val="00066ECC"/>
    <w:rsid w:val="00067365"/>
    <w:rsid w:val="00067717"/>
    <w:rsid w:val="0007067F"/>
    <w:rsid w:val="00070CFD"/>
    <w:rsid w:val="00070F3D"/>
    <w:rsid w:val="00070F93"/>
    <w:rsid w:val="00071673"/>
    <w:rsid w:val="00071A4F"/>
    <w:rsid w:val="00072399"/>
    <w:rsid w:val="00072517"/>
    <w:rsid w:val="00072E13"/>
    <w:rsid w:val="000734A8"/>
    <w:rsid w:val="000736F2"/>
    <w:rsid w:val="000737D4"/>
    <w:rsid w:val="00073919"/>
    <w:rsid w:val="00073DA2"/>
    <w:rsid w:val="00074140"/>
    <w:rsid w:val="0007454E"/>
    <w:rsid w:val="00074679"/>
    <w:rsid w:val="00074CBF"/>
    <w:rsid w:val="00075141"/>
    <w:rsid w:val="000752D1"/>
    <w:rsid w:val="00075D4F"/>
    <w:rsid w:val="00075DE4"/>
    <w:rsid w:val="00075F1B"/>
    <w:rsid w:val="00076734"/>
    <w:rsid w:val="000769F4"/>
    <w:rsid w:val="000773A5"/>
    <w:rsid w:val="00077750"/>
    <w:rsid w:val="00080314"/>
    <w:rsid w:val="00080870"/>
    <w:rsid w:val="000811AE"/>
    <w:rsid w:val="00081393"/>
    <w:rsid w:val="000820BE"/>
    <w:rsid w:val="0008283E"/>
    <w:rsid w:val="000828FC"/>
    <w:rsid w:val="0008293F"/>
    <w:rsid w:val="00083A55"/>
    <w:rsid w:val="00083D28"/>
    <w:rsid w:val="000847AF"/>
    <w:rsid w:val="000847D9"/>
    <w:rsid w:val="000848CB"/>
    <w:rsid w:val="00084F23"/>
    <w:rsid w:val="00085589"/>
    <w:rsid w:val="00086468"/>
    <w:rsid w:val="000868A8"/>
    <w:rsid w:val="00086C70"/>
    <w:rsid w:val="000874B1"/>
    <w:rsid w:val="000876B1"/>
    <w:rsid w:val="00087A38"/>
    <w:rsid w:val="00087AFD"/>
    <w:rsid w:val="00087F15"/>
    <w:rsid w:val="00090422"/>
    <w:rsid w:val="00090A03"/>
    <w:rsid w:val="00091BCD"/>
    <w:rsid w:val="0009281D"/>
    <w:rsid w:val="000928F8"/>
    <w:rsid w:val="00093FE8"/>
    <w:rsid w:val="00094818"/>
    <w:rsid w:val="00094B3D"/>
    <w:rsid w:val="00094D4B"/>
    <w:rsid w:val="00094EF0"/>
    <w:rsid w:val="00095224"/>
    <w:rsid w:val="000955D7"/>
    <w:rsid w:val="000956D0"/>
    <w:rsid w:val="000956F6"/>
    <w:rsid w:val="00095933"/>
    <w:rsid w:val="00095AF7"/>
    <w:rsid w:val="00095CA4"/>
    <w:rsid w:val="00096028"/>
    <w:rsid w:val="000961C7"/>
    <w:rsid w:val="0009621D"/>
    <w:rsid w:val="0009661B"/>
    <w:rsid w:val="00096D20"/>
    <w:rsid w:val="00096D5A"/>
    <w:rsid w:val="00096F88"/>
    <w:rsid w:val="000975D7"/>
    <w:rsid w:val="00097753"/>
    <w:rsid w:val="0009775D"/>
    <w:rsid w:val="00097BFB"/>
    <w:rsid w:val="000A05C9"/>
    <w:rsid w:val="000A05FC"/>
    <w:rsid w:val="000A1BE2"/>
    <w:rsid w:val="000A1E98"/>
    <w:rsid w:val="000A232A"/>
    <w:rsid w:val="000A2D96"/>
    <w:rsid w:val="000A3A4F"/>
    <w:rsid w:val="000A3DE5"/>
    <w:rsid w:val="000A40EC"/>
    <w:rsid w:val="000A41BF"/>
    <w:rsid w:val="000A5078"/>
    <w:rsid w:val="000A59E9"/>
    <w:rsid w:val="000A6733"/>
    <w:rsid w:val="000A694A"/>
    <w:rsid w:val="000A6A5A"/>
    <w:rsid w:val="000A7A1D"/>
    <w:rsid w:val="000A7E68"/>
    <w:rsid w:val="000B0432"/>
    <w:rsid w:val="000B0B29"/>
    <w:rsid w:val="000B1412"/>
    <w:rsid w:val="000B1D1C"/>
    <w:rsid w:val="000B2C46"/>
    <w:rsid w:val="000B300E"/>
    <w:rsid w:val="000B3060"/>
    <w:rsid w:val="000B31F4"/>
    <w:rsid w:val="000B348C"/>
    <w:rsid w:val="000B34C3"/>
    <w:rsid w:val="000B3592"/>
    <w:rsid w:val="000B37AA"/>
    <w:rsid w:val="000B38A4"/>
    <w:rsid w:val="000B49B7"/>
    <w:rsid w:val="000B4AE5"/>
    <w:rsid w:val="000B5D59"/>
    <w:rsid w:val="000B6285"/>
    <w:rsid w:val="000B62DB"/>
    <w:rsid w:val="000B6444"/>
    <w:rsid w:val="000B6A11"/>
    <w:rsid w:val="000B7EA5"/>
    <w:rsid w:val="000C08F2"/>
    <w:rsid w:val="000C09DD"/>
    <w:rsid w:val="000C0C43"/>
    <w:rsid w:val="000C0D60"/>
    <w:rsid w:val="000C18EC"/>
    <w:rsid w:val="000C19BB"/>
    <w:rsid w:val="000C2B26"/>
    <w:rsid w:val="000C3E54"/>
    <w:rsid w:val="000C3E96"/>
    <w:rsid w:val="000C40F3"/>
    <w:rsid w:val="000C43E8"/>
    <w:rsid w:val="000C44C3"/>
    <w:rsid w:val="000C57B7"/>
    <w:rsid w:val="000C6897"/>
    <w:rsid w:val="000C6919"/>
    <w:rsid w:val="000C6FB8"/>
    <w:rsid w:val="000D023C"/>
    <w:rsid w:val="000D06EE"/>
    <w:rsid w:val="000D09FA"/>
    <w:rsid w:val="000D0A64"/>
    <w:rsid w:val="000D1360"/>
    <w:rsid w:val="000D181B"/>
    <w:rsid w:val="000D1E68"/>
    <w:rsid w:val="000D20C8"/>
    <w:rsid w:val="000D2899"/>
    <w:rsid w:val="000D2AD5"/>
    <w:rsid w:val="000D31B4"/>
    <w:rsid w:val="000D3EBB"/>
    <w:rsid w:val="000D4417"/>
    <w:rsid w:val="000D48EF"/>
    <w:rsid w:val="000D4DAD"/>
    <w:rsid w:val="000D4E44"/>
    <w:rsid w:val="000D6149"/>
    <w:rsid w:val="000D71C4"/>
    <w:rsid w:val="000E0081"/>
    <w:rsid w:val="000E020D"/>
    <w:rsid w:val="000E04AE"/>
    <w:rsid w:val="000E09DC"/>
    <w:rsid w:val="000E0F68"/>
    <w:rsid w:val="000E13AF"/>
    <w:rsid w:val="000E2D04"/>
    <w:rsid w:val="000E2F70"/>
    <w:rsid w:val="000E3432"/>
    <w:rsid w:val="000E38A7"/>
    <w:rsid w:val="000E3952"/>
    <w:rsid w:val="000E436E"/>
    <w:rsid w:val="000E5245"/>
    <w:rsid w:val="000E53CB"/>
    <w:rsid w:val="000E5732"/>
    <w:rsid w:val="000E5893"/>
    <w:rsid w:val="000E5929"/>
    <w:rsid w:val="000E5CD1"/>
    <w:rsid w:val="000E6064"/>
    <w:rsid w:val="000E6469"/>
    <w:rsid w:val="000E6738"/>
    <w:rsid w:val="000E6E55"/>
    <w:rsid w:val="000E7B0C"/>
    <w:rsid w:val="000E7B8E"/>
    <w:rsid w:val="000F07B3"/>
    <w:rsid w:val="000F2445"/>
    <w:rsid w:val="000F28BB"/>
    <w:rsid w:val="000F29BF"/>
    <w:rsid w:val="000F2B67"/>
    <w:rsid w:val="000F3164"/>
    <w:rsid w:val="000F31B4"/>
    <w:rsid w:val="000F3427"/>
    <w:rsid w:val="000F357D"/>
    <w:rsid w:val="000F3A8E"/>
    <w:rsid w:val="000F615F"/>
    <w:rsid w:val="000F6C25"/>
    <w:rsid w:val="000F6D80"/>
    <w:rsid w:val="000F6F61"/>
    <w:rsid w:val="000F7EFD"/>
    <w:rsid w:val="001004E2"/>
    <w:rsid w:val="001011DC"/>
    <w:rsid w:val="0010127B"/>
    <w:rsid w:val="00101D9A"/>
    <w:rsid w:val="0010254C"/>
    <w:rsid w:val="0010291B"/>
    <w:rsid w:val="00102B2D"/>
    <w:rsid w:val="00102DD6"/>
    <w:rsid w:val="00103534"/>
    <w:rsid w:val="001042A8"/>
    <w:rsid w:val="00104505"/>
    <w:rsid w:val="0010451B"/>
    <w:rsid w:val="00105819"/>
    <w:rsid w:val="00105888"/>
    <w:rsid w:val="0010599E"/>
    <w:rsid w:val="00105E49"/>
    <w:rsid w:val="001061F2"/>
    <w:rsid w:val="0010669A"/>
    <w:rsid w:val="00106A0E"/>
    <w:rsid w:val="001115DA"/>
    <w:rsid w:val="00111E63"/>
    <w:rsid w:val="00111FF1"/>
    <w:rsid w:val="00112FBF"/>
    <w:rsid w:val="001130AE"/>
    <w:rsid w:val="001149EA"/>
    <w:rsid w:val="0011501C"/>
    <w:rsid w:val="0011518B"/>
    <w:rsid w:val="0011523A"/>
    <w:rsid w:val="00115698"/>
    <w:rsid w:val="00116869"/>
    <w:rsid w:val="00116A60"/>
    <w:rsid w:val="00116D7C"/>
    <w:rsid w:val="00116DDD"/>
    <w:rsid w:val="00117AD0"/>
    <w:rsid w:val="00117BD2"/>
    <w:rsid w:val="00120523"/>
    <w:rsid w:val="00120618"/>
    <w:rsid w:val="0012144D"/>
    <w:rsid w:val="00121C3B"/>
    <w:rsid w:val="00121E3C"/>
    <w:rsid w:val="00121EA5"/>
    <w:rsid w:val="00122416"/>
    <w:rsid w:val="001235DB"/>
    <w:rsid w:val="00123A8E"/>
    <w:rsid w:val="00123C20"/>
    <w:rsid w:val="00123FEC"/>
    <w:rsid w:val="00124051"/>
    <w:rsid w:val="00124537"/>
    <w:rsid w:val="00124997"/>
    <w:rsid w:val="00124D64"/>
    <w:rsid w:val="00124F6F"/>
    <w:rsid w:val="001251E5"/>
    <w:rsid w:val="001251F7"/>
    <w:rsid w:val="0012575D"/>
    <w:rsid w:val="00125BEE"/>
    <w:rsid w:val="00126450"/>
    <w:rsid w:val="001265C9"/>
    <w:rsid w:val="0012678B"/>
    <w:rsid w:val="00126A3A"/>
    <w:rsid w:val="00126A97"/>
    <w:rsid w:val="00126AE2"/>
    <w:rsid w:val="001274CD"/>
    <w:rsid w:val="00130050"/>
    <w:rsid w:val="0013076D"/>
    <w:rsid w:val="00130C03"/>
    <w:rsid w:val="00131045"/>
    <w:rsid w:val="0013149F"/>
    <w:rsid w:val="00131827"/>
    <w:rsid w:val="0013183B"/>
    <w:rsid w:val="00131E0B"/>
    <w:rsid w:val="00131F04"/>
    <w:rsid w:val="00132637"/>
    <w:rsid w:val="001328FA"/>
    <w:rsid w:val="00132937"/>
    <w:rsid w:val="001333DD"/>
    <w:rsid w:val="00133C7F"/>
    <w:rsid w:val="0013436A"/>
    <w:rsid w:val="0013485B"/>
    <w:rsid w:val="00134D06"/>
    <w:rsid w:val="00134E4F"/>
    <w:rsid w:val="001352C6"/>
    <w:rsid w:val="001359B9"/>
    <w:rsid w:val="00135A95"/>
    <w:rsid w:val="00135D0F"/>
    <w:rsid w:val="00136049"/>
    <w:rsid w:val="00136ACB"/>
    <w:rsid w:val="00136B17"/>
    <w:rsid w:val="00136C38"/>
    <w:rsid w:val="00137112"/>
    <w:rsid w:val="0013727A"/>
    <w:rsid w:val="00137E07"/>
    <w:rsid w:val="00137EEB"/>
    <w:rsid w:val="00140217"/>
    <w:rsid w:val="001402E9"/>
    <w:rsid w:val="00140D33"/>
    <w:rsid w:val="00140DCD"/>
    <w:rsid w:val="00141260"/>
    <w:rsid w:val="001412B5"/>
    <w:rsid w:val="001414F8"/>
    <w:rsid w:val="00141EB3"/>
    <w:rsid w:val="00142961"/>
    <w:rsid w:val="00142E95"/>
    <w:rsid w:val="001433DC"/>
    <w:rsid w:val="00143DF6"/>
    <w:rsid w:val="00143FA1"/>
    <w:rsid w:val="0014434D"/>
    <w:rsid w:val="00144E4E"/>
    <w:rsid w:val="0014527F"/>
    <w:rsid w:val="00145B37"/>
    <w:rsid w:val="00146580"/>
    <w:rsid w:val="001465CE"/>
    <w:rsid w:val="00146EE0"/>
    <w:rsid w:val="00147023"/>
    <w:rsid w:val="001479BD"/>
    <w:rsid w:val="00147DBF"/>
    <w:rsid w:val="001503A5"/>
    <w:rsid w:val="00150962"/>
    <w:rsid w:val="00150E43"/>
    <w:rsid w:val="00151399"/>
    <w:rsid w:val="00151519"/>
    <w:rsid w:val="00151722"/>
    <w:rsid w:val="00151BC2"/>
    <w:rsid w:val="00152425"/>
    <w:rsid w:val="001525E6"/>
    <w:rsid w:val="00152D6A"/>
    <w:rsid w:val="00153112"/>
    <w:rsid w:val="00153E24"/>
    <w:rsid w:val="0015426B"/>
    <w:rsid w:val="001549EA"/>
    <w:rsid w:val="00154D85"/>
    <w:rsid w:val="00154F1F"/>
    <w:rsid w:val="0015569D"/>
    <w:rsid w:val="001556DB"/>
    <w:rsid w:val="00155C39"/>
    <w:rsid w:val="001563F7"/>
    <w:rsid w:val="00156426"/>
    <w:rsid w:val="0015642F"/>
    <w:rsid w:val="00156F0F"/>
    <w:rsid w:val="001601D6"/>
    <w:rsid w:val="001604E9"/>
    <w:rsid w:val="001605AC"/>
    <w:rsid w:val="0016093A"/>
    <w:rsid w:val="00160C85"/>
    <w:rsid w:val="00160FED"/>
    <w:rsid w:val="001610D8"/>
    <w:rsid w:val="00161149"/>
    <w:rsid w:val="00161273"/>
    <w:rsid w:val="001612D9"/>
    <w:rsid w:val="00161506"/>
    <w:rsid w:val="001622B5"/>
    <w:rsid w:val="00162380"/>
    <w:rsid w:val="00162B97"/>
    <w:rsid w:val="00162BAF"/>
    <w:rsid w:val="001638DB"/>
    <w:rsid w:val="001648EA"/>
    <w:rsid w:val="00165099"/>
    <w:rsid w:val="0016545D"/>
    <w:rsid w:val="0016608B"/>
    <w:rsid w:val="00166171"/>
    <w:rsid w:val="00166A58"/>
    <w:rsid w:val="00166D7B"/>
    <w:rsid w:val="00166F04"/>
    <w:rsid w:val="00167237"/>
    <w:rsid w:val="00167580"/>
    <w:rsid w:val="00167764"/>
    <w:rsid w:val="00167C25"/>
    <w:rsid w:val="00167D90"/>
    <w:rsid w:val="00167F25"/>
    <w:rsid w:val="0017030D"/>
    <w:rsid w:val="00170386"/>
    <w:rsid w:val="0017063A"/>
    <w:rsid w:val="00170EAC"/>
    <w:rsid w:val="00170F17"/>
    <w:rsid w:val="0017122E"/>
    <w:rsid w:val="0017277C"/>
    <w:rsid w:val="00172898"/>
    <w:rsid w:val="0017298D"/>
    <w:rsid w:val="001729FE"/>
    <w:rsid w:val="00172EDE"/>
    <w:rsid w:val="0017320F"/>
    <w:rsid w:val="0017442F"/>
    <w:rsid w:val="00174498"/>
    <w:rsid w:val="00174A0F"/>
    <w:rsid w:val="001750D3"/>
    <w:rsid w:val="00176969"/>
    <w:rsid w:val="00176AEC"/>
    <w:rsid w:val="00177013"/>
    <w:rsid w:val="001772E5"/>
    <w:rsid w:val="001772FD"/>
    <w:rsid w:val="001776E5"/>
    <w:rsid w:val="001802A6"/>
    <w:rsid w:val="00180BBE"/>
    <w:rsid w:val="00181BAF"/>
    <w:rsid w:val="00181C72"/>
    <w:rsid w:val="00182935"/>
    <w:rsid w:val="00182C3C"/>
    <w:rsid w:val="00183B04"/>
    <w:rsid w:val="00184076"/>
    <w:rsid w:val="00184531"/>
    <w:rsid w:val="001847C1"/>
    <w:rsid w:val="00184A47"/>
    <w:rsid w:val="001851FF"/>
    <w:rsid w:val="00186ED5"/>
    <w:rsid w:val="001870B8"/>
    <w:rsid w:val="001875D8"/>
    <w:rsid w:val="001907A9"/>
    <w:rsid w:val="0019090B"/>
    <w:rsid w:val="00190FA2"/>
    <w:rsid w:val="00191677"/>
    <w:rsid w:val="00191F07"/>
    <w:rsid w:val="00192ED5"/>
    <w:rsid w:val="001939DF"/>
    <w:rsid w:val="00193DE5"/>
    <w:rsid w:val="00193FCF"/>
    <w:rsid w:val="00194544"/>
    <w:rsid w:val="00194F23"/>
    <w:rsid w:val="0019510D"/>
    <w:rsid w:val="001951BD"/>
    <w:rsid w:val="0019554A"/>
    <w:rsid w:val="001958E2"/>
    <w:rsid w:val="001962F4"/>
    <w:rsid w:val="00196854"/>
    <w:rsid w:val="00197050"/>
    <w:rsid w:val="001A003F"/>
    <w:rsid w:val="001A04C3"/>
    <w:rsid w:val="001A0952"/>
    <w:rsid w:val="001A0C26"/>
    <w:rsid w:val="001A0FAB"/>
    <w:rsid w:val="001A1DD8"/>
    <w:rsid w:val="001A1EA6"/>
    <w:rsid w:val="001A23CE"/>
    <w:rsid w:val="001A2EA4"/>
    <w:rsid w:val="001A4550"/>
    <w:rsid w:val="001A4C19"/>
    <w:rsid w:val="001A5141"/>
    <w:rsid w:val="001A58C5"/>
    <w:rsid w:val="001A5A0D"/>
    <w:rsid w:val="001A6289"/>
    <w:rsid w:val="001A6D44"/>
    <w:rsid w:val="001A77FC"/>
    <w:rsid w:val="001A7FDE"/>
    <w:rsid w:val="001B097D"/>
    <w:rsid w:val="001B0EF2"/>
    <w:rsid w:val="001B12DD"/>
    <w:rsid w:val="001B18FD"/>
    <w:rsid w:val="001B2440"/>
    <w:rsid w:val="001B2987"/>
    <w:rsid w:val="001B2A2B"/>
    <w:rsid w:val="001B3D6E"/>
    <w:rsid w:val="001B408F"/>
    <w:rsid w:val="001B44A2"/>
    <w:rsid w:val="001B4940"/>
    <w:rsid w:val="001B4B8E"/>
    <w:rsid w:val="001B4D32"/>
    <w:rsid w:val="001B5029"/>
    <w:rsid w:val="001B52B8"/>
    <w:rsid w:val="001B52C7"/>
    <w:rsid w:val="001B5D52"/>
    <w:rsid w:val="001B6205"/>
    <w:rsid w:val="001B7034"/>
    <w:rsid w:val="001B732B"/>
    <w:rsid w:val="001B7A50"/>
    <w:rsid w:val="001B7B23"/>
    <w:rsid w:val="001B7D4B"/>
    <w:rsid w:val="001C03A1"/>
    <w:rsid w:val="001C0414"/>
    <w:rsid w:val="001C0E4D"/>
    <w:rsid w:val="001C169A"/>
    <w:rsid w:val="001C19F4"/>
    <w:rsid w:val="001C1A6C"/>
    <w:rsid w:val="001C1FAB"/>
    <w:rsid w:val="001C2040"/>
    <w:rsid w:val="001C2223"/>
    <w:rsid w:val="001C260B"/>
    <w:rsid w:val="001C313B"/>
    <w:rsid w:val="001C37C6"/>
    <w:rsid w:val="001C396B"/>
    <w:rsid w:val="001C3E20"/>
    <w:rsid w:val="001C3E22"/>
    <w:rsid w:val="001C4187"/>
    <w:rsid w:val="001C4E34"/>
    <w:rsid w:val="001C5353"/>
    <w:rsid w:val="001C59BD"/>
    <w:rsid w:val="001C5D21"/>
    <w:rsid w:val="001C6EAD"/>
    <w:rsid w:val="001C741C"/>
    <w:rsid w:val="001C7860"/>
    <w:rsid w:val="001C78E1"/>
    <w:rsid w:val="001C7BA8"/>
    <w:rsid w:val="001D0366"/>
    <w:rsid w:val="001D06D6"/>
    <w:rsid w:val="001D08BD"/>
    <w:rsid w:val="001D0B85"/>
    <w:rsid w:val="001D0D35"/>
    <w:rsid w:val="001D131A"/>
    <w:rsid w:val="001D1AF6"/>
    <w:rsid w:val="001D1D27"/>
    <w:rsid w:val="001D2445"/>
    <w:rsid w:val="001D292A"/>
    <w:rsid w:val="001D32BA"/>
    <w:rsid w:val="001D4209"/>
    <w:rsid w:val="001D46C6"/>
    <w:rsid w:val="001D47CA"/>
    <w:rsid w:val="001D4890"/>
    <w:rsid w:val="001D4C6A"/>
    <w:rsid w:val="001D4E91"/>
    <w:rsid w:val="001D5C4A"/>
    <w:rsid w:val="001D6565"/>
    <w:rsid w:val="001D67B4"/>
    <w:rsid w:val="001D69FB"/>
    <w:rsid w:val="001D6E9B"/>
    <w:rsid w:val="001D76F3"/>
    <w:rsid w:val="001D79A0"/>
    <w:rsid w:val="001D79F8"/>
    <w:rsid w:val="001E0116"/>
    <w:rsid w:val="001E04CE"/>
    <w:rsid w:val="001E063E"/>
    <w:rsid w:val="001E0E51"/>
    <w:rsid w:val="001E0FDD"/>
    <w:rsid w:val="001E28F1"/>
    <w:rsid w:val="001E334C"/>
    <w:rsid w:val="001E35B3"/>
    <w:rsid w:val="001E4282"/>
    <w:rsid w:val="001E4F39"/>
    <w:rsid w:val="001E50D2"/>
    <w:rsid w:val="001E51E1"/>
    <w:rsid w:val="001E6613"/>
    <w:rsid w:val="001E78AC"/>
    <w:rsid w:val="001F0BF2"/>
    <w:rsid w:val="001F1A1A"/>
    <w:rsid w:val="001F1AE9"/>
    <w:rsid w:val="001F2A33"/>
    <w:rsid w:val="001F2D2A"/>
    <w:rsid w:val="001F2F28"/>
    <w:rsid w:val="001F3209"/>
    <w:rsid w:val="001F327B"/>
    <w:rsid w:val="001F3BDB"/>
    <w:rsid w:val="001F3C8A"/>
    <w:rsid w:val="001F460F"/>
    <w:rsid w:val="001F4F67"/>
    <w:rsid w:val="001F5535"/>
    <w:rsid w:val="001F5F00"/>
    <w:rsid w:val="001F6C54"/>
    <w:rsid w:val="001F7278"/>
    <w:rsid w:val="0020098C"/>
    <w:rsid w:val="00200CC6"/>
    <w:rsid w:val="00200D7A"/>
    <w:rsid w:val="00200EC4"/>
    <w:rsid w:val="00201051"/>
    <w:rsid w:val="00201057"/>
    <w:rsid w:val="002017B3"/>
    <w:rsid w:val="00201D80"/>
    <w:rsid w:val="002028AE"/>
    <w:rsid w:val="0020309B"/>
    <w:rsid w:val="00203213"/>
    <w:rsid w:val="00203379"/>
    <w:rsid w:val="0020385C"/>
    <w:rsid w:val="00204448"/>
    <w:rsid w:val="00204DCC"/>
    <w:rsid w:val="00204F9A"/>
    <w:rsid w:val="00205FB3"/>
    <w:rsid w:val="002061DF"/>
    <w:rsid w:val="00206358"/>
    <w:rsid w:val="0020654F"/>
    <w:rsid w:val="002068A3"/>
    <w:rsid w:val="00207109"/>
    <w:rsid w:val="002076C8"/>
    <w:rsid w:val="0021007F"/>
    <w:rsid w:val="0021038A"/>
    <w:rsid w:val="00211380"/>
    <w:rsid w:val="002116D1"/>
    <w:rsid w:val="002116F0"/>
    <w:rsid w:val="002123AF"/>
    <w:rsid w:val="0021255A"/>
    <w:rsid w:val="00212872"/>
    <w:rsid w:val="00212A8B"/>
    <w:rsid w:val="00212BEC"/>
    <w:rsid w:val="002132D0"/>
    <w:rsid w:val="002150DB"/>
    <w:rsid w:val="00215747"/>
    <w:rsid w:val="00215F4C"/>
    <w:rsid w:val="00216620"/>
    <w:rsid w:val="00216AF3"/>
    <w:rsid w:val="002178E3"/>
    <w:rsid w:val="00217B9B"/>
    <w:rsid w:val="00217EBF"/>
    <w:rsid w:val="00220367"/>
    <w:rsid w:val="002210A3"/>
    <w:rsid w:val="002217E5"/>
    <w:rsid w:val="00221915"/>
    <w:rsid w:val="0022194C"/>
    <w:rsid w:val="00221B64"/>
    <w:rsid w:val="00222252"/>
    <w:rsid w:val="0022271F"/>
    <w:rsid w:val="0022285C"/>
    <w:rsid w:val="00222CB8"/>
    <w:rsid w:val="00223668"/>
    <w:rsid w:val="00223869"/>
    <w:rsid w:val="00223EF0"/>
    <w:rsid w:val="0022464E"/>
    <w:rsid w:val="002256B0"/>
    <w:rsid w:val="0022570B"/>
    <w:rsid w:val="0022581F"/>
    <w:rsid w:val="00225AB3"/>
    <w:rsid w:val="0022679E"/>
    <w:rsid w:val="00226833"/>
    <w:rsid w:val="00226BFB"/>
    <w:rsid w:val="00226C61"/>
    <w:rsid w:val="002274E9"/>
    <w:rsid w:val="00227724"/>
    <w:rsid w:val="00227CF5"/>
    <w:rsid w:val="00227F78"/>
    <w:rsid w:val="00231B64"/>
    <w:rsid w:val="00231E47"/>
    <w:rsid w:val="00232162"/>
    <w:rsid w:val="0023244F"/>
    <w:rsid w:val="0023253C"/>
    <w:rsid w:val="002326D6"/>
    <w:rsid w:val="00233D26"/>
    <w:rsid w:val="00233D7E"/>
    <w:rsid w:val="002346E7"/>
    <w:rsid w:val="0023498C"/>
    <w:rsid w:val="00234AFD"/>
    <w:rsid w:val="00234EE4"/>
    <w:rsid w:val="00235449"/>
    <w:rsid w:val="00235882"/>
    <w:rsid w:val="00235DB7"/>
    <w:rsid w:val="00235F20"/>
    <w:rsid w:val="00236661"/>
    <w:rsid w:val="00236835"/>
    <w:rsid w:val="0023689B"/>
    <w:rsid w:val="00237417"/>
    <w:rsid w:val="00237C63"/>
    <w:rsid w:val="00237D2C"/>
    <w:rsid w:val="00237F57"/>
    <w:rsid w:val="0024014C"/>
    <w:rsid w:val="002403EC"/>
    <w:rsid w:val="00240655"/>
    <w:rsid w:val="00240E83"/>
    <w:rsid w:val="00240ED5"/>
    <w:rsid w:val="00240F10"/>
    <w:rsid w:val="002422C4"/>
    <w:rsid w:val="00242654"/>
    <w:rsid w:val="00242655"/>
    <w:rsid w:val="002429FF"/>
    <w:rsid w:val="002432CB"/>
    <w:rsid w:val="002444E9"/>
    <w:rsid w:val="00244569"/>
    <w:rsid w:val="00244745"/>
    <w:rsid w:val="002447EF"/>
    <w:rsid w:val="002457C3"/>
    <w:rsid w:val="0024585E"/>
    <w:rsid w:val="00245C2A"/>
    <w:rsid w:val="00245D2F"/>
    <w:rsid w:val="00246102"/>
    <w:rsid w:val="002461F0"/>
    <w:rsid w:val="00247F59"/>
    <w:rsid w:val="002504B0"/>
    <w:rsid w:val="00251409"/>
    <w:rsid w:val="00252312"/>
    <w:rsid w:val="00252549"/>
    <w:rsid w:val="00252EF3"/>
    <w:rsid w:val="0025306E"/>
    <w:rsid w:val="00253413"/>
    <w:rsid w:val="002534CC"/>
    <w:rsid w:val="002535C1"/>
    <w:rsid w:val="00253947"/>
    <w:rsid w:val="00253CCA"/>
    <w:rsid w:val="00253FE4"/>
    <w:rsid w:val="00254D85"/>
    <w:rsid w:val="0025591A"/>
    <w:rsid w:val="002560B1"/>
    <w:rsid w:val="00256643"/>
    <w:rsid w:val="00256657"/>
    <w:rsid w:val="002568E3"/>
    <w:rsid w:val="00256AE5"/>
    <w:rsid w:val="00256FAC"/>
    <w:rsid w:val="0025736A"/>
    <w:rsid w:val="00257923"/>
    <w:rsid w:val="00257D71"/>
    <w:rsid w:val="00260021"/>
    <w:rsid w:val="00261098"/>
    <w:rsid w:val="002615D6"/>
    <w:rsid w:val="00261ACD"/>
    <w:rsid w:val="00261D5C"/>
    <w:rsid w:val="00262145"/>
    <w:rsid w:val="00262437"/>
    <w:rsid w:val="00262B3C"/>
    <w:rsid w:val="00262FF4"/>
    <w:rsid w:val="0026311C"/>
    <w:rsid w:val="002631BC"/>
    <w:rsid w:val="00263DF0"/>
    <w:rsid w:val="002641D4"/>
    <w:rsid w:val="0026428A"/>
    <w:rsid w:val="0026431E"/>
    <w:rsid w:val="002643B5"/>
    <w:rsid w:val="00264633"/>
    <w:rsid w:val="0026546B"/>
    <w:rsid w:val="00265578"/>
    <w:rsid w:val="00265C05"/>
    <w:rsid w:val="002660C8"/>
    <w:rsid w:val="0026634F"/>
    <w:rsid w:val="002666F4"/>
    <w:rsid w:val="002666F6"/>
    <w:rsid w:val="002668A8"/>
    <w:rsid w:val="00266C6A"/>
    <w:rsid w:val="00267264"/>
    <w:rsid w:val="002672CF"/>
    <w:rsid w:val="002674DA"/>
    <w:rsid w:val="002702AE"/>
    <w:rsid w:val="00270451"/>
    <w:rsid w:val="00270BBA"/>
    <w:rsid w:val="002717EA"/>
    <w:rsid w:val="002718BE"/>
    <w:rsid w:val="00272ED0"/>
    <w:rsid w:val="00272FE2"/>
    <w:rsid w:val="00273209"/>
    <w:rsid w:val="0027390A"/>
    <w:rsid w:val="002739EB"/>
    <w:rsid w:val="0027421E"/>
    <w:rsid w:val="002745F9"/>
    <w:rsid w:val="00274652"/>
    <w:rsid w:val="00275639"/>
    <w:rsid w:val="00275D57"/>
    <w:rsid w:val="00275E03"/>
    <w:rsid w:val="00276104"/>
    <w:rsid w:val="0027722B"/>
    <w:rsid w:val="002772C7"/>
    <w:rsid w:val="00277586"/>
    <w:rsid w:val="00277D7C"/>
    <w:rsid w:val="00277EC1"/>
    <w:rsid w:val="00280087"/>
    <w:rsid w:val="0028040D"/>
    <w:rsid w:val="0028044A"/>
    <w:rsid w:val="00280889"/>
    <w:rsid w:val="00280D65"/>
    <w:rsid w:val="002818A4"/>
    <w:rsid w:val="00281F75"/>
    <w:rsid w:val="002820F5"/>
    <w:rsid w:val="0028259E"/>
    <w:rsid w:val="002827BF"/>
    <w:rsid w:val="002829A0"/>
    <w:rsid w:val="00283382"/>
    <w:rsid w:val="002836B9"/>
    <w:rsid w:val="00283D41"/>
    <w:rsid w:val="00283F96"/>
    <w:rsid w:val="002842E3"/>
    <w:rsid w:val="00284309"/>
    <w:rsid w:val="00284761"/>
    <w:rsid w:val="002848CB"/>
    <w:rsid w:val="00284C6F"/>
    <w:rsid w:val="00284DD9"/>
    <w:rsid w:val="00284DEA"/>
    <w:rsid w:val="002851ED"/>
    <w:rsid w:val="002857F9"/>
    <w:rsid w:val="0028603A"/>
    <w:rsid w:val="00286808"/>
    <w:rsid w:val="00286C0E"/>
    <w:rsid w:val="00287448"/>
    <w:rsid w:val="002875BA"/>
    <w:rsid w:val="00287F24"/>
    <w:rsid w:val="002906FB"/>
    <w:rsid w:val="002912EC"/>
    <w:rsid w:val="002914DF"/>
    <w:rsid w:val="00291513"/>
    <w:rsid w:val="002920A1"/>
    <w:rsid w:val="00292331"/>
    <w:rsid w:val="002923A2"/>
    <w:rsid w:val="00292A1C"/>
    <w:rsid w:val="0029327A"/>
    <w:rsid w:val="00293D91"/>
    <w:rsid w:val="00294134"/>
    <w:rsid w:val="002945A1"/>
    <w:rsid w:val="00294958"/>
    <w:rsid w:val="00294AB0"/>
    <w:rsid w:val="002952C8"/>
    <w:rsid w:val="002953B9"/>
    <w:rsid w:val="00295A4B"/>
    <w:rsid w:val="00295E9C"/>
    <w:rsid w:val="00295F1A"/>
    <w:rsid w:val="00296477"/>
    <w:rsid w:val="00296680"/>
    <w:rsid w:val="002966BC"/>
    <w:rsid w:val="00296951"/>
    <w:rsid w:val="002969DB"/>
    <w:rsid w:val="00296CED"/>
    <w:rsid w:val="00296E95"/>
    <w:rsid w:val="0029760A"/>
    <w:rsid w:val="00297777"/>
    <w:rsid w:val="00297CBD"/>
    <w:rsid w:val="002A038C"/>
    <w:rsid w:val="002A0CC8"/>
    <w:rsid w:val="002A157E"/>
    <w:rsid w:val="002A18D7"/>
    <w:rsid w:val="002A204D"/>
    <w:rsid w:val="002A24D9"/>
    <w:rsid w:val="002A2876"/>
    <w:rsid w:val="002A3096"/>
    <w:rsid w:val="002A314A"/>
    <w:rsid w:val="002A3282"/>
    <w:rsid w:val="002A328A"/>
    <w:rsid w:val="002A37F4"/>
    <w:rsid w:val="002A3EF7"/>
    <w:rsid w:val="002A423B"/>
    <w:rsid w:val="002A449E"/>
    <w:rsid w:val="002A4C7B"/>
    <w:rsid w:val="002A4CC9"/>
    <w:rsid w:val="002A50AC"/>
    <w:rsid w:val="002A5EB5"/>
    <w:rsid w:val="002A6111"/>
    <w:rsid w:val="002A616D"/>
    <w:rsid w:val="002A65A9"/>
    <w:rsid w:val="002A7210"/>
    <w:rsid w:val="002A7BAC"/>
    <w:rsid w:val="002A7BC2"/>
    <w:rsid w:val="002B0410"/>
    <w:rsid w:val="002B11AE"/>
    <w:rsid w:val="002B1696"/>
    <w:rsid w:val="002B4122"/>
    <w:rsid w:val="002B46F0"/>
    <w:rsid w:val="002B4AF9"/>
    <w:rsid w:val="002B55A7"/>
    <w:rsid w:val="002B55D0"/>
    <w:rsid w:val="002B56B4"/>
    <w:rsid w:val="002B5ADF"/>
    <w:rsid w:val="002B61D5"/>
    <w:rsid w:val="002B634E"/>
    <w:rsid w:val="002B6790"/>
    <w:rsid w:val="002B69BC"/>
    <w:rsid w:val="002B71CB"/>
    <w:rsid w:val="002B73A1"/>
    <w:rsid w:val="002C0074"/>
    <w:rsid w:val="002C04CD"/>
    <w:rsid w:val="002C0A8F"/>
    <w:rsid w:val="002C1630"/>
    <w:rsid w:val="002C2970"/>
    <w:rsid w:val="002C323A"/>
    <w:rsid w:val="002C3337"/>
    <w:rsid w:val="002C3385"/>
    <w:rsid w:val="002C415D"/>
    <w:rsid w:val="002C4C9B"/>
    <w:rsid w:val="002C4D92"/>
    <w:rsid w:val="002C4EF4"/>
    <w:rsid w:val="002C4EFC"/>
    <w:rsid w:val="002C531C"/>
    <w:rsid w:val="002C5A70"/>
    <w:rsid w:val="002C5CA4"/>
    <w:rsid w:val="002C5E48"/>
    <w:rsid w:val="002C6E63"/>
    <w:rsid w:val="002C7ECA"/>
    <w:rsid w:val="002D03AC"/>
    <w:rsid w:val="002D0587"/>
    <w:rsid w:val="002D0A05"/>
    <w:rsid w:val="002D0DF5"/>
    <w:rsid w:val="002D1153"/>
    <w:rsid w:val="002D1AAF"/>
    <w:rsid w:val="002D1B1F"/>
    <w:rsid w:val="002D2C5B"/>
    <w:rsid w:val="002D42E8"/>
    <w:rsid w:val="002D49A7"/>
    <w:rsid w:val="002D5F3B"/>
    <w:rsid w:val="002D6322"/>
    <w:rsid w:val="002D6454"/>
    <w:rsid w:val="002D64CE"/>
    <w:rsid w:val="002D6B33"/>
    <w:rsid w:val="002D71DB"/>
    <w:rsid w:val="002D7406"/>
    <w:rsid w:val="002D74DC"/>
    <w:rsid w:val="002D790B"/>
    <w:rsid w:val="002E01D6"/>
    <w:rsid w:val="002E01E9"/>
    <w:rsid w:val="002E03E4"/>
    <w:rsid w:val="002E075B"/>
    <w:rsid w:val="002E0809"/>
    <w:rsid w:val="002E0ADB"/>
    <w:rsid w:val="002E0D4A"/>
    <w:rsid w:val="002E0E6D"/>
    <w:rsid w:val="002E1515"/>
    <w:rsid w:val="002E1FC3"/>
    <w:rsid w:val="002E213C"/>
    <w:rsid w:val="002E2C25"/>
    <w:rsid w:val="002E2C4C"/>
    <w:rsid w:val="002E3C70"/>
    <w:rsid w:val="002E3E80"/>
    <w:rsid w:val="002E3EFA"/>
    <w:rsid w:val="002E407C"/>
    <w:rsid w:val="002E4086"/>
    <w:rsid w:val="002E4338"/>
    <w:rsid w:val="002E47EC"/>
    <w:rsid w:val="002E4A89"/>
    <w:rsid w:val="002E4EA4"/>
    <w:rsid w:val="002E5091"/>
    <w:rsid w:val="002E545F"/>
    <w:rsid w:val="002E5A94"/>
    <w:rsid w:val="002E5FFC"/>
    <w:rsid w:val="002E7195"/>
    <w:rsid w:val="002E7672"/>
    <w:rsid w:val="002F00AB"/>
    <w:rsid w:val="002F0430"/>
    <w:rsid w:val="002F1197"/>
    <w:rsid w:val="002F1EB5"/>
    <w:rsid w:val="002F26DE"/>
    <w:rsid w:val="002F2716"/>
    <w:rsid w:val="002F2734"/>
    <w:rsid w:val="002F3093"/>
    <w:rsid w:val="002F41D4"/>
    <w:rsid w:val="002F4252"/>
    <w:rsid w:val="002F496D"/>
    <w:rsid w:val="002F57C8"/>
    <w:rsid w:val="002F5879"/>
    <w:rsid w:val="002F61F2"/>
    <w:rsid w:val="002F6932"/>
    <w:rsid w:val="002F6EC0"/>
    <w:rsid w:val="002F716C"/>
    <w:rsid w:val="002F7680"/>
    <w:rsid w:val="002F7A5E"/>
    <w:rsid w:val="003002CE"/>
    <w:rsid w:val="0030044A"/>
    <w:rsid w:val="00300A2F"/>
    <w:rsid w:val="003018D5"/>
    <w:rsid w:val="00302255"/>
    <w:rsid w:val="00302392"/>
    <w:rsid w:val="003039AA"/>
    <w:rsid w:val="003041E7"/>
    <w:rsid w:val="003044CB"/>
    <w:rsid w:val="0030453D"/>
    <w:rsid w:val="00304DBA"/>
    <w:rsid w:val="00304E3F"/>
    <w:rsid w:val="003052F2"/>
    <w:rsid w:val="0030536D"/>
    <w:rsid w:val="00305816"/>
    <w:rsid w:val="003067B5"/>
    <w:rsid w:val="003071E2"/>
    <w:rsid w:val="0031042F"/>
    <w:rsid w:val="00310745"/>
    <w:rsid w:val="00310A6F"/>
    <w:rsid w:val="00310B71"/>
    <w:rsid w:val="0031181D"/>
    <w:rsid w:val="00311AA7"/>
    <w:rsid w:val="00311AE5"/>
    <w:rsid w:val="00312484"/>
    <w:rsid w:val="003128E2"/>
    <w:rsid w:val="00312BE2"/>
    <w:rsid w:val="00312D33"/>
    <w:rsid w:val="0031389B"/>
    <w:rsid w:val="00313ADC"/>
    <w:rsid w:val="003156A7"/>
    <w:rsid w:val="00315A3B"/>
    <w:rsid w:val="00315BA9"/>
    <w:rsid w:val="00315FCC"/>
    <w:rsid w:val="003165F7"/>
    <w:rsid w:val="0031666B"/>
    <w:rsid w:val="00316CC4"/>
    <w:rsid w:val="003172BE"/>
    <w:rsid w:val="00317A81"/>
    <w:rsid w:val="00317EE1"/>
    <w:rsid w:val="003200DC"/>
    <w:rsid w:val="003206C4"/>
    <w:rsid w:val="00320D21"/>
    <w:rsid w:val="003213B4"/>
    <w:rsid w:val="00321A8D"/>
    <w:rsid w:val="00321EC0"/>
    <w:rsid w:val="0032219E"/>
    <w:rsid w:val="00322A67"/>
    <w:rsid w:val="00323610"/>
    <w:rsid w:val="00324A13"/>
    <w:rsid w:val="0032521C"/>
    <w:rsid w:val="003252FE"/>
    <w:rsid w:val="00325A58"/>
    <w:rsid w:val="003261D5"/>
    <w:rsid w:val="00326981"/>
    <w:rsid w:val="00326A54"/>
    <w:rsid w:val="0032707D"/>
    <w:rsid w:val="00327747"/>
    <w:rsid w:val="00327CB4"/>
    <w:rsid w:val="00330C0F"/>
    <w:rsid w:val="00330D23"/>
    <w:rsid w:val="00331457"/>
    <w:rsid w:val="003315FC"/>
    <w:rsid w:val="003317AA"/>
    <w:rsid w:val="00331E43"/>
    <w:rsid w:val="00331EB0"/>
    <w:rsid w:val="00332634"/>
    <w:rsid w:val="00332F11"/>
    <w:rsid w:val="00333B06"/>
    <w:rsid w:val="00333DEA"/>
    <w:rsid w:val="00334463"/>
    <w:rsid w:val="003344B9"/>
    <w:rsid w:val="00334FEB"/>
    <w:rsid w:val="003352FC"/>
    <w:rsid w:val="003360E8"/>
    <w:rsid w:val="003366B4"/>
    <w:rsid w:val="003367D3"/>
    <w:rsid w:val="00336BE9"/>
    <w:rsid w:val="00337707"/>
    <w:rsid w:val="00337D54"/>
    <w:rsid w:val="00340FB3"/>
    <w:rsid w:val="003416AC"/>
    <w:rsid w:val="00341993"/>
    <w:rsid w:val="0034217E"/>
    <w:rsid w:val="003422EB"/>
    <w:rsid w:val="0034230B"/>
    <w:rsid w:val="00342F1E"/>
    <w:rsid w:val="00342F70"/>
    <w:rsid w:val="003444A1"/>
    <w:rsid w:val="003448E4"/>
    <w:rsid w:val="0034532A"/>
    <w:rsid w:val="00345CAF"/>
    <w:rsid w:val="00346A44"/>
    <w:rsid w:val="00347A88"/>
    <w:rsid w:val="003502D0"/>
    <w:rsid w:val="003506A2"/>
    <w:rsid w:val="003506B0"/>
    <w:rsid w:val="003508B0"/>
    <w:rsid w:val="003515DD"/>
    <w:rsid w:val="00351F4B"/>
    <w:rsid w:val="0035219B"/>
    <w:rsid w:val="00352441"/>
    <w:rsid w:val="003527DA"/>
    <w:rsid w:val="00352AC8"/>
    <w:rsid w:val="00352E70"/>
    <w:rsid w:val="003530C7"/>
    <w:rsid w:val="003535C5"/>
    <w:rsid w:val="00353A8C"/>
    <w:rsid w:val="003552F4"/>
    <w:rsid w:val="0035537D"/>
    <w:rsid w:val="00355D06"/>
    <w:rsid w:val="00355F5F"/>
    <w:rsid w:val="00356226"/>
    <w:rsid w:val="00356342"/>
    <w:rsid w:val="00356427"/>
    <w:rsid w:val="003564DC"/>
    <w:rsid w:val="00356738"/>
    <w:rsid w:val="00357242"/>
    <w:rsid w:val="003574DB"/>
    <w:rsid w:val="003601C9"/>
    <w:rsid w:val="0036027B"/>
    <w:rsid w:val="003609D3"/>
    <w:rsid w:val="00360EAD"/>
    <w:rsid w:val="0036143C"/>
    <w:rsid w:val="003614AC"/>
    <w:rsid w:val="003615B7"/>
    <w:rsid w:val="00361837"/>
    <w:rsid w:val="0036228A"/>
    <w:rsid w:val="003623E0"/>
    <w:rsid w:val="00364031"/>
    <w:rsid w:val="00364540"/>
    <w:rsid w:val="003648F2"/>
    <w:rsid w:val="00364D1A"/>
    <w:rsid w:val="003661CA"/>
    <w:rsid w:val="0036676B"/>
    <w:rsid w:val="003668D3"/>
    <w:rsid w:val="00366C76"/>
    <w:rsid w:val="00367195"/>
    <w:rsid w:val="0036729E"/>
    <w:rsid w:val="00367E16"/>
    <w:rsid w:val="00370056"/>
    <w:rsid w:val="003707DC"/>
    <w:rsid w:val="003707F8"/>
    <w:rsid w:val="00370F49"/>
    <w:rsid w:val="0037127D"/>
    <w:rsid w:val="003717F4"/>
    <w:rsid w:val="003718FE"/>
    <w:rsid w:val="00371B0B"/>
    <w:rsid w:val="0037237A"/>
    <w:rsid w:val="00372BF0"/>
    <w:rsid w:val="00372C56"/>
    <w:rsid w:val="00373082"/>
    <w:rsid w:val="003739AE"/>
    <w:rsid w:val="00373FDA"/>
    <w:rsid w:val="0037415F"/>
    <w:rsid w:val="0037441C"/>
    <w:rsid w:val="00374613"/>
    <w:rsid w:val="003748DA"/>
    <w:rsid w:val="00374A03"/>
    <w:rsid w:val="00375017"/>
    <w:rsid w:val="00376071"/>
    <w:rsid w:val="0037627B"/>
    <w:rsid w:val="00376564"/>
    <w:rsid w:val="0037682C"/>
    <w:rsid w:val="003768B7"/>
    <w:rsid w:val="00376E53"/>
    <w:rsid w:val="0037700A"/>
    <w:rsid w:val="0037703B"/>
    <w:rsid w:val="00377108"/>
    <w:rsid w:val="00377198"/>
    <w:rsid w:val="003771B4"/>
    <w:rsid w:val="00377475"/>
    <w:rsid w:val="003779F8"/>
    <w:rsid w:val="00377CEB"/>
    <w:rsid w:val="00380670"/>
    <w:rsid w:val="00380843"/>
    <w:rsid w:val="00380DE7"/>
    <w:rsid w:val="003813F9"/>
    <w:rsid w:val="0038157B"/>
    <w:rsid w:val="00382159"/>
    <w:rsid w:val="00382539"/>
    <w:rsid w:val="0038256E"/>
    <w:rsid w:val="00382A58"/>
    <w:rsid w:val="00382E0B"/>
    <w:rsid w:val="0038310E"/>
    <w:rsid w:val="00384152"/>
    <w:rsid w:val="003841C3"/>
    <w:rsid w:val="003846C4"/>
    <w:rsid w:val="00384925"/>
    <w:rsid w:val="00384EDD"/>
    <w:rsid w:val="0038549A"/>
    <w:rsid w:val="003856D5"/>
    <w:rsid w:val="00386010"/>
    <w:rsid w:val="00386209"/>
    <w:rsid w:val="003864FD"/>
    <w:rsid w:val="0038781C"/>
    <w:rsid w:val="003878E8"/>
    <w:rsid w:val="00390531"/>
    <w:rsid w:val="00392676"/>
    <w:rsid w:val="00392771"/>
    <w:rsid w:val="00392A57"/>
    <w:rsid w:val="00392BA7"/>
    <w:rsid w:val="0039329A"/>
    <w:rsid w:val="003935F2"/>
    <w:rsid w:val="003941C8"/>
    <w:rsid w:val="0039449B"/>
    <w:rsid w:val="00394910"/>
    <w:rsid w:val="00394973"/>
    <w:rsid w:val="00394F8A"/>
    <w:rsid w:val="00395328"/>
    <w:rsid w:val="00395646"/>
    <w:rsid w:val="003958CC"/>
    <w:rsid w:val="00395F78"/>
    <w:rsid w:val="00397EBC"/>
    <w:rsid w:val="003A0151"/>
    <w:rsid w:val="003A09C5"/>
    <w:rsid w:val="003A0F19"/>
    <w:rsid w:val="003A1123"/>
    <w:rsid w:val="003A14F7"/>
    <w:rsid w:val="003A18BF"/>
    <w:rsid w:val="003A1F36"/>
    <w:rsid w:val="003A2030"/>
    <w:rsid w:val="003A2157"/>
    <w:rsid w:val="003A2C24"/>
    <w:rsid w:val="003A380A"/>
    <w:rsid w:val="003A3A58"/>
    <w:rsid w:val="003A45FB"/>
    <w:rsid w:val="003A5293"/>
    <w:rsid w:val="003A529F"/>
    <w:rsid w:val="003A53F5"/>
    <w:rsid w:val="003A541A"/>
    <w:rsid w:val="003A55EA"/>
    <w:rsid w:val="003A5FDB"/>
    <w:rsid w:val="003A67C0"/>
    <w:rsid w:val="003A6C63"/>
    <w:rsid w:val="003A780E"/>
    <w:rsid w:val="003B00D5"/>
    <w:rsid w:val="003B3096"/>
    <w:rsid w:val="003B30D8"/>
    <w:rsid w:val="003B314A"/>
    <w:rsid w:val="003B3A46"/>
    <w:rsid w:val="003B3E1B"/>
    <w:rsid w:val="003B3EF0"/>
    <w:rsid w:val="003B4480"/>
    <w:rsid w:val="003B4C68"/>
    <w:rsid w:val="003B50BE"/>
    <w:rsid w:val="003B5BB8"/>
    <w:rsid w:val="003B60BA"/>
    <w:rsid w:val="003B672E"/>
    <w:rsid w:val="003B6CF6"/>
    <w:rsid w:val="003B6F7B"/>
    <w:rsid w:val="003B6FB6"/>
    <w:rsid w:val="003B709D"/>
    <w:rsid w:val="003B7478"/>
    <w:rsid w:val="003B76AE"/>
    <w:rsid w:val="003B7AB2"/>
    <w:rsid w:val="003B7BCD"/>
    <w:rsid w:val="003C0290"/>
    <w:rsid w:val="003C03B8"/>
    <w:rsid w:val="003C0954"/>
    <w:rsid w:val="003C1E5C"/>
    <w:rsid w:val="003C22C3"/>
    <w:rsid w:val="003C2709"/>
    <w:rsid w:val="003C271A"/>
    <w:rsid w:val="003C28DB"/>
    <w:rsid w:val="003C30D4"/>
    <w:rsid w:val="003C326E"/>
    <w:rsid w:val="003C39AC"/>
    <w:rsid w:val="003C3C3B"/>
    <w:rsid w:val="003C4434"/>
    <w:rsid w:val="003C4813"/>
    <w:rsid w:val="003C4C26"/>
    <w:rsid w:val="003C4CE9"/>
    <w:rsid w:val="003C50E9"/>
    <w:rsid w:val="003C5DFF"/>
    <w:rsid w:val="003C5F71"/>
    <w:rsid w:val="003C68AD"/>
    <w:rsid w:val="003C7860"/>
    <w:rsid w:val="003C7886"/>
    <w:rsid w:val="003C7A78"/>
    <w:rsid w:val="003D0800"/>
    <w:rsid w:val="003D1907"/>
    <w:rsid w:val="003D1E80"/>
    <w:rsid w:val="003D200F"/>
    <w:rsid w:val="003D2497"/>
    <w:rsid w:val="003D2922"/>
    <w:rsid w:val="003D2A2F"/>
    <w:rsid w:val="003D305C"/>
    <w:rsid w:val="003D3817"/>
    <w:rsid w:val="003D4053"/>
    <w:rsid w:val="003D40C0"/>
    <w:rsid w:val="003D451F"/>
    <w:rsid w:val="003D5311"/>
    <w:rsid w:val="003D60EA"/>
    <w:rsid w:val="003D61BA"/>
    <w:rsid w:val="003D689A"/>
    <w:rsid w:val="003D68B2"/>
    <w:rsid w:val="003D68E9"/>
    <w:rsid w:val="003D70F5"/>
    <w:rsid w:val="003D7CBE"/>
    <w:rsid w:val="003D7FC5"/>
    <w:rsid w:val="003E000D"/>
    <w:rsid w:val="003E1393"/>
    <w:rsid w:val="003E1CFD"/>
    <w:rsid w:val="003E2441"/>
    <w:rsid w:val="003E27A5"/>
    <w:rsid w:val="003E382A"/>
    <w:rsid w:val="003E3D13"/>
    <w:rsid w:val="003E40AE"/>
    <w:rsid w:val="003E4949"/>
    <w:rsid w:val="003E4A49"/>
    <w:rsid w:val="003E4EDC"/>
    <w:rsid w:val="003E52A2"/>
    <w:rsid w:val="003E55D7"/>
    <w:rsid w:val="003E5978"/>
    <w:rsid w:val="003E5BF6"/>
    <w:rsid w:val="003E5CF9"/>
    <w:rsid w:val="003E660B"/>
    <w:rsid w:val="003E6A21"/>
    <w:rsid w:val="003E6A31"/>
    <w:rsid w:val="003E6AFF"/>
    <w:rsid w:val="003E6D7F"/>
    <w:rsid w:val="003F0779"/>
    <w:rsid w:val="003F19B8"/>
    <w:rsid w:val="003F1B86"/>
    <w:rsid w:val="003F1CC0"/>
    <w:rsid w:val="003F1DC7"/>
    <w:rsid w:val="003F246F"/>
    <w:rsid w:val="003F2718"/>
    <w:rsid w:val="003F29CD"/>
    <w:rsid w:val="003F2AA5"/>
    <w:rsid w:val="003F2DE8"/>
    <w:rsid w:val="003F3A92"/>
    <w:rsid w:val="003F3DD7"/>
    <w:rsid w:val="003F3FB7"/>
    <w:rsid w:val="003F42B0"/>
    <w:rsid w:val="003F4647"/>
    <w:rsid w:val="003F4ABB"/>
    <w:rsid w:val="003F4CB0"/>
    <w:rsid w:val="003F4CBC"/>
    <w:rsid w:val="003F6345"/>
    <w:rsid w:val="003F7165"/>
    <w:rsid w:val="003F7273"/>
    <w:rsid w:val="003F75ED"/>
    <w:rsid w:val="003F77A2"/>
    <w:rsid w:val="003F7E04"/>
    <w:rsid w:val="00400503"/>
    <w:rsid w:val="0040080F"/>
    <w:rsid w:val="00400A32"/>
    <w:rsid w:val="00400DCE"/>
    <w:rsid w:val="00400FE8"/>
    <w:rsid w:val="00401806"/>
    <w:rsid w:val="00401CF0"/>
    <w:rsid w:val="00402E52"/>
    <w:rsid w:val="00403286"/>
    <w:rsid w:val="004033B2"/>
    <w:rsid w:val="004039BE"/>
    <w:rsid w:val="0040451F"/>
    <w:rsid w:val="00404BD6"/>
    <w:rsid w:val="00404E25"/>
    <w:rsid w:val="00404F17"/>
    <w:rsid w:val="004052D0"/>
    <w:rsid w:val="00405433"/>
    <w:rsid w:val="004055C0"/>
    <w:rsid w:val="00406E2A"/>
    <w:rsid w:val="00407111"/>
    <w:rsid w:val="00407653"/>
    <w:rsid w:val="00407A70"/>
    <w:rsid w:val="004101BC"/>
    <w:rsid w:val="004103CA"/>
    <w:rsid w:val="004105E7"/>
    <w:rsid w:val="00410C25"/>
    <w:rsid w:val="00410DAF"/>
    <w:rsid w:val="00410FF6"/>
    <w:rsid w:val="00411577"/>
    <w:rsid w:val="00412C80"/>
    <w:rsid w:val="00412CAF"/>
    <w:rsid w:val="00412D09"/>
    <w:rsid w:val="00412E98"/>
    <w:rsid w:val="00412F77"/>
    <w:rsid w:val="00413498"/>
    <w:rsid w:val="0041364C"/>
    <w:rsid w:val="00414389"/>
    <w:rsid w:val="004144B9"/>
    <w:rsid w:val="00414860"/>
    <w:rsid w:val="00415305"/>
    <w:rsid w:val="00415840"/>
    <w:rsid w:val="00415DFE"/>
    <w:rsid w:val="00415E38"/>
    <w:rsid w:val="004160D1"/>
    <w:rsid w:val="0041635B"/>
    <w:rsid w:val="004168EA"/>
    <w:rsid w:val="00416B36"/>
    <w:rsid w:val="00416ED6"/>
    <w:rsid w:val="004208B5"/>
    <w:rsid w:val="004209A9"/>
    <w:rsid w:val="00420BBB"/>
    <w:rsid w:val="0042113F"/>
    <w:rsid w:val="00421173"/>
    <w:rsid w:val="004216A3"/>
    <w:rsid w:val="00421746"/>
    <w:rsid w:val="00422515"/>
    <w:rsid w:val="00422542"/>
    <w:rsid w:val="004227EA"/>
    <w:rsid w:val="00422BC9"/>
    <w:rsid w:val="00422E48"/>
    <w:rsid w:val="0042355A"/>
    <w:rsid w:val="00423B40"/>
    <w:rsid w:val="00424675"/>
    <w:rsid w:val="004246D2"/>
    <w:rsid w:val="00424CE8"/>
    <w:rsid w:val="00424E9E"/>
    <w:rsid w:val="00424F46"/>
    <w:rsid w:val="00424F73"/>
    <w:rsid w:val="0042568C"/>
    <w:rsid w:val="00425A7C"/>
    <w:rsid w:val="00425D70"/>
    <w:rsid w:val="0042660C"/>
    <w:rsid w:val="0042705E"/>
    <w:rsid w:val="00430FA1"/>
    <w:rsid w:val="00431418"/>
    <w:rsid w:val="0043187C"/>
    <w:rsid w:val="00432AE2"/>
    <w:rsid w:val="00432B39"/>
    <w:rsid w:val="00432D6A"/>
    <w:rsid w:val="00433687"/>
    <w:rsid w:val="00433998"/>
    <w:rsid w:val="00434E33"/>
    <w:rsid w:val="00435D4D"/>
    <w:rsid w:val="00435DB9"/>
    <w:rsid w:val="00435DFF"/>
    <w:rsid w:val="0043660E"/>
    <w:rsid w:val="0043696D"/>
    <w:rsid w:val="0043782A"/>
    <w:rsid w:val="0043788A"/>
    <w:rsid w:val="00437C9A"/>
    <w:rsid w:val="00440613"/>
    <w:rsid w:val="00440DA7"/>
    <w:rsid w:val="004410BF"/>
    <w:rsid w:val="00441305"/>
    <w:rsid w:val="004415E1"/>
    <w:rsid w:val="0044197D"/>
    <w:rsid w:val="00441BAA"/>
    <w:rsid w:val="00441C28"/>
    <w:rsid w:val="004425F5"/>
    <w:rsid w:val="004429D6"/>
    <w:rsid w:val="00442A52"/>
    <w:rsid w:val="00442E72"/>
    <w:rsid w:val="00442EEE"/>
    <w:rsid w:val="00443746"/>
    <w:rsid w:val="0044479E"/>
    <w:rsid w:val="00444F3B"/>
    <w:rsid w:val="00445E23"/>
    <w:rsid w:val="004466C9"/>
    <w:rsid w:val="004469AE"/>
    <w:rsid w:val="00446F1B"/>
    <w:rsid w:val="00447394"/>
    <w:rsid w:val="00447762"/>
    <w:rsid w:val="00447DC7"/>
    <w:rsid w:val="004508DB"/>
    <w:rsid w:val="00450F4F"/>
    <w:rsid w:val="00451C57"/>
    <w:rsid w:val="00451CED"/>
    <w:rsid w:val="00453057"/>
    <w:rsid w:val="00453221"/>
    <w:rsid w:val="00453905"/>
    <w:rsid w:val="00453BEE"/>
    <w:rsid w:val="00453DAC"/>
    <w:rsid w:val="0045408F"/>
    <w:rsid w:val="0045473A"/>
    <w:rsid w:val="00454FF5"/>
    <w:rsid w:val="00455120"/>
    <w:rsid w:val="004552A1"/>
    <w:rsid w:val="00455472"/>
    <w:rsid w:val="00455EFF"/>
    <w:rsid w:val="00456DD1"/>
    <w:rsid w:val="00457607"/>
    <w:rsid w:val="00457EAB"/>
    <w:rsid w:val="00457F53"/>
    <w:rsid w:val="00460A7E"/>
    <w:rsid w:val="00460D52"/>
    <w:rsid w:val="004619F2"/>
    <w:rsid w:val="00461B2B"/>
    <w:rsid w:val="00462792"/>
    <w:rsid w:val="00462BBE"/>
    <w:rsid w:val="00463633"/>
    <w:rsid w:val="004637C3"/>
    <w:rsid w:val="00463C06"/>
    <w:rsid w:val="00464001"/>
    <w:rsid w:val="00464283"/>
    <w:rsid w:val="004644F9"/>
    <w:rsid w:val="004647C7"/>
    <w:rsid w:val="00464B8D"/>
    <w:rsid w:val="004655DF"/>
    <w:rsid w:val="00465854"/>
    <w:rsid w:val="00466957"/>
    <w:rsid w:val="00467502"/>
    <w:rsid w:val="004703EB"/>
    <w:rsid w:val="00470599"/>
    <w:rsid w:val="00472137"/>
    <w:rsid w:val="00472157"/>
    <w:rsid w:val="00472832"/>
    <w:rsid w:val="00472BAD"/>
    <w:rsid w:val="00472EA2"/>
    <w:rsid w:val="00473205"/>
    <w:rsid w:val="00473EEA"/>
    <w:rsid w:val="00473FD8"/>
    <w:rsid w:val="004746BB"/>
    <w:rsid w:val="0047516B"/>
    <w:rsid w:val="00475405"/>
    <w:rsid w:val="0047563F"/>
    <w:rsid w:val="00476542"/>
    <w:rsid w:val="0047662E"/>
    <w:rsid w:val="00476E98"/>
    <w:rsid w:val="004771C4"/>
    <w:rsid w:val="004773E3"/>
    <w:rsid w:val="00477816"/>
    <w:rsid w:val="00477B9D"/>
    <w:rsid w:val="00480B67"/>
    <w:rsid w:val="00480E60"/>
    <w:rsid w:val="00480F52"/>
    <w:rsid w:val="00481144"/>
    <w:rsid w:val="004823DD"/>
    <w:rsid w:val="00482472"/>
    <w:rsid w:val="00482768"/>
    <w:rsid w:val="00482FC7"/>
    <w:rsid w:val="0048392D"/>
    <w:rsid w:val="00483A4B"/>
    <w:rsid w:val="00483E07"/>
    <w:rsid w:val="00484494"/>
    <w:rsid w:val="00484696"/>
    <w:rsid w:val="004857F0"/>
    <w:rsid w:val="00485D0E"/>
    <w:rsid w:val="00486518"/>
    <w:rsid w:val="00486B6F"/>
    <w:rsid w:val="00486D6C"/>
    <w:rsid w:val="004908B4"/>
    <w:rsid w:val="00491411"/>
    <w:rsid w:val="00491509"/>
    <w:rsid w:val="00491606"/>
    <w:rsid w:val="00491841"/>
    <w:rsid w:val="0049195C"/>
    <w:rsid w:val="00492F90"/>
    <w:rsid w:val="004931D8"/>
    <w:rsid w:val="00493252"/>
    <w:rsid w:val="00493651"/>
    <w:rsid w:val="00493AF9"/>
    <w:rsid w:val="00493F64"/>
    <w:rsid w:val="00494704"/>
    <w:rsid w:val="004949AC"/>
    <w:rsid w:val="004954F3"/>
    <w:rsid w:val="00495900"/>
    <w:rsid w:val="004961E2"/>
    <w:rsid w:val="0049620F"/>
    <w:rsid w:val="00496EE9"/>
    <w:rsid w:val="004A0C26"/>
    <w:rsid w:val="004A1C28"/>
    <w:rsid w:val="004A235F"/>
    <w:rsid w:val="004A23EE"/>
    <w:rsid w:val="004A255E"/>
    <w:rsid w:val="004A271E"/>
    <w:rsid w:val="004A2891"/>
    <w:rsid w:val="004A29F2"/>
    <w:rsid w:val="004A3149"/>
    <w:rsid w:val="004A32E4"/>
    <w:rsid w:val="004A33BD"/>
    <w:rsid w:val="004A38A9"/>
    <w:rsid w:val="004A3EC7"/>
    <w:rsid w:val="004A513E"/>
    <w:rsid w:val="004A54B0"/>
    <w:rsid w:val="004A6087"/>
    <w:rsid w:val="004A6497"/>
    <w:rsid w:val="004A6672"/>
    <w:rsid w:val="004A6996"/>
    <w:rsid w:val="004A7435"/>
    <w:rsid w:val="004A7742"/>
    <w:rsid w:val="004A7745"/>
    <w:rsid w:val="004A7A50"/>
    <w:rsid w:val="004B0D70"/>
    <w:rsid w:val="004B133D"/>
    <w:rsid w:val="004B14DA"/>
    <w:rsid w:val="004B176E"/>
    <w:rsid w:val="004B17FE"/>
    <w:rsid w:val="004B1881"/>
    <w:rsid w:val="004B1A41"/>
    <w:rsid w:val="004B1B06"/>
    <w:rsid w:val="004B1E6C"/>
    <w:rsid w:val="004B1F86"/>
    <w:rsid w:val="004B2197"/>
    <w:rsid w:val="004B2421"/>
    <w:rsid w:val="004B2543"/>
    <w:rsid w:val="004B2554"/>
    <w:rsid w:val="004B2B03"/>
    <w:rsid w:val="004B31C0"/>
    <w:rsid w:val="004B330C"/>
    <w:rsid w:val="004B3602"/>
    <w:rsid w:val="004B4068"/>
    <w:rsid w:val="004B5436"/>
    <w:rsid w:val="004B5AC7"/>
    <w:rsid w:val="004B5DB8"/>
    <w:rsid w:val="004B5ED4"/>
    <w:rsid w:val="004B6336"/>
    <w:rsid w:val="004B66C7"/>
    <w:rsid w:val="004B6908"/>
    <w:rsid w:val="004B6FAF"/>
    <w:rsid w:val="004B7078"/>
    <w:rsid w:val="004B7416"/>
    <w:rsid w:val="004B75E9"/>
    <w:rsid w:val="004B7646"/>
    <w:rsid w:val="004B797E"/>
    <w:rsid w:val="004B7BFE"/>
    <w:rsid w:val="004B7DDE"/>
    <w:rsid w:val="004C00E4"/>
    <w:rsid w:val="004C123F"/>
    <w:rsid w:val="004C2083"/>
    <w:rsid w:val="004C22DC"/>
    <w:rsid w:val="004C256D"/>
    <w:rsid w:val="004C2714"/>
    <w:rsid w:val="004C2E78"/>
    <w:rsid w:val="004C3221"/>
    <w:rsid w:val="004C3A61"/>
    <w:rsid w:val="004C3DC1"/>
    <w:rsid w:val="004C475D"/>
    <w:rsid w:val="004C4862"/>
    <w:rsid w:val="004C4A6B"/>
    <w:rsid w:val="004C51C5"/>
    <w:rsid w:val="004C566C"/>
    <w:rsid w:val="004C5CEC"/>
    <w:rsid w:val="004C5FF0"/>
    <w:rsid w:val="004C61F7"/>
    <w:rsid w:val="004C679C"/>
    <w:rsid w:val="004C7248"/>
    <w:rsid w:val="004C75B7"/>
    <w:rsid w:val="004C79A2"/>
    <w:rsid w:val="004C7C33"/>
    <w:rsid w:val="004C7E84"/>
    <w:rsid w:val="004C7F6A"/>
    <w:rsid w:val="004D0BF2"/>
    <w:rsid w:val="004D105B"/>
    <w:rsid w:val="004D110E"/>
    <w:rsid w:val="004D131E"/>
    <w:rsid w:val="004D162A"/>
    <w:rsid w:val="004D1743"/>
    <w:rsid w:val="004D1AB8"/>
    <w:rsid w:val="004D208C"/>
    <w:rsid w:val="004D21F4"/>
    <w:rsid w:val="004D22FB"/>
    <w:rsid w:val="004D24DC"/>
    <w:rsid w:val="004D2617"/>
    <w:rsid w:val="004D2652"/>
    <w:rsid w:val="004D2DD1"/>
    <w:rsid w:val="004D2DFC"/>
    <w:rsid w:val="004D34C2"/>
    <w:rsid w:val="004D3E10"/>
    <w:rsid w:val="004D42EA"/>
    <w:rsid w:val="004D4951"/>
    <w:rsid w:val="004D5C1F"/>
    <w:rsid w:val="004D5C95"/>
    <w:rsid w:val="004D7175"/>
    <w:rsid w:val="004D7192"/>
    <w:rsid w:val="004D7C5F"/>
    <w:rsid w:val="004E0105"/>
    <w:rsid w:val="004E03DE"/>
    <w:rsid w:val="004E0EA5"/>
    <w:rsid w:val="004E10E5"/>
    <w:rsid w:val="004E193D"/>
    <w:rsid w:val="004E20B1"/>
    <w:rsid w:val="004E2311"/>
    <w:rsid w:val="004E24A4"/>
    <w:rsid w:val="004E2C98"/>
    <w:rsid w:val="004E2FE9"/>
    <w:rsid w:val="004E342B"/>
    <w:rsid w:val="004E398C"/>
    <w:rsid w:val="004E3A1D"/>
    <w:rsid w:val="004E3A3F"/>
    <w:rsid w:val="004E3CE8"/>
    <w:rsid w:val="004E3D08"/>
    <w:rsid w:val="004E3E0F"/>
    <w:rsid w:val="004E47C3"/>
    <w:rsid w:val="004E4B83"/>
    <w:rsid w:val="004E58EA"/>
    <w:rsid w:val="004E5ABE"/>
    <w:rsid w:val="004E6804"/>
    <w:rsid w:val="004E7617"/>
    <w:rsid w:val="004E7F7E"/>
    <w:rsid w:val="004F0373"/>
    <w:rsid w:val="004F054B"/>
    <w:rsid w:val="004F10E3"/>
    <w:rsid w:val="004F150C"/>
    <w:rsid w:val="004F1F97"/>
    <w:rsid w:val="004F2E24"/>
    <w:rsid w:val="004F323D"/>
    <w:rsid w:val="004F3C50"/>
    <w:rsid w:val="004F4597"/>
    <w:rsid w:val="004F4C38"/>
    <w:rsid w:val="004F4ECC"/>
    <w:rsid w:val="004F5074"/>
    <w:rsid w:val="004F5292"/>
    <w:rsid w:val="004F5A62"/>
    <w:rsid w:val="004F5BE4"/>
    <w:rsid w:val="004F6047"/>
    <w:rsid w:val="004F6665"/>
    <w:rsid w:val="004F69E4"/>
    <w:rsid w:val="004F6F94"/>
    <w:rsid w:val="004F71C7"/>
    <w:rsid w:val="004F71F2"/>
    <w:rsid w:val="004F748E"/>
    <w:rsid w:val="00500157"/>
    <w:rsid w:val="0050088B"/>
    <w:rsid w:val="00500AB2"/>
    <w:rsid w:val="00500D56"/>
    <w:rsid w:val="00500E29"/>
    <w:rsid w:val="005019D1"/>
    <w:rsid w:val="00501EA8"/>
    <w:rsid w:val="00502051"/>
    <w:rsid w:val="00502185"/>
    <w:rsid w:val="00502706"/>
    <w:rsid w:val="0050296B"/>
    <w:rsid w:val="00503735"/>
    <w:rsid w:val="00504875"/>
    <w:rsid w:val="0050572C"/>
    <w:rsid w:val="00505824"/>
    <w:rsid w:val="00505DC6"/>
    <w:rsid w:val="00506EA8"/>
    <w:rsid w:val="00507600"/>
    <w:rsid w:val="005077CB"/>
    <w:rsid w:val="0051048A"/>
    <w:rsid w:val="00511AB2"/>
    <w:rsid w:val="00512ACB"/>
    <w:rsid w:val="00512BA0"/>
    <w:rsid w:val="005133EB"/>
    <w:rsid w:val="00513653"/>
    <w:rsid w:val="00513879"/>
    <w:rsid w:val="00514189"/>
    <w:rsid w:val="005141C0"/>
    <w:rsid w:val="00514322"/>
    <w:rsid w:val="0051502E"/>
    <w:rsid w:val="00515131"/>
    <w:rsid w:val="00515E41"/>
    <w:rsid w:val="005160FC"/>
    <w:rsid w:val="0051696B"/>
    <w:rsid w:val="0051728E"/>
    <w:rsid w:val="0051777D"/>
    <w:rsid w:val="00517AA6"/>
    <w:rsid w:val="00517B8A"/>
    <w:rsid w:val="00517BAC"/>
    <w:rsid w:val="00520835"/>
    <w:rsid w:val="00520E36"/>
    <w:rsid w:val="0052103A"/>
    <w:rsid w:val="005214DD"/>
    <w:rsid w:val="005214E1"/>
    <w:rsid w:val="00521548"/>
    <w:rsid w:val="00522455"/>
    <w:rsid w:val="005227A7"/>
    <w:rsid w:val="00523871"/>
    <w:rsid w:val="00524285"/>
    <w:rsid w:val="00525BE7"/>
    <w:rsid w:val="00526444"/>
    <w:rsid w:val="005264A8"/>
    <w:rsid w:val="0052693A"/>
    <w:rsid w:val="00531471"/>
    <w:rsid w:val="005321F9"/>
    <w:rsid w:val="005321FE"/>
    <w:rsid w:val="00532CED"/>
    <w:rsid w:val="005338B3"/>
    <w:rsid w:val="00533AEC"/>
    <w:rsid w:val="0053410E"/>
    <w:rsid w:val="00535159"/>
    <w:rsid w:val="005353FE"/>
    <w:rsid w:val="00535E5C"/>
    <w:rsid w:val="00535F5A"/>
    <w:rsid w:val="00536BE1"/>
    <w:rsid w:val="005379E6"/>
    <w:rsid w:val="00537C3C"/>
    <w:rsid w:val="00537FAD"/>
    <w:rsid w:val="00540A8E"/>
    <w:rsid w:val="00540B81"/>
    <w:rsid w:val="00541793"/>
    <w:rsid w:val="005423DE"/>
    <w:rsid w:val="00543B99"/>
    <w:rsid w:val="00544578"/>
    <w:rsid w:val="005446C0"/>
    <w:rsid w:val="005449E4"/>
    <w:rsid w:val="00544C00"/>
    <w:rsid w:val="0054514C"/>
    <w:rsid w:val="005452AC"/>
    <w:rsid w:val="00545542"/>
    <w:rsid w:val="00545641"/>
    <w:rsid w:val="0054671A"/>
    <w:rsid w:val="00546920"/>
    <w:rsid w:val="00546B55"/>
    <w:rsid w:val="005471E1"/>
    <w:rsid w:val="00547B6E"/>
    <w:rsid w:val="005503E3"/>
    <w:rsid w:val="005509EA"/>
    <w:rsid w:val="00550F01"/>
    <w:rsid w:val="00551108"/>
    <w:rsid w:val="0055193D"/>
    <w:rsid w:val="0055197B"/>
    <w:rsid w:val="00551EC2"/>
    <w:rsid w:val="005527A7"/>
    <w:rsid w:val="005529AB"/>
    <w:rsid w:val="00552DB7"/>
    <w:rsid w:val="00552ED4"/>
    <w:rsid w:val="00552FC3"/>
    <w:rsid w:val="00553079"/>
    <w:rsid w:val="00553A36"/>
    <w:rsid w:val="00553F84"/>
    <w:rsid w:val="0055417C"/>
    <w:rsid w:val="0055442E"/>
    <w:rsid w:val="005546D5"/>
    <w:rsid w:val="00554BC3"/>
    <w:rsid w:val="00555B10"/>
    <w:rsid w:val="005560F7"/>
    <w:rsid w:val="0055625C"/>
    <w:rsid w:val="00556271"/>
    <w:rsid w:val="00557709"/>
    <w:rsid w:val="00557B0B"/>
    <w:rsid w:val="005607F0"/>
    <w:rsid w:val="00560F30"/>
    <w:rsid w:val="005623DB"/>
    <w:rsid w:val="005623F5"/>
    <w:rsid w:val="00562F3F"/>
    <w:rsid w:val="00563688"/>
    <w:rsid w:val="00563D0A"/>
    <w:rsid w:val="005652BF"/>
    <w:rsid w:val="005652DC"/>
    <w:rsid w:val="005658CA"/>
    <w:rsid w:val="005658EA"/>
    <w:rsid w:val="00565974"/>
    <w:rsid w:val="00565D0D"/>
    <w:rsid w:val="00565EF7"/>
    <w:rsid w:val="0056657C"/>
    <w:rsid w:val="0056676D"/>
    <w:rsid w:val="00566FCE"/>
    <w:rsid w:val="005673EB"/>
    <w:rsid w:val="00567FAA"/>
    <w:rsid w:val="00570718"/>
    <w:rsid w:val="00570AB2"/>
    <w:rsid w:val="00570CD9"/>
    <w:rsid w:val="00570DD5"/>
    <w:rsid w:val="00571020"/>
    <w:rsid w:val="005715C8"/>
    <w:rsid w:val="00571E2A"/>
    <w:rsid w:val="005722C1"/>
    <w:rsid w:val="00572334"/>
    <w:rsid w:val="00572471"/>
    <w:rsid w:val="00572858"/>
    <w:rsid w:val="00572970"/>
    <w:rsid w:val="00572A0D"/>
    <w:rsid w:val="0057311B"/>
    <w:rsid w:val="0057346B"/>
    <w:rsid w:val="0057357A"/>
    <w:rsid w:val="005741C6"/>
    <w:rsid w:val="005749E3"/>
    <w:rsid w:val="00574C92"/>
    <w:rsid w:val="00575256"/>
    <w:rsid w:val="00575324"/>
    <w:rsid w:val="005754AC"/>
    <w:rsid w:val="005756A3"/>
    <w:rsid w:val="00575D7E"/>
    <w:rsid w:val="005760CD"/>
    <w:rsid w:val="00576B86"/>
    <w:rsid w:val="00577918"/>
    <w:rsid w:val="00577AFE"/>
    <w:rsid w:val="00577B9C"/>
    <w:rsid w:val="00577E4A"/>
    <w:rsid w:val="00580A83"/>
    <w:rsid w:val="00580CD4"/>
    <w:rsid w:val="00580DC5"/>
    <w:rsid w:val="005813EA"/>
    <w:rsid w:val="005820DC"/>
    <w:rsid w:val="00582267"/>
    <w:rsid w:val="005824CB"/>
    <w:rsid w:val="00582A0D"/>
    <w:rsid w:val="00582C9F"/>
    <w:rsid w:val="00582E7E"/>
    <w:rsid w:val="00583243"/>
    <w:rsid w:val="00583525"/>
    <w:rsid w:val="00583814"/>
    <w:rsid w:val="005838A8"/>
    <w:rsid w:val="00584077"/>
    <w:rsid w:val="00584186"/>
    <w:rsid w:val="005847BB"/>
    <w:rsid w:val="00584A2D"/>
    <w:rsid w:val="00584EA9"/>
    <w:rsid w:val="00585324"/>
    <w:rsid w:val="005854FB"/>
    <w:rsid w:val="005855A7"/>
    <w:rsid w:val="00585F0B"/>
    <w:rsid w:val="00586938"/>
    <w:rsid w:val="00587629"/>
    <w:rsid w:val="0058799B"/>
    <w:rsid w:val="00587DA8"/>
    <w:rsid w:val="00590A80"/>
    <w:rsid w:val="0059102F"/>
    <w:rsid w:val="005917A4"/>
    <w:rsid w:val="00591A2F"/>
    <w:rsid w:val="00591FAF"/>
    <w:rsid w:val="00592101"/>
    <w:rsid w:val="005921CA"/>
    <w:rsid w:val="00592C54"/>
    <w:rsid w:val="00592EAF"/>
    <w:rsid w:val="0059337D"/>
    <w:rsid w:val="005934A5"/>
    <w:rsid w:val="00593BB3"/>
    <w:rsid w:val="005961F0"/>
    <w:rsid w:val="00596352"/>
    <w:rsid w:val="00596368"/>
    <w:rsid w:val="00597C3C"/>
    <w:rsid w:val="00597F0C"/>
    <w:rsid w:val="005A0C73"/>
    <w:rsid w:val="005A0EC6"/>
    <w:rsid w:val="005A1C2C"/>
    <w:rsid w:val="005A28E1"/>
    <w:rsid w:val="005A2A4C"/>
    <w:rsid w:val="005A2CB5"/>
    <w:rsid w:val="005A31E0"/>
    <w:rsid w:val="005A33E2"/>
    <w:rsid w:val="005A4583"/>
    <w:rsid w:val="005A4842"/>
    <w:rsid w:val="005A49C1"/>
    <w:rsid w:val="005A5814"/>
    <w:rsid w:val="005A6FC3"/>
    <w:rsid w:val="005A7135"/>
    <w:rsid w:val="005A763A"/>
    <w:rsid w:val="005A7A20"/>
    <w:rsid w:val="005B005D"/>
    <w:rsid w:val="005B04E6"/>
    <w:rsid w:val="005B0E34"/>
    <w:rsid w:val="005B2153"/>
    <w:rsid w:val="005B25F5"/>
    <w:rsid w:val="005B2BDD"/>
    <w:rsid w:val="005B3BE7"/>
    <w:rsid w:val="005B3E04"/>
    <w:rsid w:val="005B41B3"/>
    <w:rsid w:val="005B42C6"/>
    <w:rsid w:val="005B48C9"/>
    <w:rsid w:val="005B4991"/>
    <w:rsid w:val="005B4A35"/>
    <w:rsid w:val="005B4C0B"/>
    <w:rsid w:val="005B4FE1"/>
    <w:rsid w:val="005B523A"/>
    <w:rsid w:val="005B55D3"/>
    <w:rsid w:val="005B5A86"/>
    <w:rsid w:val="005B601E"/>
    <w:rsid w:val="005B6F5D"/>
    <w:rsid w:val="005B72D4"/>
    <w:rsid w:val="005C0016"/>
    <w:rsid w:val="005C0903"/>
    <w:rsid w:val="005C0D19"/>
    <w:rsid w:val="005C1231"/>
    <w:rsid w:val="005C126B"/>
    <w:rsid w:val="005C1384"/>
    <w:rsid w:val="005C1ABD"/>
    <w:rsid w:val="005C1CB7"/>
    <w:rsid w:val="005C2260"/>
    <w:rsid w:val="005C3EAA"/>
    <w:rsid w:val="005C401F"/>
    <w:rsid w:val="005C496C"/>
    <w:rsid w:val="005C4ACB"/>
    <w:rsid w:val="005C4CCF"/>
    <w:rsid w:val="005C5AD9"/>
    <w:rsid w:val="005C5BF7"/>
    <w:rsid w:val="005C5C4B"/>
    <w:rsid w:val="005C5E35"/>
    <w:rsid w:val="005C633B"/>
    <w:rsid w:val="005C6363"/>
    <w:rsid w:val="005C69DF"/>
    <w:rsid w:val="005C6FDF"/>
    <w:rsid w:val="005C7005"/>
    <w:rsid w:val="005C7014"/>
    <w:rsid w:val="005C7BCA"/>
    <w:rsid w:val="005C7BEF"/>
    <w:rsid w:val="005D095C"/>
    <w:rsid w:val="005D1546"/>
    <w:rsid w:val="005D1762"/>
    <w:rsid w:val="005D18EC"/>
    <w:rsid w:val="005D1B3A"/>
    <w:rsid w:val="005D1BC4"/>
    <w:rsid w:val="005D1F57"/>
    <w:rsid w:val="005D2512"/>
    <w:rsid w:val="005D25A4"/>
    <w:rsid w:val="005D2882"/>
    <w:rsid w:val="005D290F"/>
    <w:rsid w:val="005D2CD9"/>
    <w:rsid w:val="005D328D"/>
    <w:rsid w:val="005D3727"/>
    <w:rsid w:val="005D3CCE"/>
    <w:rsid w:val="005D3E37"/>
    <w:rsid w:val="005D47E1"/>
    <w:rsid w:val="005D5111"/>
    <w:rsid w:val="005D53EB"/>
    <w:rsid w:val="005D59DF"/>
    <w:rsid w:val="005D5B20"/>
    <w:rsid w:val="005D5D61"/>
    <w:rsid w:val="005D5F9B"/>
    <w:rsid w:val="005D6A27"/>
    <w:rsid w:val="005D6EF0"/>
    <w:rsid w:val="005D6EF7"/>
    <w:rsid w:val="005D71C1"/>
    <w:rsid w:val="005D772C"/>
    <w:rsid w:val="005D7BDE"/>
    <w:rsid w:val="005D7D2D"/>
    <w:rsid w:val="005E0820"/>
    <w:rsid w:val="005E099D"/>
    <w:rsid w:val="005E0BEE"/>
    <w:rsid w:val="005E1162"/>
    <w:rsid w:val="005E24BB"/>
    <w:rsid w:val="005E2B09"/>
    <w:rsid w:val="005E2EFC"/>
    <w:rsid w:val="005E3295"/>
    <w:rsid w:val="005E36FC"/>
    <w:rsid w:val="005E37B4"/>
    <w:rsid w:val="005E39D6"/>
    <w:rsid w:val="005E40BC"/>
    <w:rsid w:val="005E42EA"/>
    <w:rsid w:val="005E4454"/>
    <w:rsid w:val="005E46FC"/>
    <w:rsid w:val="005E4804"/>
    <w:rsid w:val="005E48BF"/>
    <w:rsid w:val="005E4DE8"/>
    <w:rsid w:val="005E4F53"/>
    <w:rsid w:val="005E5B3A"/>
    <w:rsid w:val="005E5F14"/>
    <w:rsid w:val="005E619E"/>
    <w:rsid w:val="005E6631"/>
    <w:rsid w:val="005E6E71"/>
    <w:rsid w:val="005E78C9"/>
    <w:rsid w:val="005E7D6E"/>
    <w:rsid w:val="005F0E04"/>
    <w:rsid w:val="005F122B"/>
    <w:rsid w:val="005F163A"/>
    <w:rsid w:val="005F1F70"/>
    <w:rsid w:val="005F3062"/>
    <w:rsid w:val="005F3327"/>
    <w:rsid w:val="005F36C6"/>
    <w:rsid w:val="005F393A"/>
    <w:rsid w:val="005F426D"/>
    <w:rsid w:val="005F463F"/>
    <w:rsid w:val="005F4EDA"/>
    <w:rsid w:val="005F5F9F"/>
    <w:rsid w:val="005F6162"/>
    <w:rsid w:val="005F731C"/>
    <w:rsid w:val="005F734B"/>
    <w:rsid w:val="005F7708"/>
    <w:rsid w:val="005F7CEE"/>
    <w:rsid w:val="006002B2"/>
    <w:rsid w:val="00600472"/>
    <w:rsid w:val="00600679"/>
    <w:rsid w:val="00600C7C"/>
    <w:rsid w:val="00600F96"/>
    <w:rsid w:val="0060209D"/>
    <w:rsid w:val="00602762"/>
    <w:rsid w:val="00602D5C"/>
    <w:rsid w:val="00603AD7"/>
    <w:rsid w:val="00603BAB"/>
    <w:rsid w:val="00603CA2"/>
    <w:rsid w:val="00603D30"/>
    <w:rsid w:val="00603E77"/>
    <w:rsid w:val="006042F7"/>
    <w:rsid w:val="0060438E"/>
    <w:rsid w:val="00604672"/>
    <w:rsid w:val="00604D4F"/>
    <w:rsid w:val="0060527E"/>
    <w:rsid w:val="00605688"/>
    <w:rsid w:val="0060591C"/>
    <w:rsid w:val="00606441"/>
    <w:rsid w:val="006065AC"/>
    <w:rsid w:val="00606920"/>
    <w:rsid w:val="00606FBA"/>
    <w:rsid w:val="00607CA6"/>
    <w:rsid w:val="00610CAF"/>
    <w:rsid w:val="0061112B"/>
    <w:rsid w:val="006111EB"/>
    <w:rsid w:val="0061182C"/>
    <w:rsid w:val="00611BCD"/>
    <w:rsid w:val="00612367"/>
    <w:rsid w:val="00612479"/>
    <w:rsid w:val="00612D13"/>
    <w:rsid w:val="006130EE"/>
    <w:rsid w:val="00614486"/>
    <w:rsid w:val="006144C8"/>
    <w:rsid w:val="006147F8"/>
    <w:rsid w:val="00614CBF"/>
    <w:rsid w:val="006150D2"/>
    <w:rsid w:val="00615997"/>
    <w:rsid w:val="00615BA4"/>
    <w:rsid w:val="00616046"/>
    <w:rsid w:val="006165FA"/>
    <w:rsid w:val="00616701"/>
    <w:rsid w:val="00616756"/>
    <w:rsid w:val="00616A21"/>
    <w:rsid w:val="00616EF6"/>
    <w:rsid w:val="00617351"/>
    <w:rsid w:val="0061743E"/>
    <w:rsid w:val="00617996"/>
    <w:rsid w:val="00617DBF"/>
    <w:rsid w:val="00617DD0"/>
    <w:rsid w:val="00620002"/>
    <w:rsid w:val="0062005F"/>
    <w:rsid w:val="00620229"/>
    <w:rsid w:val="00620999"/>
    <w:rsid w:val="00620A42"/>
    <w:rsid w:val="00620A5C"/>
    <w:rsid w:val="00620D63"/>
    <w:rsid w:val="0062149C"/>
    <w:rsid w:val="006218A3"/>
    <w:rsid w:val="00621BB5"/>
    <w:rsid w:val="0062204B"/>
    <w:rsid w:val="006224EC"/>
    <w:rsid w:val="0062301E"/>
    <w:rsid w:val="00623568"/>
    <w:rsid w:val="00623C54"/>
    <w:rsid w:val="00623E2C"/>
    <w:rsid w:val="006240AE"/>
    <w:rsid w:val="0062463E"/>
    <w:rsid w:val="00624A70"/>
    <w:rsid w:val="006255A2"/>
    <w:rsid w:val="0062571F"/>
    <w:rsid w:val="00625A2C"/>
    <w:rsid w:val="00625A8E"/>
    <w:rsid w:val="00625F7A"/>
    <w:rsid w:val="00626060"/>
    <w:rsid w:val="00626C40"/>
    <w:rsid w:val="006270CB"/>
    <w:rsid w:val="006273E0"/>
    <w:rsid w:val="006277EA"/>
    <w:rsid w:val="00630425"/>
    <w:rsid w:val="00630533"/>
    <w:rsid w:val="00630877"/>
    <w:rsid w:val="00630EEE"/>
    <w:rsid w:val="00631BA7"/>
    <w:rsid w:val="00631E4A"/>
    <w:rsid w:val="006325FB"/>
    <w:rsid w:val="006329A7"/>
    <w:rsid w:val="00632BAA"/>
    <w:rsid w:val="00632DEA"/>
    <w:rsid w:val="00633C50"/>
    <w:rsid w:val="00633C5F"/>
    <w:rsid w:val="0063404E"/>
    <w:rsid w:val="00634447"/>
    <w:rsid w:val="0063452E"/>
    <w:rsid w:val="006345DF"/>
    <w:rsid w:val="00634AD9"/>
    <w:rsid w:val="00634B7A"/>
    <w:rsid w:val="0063518A"/>
    <w:rsid w:val="00635408"/>
    <w:rsid w:val="00636335"/>
    <w:rsid w:val="0063692A"/>
    <w:rsid w:val="00637DCC"/>
    <w:rsid w:val="006408B1"/>
    <w:rsid w:val="00640C61"/>
    <w:rsid w:val="00641819"/>
    <w:rsid w:val="00641BA1"/>
    <w:rsid w:val="0064226D"/>
    <w:rsid w:val="00642326"/>
    <w:rsid w:val="00642437"/>
    <w:rsid w:val="006430DD"/>
    <w:rsid w:val="00643285"/>
    <w:rsid w:val="00643697"/>
    <w:rsid w:val="006445D1"/>
    <w:rsid w:val="0064513E"/>
    <w:rsid w:val="00645624"/>
    <w:rsid w:val="00646327"/>
    <w:rsid w:val="006464EF"/>
    <w:rsid w:val="006472E9"/>
    <w:rsid w:val="00647700"/>
    <w:rsid w:val="00647953"/>
    <w:rsid w:val="00647D6E"/>
    <w:rsid w:val="00647E32"/>
    <w:rsid w:val="00647FA6"/>
    <w:rsid w:val="0065035F"/>
    <w:rsid w:val="0065054E"/>
    <w:rsid w:val="006507B1"/>
    <w:rsid w:val="00650805"/>
    <w:rsid w:val="00650835"/>
    <w:rsid w:val="00652205"/>
    <w:rsid w:val="00652746"/>
    <w:rsid w:val="00652869"/>
    <w:rsid w:val="0065290E"/>
    <w:rsid w:val="006529B5"/>
    <w:rsid w:val="00652B53"/>
    <w:rsid w:val="00652F0A"/>
    <w:rsid w:val="0065301E"/>
    <w:rsid w:val="00653352"/>
    <w:rsid w:val="0065383A"/>
    <w:rsid w:val="00653EBC"/>
    <w:rsid w:val="006543B4"/>
    <w:rsid w:val="00654411"/>
    <w:rsid w:val="0065449B"/>
    <w:rsid w:val="00654756"/>
    <w:rsid w:val="00654AE5"/>
    <w:rsid w:val="006550F3"/>
    <w:rsid w:val="0065514C"/>
    <w:rsid w:val="0065571D"/>
    <w:rsid w:val="00656313"/>
    <w:rsid w:val="0065682E"/>
    <w:rsid w:val="00656F2E"/>
    <w:rsid w:val="006570FC"/>
    <w:rsid w:val="00657355"/>
    <w:rsid w:val="00657E53"/>
    <w:rsid w:val="00660682"/>
    <w:rsid w:val="00660A28"/>
    <w:rsid w:val="00660DBD"/>
    <w:rsid w:val="0066181D"/>
    <w:rsid w:val="0066184B"/>
    <w:rsid w:val="00661C0F"/>
    <w:rsid w:val="00662084"/>
    <w:rsid w:val="006626D4"/>
    <w:rsid w:val="00664DC2"/>
    <w:rsid w:val="006658C3"/>
    <w:rsid w:val="006662FC"/>
    <w:rsid w:val="006679E5"/>
    <w:rsid w:val="00667EF3"/>
    <w:rsid w:val="00667FFD"/>
    <w:rsid w:val="0067066D"/>
    <w:rsid w:val="00670AF0"/>
    <w:rsid w:val="00670F9F"/>
    <w:rsid w:val="0067164F"/>
    <w:rsid w:val="006717CD"/>
    <w:rsid w:val="006718D3"/>
    <w:rsid w:val="00671D12"/>
    <w:rsid w:val="00671F16"/>
    <w:rsid w:val="006721F7"/>
    <w:rsid w:val="006728EC"/>
    <w:rsid w:val="00672977"/>
    <w:rsid w:val="00673264"/>
    <w:rsid w:val="00673F1C"/>
    <w:rsid w:val="00674851"/>
    <w:rsid w:val="006749E1"/>
    <w:rsid w:val="00675B53"/>
    <w:rsid w:val="00675EC6"/>
    <w:rsid w:val="00675F48"/>
    <w:rsid w:val="00675F4E"/>
    <w:rsid w:val="00676235"/>
    <w:rsid w:val="00676243"/>
    <w:rsid w:val="006768A9"/>
    <w:rsid w:val="00676F78"/>
    <w:rsid w:val="006771A9"/>
    <w:rsid w:val="00677230"/>
    <w:rsid w:val="00677A86"/>
    <w:rsid w:val="00677CBE"/>
    <w:rsid w:val="00677DC1"/>
    <w:rsid w:val="006808CD"/>
    <w:rsid w:val="00680D45"/>
    <w:rsid w:val="00680FD5"/>
    <w:rsid w:val="006820AF"/>
    <w:rsid w:val="00682225"/>
    <w:rsid w:val="00682418"/>
    <w:rsid w:val="00682C0E"/>
    <w:rsid w:val="006835FA"/>
    <w:rsid w:val="00683AB1"/>
    <w:rsid w:val="00683D8D"/>
    <w:rsid w:val="00683F1E"/>
    <w:rsid w:val="006844E7"/>
    <w:rsid w:val="00684640"/>
    <w:rsid w:val="00684FB8"/>
    <w:rsid w:val="006853AA"/>
    <w:rsid w:val="00685831"/>
    <w:rsid w:val="006858D6"/>
    <w:rsid w:val="00685B98"/>
    <w:rsid w:val="00685E7D"/>
    <w:rsid w:val="00686AC9"/>
    <w:rsid w:val="006871F1"/>
    <w:rsid w:val="00687625"/>
    <w:rsid w:val="006879B1"/>
    <w:rsid w:val="00687D13"/>
    <w:rsid w:val="00687D1E"/>
    <w:rsid w:val="00687D2A"/>
    <w:rsid w:val="00687E14"/>
    <w:rsid w:val="00690168"/>
    <w:rsid w:val="00690767"/>
    <w:rsid w:val="006908EC"/>
    <w:rsid w:val="00690E83"/>
    <w:rsid w:val="00690FC0"/>
    <w:rsid w:val="00691177"/>
    <w:rsid w:val="006914E6"/>
    <w:rsid w:val="00691695"/>
    <w:rsid w:val="00691C0A"/>
    <w:rsid w:val="00691F75"/>
    <w:rsid w:val="006920FF"/>
    <w:rsid w:val="0069229B"/>
    <w:rsid w:val="006928E6"/>
    <w:rsid w:val="00692F89"/>
    <w:rsid w:val="006932E4"/>
    <w:rsid w:val="0069365E"/>
    <w:rsid w:val="00693671"/>
    <w:rsid w:val="00693F06"/>
    <w:rsid w:val="0069453D"/>
    <w:rsid w:val="006949C9"/>
    <w:rsid w:val="00694AE5"/>
    <w:rsid w:val="00694FE4"/>
    <w:rsid w:val="0069505E"/>
    <w:rsid w:val="006954ED"/>
    <w:rsid w:val="00695862"/>
    <w:rsid w:val="00695F24"/>
    <w:rsid w:val="00696238"/>
    <w:rsid w:val="00696329"/>
    <w:rsid w:val="00696C38"/>
    <w:rsid w:val="006A1AD3"/>
    <w:rsid w:val="006A1AD7"/>
    <w:rsid w:val="006A26EB"/>
    <w:rsid w:val="006A26F2"/>
    <w:rsid w:val="006A26F8"/>
    <w:rsid w:val="006A2B71"/>
    <w:rsid w:val="006A2F4A"/>
    <w:rsid w:val="006A4FA2"/>
    <w:rsid w:val="006A56F7"/>
    <w:rsid w:val="006A5E7D"/>
    <w:rsid w:val="006A74DD"/>
    <w:rsid w:val="006A75A9"/>
    <w:rsid w:val="006A75D6"/>
    <w:rsid w:val="006A76A1"/>
    <w:rsid w:val="006B09AC"/>
    <w:rsid w:val="006B129B"/>
    <w:rsid w:val="006B15E3"/>
    <w:rsid w:val="006B17E5"/>
    <w:rsid w:val="006B1B15"/>
    <w:rsid w:val="006B1BAE"/>
    <w:rsid w:val="006B3AAA"/>
    <w:rsid w:val="006B495D"/>
    <w:rsid w:val="006B58F7"/>
    <w:rsid w:val="006B619A"/>
    <w:rsid w:val="006B63BD"/>
    <w:rsid w:val="006B6ED5"/>
    <w:rsid w:val="006B74A0"/>
    <w:rsid w:val="006B776A"/>
    <w:rsid w:val="006B784E"/>
    <w:rsid w:val="006B7921"/>
    <w:rsid w:val="006B7D82"/>
    <w:rsid w:val="006C03A5"/>
    <w:rsid w:val="006C0592"/>
    <w:rsid w:val="006C0C86"/>
    <w:rsid w:val="006C1422"/>
    <w:rsid w:val="006C142B"/>
    <w:rsid w:val="006C1518"/>
    <w:rsid w:val="006C1797"/>
    <w:rsid w:val="006C17E3"/>
    <w:rsid w:val="006C1EE6"/>
    <w:rsid w:val="006C23E6"/>
    <w:rsid w:val="006C2528"/>
    <w:rsid w:val="006C2BE7"/>
    <w:rsid w:val="006C2D15"/>
    <w:rsid w:val="006C3851"/>
    <w:rsid w:val="006C4105"/>
    <w:rsid w:val="006C467D"/>
    <w:rsid w:val="006C57A2"/>
    <w:rsid w:val="006C623E"/>
    <w:rsid w:val="006C6379"/>
    <w:rsid w:val="006C7231"/>
    <w:rsid w:val="006C7BB9"/>
    <w:rsid w:val="006D0423"/>
    <w:rsid w:val="006D05CF"/>
    <w:rsid w:val="006D0D41"/>
    <w:rsid w:val="006D0EE8"/>
    <w:rsid w:val="006D12C5"/>
    <w:rsid w:val="006D13EE"/>
    <w:rsid w:val="006D1EB6"/>
    <w:rsid w:val="006D2C02"/>
    <w:rsid w:val="006D2FED"/>
    <w:rsid w:val="006D3A4D"/>
    <w:rsid w:val="006D412A"/>
    <w:rsid w:val="006D420A"/>
    <w:rsid w:val="006D5098"/>
    <w:rsid w:val="006D515F"/>
    <w:rsid w:val="006D5C84"/>
    <w:rsid w:val="006D74A3"/>
    <w:rsid w:val="006E0DC4"/>
    <w:rsid w:val="006E0E45"/>
    <w:rsid w:val="006E0F11"/>
    <w:rsid w:val="006E1513"/>
    <w:rsid w:val="006E1A10"/>
    <w:rsid w:val="006E1C45"/>
    <w:rsid w:val="006E1D77"/>
    <w:rsid w:val="006E1EF9"/>
    <w:rsid w:val="006E20CC"/>
    <w:rsid w:val="006E28C4"/>
    <w:rsid w:val="006E2A43"/>
    <w:rsid w:val="006E2B9D"/>
    <w:rsid w:val="006E31BB"/>
    <w:rsid w:val="006E3541"/>
    <w:rsid w:val="006E3ED0"/>
    <w:rsid w:val="006E3F56"/>
    <w:rsid w:val="006E45A2"/>
    <w:rsid w:val="006E4C75"/>
    <w:rsid w:val="006E5191"/>
    <w:rsid w:val="006E54CC"/>
    <w:rsid w:val="006E56E0"/>
    <w:rsid w:val="006E7696"/>
    <w:rsid w:val="006E772C"/>
    <w:rsid w:val="006F0051"/>
    <w:rsid w:val="006F1AE0"/>
    <w:rsid w:val="006F1D40"/>
    <w:rsid w:val="006F2591"/>
    <w:rsid w:val="006F26B2"/>
    <w:rsid w:val="006F34EA"/>
    <w:rsid w:val="006F38A9"/>
    <w:rsid w:val="006F3BBC"/>
    <w:rsid w:val="006F3BD5"/>
    <w:rsid w:val="006F3DD8"/>
    <w:rsid w:val="006F3E65"/>
    <w:rsid w:val="006F4849"/>
    <w:rsid w:val="006F4DD0"/>
    <w:rsid w:val="006F4EF7"/>
    <w:rsid w:val="006F51A1"/>
    <w:rsid w:val="006F6210"/>
    <w:rsid w:val="006F6280"/>
    <w:rsid w:val="006F6397"/>
    <w:rsid w:val="006F69A2"/>
    <w:rsid w:val="006F6A90"/>
    <w:rsid w:val="006F7513"/>
    <w:rsid w:val="006F79C4"/>
    <w:rsid w:val="006F7A36"/>
    <w:rsid w:val="006F7AC4"/>
    <w:rsid w:val="006F7FCA"/>
    <w:rsid w:val="0070143D"/>
    <w:rsid w:val="00701599"/>
    <w:rsid w:val="00701FDA"/>
    <w:rsid w:val="00702700"/>
    <w:rsid w:val="00703484"/>
    <w:rsid w:val="007039F7"/>
    <w:rsid w:val="007041B3"/>
    <w:rsid w:val="00704F75"/>
    <w:rsid w:val="00705014"/>
    <w:rsid w:val="007050DD"/>
    <w:rsid w:val="007054E1"/>
    <w:rsid w:val="00705779"/>
    <w:rsid w:val="00705ED8"/>
    <w:rsid w:val="00705EE9"/>
    <w:rsid w:val="0070647E"/>
    <w:rsid w:val="00706516"/>
    <w:rsid w:val="0070665C"/>
    <w:rsid w:val="00706C11"/>
    <w:rsid w:val="0070701F"/>
    <w:rsid w:val="00707122"/>
    <w:rsid w:val="007071E1"/>
    <w:rsid w:val="00707601"/>
    <w:rsid w:val="007114A4"/>
    <w:rsid w:val="00711B5C"/>
    <w:rsid w:val="00711F2C"/>
    <w:rsid w:val="0071261A"/>
    <w:rsid w:val="00712CEB"/>
    <w:rsid w:val="00712F98"/>
    <w:rsid w:val="00713799"/>
    <w:rsid w:val="00714E9D"/>
    <w:rsid w:val="00715088"/>
    <w:rsid w:val="00715143"/>
    <w:rsid w:val="007159FD"/>
    <w:rsid w:val="0071634D"/>
    <w:rsid w:val="007164BC"/>
    <w:rsid w:val="007167A8"/>
    <w:rsid w:val="00716876"/>
    <w:rsid w:val="00716C4D"/>
    <w:rsid w:val="00717587"/>
    <w:rsid w:val="00717A82"/>
    <w:rsid w:val="007201B7"/>
    <w:rsid w:val="00720745"/>
    <w:rsid w:val="0072077D"/>
    <w:rsid w:val="007211F0"/>
    <w:rsid w:val="00721A29"/>
    <w:rsid w:val="00721F95"/>
    <w:rsid w:val="007229F7"/>
    <w:rsid w:val="00722B2A"/>
    <w:rsid w:val="00722CB9"/>
    <w:rsid w:val="00722F34"/>
    <w:rsid w:val="00723467"/>
    <w:rsid w:val="007235FD"/>
    <w:rsid w:val="0072499E"/>
    <w:rsid w:val="00724A7F"/>
    <w:rsid w:val="0072549B"/>
    <w:rsid w:val="0072558C"/>
    <w:rsid w:val="00725D01"/>
    <w:rsid w:val="00725FEB"/>
    <w:rsid w:val="00726A0F"/>
    <w:rsid w:val="00726D88"/>
    <w:rsid w:val="00727D79"/>
    <w:rsid w:val="00730C76"/>
    <w:rsid w:val="0073117B"/>
    <w:rsid w:val="007316D9"/>
    <w:rsid w:val="00731A7D"/>
    <w:rsid w:val="007320EA"/>
    <w:rsid w:val="00732B78"/>
    <w:rsid w:val="00732BE3"/>
    <w:rsid w:val="00733342"/>
    <w:rsid w:val="007335A3"/>
    <w:rsid w:val="00733F47"/>
    <w:rsid w:val="00734305"/>
    <w:rsid w:val="007359BA"/>
    <w:rsid w:val="00735EC4"/>
    <w:rsid w:val="00736958"/>
    <w:rsid w:val="00736B33"/>
    <w:rsid w:val="00737182"/>
    <w:rsid w:val="0073743F"/>
    <w:rsid w:val="007378BB"/>
    <w:rsid w:val="00737EB1"/>
    <w:rsid w:val="007406E3"/>
    <w:rsid w:val="007407FA"/>
    <w:rsid w:val="00740A52"/>
    <w:rsid w:val="00740A99"/>
    <w:rsid w:val="007420CE"/>
    <w:rsid w:val="007425B1"/>
    <w:rsid w:val="007427A5"/>
    <w:rsid w:val="00742DAD"/>
    <w:rsid w:val="00743019"/>
    <w:rsid w:val="00743347"/>
    <w:rsid w:val="007448E5"/>
    <w:rsid w:val="0074491E"/>
    <w:rsid w:val="00744E46"/>
    <w:rsid w:val="00745042"/>
    <w:rsid w:val="00745307"/>
    <w:rsid w:val="00745607"/>
    <w:rsid w:val="007456D0"/>
    <w:rsid w:val="007459F3"/>
    <w:rsid w:val="00745F29"/>
    <w:rsid w:val="00746608"/>
    <w:rsid w:val="0074661B"/>
    <w:rsid w:val="00746A8B"/>
    <w:rsid w:val="0074783D"/>
    <w:rsid w:val="00747F6C"/>
    <w:rsid w:val="00750026"/>
    <w:rsid w:val="00750306"/>
    <w:rsid w:val="00750525"/>
    <w:rsid w:val="00750AD6"/>
    <w:rsid w:val="00750DEA"/>
    <w:rsid w:val="00751236"/>
    <w:rsid w:val="00752027"/>
    <w:rsid w:val="00752058"/>
    <w:rsid w:val="0075235C"/>
    <w:rsid w:val="00752439"/>
    <w:rsid w:val="007528BE"/>
    <w:rsid w:val="00752C1A"/>
    <w:rsid w:val="00752ED2"/>
    <w:rsid w:val="007535D9"/>
    <w:rsid w:val="007536D9"/>
    <w:rsid w:val="0075382C"/>
    <w:rsid w:val="00753B51"/>
    <w:rsid w:val="00753C29"/>
    <w:rsid w:val="007545B3"/>
    <w:rsid w:val="00754DF4"/>
    <w:rsid w:val="00755ABA"/>
    <w:rsid w:val="00755B72"/>
    <w:rsid w:val="00755CF3"/>
    <w:rsid w:val="0075622B"/>
    <w:rsid w:val="00756716"/>
    <w:rsid w:val="007568C9"/>
    <w:rsid w:val="00757391"/>
    <w:rsid w:val="00757784"/>
    <w:rsid w:val="00760588"/>
    <w:rsid w:val="00760A7A"/>
    <w:rsid w:val="00760A87"/>
    <w:rsid w:val="00761565"/>
    <w:rsid w:val="00761645"/>
    <w:rsid w:val="00761A30"/>
    <w:rsid w:val="00761B7D"/>
    <w:rsid w:val="00761F02"/>
    <w:rsid w:val="00761FD2"/>
    <w:rsid w:val="007622C4"/>
    <w:rsid w:val="0076267D"/>
    <w:rsid w:val="00762770"/>
    <w:rsid w:val="00762CC8"/>
    <w:rsid w:val="00762DD3"/>
    <w:rsid w:val="00763941"/>
    <w:rsid w:val="007639CD"/>
    <w:rsid w:val="00763FF8"/>
    <w:rsid w:val="0076436A"/>
    <w:rsid w:val="00764E14"/>
    <w:rsid w:val="00765BA3"/>
    <w:rsid w:val="00765D75"/>
    <w:rsid w:val="007665D7"/>
    <w:rsid w:val="00766618"/>
    <w:rsid w:val="007677D0"/>
    <w:rsid w:val="00767B7A"/>
    <w:rsid w:val="00767C9B"/>
    <w:rsid w:val="00767F13"/>
    <w:rsid w:val="007701F3"/>
    <w:rsid w:val="007703A6"/>
    <w:rsid w:val="0077089A"/>
    <w:rsid w:val="00770F6E"/>
    <w:rsid w:val="00771865"/>
    <w:rsid w:val="0077192D"/>
    <w:rsid w:val="00771F24"/>
    <w:rsid w:val="007720EC"/>
    <w:rsid w:val="00772F83"/>
    <w:rsid w:val="00773361"/>
    <w:rsid w:val="00773DEA"/>
    <w:rsid w:val="00774C6E"/>
    <w:rsid w:val="00774D0C"/>
    <w:rsid w:val="007755E3"/>
    <w:rsid w:val="00775875"/>
    <w:rsid w:val="00775AFA"/>
    <w:rsid w:val="00776E81"/>
    <w:rsid w:val="007774E3"/>
    <w:rsid w:val="0078117D"/>
    <w:rsid w:val="00781A27"/>
    <w:rsid w:val="00781F30"/>
    <w:rsid w:val="0078213B"/>
    <w:rsid w:val="00782214"/>
    <w:rsid w:val="00782AAE"/>
    <w:rsid w:val="0078340B"/>
    <w:rsid w:val="007834BE"/>
    <w:rsid w:val="007839E6"/>
    <w:rsid w:val="00783CFB"/>
    <w:rsid w:val="00783FC5"/>
    <w:rsid w:val="00783FFF"/>
    <w:rsid w:val="007842F7"/>
    <w:rsid w:val="00784CC9"/>
    <w:rsid w:val="0078539E"/>
    <w:rsid w:val="0078544E"/>
    <w:rsid w:val="007855F7"/>
    <w:rsid w:val="00785775"/>
    <w:rsid w:val="00786150"/>
    <w:rsid w:val="007864DE"/>
    <w:rsid w:val="00786524"/>
    <w:rsid w:val="00786744"/>
    <w:rsid w:val="00786759"/>
    <w:rsid w:val="00786D40"/>
    <w:rsid w:val="00786EDA"/>
    <w:rsid w:val="00786FF3"/>
    <w:rsid w:val="00787016"/>
    <w:rsid w:val="0078784E"/>
    <w:rsid w:val="00790363"/>
    <w:rsid w:val="00790C7D"/>
    <w:rsid w:val="00791623"/>
    <w:rsid w:val="007916D5"/>
    <w:rsid w:val="007919A1"/>
    <w:rsid w:val="007924D5"/>
    <w:rsid w:val="0079291F"/>
    <w:rsid w:val="00792B29"/>
    <w:rsid w:val="00793184"/>
    <w:rsid w:val="00793647"/>
    <w:rsid w:val="00793679"/>
    <w:rsid w:val="00793C54"/>
    <w:rsid w:val="00793DCD"/>
    <w:rsid w:val="007950C5"/>
    <w:rsid w:val="0079543E"/>
    <w:rsid w:val="00795D75"/>
    <w:rsid w:val="00795EB0"/>
    <w:rsid w:val="00795ECB"/>
    <w:rsid w:val="0079693B"/>
    <w:rsid w:val="00796D1B"/>
    <w:rsid w:val="00797EA4"/>
    <w:rsid w:val="007A0321"/>
    <w:rsid w:val="007A0477"/>
    <w:rsid w:val="007A09E8"/>
    <w:rsid w:val="007A0BA3"/>
    <w:rsid w:val="007A0D40"/>
    <w:rsid w:val="007A0FFD"/>
    <w:rsid w:val="007A18E4"/>
    <w:rsid w:val="007A21D1"/>
    <w:rsid w:val="007A27B1"/>
    <w:rsid w:val="007A28C9"/>
    <w:rsid w:val="007A2FDC"/>
    <w:rsid w:val="007A3A9C"/>
    <w:rsid w:val="007A4A28"/>
    <w:rsid w:val="007A4E3B"/>
    <w:rsid w:val="007A55FB"/>
    <w:rsid w:val="007A5B19"/>
    <w:rsid w:val="007A5F0D"/>
    <w:rsid w:val="007A61D1"/>
    <w:rsid w:val="007A6307"/>
    <w:rsid w:val="007A632E"/>
    <w:rsid w:val="007A6C56"/>
    <w:rsid w:val="007A6D4B"/>
    <w:rsid w:val="007A728E"/>
    <w:rsid w:val="007A7762"/>
    <w:rsid w:val="007A7FDA"/>
    <w:rsid w:val="007B088E"/>
    <w:rsid w:val="007B08BC"/>
    <w:rsid w:val="007B0ED3"/>
    <w:rsid w:val="007B14FE"/>
    <w:rsid w:val="007B1A11"/>
    <w:rsid w:val="007B1F7A"/>
    <w:rsid w:val="007B2292"/>
    <w:rsid w:val="007B25BA"/>
    <w:rsid w:val="007B2FCC"/>
    <w:rsid w:val="007B354B"/>
    <w:rsid w:val="007B3745"/>
    <w:rsid w:val="007B3B14"/>
    <w:rsid w:val="007B4AFF"/>
    <w:rsid w:val="007B5242"/>
    <w:rsid w:val="007B6333"/>
    <w:rsid w:val="007B6391"/>
    <w:rsid w:val="007B67EA"/>
    <w:rsid w:val="007B6F23"/>
    <w:rsid w:val="007B7308"/>
    <w:rsid w:val="007B7495"/>
    <w:rsid w:val="007B75E0"/>
    <w:rsid w:val="007B7607"/>
    <w:rsid w:val="007B7F3A"/>
    <w:rsid w:val="007C0A69"/>
    <w:rsid w:val="007C0C6C"/>
    <w:rsid w:val="007C0DBF"/>
    <w:rsid w:val="007C0E30"/>
    <w:rsid w:val="007C17FB"/>
    <w:rsid w:val="007C1BE8"/>
    <w:rsid w:val="007C1E16"/>
    <w:rsid w:val="007C21BE"/>
    <w:rsid w:val="007C2A4A"/>
    <w:rsid w:val="007C3E89"/>
    <w:rsid w:val="007C45F9"/>
    <w:rsid w:val="007C4D36"/>
    <w:rsid w:val="007C5624"/>
    <w:rsid w:val="007C632B"/>
    <w:rsid w:val="007C672A"/>
    <w:rsid w:val="007C696E"/>
    <w:rsid w:val="007C705E"/>
    <w:rsid w:val="007C7084"/>
    <w:rsid w:val="007C7A5D"/>
    <w:rsid w:val="007D0859"/>
    <w:rsid w:val="007D11D4"/>
    <w:rsid w:val="007D13B6"/>
    <w:rsid w:val="007D148A"/>
    <w:rsid w:val="007D152F"/>
    <w:rsid w:val="007D17EB"/>
    <w:rsid w:val="007D22ED"/>
    <w:rsid w:val="007D24F1"/>
    <w:rsid w:val="007D2AA4"/>
    <w:rsid w:val="007D30AC"/>
    <w:rsid w:val="007D358F"/>
    <w:rsid w:val="007D39BA"/>
    <w:rsid w:val="007D4280"/>
    <w:rsid w:val="007D48B9"/>
    <w:rsid w:val="007D4C72"/>
    <w:rsid w:val="007D6A07"/>
    <w:rsid w:val="007D6CAC"/>
    <w:rsid w:val="007D76C4"/>
    <w:rsid w:val="007E0578"/>
    <w:rsid w:val="007E05AC"/>
    <w:rsid w:val="007E06D9"/>
    <w:rsid w:val="007E0735"/>
    <w:rsid w:val="007E0E1F"/>
    <w:rsid w:val="007E1395"/>
    <w:rsid w:val="007E273D"/>
    <w:rsid w:val="007E290C"/>
    <w:rsid w:val="007E34AB"/>
    <w:rsid w:val="007E3D99"/>
    <w:rsid w:val="007E4595"/>
    <w:rsid w:val="007E45F4"/>
    <w:rsid w:val="007E4CDF"/>
    <w:rsid w:val="007E67DC"/>
    <w:rsid w:val="007E68B8"/>
    <w:rsid w:val="007E696D"/>
    <w:rsid w:val="007E737B"/>
    <w:rsid w:val="007E7779"/>
    <w:rsid w:val="007E7807"/>
    <w:rsid w:val="007E7F6F"/>
    <w:rsid w:val="007F0021"/>
    <w:rsid w:val="007F0114"/>
    <w:rsid w:val="007F011F"/>
    <w:rsid w:val="007F02D8"/>
    <w:rsid w:val="007F1368"/>
    <w:rsid w:val="007F15F5"/>
    <w:rsid w:val="007F161D"/>
    <w:rsid w:val="007F1BDD"/>
    <w:rsid w:val="007F1EF5"/>
    <w:rsid w:val="007F2039"/>
    <w:rsid w:val="007F230E"/>
    <w:rsid w:val="007F23A3"/>
    <w:rsid w:val="007F23A4"/>
    <w:rsid w:val="007F272C"/>
    <w:rsid w:val="007F2902"/>
    <w:rsid w:val="007F3779"/>
    <w:rsid w:val="007F48A1"/>
    <w:rsid w:val="007F4F44"/>
    <w:rsid w:val="007F5E62"/>
    <w:rsid w:val="007F6C37"/>
    <w:rsid w:val="007F71E3"/>
    <w:rsid w:val="00800E9D"/>
    <w:rsid w:val="00802843"/>
    <w:rsid w:val="0080295A"/>
    <w:rsid w:val="00802E9B"/>
    <w:rsid w:val="0080367B"/>
    <w:rsid w:val="008036AA"/>
    <w:rsid w:val="008038BA"/>
    <w:rsid w:val="00805408"/>
    <w:rsid w:val="008054D0"/>
    <w:rsid w:val="00805C89"/>
    <w:rsid w:val="00806252"/>
    <w:rsid w:val="008064E5"/>
    <w:rsid w:val="00806704"/>
    <w:rsid w:val="00806F44"/>
    <w:rsid w:val="00806F66"/>
    <w:rsid w:val="00807819"/>
    <w:rsid w:val="00807D35"/>
    <w:rsid w:val="00807F17"/>
    <w:rsid w:val="0081016C"/>
    <w:rsid w:val="00810FED"/>
    <w:rsid w:val="00811309"/>
    <w:rsid w:val="00811373"/>
    <w:rsid w:val="008115B3"/>
    <w:rsid w:val="00811649"/>
    <w:rsid w:val="00811883"/>
    <w:rsid w:val="00811CDC"/>
    <w:rsid w:val="00812500"/>
    <w:rsid w:val="00812D47"/>
    <w:rsid w:val="0081313A"/>
    <w:rsid w:val="00813A3D"/>
    <w:rsid w:val="00813A6D"/>
    <w:rsid w:val="00813B13"/>
    <w:rsid w:val="00813DAC"/>
    <w:rsid w:val="00813FB8"/>
    <w:rsid w:val="00815CA1"/>
    <w:rsid w:val="00815D01"/>
    <w:rsid w:val="00816CB7"/>
    <w:rsid w:val="00816DF0"/>
    <w:rsid w:val="00817008"/>
    <w:rsid w:val="00817D25"/>
    <w:rsid w:val="00820675"/>
    <w:rsid w:val="00820B84"/>
    <w:rsid w:val="00821BEA"/>
    <w:rsid w:val="008235AE"/>
    <w:rsid w:val="00825EFA"/>
    <w:rsid w:val="008263BD"/>
    <w:rsid w:val="0082655A"/>
    <w:rsid w:val="00826A63"/>
    <w:rsid w:val="00826B53"/>
    <w:rsid w:val="00827B18"/>
    <w:rsid w:val="00830252"/>
    <w:rsid w:val="008304A0"/>
    <w:rsid w:val="00830933"/>
    <w:rsid w:val="00830E7E"/>
    <w:rsid w:val="00830EE2"/>
    <w:rsid w:val="0083162E"/>
    <w:rsid w:val="00831646"/>
    <w:rsid w:val="00831B2B"/>
    <w:rsid w:val="00832F3B"/>
    <w:rsid w:val="008330F4"/>
    <w:rsid w:val="00833A83"/>
    <w:rsid w:val="008343F8"/>
    <w:rsid w:val="00834A65"/>
    <w:rsid w:val="00835CA9"/>
    <w:rsid w:val="0083642B"/>
    <w:rsid w:val="008367B2"/>
    <w:rsid w:val="008369F6"/>
    <w:rsid w:val="00836EFD"/>
    <w:rsid w:val="008376D4"/>
    <w:rsid w:val="00837DF5"/>
    <w:rsid w:val="00837EDA"/>
    <w:rsid w:val="00840341"/>
    <w:rsid w:val="00840520"/>
    <w:rsid w:val="00841059"/>
    <w:rsid w:val="008414DD"/>
    <w:rsid w:val="00841742"/>
    <w:rsid w:val="0084195B"/>
    <w:rsid w:val="00841A1D"/>
    <w:rsid w:val="00841CE4"/>
    <w:rsid w:val="0084200F"/>
    <w:rsid w:val="00842D4C"/>
    <w:rsid w:val="008434BB"/>
    <w:rsid w:val="00843715"/>
    <w:rsid w:val="00843B66"/>
    <w:rsid w:val="00843D31"/>
    <w:rsid w:val="00844BB9"/>
    <w:rsid w:val="00844E00"/>
    <w:rsid w:val="0084510A"/>
    <w:rsid w:val="008452F9"/>
    <w:rsid w:val="00845415"/>
    <w:rsid w:val="0084553C"/>
    <w:rsid w:val="00845682"/>
    <w:rsid w:val="00845828"/>
    <w:rsid w:val="00845BD4"/>
    <w:rsid w:val="00847300"/>
    <w:rsid w:val="00847534"/>
    <w:rsid w:val="00847ED3"/>
    <w:rsid w:val="00850A8F"/>
    <w:rsid w:val="00850C29"/>
    <w:rsid w:val="00850CE1"/>
    <w:rsid w:val="00851070"/>
    <w:rsid w:val="00851550"/>
    <w:rsid w:val="00851B09"/>
    <w:rsid w:val="00851CB1"/>
    <w:rsid w:val="00851E7D"/>
    <w:rsid w:val="008528CA"/>
    <w:rsid w:val="008529B2"/>
    <w:rsid w:val="00852A69"/>
    <w:rsid w:val="008536EE"/>
    <w:rsid w:val="00853770"/>
    <w:rsid w:val="008538B6"/>
    <w:rsid w:val="00853BE9"/>
    <w:rsid w:val="008544CD"/>
    <w:rsid w:val="008544E4"/>
    <w:rsid w:val="00854A84"/>
    <w:rsid w:val="00854D47"/>
    <w:rsid w:val="008554AD"/>
    <w:rsid w:val="00855D00"/>
    <w:rsid w:val="00855DE9"/>
    <w:rsid w:val="00856001"/>
    <w:rsid w:val="0085695E"/>
    <w:rsid w:val="00856A5E"/>
    <w:rsid w:val="00856C0A"/>
    <w:rsid w:val="00856CD7"/>
    <w:rsid w:val="00856DC9"/>
    <w:rsid w:val="008606A7"/>
    <w:rsid w:val="00860EFB"/>
    <w:rsid w:val="00861916"/>
    <w:rsid w:val="00861A7C"/>
    <w:rsid w:val="008622F0"/>
    <w:rsid w:val="008625AE"/>
    <w:rsid w:val="00862992"/>
    <w:rsid w:val="0086325C"/>
    <w:rsid w:val="00863733"/>
    <w:rsid w:val="00863861"/>
    <w:rsid w:val="00863A3F"/>
    <w:rsid w:val="00864B0F"/>
    <w:rsid w:val="00864EAD"/>
    <w:rsid w:val="008656F8"/>
    <w:rsid w:val="00865941"/>
    <w:rsid w:val="00865C04"/>
    <w:rsid w:val="00865F4F"/>
    <w:rsid w:val="008661D0"/>
    <w:rsid w:val="00866404"/>
    <w:rsid w:val="0086659F"/>
    <w:rsid w:val="00866B0A"/>
    <w:rsid w:val="00866CDE"/>
    <w:rsid w:val="00866FE4"/>
    <w:rsid w:val="0086744C"/>
    <w:rsid w:val="00870A5F"/>
    <w:rsid w:val="00870D71"/>
    <w:rsid w:val="00870E3B"/>
    <w:rsid w:val="0087134C"/>
    <w:rsid w:val="0087141B"/>
    <w:rsid w:val="00872473"/>
    <w:rsid w:val="00873018"/>
    <w:rsid w:val="0087318A"/>
    <w:rsid w:val="0087440C"/>
    <w:rsid w:val="008744F8"/>
    <w:rsid w:val="0087486A"/>
    <w:rsid w:val="0087516B"/>
    <w:rsid w:val="00875351"/>
    <w:rsid w:val="008755DE"/>
    <w:rsid w:val="00875BB1"/>
    <w:rsid w:val="0087606F"/>
    <w:rsid w:val="00876567"/>
    <w:rsid w:val="0087689B"/>
    <w:rsid w:val="00876D20"/>
    <w:rsid w:val="008779C7"/>
    <w:rsid w:val="00877C77"/>
    <w:rsid w:val="008800AA"/>
    <w:rsid w:val="00880A68"/>
    <w:rsid w:val="0088186B"/>
    <w:rsid w:val="008825BC"/>
    <w:rsid w:val="0088371A"/>
    <w:rsid w:val="00883F50"/>
    <w:rsid w:val="008852AC"/>
    <w:rsid w:val="0088556B"/>
    <w:rsid w:val="00885585"/>
    <w:rsid w:val="00885911"/>
    <w:rsid w:val="00885EF6"/>
    <w:rsid w:val="00885F39"/>
    <w:rsid w:val="00886972"/>
    <w:rsid w:val="00887C9E"/>
    <w:rsid w:val="00890B55"/>
    <w:rsid w:val="00892753"/>
    <w:rsid w:val="00892928"/>
    <w:rsid w:val="00892C2C"/>
    <w:rsid w:val="00893481"/>
    <w:rsid w:val="00893A60"/>
    <w:rsid w:val="00893CC3"/>
    <w:rsid w:val="008940A5"/>
    <w:rsid w:val="00894594"/>
    <w:rsid w:val="008947C5"/>
    <w:rsid w:val="008947F9"/>
    <w:rsid w:val="0089518F"/>
    <w:rsid w:val="00895FAE"/>
    <w:rsid w:val="00896229"/>
    <w:rsid w:val="00896742"/>
    <w:rsid w:val="0089728B"/>
    <w:rsid w:val="008974CC"/>
    <w:rsid w:val="008A036D"/>
    <w:rsid w:val="008A0694"/>
    <w:rsid w:val="008A07EF"/>
    <w:rsid w:val="008A08A9"/>
    <w:rsid w:val="008A0B8E"/>
    <w:rsid w:val="008A10C8"/>
    <w:rsid w:val="008A1BF9"/>
    <w:rsid w:val="008A2637"/>
    <w:rsid w:val="008A29CA"/>
    <w:rsid w:val="008A2E04"/>
    <w:rsid w:val="008A3DAD"/>
    <w:rsid w:val="008A3F71"/>
    <w:rsid w:val="008A4264"/>
    <w:rsid w:val="008A42BE"/>
    <w:rsid w:val="008A4824"/>
    <w:rsid w:val="008A58F9"/>
    <w:rsid w:val="008A63CB"/>
    <w:rsid w:val="008A64FA"/>
    <w:rsid w:val="008A6533"/>
    <w:rsid w:val="008A6B2E"/>
    <w:rsid w:val="008A7756"/>
    <w:rsid w:val="008A7793"/>
    <w:rsid w:val="008B048C"/>
    <w:rsid w:val="008B05EF"/>
    <w:rsid w:val="008B0B87"/>
    <w:rsid w:val="008B1401"/>
    <w:rsid w:val="008B1413"/>
    <w:rsid w:val="008B141E"/>
    <w:rsid w:val="008B1B54"/>
    <w:rsid w:val="008B1FB2"/>
    <w:rsid w:val="008B210E"/>
    <w:rsid w:val="008B2114"/>
    <w:rsid w:val="008B213E"/>
    <w:rsid w:val="008B21F4"/>
    <w:rsid w:val="008B2D2B"/>
    <w:rsid w:val="008B3155"/>
    <w:rsid w:val="008B348C"/>
    <w:rsid w:val="008B3FAC"/>
    <w:rsid w:val="008B410C"/>
    <w:rsid w:val="008B4EC2"/>
    <w:rsid w:val="008B50E0"/>
    <w:rsid w:val="008B52EE"/>
    <w:rsid w:val="008B5F81"/>
    <w:rsid w:val="008B60B4"/>
    <w:rsid w:val="008B6716"/>
    <w:rsid w:val="008B6A42"/>
    <w:rsid w:val="008B733F"/>
    <w:rsid w:val="008B7840"/>
    <w:rsid w:val="008B7BD5"/>
    <w:rsid w:val="008C0903"/>
    <w:rsid w:val="008C0A61"/>
    <w:rsid w:val="008C0ECD"/>
    <w:rsid w:val="008C130B"/>
    <w:rsid w:val="008C1631"/>
    <w:rsid w:val="008C2DC1"/>
    <w:rsid w:val="008C363D"/>
    <w:rsid w:val="008C3896"/>
    <w:rsid w:val="008C38DD"/>
    <w:rsid w:val="008C45E7"/>
    <w:rsid w:val="008C4FE7"/>
    <w:rsid w:val="008C572D"/>
    <w:rsid w:val="008C59D0"/>
    <w:rsid w:val="008C6396"/>
    <w:rsid w:val="008C6639"/>
    <w:rsid w:val="008C6941"/>
    <w:rsid w:val="008C6C18"/>
    <w:rsid w:val="008C6C4D"/>
    <w:rsid w:val="008C6E03"/>
    <w:rsid w:val="008C727E"/>
    <w:rsid w:val="008D064E"/>
    <w:rsid w:val="008D0C94"/>
    <w:rsid w:val="008D0E3F"/>
    <w:rsid w:val="008D1331"/>
    <w:rsid w:val="008D1920"/>
    <w:rsid w:val="008D1C8A"/>
    <w:rsid w:val="008D2D65"/>
    <w:rsid w:val="008D332B"/>
    <w:rsid w:val="008D3B29"/>
    <w:rsid w:val="008D3BF4"/>
    <w:rsid w:val="008D3CBA"/>
    <w:rsid w:val="008D404A"/>
    <w:rsid w:val="008D439C"/>
    <w:rsid w:val="008D4582"/>
    <w:rsid w:val="008D491A"/>
    <w:rsid w:val="008D4BAF"/>
    <w:rsid w:val="008D5CE0"/>
    <w:rsid w:val="008D6D81"/>
    <w:rsid w:val="008D7031"/>
    <w:rsid w:val="008D7464"/>
    <w:rsid w:val="008D7D7C"/>
    <w:rsid w:val="008E0F52"/>
    <w:rsid w:val="008E1980"/>
    <w:rsid w:val="008E1FC7"/>
    <w:rsid w:val="008E253D"/>
    <w:rsid w:val="008E25F4"/>
    <w:rsid w:val="008E30BE"/>
    <w:rsid w:val="008E4883"/>
    <w:rsid w:val="008E4CC4"/>
    <w:rsid w:val="008E544C"/>
    <w:rsid w:val="008E5B55"/>
    <w:rsid w:val="008E5C25"/>
    <w:rsid w:val="008E719A"/>
    <w:rsid w:val="008E7815"/>
    <w:rsid w:val="008F073D"/>
    <w:rsid w:val="008F0B75"/>
    <w:rsid w:val="008F0FC4"/>
    <w:rsid w:val="008F112A"/>
    <w:rsid w:val="008F1248"/>
    <w:rsid w:val="008F2906"/>
    <w:rsid w:val="008F3284"/>
    <w:rsid w:val="008F33CD"/>
    <w:rsid w:val="008F36F0"/>
    <w:rsid w:val="008F39B2"/>
    <w:rsid w:val="008F3C47"/>
    <w:rsid w:val="008F43E7"/>
    <w:rsid w:val="008F43FB"/>
    <w:rsid w:val="008F4AEC"/>
    <w:rsid w:val="008F5348"/>
    <w:rsid w:val="008F534A"/>
    <w:rsid w:val="008F5484"/>
    <w:rsid w:val="008F54FE"/>
    <w:rsid w:val="008F5A87"/>
    <w:rsid w:val="008F5CA7"/>
    <w:rsid w:val="008F6047"/>
    <w:rsid w:val="008F63EA"/>
    <w:rsid w:val="008F6521"/>
    <w:rsid w:val="008F6743"/>
    <w:rsid w:val="008F7082"/>
    <w:rsid w:val="008F72C1"/>
    <w:rsid w:val="008F7538"/>
    <w:rsid w:val="008F7676"/>
    <w:rsid w:val="009001C9"/>
    <w:rsid w:val="009009D8"/>
    <w:rsid w:val="00900A4A"/>
    <w:rsid w:val="00900BD9"/>
    <w:rsid w:val="00901186"/>
    <w:rsid w:val="009011E5"/>
    <w:rsid w:val="00901341"/>
    <w:rsid w:val="009013FD"/>
    <w:rsid w:val="0090181F"/>
    <w:rsid w:val="00901903"/>
    <w:rsid w:val="00901E98"/>
    <w:rsid w:val="00901EC8"/>
    <w:rsid w:val="00902AB8"/>
    <w:rsid w:val="00902AE1"/>
    <w:rsid w:val="0090376B"/>
    <w:rsid w:val="00903917"/>
    <w:rsid w:val="00903983"/>
    <w:rsid w:val="009040F3"/>
    <w:rsid w:val="0090450F"/>
    <w:rsid w:val="00904606"/>
    <w:rsid w:val="0090494A"/>
    <w:rsid w:val="00904BFC"/>
    <w:rsid w:val="00904C90"/>
    <w:rsid w:val="0090641A"/>
    <w:rsid w:val="00906D99"/>
    <w:rsid w:val="00906FA5"/>
    <w:rsid w:val="009073B2"/>
    <w:rsid w:val="00907D1C"/>
    <w:rsid w:val="009100CB"/>
    <w:rsid w:val="00910C06"/>
    <w:rsid w:val="0091137A"/>
    <w:rsid w:val="00911B85"/>
    <w:rsid w:val="00911BF8"/>
    <w:rsid w:val="00911D24"/>
    <w:rsid w:val="009121C5"/>
    <w:rsid w:val="009124E7"/>
    <w:rsid w:val="009127D8"/>
    <w:rsid w:val="00912A18"/>
    <w:rsid w:val="00913043"/>
    <w:rsid w:val="00913394"/>
    <w:rsid w:val="009133C9"/>
    <w:rsid w:val="009133DE"/>
    <w:rsid w:val="00913925"/>
    <w:rsid w:val="00913983"/>
    <w:rsid w:val="00913DAC"/>
    <w:rsid w:val="00913E8A"/>
    <w:rsid w:val="00913FE3"/>
    <w:rsid w:val="00914515"/>
    <w:rsid w:val="0091452D"/>
    <w:rsid w:val="009151C3"/>
    <w:rsid w:val="009152DF"/>
    <w:rsid w:val="00915B8F"/>
    <w:rsid w:val="00915CD5"/>
    <w:rsid w:val="00916627"/>
    <w:rsid w:val="00916827"/>
    <w:rsid w:val="009168D6"/>
    <w:rsid w:val="009168E3"/>
    <w:rsid w:val="009169CC"/>
    <w:rsid w:val="00916B89"/>
    <w:rsid w:val="00916ECD"/>
    <w:rsid w:val="00917DB9"/>
    <w:rsid w:val="00920102"/>
    <w:rsid w:val="0092163C"/>
    <w:rsid w:val="00922D5E"/>
    <w:rsid w:val="009234AE"/>
    <w:rsid w:val="00923B35"/>
    <w:rsid w:val="00923B61"/>
    <w:rsid w:val="00923C08"/>
    <w:rsid w:val="00923CA6"/>
    <w:rsid w:val="00924BC7"/>
    <w:rsid w:val="00924E4D"/>
    <w:rsid w:val="0092503D"/>
    <w:rsid w:val="00926EA9"/>
    <w:rsid w:val="00927BE1"/>
    <w:rsid w:val="00930F19"/>
    <w:rsid w:val="00931B41"/>
    <w:rsid w:val="0093235B"/>
    <w:rsid w:val="009325A8"/>
    <w:rsid w:val="00932711"/>
    <w:rsid w:val="00932870"/>
    <w:rsid w:val="00932C7B"/>
    <w:rsid w:val="00932D01"/>
    <w:rsid w:val="00932F08"/>
    <w:rsid w:val="009333E7"/>
    <w:rsid w:val="00933588"/>
    <w:rsid w:val="009337EF"/>
    <w:rsid w:val="0093381B"/>
    <w:rsid w:val="00933A32"/>
    <w:rsid w:val="00933A46"/>
    <w:rsid w:val="0093451B"/>
    <w:rsid w:val="00934BB3"/>
    <w:rsid w:val="00935713"/>
    <w:rsid w:val="00935D8A"/>
    <w:rsid w:val="00936076"/>
    <w:rsid w:val="00936240"/>
    <w:rsid w:val="00936DF6"/>
    <w:rsid w:val="00937779"/>
    <w:rsid w:val="00937D6B"/>
    <w:rsid w:val="00937DCA"/>
    <w:rsid w:val="00940141"/>
    <w:rsid w:val="00940BCE"/>
    <w:rsid w:val="00941176"/>
    <w:rsid w:val="0094167B"/>
    <w:rsid w:val="0094175B"/>
    <w:rsid w:val="00941E2F"/>
    <w:rsid w:val="0094222E"/>
    <w:rsid w:val="00942932"/>
    <w:rsid w:val="00942B2A"/>
    <w:rsid w:val="00942BF4"/>
    <w:rsid w:val="0094307E"/>
    <w:rsid w:val="00943212"/>
    <w:rsid w:val="00943430"/>
    <w:rsid w:val="00944841"/>
    <w:rsid w:val="00945140"/>
    <w:rsid w:val="00945DC4"/>
    <w:rsid w:val="00945DCF"/>
    <w:rsid w:val="00945E25"/>
    <w:rsid w:val="009466E7"/>
    <w:rsid w:val="00947E47"/>
    <w:rsid w:val="00947EE3"/>
    <w:rsid w:val="0095007D"/>
    <w:rsid w:val="0095067A"/>
    <w:rsid w:val="00950E0F"/>
    <w:rsid w:val="0095162B"/>
    <w:rsid w:val="009518DB"/>
    <w:rsid w:val="009528A9"/>
    <w:rsid w:val="00953614"/>
    <w:rsid w:val="00953748"/>
    <w:rsid w:val="009538BE"/>
    <w:rsid w:val="009539EC"/>
    <w:rsid w:val="009544B0"/>
    <w:rsid w:val="00954848"/>
    <w:rsid w:val="00954D13"/>
    <w:rsid w:val="0095558D"/>
    <w:rsid w:val="00955F35"/>
    <w:rsid w:val="00956230"/>
    <w:rsid w:val="00956372"/>
    <w:rsid w:val="009567D0"/>
    <w:rsid w:val="00956F9E"/>
    <w:rsid w:val="009570E9"/>
    <w:rsid w:val="00957156"/>
    <w:rsid w:val="009576DE"/>
    <w:rsid w:val="00957FA6"/>
    <w:rsid w:val="00960414"/>
    <w:rsid w:val="00960CC6"/>
    <w:rsid w:val="0096138A"/>
    <w:rsid w:val="00961569"/>
    <w:rsid w:val="0096169E"/>
    <w:rsid w:val="009621F5"/>
    <w:rsid w:val="0096265F"/>
    <w:rsid w:val="009627E7"/>
    <w:rsid w:val="00962823"/>
    <w:rsid w:val="0096302A"/>
    <w:rsid w:val="00963242"/>
    <w:rsid w:val="00963B83"/>
    <w:rsid w:val="00964418"/>
    <w:rsid w:val="009645FF"/>
    <w:rsid w:val="009651DA"/>
    <w:rsid w:val="0096580C"/>
    <w:rsid w:val="00965A38"/>
    <w:rsid w:val="00965D3E"/>
    <w:rsid w:val="009675B4"/>
    <w:rsid w:val="00970081"/>
    <w:rsid w:val="00970BCD"/>
    <w:rsid w:val="00970DA4"/>
    <w:rsid w:val="0097132C"/>
    <w:rsid w:val="00971625"/>
    <w:rsid w:val="00972230"/>
    <w:rsid w:val="009722D2"/>
    <w:rsid w:val="009722E3"/>
    <w:rsid w:val="00974184"/>
    <w:rsid w:val="00974787"/>
    <w:rsid w:val="00974BB7"/>
    <w:rsid w:val="00974ED7"/>
    <w:rsid w:val="00975DE4"/>
    <w:rsid w:val="009761F2"/>
    <w:rsid w:val="00976284"/>
    <w:rsid w:val="00976C6E"/>
    <w:rsid w:val="009778B8"/>
    <w:rsid w:val="00977A71"/>
    <w:rsid w:val="00977E9B"/>
    <w:rsid w:val="00977FBE"/>
    <w:rsid w:val="00980A70"/>
    <w:rsid w:val="0098125D"/>
    <w:rsid w:val="009824DD"/>
    <w:rsid w:val="00982DC7"/>
    <w:rsid w:val="00982E27"/>
    <w:rsid w:val="009830AB"/>
    <w:rsid w:val="00983429"/>
    <w:rsid w:val="0098359E"/>
    <w:rsid w:val="00983C6D"/>
    <w:rsid w:val="00983FCC"/>
    <w:rsid w:val="00984577"/>
    <w:rsid w:val="00984601"/>
    <w:rsid w:val="00984C38"/>
    <w:rsid w:val="00984E4F"/>
    <w:rsid w:val="0098525A"/>
    <w:rsid w:val="0098615B"/>
    <w:rsid w:val="009861E3"/>
    <w:rsid w:val="00986314"/>
    <w:rsid w:val="00986622"/>
    <w:rsid w:val="00986769"/>
    <w:rsid w:val="00986BB4"/>
    <w:rsid w:val="009871F9"/>
    <w:rsid w:val="00987337"/>
    <w:rsid w:val="00987B8E"/>
    <w:rsid w:val="00987CAB"/>
    <w:rsid w:val="00990F04"/>
    <w:rsid w:val="00991096"/>
    <w:rsid w:val="0099147E"/>
    <w:rsid w:val="0099213F"/>
    <w:rsid w:val="0099248F"/>
    <w:rsid w:val="00992D5A"/>
    <w:rsid w:val="00992F9B"/>
    <w:rsid w:val="00993BD7"/>
    <w:rsid w:val="00993E91"/>
    <w:rsid w:val="00994813"/>
    <w:rsid w:val="0099482E"/>
    <w:rsid w:val="0099499A"/>
    <w:rsid w:val="00994A3C"/>
    <w:rsid w:val="00995084"/>
    <w:rsid w:val="0099529E"/>
    <w:rsid w:val="00995998"/>
    <w:rsid w:val="009959A8"/>
    <w:rsid w:val="00995B40"/>
    <w:rsid w:val="00995B93"/>
    <w:rsid w:val="0099646C"/>
    <w:rsid w:val="009966F7"/>
    <w:rsid w:val="00996821"/>
    <w:rsid w:val="009970F0"/>
    <w:rsid w:val="00997202"/>
    <w:rsid w:val="009979EB"/>
    <w:rsid w:val="00997C18"/>
    <w:rsid w:val="00997EF4"/>
    <w:rsid w:val="009A0EDE"/>
    <w:rsid w:val="009A12AD"/>
    <w:rsid w:val="009A16A2"/>
    <w:rsid w:val="009A1A0F"/>
    <w:rsid w:val="009A1B04"/>
    <w:rsid w:val="009A1C9A"/>
    <w:rsid w:val="009A1CA3"/>
    <w:rsid w:val="009A1F66"/>
    <w:rsid w:val="009A30EE"/>
    <w:rsid w:val="009A367C"/>
    <w:rsid w:val="009A384B"/>
    <w:rsid w:val="009A3935"/>
    <w:rsid w:val="009A3DAA"/>
    <w:rsid w:val="009A41CD"/>
    <w:rsid w:val="009A476A"/>
    <w:rsid w:val="009A47E6"/>
    <w:rsid w:val="009A48AE"/>
    <w:rsid w:val="009A51AF"/>
    <w:rsid w:val="009A5396"/>
    <w:rsid w:val="009A6186"/>
    <w:rsid w:val="009A61CE"/>
    <w:rsid w:val="009A6368"/>
    <w:rsid w:val="009A6409"/>
    <w:rsid w:val="009A6E49"/>
    <w:rsid w:val="009A7164"/>
    <w:rsid w:val="009A73C7"/>
    <w:rsid w:val="009A7C44"/>
    <w:rsid w:val="009A7E90"/>
    <w:rsid w:val="009B0842"/>
    <w:rsid w:val="009B0E3F"/>
    <w:rsid w:val="009B1097"/>
    <w:rsid w:val="009B1309"/>
    <w:rsid w:val="009B1619"/>
    <w:rsid w:val="009B1C9E"/>
    <w:rsid w:val="009B1F29"/>
    <w:rsid w:val="009B2203"/>
    <w:rsid w:val="009B26BB"/>
    <w:rsid w:val="009B287B"/>
    <w:rsid w:val="009B2FC0"/>
    <w:rsid w:val="009B300B"/>
    <w:rsid w:val="009B313D"/>
    <w:rsid w:val="009B3538"/>
    <w:rsid w:val="009B3CE6"/>
    <w:rsid w:val="009B4219"/>
    <w:rsid w:val="009B434F"/>
    <w:rsid w:val="009B43DA"/>
    <w:rsid w:val="009B44BE"/>
    <w:rsid w:val="009B51EC"/>
    <w:rsid w:val="009B5465"/>
    <w:rsid w:val="009B5763"/>
    <w:rsid w:val="009B5A2A"/>
    <w:rsid w:val="009B5ED6"/>
    <w:rsid w:val="009B610F"/>
    <w:rsid w:val="009B6E69"/>
    <w:rsid w:val="009C0361"/>
    <w:rsid w:val="009C0CEB"/>
    <w:rsid w:val="009C11E0"/>
    <w:rsid w:val="009C1B7A"/>
    <w:rsid w:val="009C1D0B"/>
    <w:rsid w:val="009C26B1"/>
    <w:rsid w:val="009C2DF5"/>
    <w:rsid w:val="009C3140"/>
    <w:rsid w:val="009C321B"/>
    <w:rsid w:val="009C3375"/>
    <w:rsid w:val="009C34CF"/>
    <w:rsid w:val="009C407B"/>
    <w:rsid w:val="009C467A"/>
    <w:rsid w:val="009C46E9"/>
    <w:rsid w:val="009C57ED"/>
    <w:rsid w:val="009C5D7D"/>
    <w:rsid w:val="009C6114"/>
    <w:rsid w:val="009C6379"/>
    <w:rsid w:val="009C6AEB"/>
    <w:rsid w:val="009C6C2F"/>
    <w:rsid w:val="009C7198"/>
    <w:rsid w:val="009C755F"/>
    <w:rsid w:val="009C7620"/>
    <w:rsid w:val="009C78D5"/>
    <w:rsid w:val="009C7A6F"/>
    <w:rsid w:val="009C7FF1"/>
    <w:rsid w:val="009D0522"/>
    <w:rsid w:val="009D0750"/>
    <w:rsid w:val="009D0E0A"/>
    <w:rsid w:val="009D1087"/>
    <w:rsid w:val="009D11C5"/>
    <w:rsid w:val="009D150F"/>
    <w:rsid w:val="009D170D"/>
    <w:rsid w:val="009D18E3"/>
    <w:rsid w:val="009D1E40"/>
    <w:rsid w:val="009D2027"/>
    <w:rsid w:val="009D2B21"/>
    <w:rsid w:val="009D31FC"/>
    <w:rsid w:val="009D40B1"/>
    <w:rsid w:val="009D499F"/>
    <w:rsid w:val="009D4B05"/>
    <w:rsid w:val="009D5190"/>
    <w:rsid w:val="009D54FB"/>
    <w:rsid w:val="009D5D50"/>
    <w:rsid w:val="009D5F84"/>
    <w:rsid w:val="009D6002"/>
    <w:rsid w:val="009D6081"/>
    <w:rsid w:val="009D60D5"/>
    <w:rsid w:val="009D6157"/>
    <w:rsid w:val="009D7222"/>
    <w:rsid w:val="009D7830"/>
    <w:rsid w:val="009E006E"/>
    <w:rsid w:val="009E09A1"/>
    <w:rsid w:val="009E178C"/>
    <w:rsid w:val="009E179E"/>
    <w:rsid w:val="009E1A63"/>
    <w:rsid w:val="009E2566"/>
    <w:rsid w:val="009E2FBF"/>
    <w:rsid w:val="009E397D"/>
    <w:rsid w:val="009E3BA1"/>
    <w:rsid w:val="009E3CD4"/>
    <w:rsid w:val="009E42A5"/>
    <w:rsid w:val="009E44BE"/>
    <w:rsid w:val="009E4C1B"/>
    <w:rsid w:val="009E5186"/>
    <w:rsid w:val="009E5780"/>
    <w:rsid w:val="009E598B"/>
    <w:rsid w:val="009E623C"/>
    <w:rsid w:val="009E6B85"/>
    <w:rsid w:val="009E6E81"/>
    <w:rsid w:val="009E7392"/>
    <w:rsid w:val="009E7D84"/>
    <w:rsid w:val="009F037F"/>
    <w:rsid w:val="009F0DF2"/>
    <w:rsid w:val="009F13A2"/>
    <w:rsid w:val="009F178F"/>
    <w:rsid w:val="009F17FC"/>
    <w:rsid w:val="009F22AE"/>
    <w:rsid w:val="009F2FD0"/>
    <w:rsid w:val="009F3452"/>
    <w:rsid w:val="009F3564"/>
    <w:rsid w:val="009F517D"/>
    <w:rsid w:val="009F5665"/>
    <w:rsid w:val="009F5A20"/>
    <w:rsid w:val="009F61CB"/>
    <w:rsid w:val="009F64FA"/>
    <w:rsid w:val="009F74D3"/>
    <w:rsid w:val="009F7AC1"/>
    <w:rsid w:val="009F7CE4"/>
    <w:rsid w:val="009F7D0C"/>
    <w:rsid w:val="00A0011D"/>
    <w:rsid w:val="00A0040C"/>
    <w:rsid w:val="00A00434"/>
    <w:rsid w:val="00A00858"/>
    <w:rsid w:val="00A00AD9"/>
    <w:rsid w:val="00A011DC"/>
    <w:rsid w:val="00A01C57"/>
    <w:rsid w:val="00A01D7F"/>
    <w:rsid w:val="00A020C1"/>
    <w:rsid w:val="00A02CF6"/>
    <w:rsid w:val="00A036AE"/>
    <w:rsid w:val="00A037FD"/>
    <w:rsid w:val="00A03C1B"/>
    <w:rsid w:val="00A03C7E"/>
    <w:rsid w:val="00A04672"/>
    <w:rsid w:val="00A048D2"/>
    <w:rsid w:val="00A04F9B"/>
    <w:rsid w:val="00A064FA"/>
    <w:rsid w:val="00A06686"/>
    <w:rsid w:val="00A06B58"/>
    <w:rsid w:val="00A07127"/>
    <w:rsid w:val="00A07515"/>
    <w:rsid w:val="00A075E6"/>
    <w:rsid w:val="00A07FB6"/>
    <w:rsid w:val="00A10102"/>
    <w:rsid w:val="00A1012C"/>
    <w:rsid w:val="00A1074D"/>
    <w:rsid w:val="00A1098E"/>
    <w:rsid w:val="00A10F13"/>
    <w:rsid w:val="00A1157C"/>
    <w:rsid w:val="00A1169B"/>
    <w:rsid w:val="00A12006"/>
    <w:rsid w:val="00A12F0C"/>
    <w:rsid w:val="00A13067"/>
    <w:rsid w:val="00A136A6"/>
    <w:rsid w:val="00A13835"/>
    <w:rsid w:val="00A14023"/>
    <w:rsid w:val="00A140FB"/>
    <w:rsid w:val="00A147A5"/>
    <w:rsid w:val="00A14F41"/>
    <w:rsid w:val="00A15593"/>
    <w:rsid w:val="00A165AC"/>
    <w:rsid w:val="00A167F2"/>
    <w:rsid w:val="00A16800"/>
    <w:rsid w:val="00A1694D"/>
    <w:rsid w:val="00A16D71"/>
    <w:rsid w:val="00A16F53"/>
    <w:rsid w:val="00A1701E"/>
    <w:rsid w:val="00A17376"/>
    <w:rsid w:val="00A17805"/>
    <w:rsid w:val="00A17E9C"/>
    <w:rsid w:val="00A200EE"/>
    <w:rsid w:val="00A211C6"/>
    <w:rsid w:val="00A21530"/>
    <w:rsid w:val="00A2171B"/>
    <w:rsid w:val="00A226FC"/>
    <w:rsid w:val="00A22A86"/>
    <w:rsid w:val="00A22B1B"/>
    <w:rsid w:val="00A237C1"/>
    <w:rsid w:val="00A23A18"/>
    <w:rsid w:val="00A23AC7"/>
    <w:rsid w:val="00A24554"/>
    <w:rsid w:val="00A245FB"/>
    <w:rsid w:val="00A2499C"/>
    <w:rsid w:val="00A24A40"/>
    <w:rsid w:val="00A25208"/>
    <w:rsid w:val="00A25BB6"/>
    <w:rsid w:val="00A25EF9"/>
    <w:rsid w:val="00A260B3"/>
    <w:rsid w:val="00A26475"/>
    <w:rsid w:val="00A26624"/>
    <w:rsid w:val="00A267DC"/>
    <w:rsid w:val="00A26DBB"/>
    <w:rsid w:val="00A27149"/>
    <w:rsid w:val="00A272B7"/>
    <w:rsid w:val="00A274E8"/>
    <w:rsid w:val="00A27A6F"/>
    <w:rsid w:val="00A27D82"/>
    <w:rsid w:val="00A27ED7"/>
    <w:rsid w:val="00A301AA"/>
    <w:rsid w:val="00A30E1A"/>
    <w:rsid w:val="00A31F82"/>
    <w:rsid w:val="00A321EA"/>
    <w:rsid w:val="00A32921"/>
    <w:rsid w:val="00A32E3F"/>
    <w:rsid w:val="00A32EF0"/>
    <w:rsid w:val="00A3369D"/>
    <w:rsid w:val="00A34440"/>
    <w:rsid w:val="00A34996"/>
    <w:rsid w:val="00A34F74"/>
    <w:rsid w:val="00A354AB"/>
    <w:rsid w:val="00A3561C"/>
    <w:rsid w:val="00A36222"/>
    <w:rsid w:val="00A3658C"/>
    <w:rsid w:val="00A36C79"/>
    <w:rsid w:val="00A3776C"/>
    <w:rsid w:val="00A400A7"/>
    <w:rsid w:val="00A4015A"/>
    <w:rsid w:val="00A4032A"/>
    <w:rsid w:val="00A4077B"/>
    <w:rsid w:val="00A4081B"/>
    <w:rsid w:val="00A40C29"/>
    <w:rsid w:val="00A41BA5"/>
    <w:rsid w:val="00A41D1B"/>
    <w:rsid w:val="00A41E07"/>
    <w:rsid w:val="00A424E8"/>
    <w:rsid w:val="00A4250F"/>
    <w:rsid w:val="00A42FC3"/>
    <w:rsid w:val="00A43437"/>
    <w:rsid w:val="00A43448"/>
    <w:rsid w:val="00A43512"/>
    <w:rsid w:val="00A43968"/>
    <w:rsid w:val="00A43AD5"/>
    <w:rsid w:val="00A43E75"/>
    <w:rsid w:val="00A44897"/>
    <w:rsid w:val="00A448DB"/>
    <w:rsid w:val="00A45062"/>
    <w:rsid w:val="00A45684"/>
    <w:rsid w:val="00A4573C"/>
    <w:rsid w:val="00A458DD"/>
    <w:rsid w:val="00A45CEA"/>
    <w:rsid w:val="00A464F1"/>
    <w:rsid w:val="00A467F6"/>
    <w:rsid w:val="00A46BD8"/>
    <w:rsid w:val="00A471CF"/>
    <w:rsid w:val="00A475FF"/>
    <w:rsid w:val="00A47857"/>
    <w:rsid w:val="00A4797D"/>
    <w:rsid w:val="00A47C66"/>
    <w:rsid w:val="00A47E81"/>
    <w:rsid w:val="00A50C14"/>
    <w:rsid w:val="00A515DD"/>
    <w:rsid w:val="00A5170A"/>
    <w:rsid w:val="00A52344"/>
    <w:rsid w:val="00A52C33"/>
    <w:rsid w:val="00A52EF1"/>
    <w:rsid w:val="00A53205"/>
    <w:rsid w:val="00A54396"/>
    <w:rsid w:val="00A54BF2"/>
    <w:rsid w:val="00A54FFD"/>
    <w:rsid w:val="00A5535A"/>
    <w:rsid w:val="00A5549F"/>
    <w:rsid w:val="00A55939"/>
    <w:rsid w:val="00A564F9"/>
    <w:rsid w:val="00A56682"/>
    <w:rsid w:val="00A56AE5"/>
    <w:rsid w:val="00A56B50"/>
    <w:rsid w:val="00A57D05"/>
    <w:rsid w:val="00A57DBF"/>
    <w:rsid w:val="00A60B6E"/>
    <w:rsid w:val="00A60BE7"/>
    <w:rsid w:val="00A60EF4"/>
    <w:rsid w:val="00A61159"/>
    <w:rsid w:val="00A6116D"/>
    <w:rsid w:val="00A6123A"/>
    <w:rsid w:val="00A616E8"/>
    <w:rsid w:val="00A6194E"/>
    <w:rsid w:val="00A62796"/>
    <w:rsid w:val="00A62844"/>
    <w:rsid w:val="00A6292A"/>
    <w:rsid w:val="00A62E19"/>
    <w:rsid w:val="00A62F07"/>
    <w:rsid w:val="00A62F64"/>
    <w:rsid w:val="00A63432"/>
    <w:rsid w:val="00A634FA"/>
    <w:rsid w:val="00A64398"/>
    <w:rsid w:val="00A645CD"/>
    <w:rsid w:val="00A64605"/>
    <w:rsid w:val="00A64B73"/>
    <w:rsid w:val="00A64BA9"/>
    <w:rsid w:val="00A653B7"/>
    <w:rsid w:val="00A65A2A"/>
    <w:rsid w:val="00A65ACC"/>
    <w:rsid w:val="00A65B07"/>
    <w:rsid w:val="00A65C1F"/>
    <w:rsid w:val="00A65CAF"/>
    <w:rsid w:val="00A66A70"/>
    <w:rsid w:val="00A67792"/>
    <w:rsid w:val="00A678F8"/>
    <w:rsid w:val="00A67EC5"/>
    <w:rsid w:val="00A7020D"/>
    <w:rsid w:val="00A70797"/>
    <w:rsid w:val="00A7079C"/>
    <w:rsid w:val="00A70A7A"/>
    <w:rsid w:val="00A70EEF"/>
    <w:rsid w:val="00A71ACD"/>
    <w:rsid w:val="00A71B3B"/>
    <w:rsid w:val="00A71EF4"/>
    <w:rsid w:val="00A723EB"/>
    <w:rsid w:val="00A727B3"/>
    <w:rsid w:val="00A73500"/>
    <w:rsid w:val="00A73B9B"/>
    <w:rsid w:val="00A73F76"/>
    <w:rsid w:val="00A744F9"/>
    <w:rsid w:val="00A76293"/>
    <w:rsid w:val="00A76FE8"/>
    <w:rsid w:val="00A778C4"/>
    <w:rsid w:val="00A77F11"/>
    <w:rsid w:val="00A80CA4"/>
    <w:rsid w:val="00A80EF3"/>
    <w:rsid w:val="00A8113F"/>
    <w:rsid w:val="00A823D3"/>
    <w:rsid w:val="00A824FD"/>
    <w:rsid w:val="00A8262E"/>
    <w:rsid w:val="00A83203"/>
    <w:rsid w:val="00A83356"/>
    <w:rsid w:val="00A836D6"/>
    <w:rsid w:val="00A83F10"/>
    <w:rsid w:val="00A84593"/>
    <w:rsid w:val="00A8552B"/>
    <w:rsid w:val="00A85FBB"/>
    <w:rsid w:val="00A86113"/>
    <w:rsid w:val="00A86593"/>
    <w:rsid w:val="00A86856"/>
    <w:rsid w:val="00A8687A"/>
    <w:rsid w:val="00A86B59"/>
    <w:rsid w:val="00A8743B"/>
    <w:rsid w:val="00A875DB"/>
    <w:rsid w:val="00A87B32"/>
    <w:rsid w:val="00A905D5"/>
    <w:rsid w:val="00A90A50"/>
    <w:rsid w:val="00A90D57"/>
    <w:rsid w:val="00A91114"/>
    <w:rsid w:val="00A9195D"/>
    <w:rsid w:val="00A91CE5"/>
    <w:rsid w:val="00A91D83"/>
    <w:rsid w:val="00A92908"/>
    <w:rsid w:val="00A92F17"/>
    <w:rsid w:val="00A934DA"/>
    <w:rsid w:val="00A93646"/>
    <w:rsid w:val="00A9373A"/>
    <w:rsid w:val="00A94137"/>
    <w:rsid w:val="00A9490B"/>
    <w:rsid w:val="00A9514E"/>
    <w:rsid w:val="00A95F87"/>
    <w:rsid w:val="00A97093"/>
    <w:rsid w:val="00A97304"/>
    <w:rsid w:val="00A97BB6"/>
    <w:rsid w:val="00A97ED5"/>
    <w:rsid w:val="00AA0695"/>
    <w:rsid w:val="00AA080C"/>
    <w:rsid w:val="00AA10B3"/>
    <w:rsid w:val="00AA1A2B"/>
    <w:rsid w:val="00AA21EE"/>
    <w:rsid w:val="00AA25D7"/>
    <w:rsid w:val="00AA2C25"/>
    <w:rsid w:val="00AA33C4"/>
    <w:rsid w:val="00AA34F5"/>
    <w:rsid w:val="00AA3580"/>
    <w:rsid w:val="00AA3931"/>
    <w:rsid w:val="00AA41DF"/>
    <w:rsid w:val="00AA44A7"/>
    <w:rsid w:val="00AA4975"/>
    <w:rsid w:val="00AA4C6E"/>
    <w:rsid w:val="00AA4E25"/>
    <w:rsid w:val="00AA50A1"/>
    <w:rsid w:val="00AA562C"/>
    <w:rsid w:val="00AA59C9"/>
    <w:rsid w:val="00AA5F07"/>
    <w:rsid w:val="00AA5FFD"/>
    <w:rsid w:val="00AA5FFF"/>
    <w:rsid w:val="00AA6046"/>
    <w:rsid w:val="00AA627F"/>
    <w:rsid w:val="00AA66F9"/>
    <w:rsid w:val="00AA6763"/>
    <w:rsid w:val="00AA68B2"/>
    <w:rsid w:val="00AA7103"/>
    <w:rsid w:val="00AA7244"/>
    <w:rsid w:val="00AA72CF"/>
    <w:rsid w:val="00AB0853"/>
    <w:rsid w:val="00AB0912"/>
    <w:rsid w:val="00AB148C"/>
    <w:rsid w:val="00AB15EA"/>
    <w:rsid w:val="00AB22CB"/>
    <w:rsid w:val="00AB268C"/>
    <w:rsid w:val="00AB28B0"/>
    <w:rsid w:val="00AB2AFE"/>
    <w:rsid w:val="00AB2D43"/>
    <w:rsid w:val="00AB323B"/>
    <w:rsid w:val="00AB3EA7"/>
    <w:rsid w:val="00AB409C"/>
    <w:rsid w:val="00AB452D"/>
    <w:rsid w:val="00AB6239"/>
    <w:rsid w:val="00AB6292"/>
    <w:rsid w:val="00AB7514"/>
    <w:rsid w:val="00AB7ABD"/>
    <w:rsid w:val="00AC017D"/>
    <w:rsid w:val="00AC0395"/>
    <w:rsid w:val="00AC0E65"/>
    <w:rsid w:val="00AC0E9A"/>
    <w:rsid w:val="00AC0FA8"/>
    <w:rsid w:val="00AC150B"/>
    <w:rsid w:val="00AC1535"/>
    <w:rsid w:val="00AC1588"/>
    <w:rsid w:val="00AC1CDE"/>
    <w:rsid w:val="00AC2134"/>
    <w:rsid w:val="00AC2153"/>
    <w:rsid w:val="00AC2632"/>
    <w:rsid w:val="00AC29CE"/>
    <w:rsid w:val="00AC2D19"/>
    <w:rsid w:val="00AC2D63"/>
    <w:rsid w:val="00AC308D"/>
    <w:rsid w:val="00AC3247"/>
    <w:rsid w:val="00AC4255"/>
    <w:rsid w:val="00AC4309"/>
    <w:rsid w:val="00AC43DB"/>
    <w:rsid w:val="00AC44AB"/>
    <w:rsid w:val="00AC4976"/>
    <w:rsid w:val="00AC5B72"/>
    <w:rsid w:val="00AC6731"/>
    <w:rsid w:val="00AC7047"/>
    <w:rsid w:val="00AC71DE"/>
    <w:rsid w:val="00AC74D2"/>
    <w:rsid w:val="00AC76AE"/>
    <w:rsid w:val="00AC7703"/>
    <w:rsid w:val="00AC7FF6"/>
    <w:rsid w:val="00AD0374"/>
    <w:rsid w:val="00AD0803"/>
    <w:rsid w:val="00AD13BE"/>
    <w:rsid w:val="00AD1478"/>
    <w:rsid w:val="00AD258F"/>
    <w:rsid w:val="00AD2892"/>
    <w:rsid w:val="00AD2AD5"/>
    <w:rsid w:val="00AD2DE0"/>
    <w:rsid w:val="00AD3999"/>
    <w:rsid w:val="00AD3D33"/>
    <w:rsid w:val="00AD4034"/>
    <w:rsid w:val="00AD4612"/>
    <w:rsid w:val="00AD49CF"/>
    <w:rsid w:val="00AD525A"/>
    <w:rsid w:val="00AD53F8"/>
    <w:rsid w:val="00AD5801"/>
    <w:rsid w:val="00AD5926"/>
    <w:rsid w:val="00AD5AF7"/>
    <w:rsid w:val="00AD674E"/>
    <w:rsid w:val="00AD6C2A"/>
    <w:rsid w:val="00AD6CC0"/>
    <w:rsid w:val="00AD6D82"/>
    <w:rsid w:val="00AD777C"/>
    <w:rsid w:val="00AD783E"/>
    <w:rsid w:val="00AD79D7"/>
    <w:rsid w:val="00AE001A"/>
    <w:rsid w:val="00AE00F6"/>
    <w:rsid w:val="00AE02D0"/>
    <w:rsid w:val="00AE0AD1"/>
    <w:rsid w:val="00AE1572"/>
    <w:rsid w:val="00AE1624"/>
    <w:rsid w:val="00AE1B46"/>
    <w:rsid w:val="00AE1EE7"/>
    <w:rsid w:val="00AE29B8"/>
    <w:rsid w:val="00AE39CC"/>
    <w:rsid w:val="00AE3E5E"/>
    <w:rsid w:val="00AE4770"/>
    <w:rsid w:val="00AE4C8D"/>
    <w:rsid w:val="00AE500C"/>
    <w:rsid w:val="00AE508C"/>
    <w:rsid w:val="00AE5752"/>
    <w:rsid w:val="00AE63C7"/>
    <w:rsid w:val="00AE6578"/>
    <w:rsid w:val="00AE6582"/>
    <w:rsid w:val="00AE6645"/>
    <w:rsid w:val="00AE681C"/>
    <w:rsid w:val="00AE6B2D"/>
    <w:rsid w:val="00AE6D85"/>
    <w:rsid w:val="00AE72E3"/>
    <w:rsid w:val="00AE735F"/>
    <w:rsid w:val="00AE75E3"/>
    <w:rsid w:val="00AE780A"/>
    <w:rsid w:val="00AE7898"/>
    <w:rsid w:val="00AE7B45"/>
    <w:rsid w:val="00AF0183"/>
    <w:rsid w:val="00AF0458"/>
    <w:rsid w:val="00AF0A81"/>
    <w:rsid w:val="00AF0AF7"/>
    <w:rsid w:val="00AF1729"/>
    <w:rsid w:val="00AF1F1E"/>
    <w:rsid w:val="00AF204D"/>
    <w:rsid w:val="00AF23F0"/>
    <w:rsid w:val="00AF25B3"/>
    <w:rsid w:val="00AF2808"/>
    <w:rsid w:val="00AF288C"/>
    <w:rsid w:val="00AF2D80"/>
    <w:rsid w:val="00AF39D1"/>
    <w:rsid w:val="00AF3B5A"/>
    <w:rsid w:val="00AF4821"/>
    <w:rsid w:val="00AF4F05"/>
    <w:rsid w:val="00AF50AE"/>
    <w:rsid w:val="00AF51D3"/>
    <w:rsid w:val="00AF58D6"/>
    <w:rsid w:val="00AF5A75"/>
    <w:rsid w:val="00AF5A8A"/>
    <w:rsid w:val="00AF64EC"/>
    <w:rsid w:val="00AF6D9D"/>
    <w:rsid w:val="00AF700C"/>
    <w:rsid w:val="00AF7438"/>
    <w:rsid w:val="00AF751F"/>
    <w:rsid w:val="00AF75B3"/>
    <w:rsid w:val="00AF762A"/>
    <w:rsid w:val="00AF7745"/>
    <w:rsid w:val="00AF7A56"/>
    <w:rsid w:val="00B00D27"/>
    <w:rsid w:val="00B00EF5"/>
    <w:rsid w:val="00B0156D"/>
    <w:rsid w:val="00B015EF"/>
    <w:rsid w:val="00B01712"/>
    <w:rsid w:val="00B01C5F"/>
    <w:rsid w:val="00B03329"/>
    <w:rsid w:val="00B03D61"/>
    <w:rsid w:val="00B046AA"/>
    <w:rsid w:val="00B04EB9"/>
    <w:rsid w:val="00B051D2"/>
    <w:rsid w:val="00B05F2C"/>
    <w:rsid w:val="00B063A7"/>
    <w:rsid w:val="00B06633"/>
    <w:rsid w:val="00B06847"/>
    <w:rsid w:val="00B06C5F"/>
    <w:rsid w:val="00B06F2B"/>
    <w:rsid w:val="00B06FCA"/>
    <w:rsid w:val="00B07DD5"/>
    <w:rsid w:val="00B07E8B"/>
    <w:rsid w:val="00B07F12"/>
    <w:rsid w:val="00B102E9"/>
    <w:rsid w:val="00B10361"/>
    <w:rsid w:val="00B104AB"/>
    <w:rsid w:val="00B107B0"/>
    <w:rsid w:val="00B10DDA"/>
    <w:rsid w:val="00B11357"/>
    <w:rsid w:val="00B113BC"/>
    <w:rsid w:val="00B118AC"/>
    <w:rsid w:val="00B11D0D"/>
    <w:rsid w:val="00B1232B"/>
    <w:rsid w:val="00B12795"/>
    <w:rsid w:val="00B138A3"/>
    <w:rsid w:val="00B13E74"/>
    <w:rsid w:val="00B14364"/>
    <w:rsid w:val="00B147D1"/>
    <w:rsid w:val="00B15BA8"/>
    <w:rsid w:val="00B15CF9"/>
    <w:rsid w:val="00B15E85"/>
    <w:rsid w:val="00B1620C"/>
    <w:rsid w:val="00B163FC"/>
    <w:rsid w:val="00B166B6"/>
    <w:rsid w:val="00B16976"/>
    <w:rsid w:val="00B17800"/>
    <w:rsid w:val="00B17F96"/>
    <w:rsid w:val="00B20396"/>
    <w:rsid w:val="00B21394"/>
    <w:rsid w:val="00B22760"/>
    <w:rsid w:val="00B2277D"/>
    <w:rsid w:val="00B2296A"/>
    <w:rsid w:val="00B22E13"/>
    <w:rsid w:val="00B22E9B"/>
    <w:rsid w:val="00B231F8"/>
    <w:rsid w:val="00B23308"/>
    <w:rsid w:val="00B23A1A"/>
    <w:rsid w:val="00B23A2D"/>
    <w:rsid w:val="00B23C51"/>
    <w:rsid w:val="00B23DFB"/>
    <w:rsid w:val="00B23FE7"/>
    <w:rsid w:val="00B24823"/>
    <w:rsid w:val="00B24AE6"/>
    <w:rsid w:val="00B24D9E"/>
    <w:rsid w:val="00B24FF2"/>
    <w:rsid w:val="00B25595"/>
    <w:rsid w:val="00B25C0D"/>
    <w:rsid w:val="00B25F2E"/>
    <w:rsid w:val="00B26285"/>
    <w:rsid w:val="00B268ED"/>
    <w:rsid w:val="00B26A0D"/>
    <w:rsid w:val="00B26A31"/>
    <w:rsid w:val="00B27066"/>
    <w:rsid w:val="00B273CA"/>
    <w:rsid w:val="00B27428"/>
    <w:rsid w:val="00B278DB"/>
    <w:rsid w:val="00B2799C"/>
    <w:rsid w:val="00B30038"/>
    <w:rsid w:val="00B30CC7"/>
    <w:rsid w:val="00B3102A"/>
    <w:rsid w:val="00B3130C"/>
    <w:rsid w:val="00B3198F"/>
    <w:rsid w:val="00B334EC"/>
    <w:rsid w:val="00B33DFF"/>
    <w:rsid w:val="00B34145"/>
    <w:rsid w:val="00B3662C"/>
    <w:rsid w:val="00B36881"/>
    <w:rsid w:val="00B369D5"/>
    <w:rsid w:val="00B36D99"/>
    <w:rsid w:val="00B372A2"/>
    <w:rsid w:val="00B3761B"/>
    <w:rsid w:val="00B37A2A"/>
    <w:rsid w:val="00B37DCB"/>
    <w:rsid w:val="00B37E6A"/>
    <w:rsid w:val="00B400A3"/>
    <w:rsid w:val="00B4035B"/>
    <w:rsid w:val="00B40404"/>
    <w:rsid w:val="00B40C7A"/>
    <w:rsid w:val="00B40CB5"/>
    <w:rsid w:val="00B41A2D"/>
    <w:rsid w:val="00B41BB9"/>
    <w:rsid w:val="00B426B4"/>
    <w:rsid w:val="00B4272C"/>
    <w:rsid w:val="00B427A8"/>
    <w:rsid w:val="00B4320C"/>
    <w:rsid w:val="00B45798"/>
    <w:rsid w:val="00B46887"/>
    <w:rsid w:val="00B469E1"/>
    <w:rsid w:val="00B46A34"/>
    <w:rsid w:val="00B47056"/>
    <w:rsid w:val="00B47868"/>
    <w:rsid w:val="00B478D0"/>
    <w:rsid w:val="00B500C4"/>
    <w:rsid w:val="00B50249"/>
    <w:rsid w:val="00B50C0D"/>
    <w:rsid w:val="00B50D4D"/>
    <w:rsid w:val="00B50FC2"/>
    <w:rsid w:val="00B5142D"/>
    <w:rsid w:val="00B517B5"/>
    <w:rsid w:val="00B52244"/>
    <w:rsid w:val="00B525D5"/>
    <w:rsid w:val="00B5269D"/>
    <w:rsid w:val="00B52881"/>
    <w:rsid w:val="00B52CE5"/>
    <w:rsid w:val="00B52D75"/>
    <w:rsid w:val="00B53145"/>
    <w:rsid w:val="00B53F28"/>
    <w:rsid w:val="00B541C9"/>
    <w:rsid w:val="00B54471"/>
    <w:rsid w:val="00B54703"/>
    <w:rsid w:val="00B552E6"/>
    <w:rsid w:val="00B55E0C"/>
    <w:rsid w:val="00B5636B"/>
    <w:rsid w:val="00B5639A"/>
    <w:rsid w:val="00B57008"/>
    <w:rsid w:val="00B6089F"/>
    <w:rsid w:val="00B613E0"/>
    <w:rsid w:val="00B61666"/>
    <w:rsid w:val="00B623F3"/>
    <w:rsid w:val="00B62422"/>
    <w:rsid w:val="00B62BBF"/>
    <w:rsid w:val="00B63389"/>
    <w:rsid w:val="00B63BE6"/>
    <w:rsid w:val="00B6418E"/>
    <w:rsid w:val="00B648C7"/>
    <w:rsid w:val="00B64B7F"/>
    <w:rsid w:val="00B64BEE"/>
    <w:rsid w:val="00B65165"/>
    <w:rsid w:val="00B65901"/>
    <w:rsid w:val="00B65AF6"/>
    <w:rsid w:val="00B66482"/>
    <w:rsid w:val="00B66B0B"/>
    <w:rsid w:val="00B675FF"/>
    <w:rsid w:val="00B703EE"/>
    <w:rsid w:val="00B71995"/>
    <w:rsid w:val="00B71A70"/>
    <w:rsid w:val="00B71F14"/>
    <w:rsid w:val="00B724DA"/>
    <w:rsid w:val="00B731F1"/>
    <w:rsid w:val="00B73423"/>
    <w:rsid w:val="00B736DE"/>
    <w:rsid w:val="00B7388B"/>
    <w:rsid w:val="00B73F08"/>
    <w:rsid w:val="00B74993"/>
    <w:rsid w:val="00B752A3"/>
    <w:rsid w:val="00B752CB"/>
    <w:rsid w:val="00B757CE"/>
    <w:rsid w:val="00B75813"/>
    <w:rsid w:val="00B75DC5"/>
    <w:rsid w:val="00B75E7E"/>
    <w:rsid w:val="00B76511"/>
    <w:rsid w:val="00B76A83"/>
    <w:rsid w:val="00B77371"/>
    <w:rsid w:val="00B7750F"/>
    <w:rsid w:val="00B77957"/>
    <w:rsid w:val="00B803DF"/>
    <w:rsid w:val="00B80863"/>
    <w:rsid w:val="00B80C61"/>
    <w:rsid w:val="00B80DB1"/>
    <w:rsid w:val="00B8111E"/>
    <w:rsid w:val="00B81D6A"/>
    <w:rsid w:val="00B821BA"/>
    <w:rsid w:val="00B82373"/>
    <w:rsid w:val="00B825CE"/>
    <w:rsid w:val="00B830EB"/>
    <w:rsid w:val="00B8310E"/>
    <w:rsid w:val="00B83189"/>
    <w:rsid w:val="00B83261"/>
    <w:rsid w:val="00B83437"/>
    <w:rsid w:val="00B845BA"/>
    <w:rsid w:val="00B85310"/>
    <w:rsid w:val="00B85375"/>
    <w:rsid w:val="00B85714"/>
    <w:rsid w:val="00B85788"/>
    <w:rsid w:val="00B85F1D"/>
    <w:rsid w:val="00B86A41"/>
    <w:rsid w:val="00B86A7B"/>
    <w:rsid w:val="00B870BD"/>
    <w:rsid w:val="00B874CD"/>
    <w:rsid w:val="00B87591"/>
    <w:rsid w:val="00B87A34"/>
    <w:rsid w:val="00B87DFB"/>
    <w:rsid w:val="00B87F9B"/>
    <w:rsid w:val="00B901A3"/>
    <w:rsid w:val="00B904CD"/>
    <w:rsid w:val="00B908EE"/>
    <w:rsid w:val="00B90C7C"/>
    <w:rsid w:val="00B90F4F"/>
    <w:rsid w:val="00B90FBA"/>
    <w:rsid w:val="00B91635"/>
    <w:rsid w:val="00B91F43"/>
    <w:rsid w:val="00B9205E"/>
    <w:rsid w:val="00B92984"/>
    <w:rsid w:val="00B92A37"/>
    <w:rsid w:val="00B92C83"/>
    <w:rsid w:val="00B92CBD"/>
    <w:rsid w:val="00B92F0C"/>
    <w:rsid w:val="00B931D6"/>
    <w:rsid w:val="00B94A09"/>
    <w:rsid w:val="00B94F82"/>
    <w:rsid w:val="00B968B5"/>
    <w:rsid w:val="00B96AAB"/>
    <w:rsid w:val="00B975FA"/>
    <w:rsid w:val="00B9771D"/>
    <w:rsid w:val="00B97C05"/>
    <w:rsid w:val="00BA0487"/>
    <w:rsid w:val="00BA04A4"/>
    <w:rsid w:val="00BA0E72"/>
    <w:rsid w:val="00BA186F"/>
    <w:rsid w:val="00BA237A"/>
    <w:rsid w:val="00BA2CC1"/>
    <w:rsid w:val="00BA348B"/>
    <w:rsid w:val="00BA4D55"/>
    <w:rsid w:val="00BA534F"/>
    <w:rsid w:val="00BA5CA3"/>
    <w:rsid w:val="00BA624B"/>
    <w:rsid w:val="00BA63EC"/>
    <w:rsid w:val="00BA73F2"/>
    <w:rsid w:val="00BA7943"/>
    <w:rsid w:val="00BA795A"/>
    <w:rsid w:val="00BB0870"/>
    <w:rsid w:val="00BB0937"/>
    <w:rsid w:val="00BB0B32"/>
    <w:rsid w:val="00BB0D36"/>
    <w:rsid w:val="00BB0D9B"/>
    <w:rsid w:val="00BB1212"/>
    <w:rsid w:val="00BB136F"/>
    <w:rsid w:val="00BB1767"/>
    <w:rsid w:val="00BB1912"/>
    <w:rsid w:val="00BB1AE8"/>
    <w:rsid w:val="00BB1B81"/>
    <w:rsid w:val="00BB1C06"/>
    <w:rsid w:val="00BB2150"/>
    <w:rsid w:val="00BB2B10"/>
    <w:rsid w:val="00BB30BC"/>
    <w:rsid w:val="00BB3180"/>
    <w:rsid w:val="00BB35D9"/>
    <w:rsid w:val="00BB3CD3"/>
    <w:rsid w:val="00BB3F14"/>
    <w:rsid w:val="00BB4209"/>
    <w:rsid w:val="00BB461E"/>
    <w:rsid w:val="00BB4937"/>
    <w:rsid w:val="00BB5257"/>
    <w:rsid w:val="00BB5258"/>
    <w:rsid w:val="00BB5289"/>
    <w:rsid w:val="00BB5470"/>
    <w:rsid w:val="00BB57D8"/>
    <w:rsid w:val="00BB5EE3"/>
    <w:rsid w:val="00BB642E"/>
    <w:rsid w:val="00BB6447"/>
    <w:rsid w:val="00BB6A69"/>
    <w:rsid w:val="00BB7665"/>
    <w:rsid w:val="00BB77BA"/>
    <w:rsid w:val="00BB7E60"/>
    <w:rsid w:val="00BC05F1"/>
    <w:rsid w:val="00BC08C5"/>
    <w:rsid w:val="00BC0998"/>
    <w:rsid w:val="00BC115E"/>
    <w:rsid w:val="00BC1301"/>
    <w:rsid w:val="00BC19C7"/>
    <w:rsid w:val="00BC1A02"/>
    <w:rsid w:val="00BC1EAA"/>
    <w:rsid w:val="00BC29F1"/>
    <w:rsid w:val="00BC2D42"/>
    <w:rsid w:val="00BC2ED1"/>
    <w:rsid w:val="00BC32EC"/>
    <w:rsid w:val="00BC339C"/>
    <w:rsid w:val="00BC4461"/>
    <w:rsid w:val="00BC4712"/>
    <w:rsid w:val="00BC4FB8"/>
    <w:rsid w:val="00BC5649"/>
    <w:rsid w:val="00BC5675"/>
    <w:rsid w:val="00BC5900"/>
    <w:rsid w:val="00BC63A8"/>
    <w:rsid w:val="00BC64F7"/>
    <w:rsid w:val="00BC6A99"/>
    <w:rsid w:val="00BC6CCB"/>
    <w:rsid w:val="00BC7974"/>
    <w:rsid w:val="00BC7B16"/>
    <w:rsid w:val="00BD07E4"/>
    <w:rsid w:val="00BD0B35"/>
    <w:rsid w:val="00BD0EBD"/>
    <w:rsid w:val="00BD19ED"/>
    <w:rsid w:val="00BD1DCB"/>
    <w:rsid w:val="00BD1FB3"/>
    <w:rsid w:val="00BD2A26"/>
    <w:rsid w:val="00BD34DC"/>
    <w:rsid w:val="00BD3907"/>
    <w:rsid w:val="00BD3B60"/>
    <w:rsid w:val="00BD3B7B"/>
    <w:rsid w:val="00BD400A"/>
    <w:rsid w:val="00BD4332"/>
    <w:rsid w:val="00BD4B89"/>
    <w:rsid w:val="00BD5030"/>
    <w:rsid w:val="00BD5264"/>
    <w:rsid w:val="00BD59B8"/>
    <w:rsid w:val="00BD5D19"/>
    <w:rsid w:val="00BD65FF"/>
    <w:rsid w:val="00BD6BF3"/>
    <w:rsid w:val="00BD6D6B"/>
    <w:rsid w:val="00BD735B"/>
    <w:rsid w:val="00BD7E99"/>
    <w:rsid w:val="00BE0877"/>
    <w:rsid w:val="00BE1181"/>
    <w:rsid w:val="00BE14AA"/>
    <w:rsid w:val="00BE168D"/>
    <w:rsid w:val="00BE3EB3"/>
    <w:rsid w:val="00BE3F6F"/>
    <w:rsid w:val="00BE40CC"/>
    <w:rsid w:val="00BE430E"/>
    <w:rsid w:val="00BE49C1"/>
    <w:rsid w:val="00BE4F52"/>
    <w:rsid w:val="00BE50AA"/>
    <w:rsid w:val="00BE5324"/>
    <w:rsid w:val="00BE5B05"/>
    <w:rsid w:val="00BE5C3F"/>
    <w:rsid w:val="00BE698C"/>
    <w:rsid w:val="00BE731B"/>
    <w:rsid w:val="00BE735D"/>
    <w:rsid w:val="00BE7ED9"/>
    <w:rsid w:val="00BF0284"/>
    <w:rsid w:val="00BF02FF"/>
    <w:rsid w:val="00BF06AB"/>
    <w:rsid w:val="00BF079A"/>
    <w:rsid w:val="00BF0B73"/>
    <w:rsid w:val="00BF0FC9"/>
    <w:rsid w:val="00BF17EB"/>
    <w:rsid w:val="00BF2631"/>
    <w:rsid w:val="00BF30FD"/>
    <w:rsid w:val="00BF34E3"/>
    <w:rsid w:val="00BF3573"/>
    <w:rsid w:val="00BF3CCB"/>
    <w:rsid w:val="00BF4414"/>
    <w:rsid w:val="00BF5481"/>
    <w:rsid w:val="00BF576D"/>
    <w:rsid w:val="00BF62E4"/>
    <w:rsid w:val="00BF6522"/>
    <w:rsid w:val="00BF6C4D"/>
    <w:rsid w:val="00BF6DB7"/>
    <w:rsid w:val="00BF706F"/>
    <w:rsid w:val="00BF734C"/>
    <w:rsid w:val="00BF7498"/>
    <w:rsid w:val="00BF7598"/>
    <w:rsid w:val="00BF7E7C"/>
    <w:rsid w:val="00C00149"/>
    <w:rsid w:val="00C003E8"/>
    <w:rsid w:val="00C00FF6"/>
    <w:rsid w:val="00C0171C"/>
    <w:rsid w:val="00C01D6E"/>
    <w:rsid w:val="00C02681"/>
    <w:rsid w:val="00C02822"/>
    <w:rsid w:val="00C02B59"/>
    <w:rsid w:val="00C02DA0"/>
    <w:rsid w:val="00C03048"/>
    <w:rsid w:val="00C032E0"/>
    <w:rsid w:val="00C0373A"/>
    <w:rsid w:val="00C041A3"/>
    <w:rsid w:val="00C0457C"/>
    <w:rsid w:val="00C048DF"/>
    <w:rsid w:val="00C04AF6"/>
    <w:rsid w:val="00C05081"/>
    <w:rsid w:val="00C05646"/>
    <w:rsid w:val="00C05F6B"/>
    <w:rsid w:val="00C0656F"/>
    <w:rsid w:val="00C06CB2"/>
    <w:rsid w:val="00C06D8D"/>
    <w:rsid w:val="00C06DC1"/>
    <w:rsid w:val="00C070D9"/>
    <w:rsid w:val="00C07956"/>
    <w:rsid w:val="00C07D6B"/>
    <w:rsid w:val="00C07E70"/>
    <w:rsid w:val="00C10C0A"/>
    <w:rsid w:val="00C118BB"/>
    <w:rsid w:val="00C11E49"/>
    <w:rsid w:val="00C11E89"/>
    <w:rsid w:val="00C1227A"/>
    <w:rsid w:val="00C1288B"/>
    <w:rsid w:val="00C12AB3"/>
    <w:rsid w:val="00C12C18"/>
    <w:rsid w:val="00C1309C"/>
    <w:rsid w:val="00C131AC"/>
    <w:rsid w:val="00C1331F"/>
    <w:rsid w:val="00C13ADE"/>
    <w:rsid w:val="00C13CB4"/>
    <w:rsid w:val="00C14858"/>
    <w:rsid w:val="00C15401"/>
    <w:rsid w:val="00C155BE"/>
    <w:rsid w:val="00C15BE7"/>
    <w:rsid w:val="00C15CE9"/>
    <w:rsid w:val="00C1600C"/>
    <w:rsid w:val="00C16BB2"/>
    <w:rsid w:val="00C171EE"/>
    <w:rsid w:val="00C17DC1"/>
    <w:rsid w:val="00C17E25"/>
    <w:rsid w:val="00C20298"/>
    <w:rsid w:val="00C203DA"/>
    <w:rsid w:val="00C209ED"/>
    <w:rsid w:val="00C21C49"/>
    <w:rsid w:val="00C21F36"/>
    <w:rsid w:val="00C220EC"/>
    <w:rsid w:val="00C225DD"/>
    <w:rsid w:val="00C22842"/>
    <w:rsid w:val="00C2376C"/>
    <w:rsid w:val="00C23DCD"/>
    <w:rsid w:val="00C23FCE"/>
    <w:rsid w:val="00C2429B"/>
    <w:rsid w:val="00C246AF"/>
    <w:rsid w:val="00C248FF"/>
    <w:rsid w:val="00C24B9D"/>
    <w:rsid w:val="00C25443"/>
    <w:rsid w:val="00C25F90"/>
    <w:rsid w:val="00C2621C"/>
    <w:rsid w:val="00C271F0"/>
    <w:rsid w:val="00C27676"/>
    <w:rsid w:val="00C31D82"/>
    <w:rsid w:val="00C31EE7"/>
    <w:rsid w:val="00C3237F"/>
    <w:rsid w:val="00C323B5"/>
    <w:rsid w:val="00C326EA"/>
    <w:rsid w:val="00C32D9B"/>
    <w:rsid w:val="00C334F6"/>
    <w:rsid w:val="00C34772"/>
    <w:rsid w:val="00C34D60"/>
    <w:rsid w:val="00C3536C"/>
    <w:rsid w:val="00C35F33"/>
    <w:rsid w:val="00C361BB"/>
    <w:rsid w:val="00C3664D"/>
    <w:rsid w:val="00C36A00"/>
    <w:rsid w:val="00C37C64"/>
    <w:rsid w:val="00C37F75"/>
    <w:rsid w:val="00C403DB"/>
    <w:rsid w:val="00C40C23"/>
    <w:rsid w:val="00C41135"/>
    <w:rsid w:val="00C41782"/>
    <w:rsid w:val="00C429AE"/>
    <w:rsid w:val="00C42BFF"/>
    <w:rsid w:val="00C4342D"/>
    <w:rsid w:val="00C438B5"/>
    <w:rsid w:val="00C44098"/>
    <w:rsid w:val="00C45384"/>
    <w:rsid w:val="00C45405"/>
    <w:rsid w:val="00C45814"/>
    <w:rsid w:val="00C459F9"/>
    <w:rsid w:val="00C4615F"/>
    <w:rsid w:val="00C4618E"/>
    <w:rsid w:val="00C46299"/>
    <w:rsid w:val="00C47513"/>
    <w:rsid w:val="00C4772E"/>
    <w:rsid w:val="00C5028E"/>
    <w:rsid w:val="00C5029C"/>
    <w:rsid w:val="00C50334"/>
    <w:rsid w:val="00C5039A"/>
    <w:rsid w:val="00C504C8"/>
    <w:rsid w:val="00C50C4B"/>
    <w:rsid w:val="00C50D58"/>
    <w:rsid w:val="00C51086"/>
    <w:rsid w:val="00C51090"/>
    <w:rsid w:val="00C51612"/>
    <w:rsid w:val="00C51E41"/>
    <w:rsid w:val="00C52319"/>
    <w:rsid w:val="00C533C9"/>
    <w:rsid w:val="00C53E25"/>
    <w:rsid w:val="00C53EE4"/>
    <w:rsid w:val="00C543E1"/>
    <w:rsid w:val="00C552E9"/>
    <w:rsid w:val="00C55412"/>
    <w:rsid w:val="00C5580F"/>
    <w:rsid w:val="00C55A6F"/>
    <w:rsid w:val="00C56086"/>
    <w:rsid w:val="00C56218"/>
    <w:rsid w:val="00C56CDB"/>
    <w:rsid w:val="00C56E2F"/>
    <w:rsid w:val="00C56E58"/>
    <w:rsid w:val="00C56F07"/>
    <w:rsid w:val="00C574E1"/>
    <w:rsid w:val="00C57A99"/>
    <w:rsid w:val="00C6052A"/>
    <w:rsid w:val="00C61B60"/>
    <w:rsid w:val="00C6224C"/>
    <w:rsid w:val="00C62640"/>
    <w:rsid w:val="00C62932"/>
    <w:rsid w:val="00C62BC3"/>
    <w:rsid w:val="00C62F93"/>
    <w:rsid w:val="00C63351"/>
    <w:rsid w:val="00C63786"/>
    <w:rsid w:val="00C63A71"/>
    <w:rsid w:val="00C63CE6"/>
    <w:rsid w:val="00C64115"/>
    <w:rsid w:val="00C647AA"/>
    <w:rsid w:val="00C64CAC"/>
    <w:rsid w:val="00C659F4"/>
    <w:rsid w:val="00C65F1E"/>
    <w:rsid w:val="00C65F21"/>
    <w:rsid w:val="00C67A88"/>
    <w:rsid w:val="00C67ADD"/>
    <w:rsid w:val="00C7087A"/>
    <w:rsid w:val="00C71AED"/>
    <w:rsid w:val="00C72063"/>
    <w:rsid w:val="00C7213F"/>
    <w:rsid w:val="00C722C2"/>
    <w:rsid w:val="00C7265D"/>
    <w:rsid w:val="00C729A9"/>
    <w:rsid w:val="00C72BC3"/>
    <w:rsid w:val="00C73554"/>
    <w:rsid w:val="00C73564"/>
    <w:rsid w:val="00C739D6"/>
    <w:rsid w:val="00C744B9"/>
    <w:rsid w:val="00C74569"/>
    <w:rsid w:val="00C74EA4"/>
    <w:rsid w:val="00C75522"/>
    <w:rsid w:val="00C7561E"/>
    <w:rsid w:val="00C759F7"/>
    <w:rsid w:val="00C761CF"/>
    <w:rsid w:val="00C76B8E"/>
    <w:rsid w:val="00C771AD"/>
    <w:rsid w:val="00C779B1"/>
    <w:rsid w:val="00C77DFD"/>
    <w:rsid w:val="00C81393"/>
    <w:rsid w:val="00C81BFF"/>
    <w:rsid w:val="00C82846"/>
    <w:rsid w:val="00C828A8"/>
    <w:rsid w:val="00C82BB5"/>
    <w:rsid w:val="00C82CA6"/>
    <w:rsid w:val="00C82F6F"/>
    <w:rsid w:val="00C83AF1"/>
    <w:rsid w:val="00C83F51"/>
    <w:rsid w:val="00C8445C"/>
    <w:rsid w:val="00C84A08"/>
    <w:rsid w:val="00C84BA4"/>
    <w:rsid w:val="00C84EF5"/>
    <w:rsid w:val="00C85477"/>
    <w:rsid w:val="00C8559C"/>
    <w:rsid w:val="00C85FE2"/>
    <w:rsid w:val="00C860F5"/>
    <w:rsid w:val="00C8782C"/>
    <w:rsid w:val="00C87CB2"/>
    <w:rsid w:val="00C87DBF"/>
    <w:rsid w:val="00C90364"/>
    <w:rsid w:val="00C90A0F"/>
    <w:rsid w:val="00C91062"/>
    <w:rsid w:val="00C92EC1"/>
    <w:rsid w:val="00C938BA"/>
    <w:rsid w:val="00C9445F"/>
    <w:rsid w:val="00C944A0"/>
    <w:rsid w:val="00C9470C"/>
    <w:rsid w:val="00C94A4A"/>
    <w:rsid w:val="00C95007"/>
    <w:rsid w:val="00C951DC"/>
    <w:rsid w:val="00C96051"/>
    <w:rsid w:val="00C9618D"/>
    <w:rsid w:val="00C96932"/>
    <w:rsid w:val="00C96DD6"/>
    <w:rsid w:val="00C97E4B"/>
    <w:rsid w:val="00C97F6A"/>
    <w:rsid w:val="00CA0E4A"/>
    <w:rsid w:val="00CA15F1"/>
    <w:rsid w:val="00CA1790"/>
    <w:rsid w:val="00CA1B90"/>
    <w:rsid w:val="00CA1E00"/>
    <w:rsid w:val="00CA272B"/>
    <w:rsid w:val="00CA2B78"/>
    <w:rsid w:val="00CA2DBD"/>
    <w:rsid w:val="00CA3109"/>
    <w:rsid w:val="00CA3296"/>
    <w:rsid w:val="00CA34E9"/>
    <w:rsid w:val="00CA4411"/>
    <w:rsid w:val="00CA4A34"/>
    <w:rsid w:val="00CA507E"/>
    <w:rsid w:val="00CA5450"/>
    <w:rsid w:val="00CA5739"/>
    <w:rsid w:val="00CA57A5"/>
    <w:rsid w:val="00CA5C46"/>
    <w:rsid w:val="00CA5DA5"/>
    <w:rsid w:val="00CA6579"/>
    <w:rsid w:val="00CA6985"/>
    <w:rsid w:val="00CA6A48"/>
    <w:rsid w:val="00CA6B93"/>
    <w:rsid w:val="00CA6C47"/>
    <w:rsid w:val="00CA7DD0"/>
    <w:rsid w:val="00CB01BB"/>
    <w:rsid w:val="00CB0346"/>
    <w:rsid w:val="00CB06B6"/>
    <w:rsid w:val="00CB070B"/>
    <w:rsid w:val="00CB127E"/>
    <w:rsid w:val="00CB17E6"/>
    <w:rsid w:val="00CB1873"/>
    <w:rsid w:val="00CB25AE"/>
    <w:rsid w:val="00CB267C"/>
    <w:rsid w:val="00CB3219"/>
    <w:rsid w:val="00CB3630"/>
    <w:rsid w:val="00CB36DD"/>
    <w:rsid w:val="00CB3823"/>
    <w:rsid w:val="00CB3D06"/>
    <w:rsid w:val="00CB42F3"/>
    <w:rsid w:val="00CB4954"/>
    <w:rsid w:val="00CB4F18"/>
    <w:rsid w:val="00CB5417"/>
    <w:rsid w:val="00CB5C28"/>
    <w:rsid w:val="00CB661A"/>
    <w:rsid w:val="00CB6818"/>
    <w:rsid w:val="00CB7310"/>
    <w:rsid w:val="00CB7961"/>
    <w:rsid w:val="00CC1627"/>
    <w:rsid w:val="00CC1B6C"/>
    <w:rsid w:val="00CC23BC"/>
    <w:rsid w:val="00CC2C91"/>
    <w:rsid w:val="00CC32F9"/>
    <w:rsid w:val="00CC378B"/>
    <w:rsid w:val="00CC3B63"/>
    <w:rsid w:val="00CC3E3D"/>
    <w:rsid w:val="00CC3F27"/>
    <w:rsid w:val="00CC4207"/>
    <w:rsid w:val="00CC4C6B"/>
    <w:rsid w:val="00CC4E80"/>
    <w:rsid w:val="00CC4FFE"/>
    <w:rsid w:val="00CC5483"/>
    <w:rsid w:val="00CC5C60"/>
    <w:rsid w:val="00CC5E7F"/>
    <w:rsid w:val="00CC6003"/>
    <w:rsid w:val="00CC6D80"/>
    <w:rsid w:val="00CC6F6F"/>
    <w:rsid w:val="00CC78E4"/>
    <w:rsid w:val="00CC7901"/>
    <w:rsid w:val="00CD038F"/>
    <w:rsid w:val="00CD09BF"/>
    <w:rsid w:val="00CD0E4E"/>
    <w:rsid w:val="00CD18C4"/>
    <w:rsid w:val="00CD1D81"/>
    <w:rsid w:val="00CD206F"/>
    <w:rsid w:val="00CD2092"/>
    <w:rsid w:val="00CD236E"/>
    <w:rsid w:val="00CD2489"/>
    <w:rsid w:val="00CD26CD"/>
    <w:rsid w:val="00CD28E0"/>
    <w:rsid w:val="00CD3D9A"/>
    <w:rsid w:val="00CD4207"/>
    <w:rsid w:val="00CD4383"/>
    <w:rsid w:val="00CD475B"/>
    <w:rsid w:val="00CD4EEF"/>
    <w:rsid w:val="00CD4F20"/>
    <w:rsid w:val="00CD58FD"/>
    <w:rsid w:val="00CD595D"/>
    <w:rsid w:val="00CD597B"/>
    <w:rsid w:val="00CD5C0F"/>
    <w:rsid w:val="00CD61AF"/>
    <w:rsid w:val="00CD6F8F"/>
    <w:rsid w:val="00CD7450"/>
    <w:rsid w:val="00CE0427"/>
    <w:rsid w:val="00CE0FBB"/>
    <w:rsid w:val="00CE1280"/>
    <w:rsid w:val="00CE16D9"/>
    <w:rsid w:val="00CE23F4"/>
    <w:rsid w:val="00CE29E0"/>
    <w:rsid w:val="00CE2EA0"/>
    <w:rsid w:val="00CE30D3"/>
    <w:rsid w:val="00CE3481"/>
    <w:rsid w:val="00CE3DD5"/>
    <w:rsid w:val="00CE3EDC"/>
    <w:rsid w:val="00CE40A7"/>
    <w:rsid w:val="00CE43ED"/>
    <w:rsid w:val="00CE4ADC"/>
    <w:rsid w:val="00CE4AFB"/>
    <w:rsid w:val="00CE4BA5"/>
    <w:rsid w:val="00CE4C7B"/>
    <w:rsid w:val="00CE551F"/>
    <w:rsid w:val="00CE56A1"/>
    <w:rsid w:val="00CE5B81"/>
    <w:rsid w:val="00CE61E9"/>
    <w:rsid w:val="00CE654D"/>
    <w:rsid w:val="00CE66C0"/>
    <w:rsid w:val="00CE678A"/>
    <w:rsid w:val="00CE7A53"/>
    <w:rsid w:val="00CF03CF"/>
    <w:rsid w:val="00CF0907"/>
    <w:rsid w:val="00CF116B"/>
    <w:rsid w:val="00CF1318"/>
    <w:rsid w:val="00CF182B"/>
    <w:rsid w:val="00CF2591"/>
    <w:rsid w:val="00CF2654"/>
    <w:rsid w:val="00CF2740"/>
    <w:rsid w:val="00CF2E68"/>
    <w:rsid w:val="00CF3631"/>
    <w:rsid w:val="00CF3DB4"/>
    <w:rsid w:val="00CF4EBE"/>
    <w:rsid w:val="00CF4F76"/>
    <w:rsid w:val="00CF6633"/>
    <w:rsid w:val="00CF6747"/>
    <w:rsid w:val="00CF6FAA"/>
    <w:rsid w:val="00CF738C"/>
    <w:rsid w:val="00CF7865"/>
    <w:rsid w:val="00CF7A0A"/>
    <w:rsid w:val="00D0069E"/>
    <w:rsid w:val="00D01258"/>
    <w:rsid w:val="00D02214"/>
    <w:rsid w:val="00D030B2"/>
    <w:rsid w:val="00D03198"/>
    <w:rsid w:val="00D03401"/>
    <w:rsid w:val="00D0375D"/>
    <w:rsid w:val="00D0390F"/>
    <w:rsid w:val="00D03B0D"/>
    <w:rsid w:val="00D040F8"/>
    <w:rsid w:val="00D04125"/>
    <w:rsid w:val="00D0425F"/>
    <w:rsid w:val="00D04636"/>
    <w:rsid w:val="00D06763"/>
    <w:rsid w:val="00D069BB"/>
    <w:rsid w:val="00D06C0B"/>
    <w:rsid w:val="00D07244"/>
    <w:rsid w:val="00D07345"/>
    <w:rsid w:val="00D07D64"/>
    <w:rsid w:val="00D07E19"/>
    <w:rsid w:val="00D10140"/>
    <w:rsid w:val="00D11FD2"/>
    <w:rsid w:val="00D12041"/>
    <w:rsid w:val="00D12098"/>
    <w:rsid w:val="00D123C1"/>
    <w:rsid w:val="00D129D1"/>
    <w:rsid w:val="00D12C1E"/>
    <w:rsid w:val="00D132FE"/>
    <w:rsid w:val="00D13567"/>
    <w:rsid w:val="00D1374B"/>
    <w:rsid w:val="00D14026"/>
    <w:rsid w:val="00D14A96"/>
    <w:rsid w:val="00D156EA"/>
    <w:rsid w:val="00D15D8F"/>
    <w:rsid w:val="00D1623F"/>
    <w:rsid w:val="00D16B0F"/>
    <w:rsid w:val="00D16E45"/>
    <w:rsid w:val="00D16ED4"/>
    <w:rsid w:val="00D173DB"/>
    <w:rsid w:val="00D20281"/>
    <w:rsid w:val="00D21341"/>
    <w:rsid w:val="00D21402"/>
    <w:rsid w:val="00D21A85"/>
    <w:rsid w:val="00D21DEA"/>
    <w:rsid w:val="00D21E94"/>
    <w:rsid w:val="00D21FB7"/>
    <w:rsid w:val="00D2334B"/>
    <w:rsid w:val="00D23430"/>
    <w:rsid w:val="00D240FD"/>
    <w:rsid w:val="00D242E1"/>
    <w:rsid w:val="00D248B1"/>
    <w:rsid w:val="00D24D5F"/>
    <w:rsid w:val="00D2570B"/>
    <w:rsid w:val="00D25883"/>
    <w:rsid w:val="00D2693F"/>
    <w:rsid w:val="00D26AA0"/>
    <w:rsid w:val="00D26CDE"/>
    <w:rsid w:val="00D26E0D"/>
    <w:rsid w:val="00D27354"/>
    <w:rsid w:val="00D27A7E"/>
    <w:rsid w:val="00D300EE"/>
    <w:rsid w:val="00D3030C"/>
    <w:rsid w:val="00D30458"/>
    <w:rsid w:val="00D30761"/>
    <w:rsid w:val="00D307CD"/>
    <w:rsid w:val="00D311EE"/>
    <w:rsid w:val="00D314A5"/>
    <w:rsid w:val="00D31E07"/>
    <w:rsid w:val="00D32B7D"/>
    <w:rsid w:val="00D32D23"/>
    <w:rsid w:val="00D32D32"/>
    <w:rsid w:val="00D335FF"/>
    <w:rsid w:val="00D33903"/>
    <w:rsid w:val="00D33D5B"/>
    <w:rsid w:val="00D3408B"/>
    <w:rsid w:val="00D344C4"/>
    <w:rsid w:val="00D35051"/>
    <w:rsid w:val="00D35358"/>
    <w:rsid w:val="00D35D28"/>
    <w:rsid w:val="00D36432"/>
    <w:rsid w:val="00D366F6"/>
    <w:rsid w:val="00D3684D"/>
    <w:rsid w:val="00D36F14"/>
    <w:rsid w:val="00D3710B"/>
    <w:rsid w:val="00D40A44"/>
    <w:rsid w:val="00D40C8A"/>
    <w:rsid w:val="00D40D8D"/>
    <w:rsid w:val="00D40E86"/>
    <w:rsid w:val="00D41142"/>
    <w:rsid w:val="00D412CD"/>
    <w:rsid w:val="00D4157D"/>
    <w:rsid w:val="00D41B74"/>
    <w:rsid w:val="00D422B0"/>
    <w:rsid w:val="00D4255D"/>
    <w:rsid w:val="00D42ACB"/>
    <w:rsid w:val="00D430FD"/>
    <w:rsid w:val="00D44097"/>
    <w:rsid w:val="00D443E6"/>
    <w:rsid w:val="00D4462C"/>
    <w:rsid w:val="00D45126"/>
    <w:rsid w:val="00D457E7"/>
    <w:rsid w:val="00D45D8D"/>
    <w:rsid w:val="00D46093"/>
    <w:rsid w:val="00D4609C"/>
    <w:rsid w:val="00D4610E"/>
    <w:rsid w:val="00D4652A"/>
    <w:rsid w:val="00D46E3A"/>
    <w:rsid w:val="00D471D0"/>
    <w:rsid w:val="00D50411"/>
    <w:rsid w:val="00D520FB"/>
    <w:rsid w:val="00D5228A"/>
    <w:rsid w:val="00D52B27"/>
    <w:rsid w:val="00D53456"/>
    <w:rsid w:val="00D537D9"/>
    <w:rsid w:val="00D540F5"/>
    <w:rsid w:val="00D548ED"/>
    <w:rsid w:val="00D54FE6"/>
    <w:rsid w:val="00D55215"/>
    <w:rsid w:val="00D552EB"/>
    <w:rsid w:val="00D55692"/>
    <w:rsid w:val="00D557EF"/>
    <w:rsid w:val="00D55820"/>
    <w:rsid w:val="00D5634C"/>
    <w:rsid w:val="00D56420"/>
    <w:rsid w:val="00D569BA"/>
    <w:rsid w:val="00D5789C"/>
    <w:rsid w:val="00D579BD"/>
    <w:rsid w:val="00D57B34"/>
    <w:rsid w:val="00D57F82"/>
    <w:rsid w:val="00D6001F"/>
    <w:rsid w:val="00D60187"/>
    <w:rsid w:val="00D601D8"/>
    <w:rsid w:val="00D61099"/>
    <w:rsid w:val="00D612B3"/>
    <w:rsid w:val="00D61833"/>
    <w:rsid w:val="00D61961"/>
    <w:rsid w:val="00D61FFE"/>
    <w:rsid w:val="00D6238B"/>
    <w:rsid w:val="00D62395"/>
    <w:rsid w:val="00D62534"/>
    <w:rsid w:val="00D62E9D"/>
    <w:rsid w:val="00D630C9"/>
    <w:rsid w:val="00D64188"/>
    <w:rsid w:val="00D6442C"/>
    <w:rsid w:val="00D646DB"/>
    <w:rsid w:val="00D647BA"/>
    <w:rsid w:val="00D64B9A"/>
    <w:rsid w:val="00D65DEB"/>
    <w:rsid w:val="00D65F33"/>
    <w:rsid w:val="00D66107"/>
    <w:rsid w:val="00D66177"/>
    <w:rsid w:val="00D6618B"/>
    <w:rsid w:val="00D66473"/>
    <w:rsid w:val="00D67A2E"/>
    <w:rsid w:val="00D67DAD"/>
    <w:rsid w:val="00D70720"/>
    <w:rsid w:val="00D70EE6"/>
    <w:rsid w:val="00D71F13"/>
    <w:rsid w:val="00D72426"/>
    <w:rsid w:val="00D726B3"/>
    <w:rsid w:val="00D728B8"/>
    <w:rsid w:val="00D72E4B"/>
    <w:rsid w:val="00D73020"/>
    <w:rsid w:val="00D732F6"/>
    <w:rsid w:val="00D73A7C"/>
    <w:rsid w:val="00D73AB1"/>
    <w:rsid w:val="00D74545"/>
    <w:rsid w:val="00D746BA"/>
    <w:rsid w:val="00D748B2"/>
    <w:rsid w:val="00D74E53"/>
    <w:rsid w:val="00D74EAA"/>
    <w:rsid w:val="00D75A87"/>
    <w:rsid w:val="00D75AF0"/>
    <w:rsid w:val="00D760AD"/>
    <w:rsid w:val="00D7613A"/>
    <w:rsid w:val="00D7657C"/>
    <w:rsid w:val="00D76E0B"/>
    <w:rsid w:val="00D77387"/>
    <w:rsid w:val="00D7765B"/>
    <w:rsid w:val="00D77AAE"/>
    <w:rsid w:val="00D8028E"/>
    <w:rsid w:val="00D806C6"/>
    <w:rsid w:val="00D823CD"/>
    <w:rsid w:val="00D824E7"/>
    <w:rsid w:val="00D83BE8"/>
    <w:rsid w:val="00D841B1"/>
    <w:rsid w:val="00D85330"/>
    <w:rsid w:val="00D85DA4"/>
    <w:rsid w:val="00D86084"/>
    <w:rsid w:val="00D8640E"/>
    <w:rsid w:val="00D86967"/>
    <w:rsid w:val="00D87413"/>
    <w:rsid w:val="00D906BD"/>
    <w:rsid w:val="00D906E4"/>
    <w:rsid w:val="00D90726"/>
    <w:rsid w:val="00D90C5C"/>
    <w:rsid w:val="00D9146A"/>
    <w:rsid w:val="00D91C60"/>
    <w:rsid w:val="00D91EE0"/>
    <w:rsid w:val="00D9218C"/>
    <w:rsid w:val="00D921CA"/>
    <w:rsid w:val="00D93069"/>
    <w:rsid w:val="00D93102"/>
    <w:rsid w:val="00D93168"/>
    <w:rsid w:val="00D93260"/>
    <w:rsid w:val="00D93311"/>
    <w:rsid w:val="00D9338A"/>
    <w:rsid w:val="00D934C3"/>
    <w:rsid w:val="00D94528"/>
    <w:rsid w:val="00D94674"/>
    <w:rsid w:val="00D94A7C"/>
    <w:rsid w:val="00D9510B"/>
    <w:rsid w:val="00D95169"/>
    <w:rsid w:val="00D953B1"/>
    <w:rsid w:val="00D956E9"/>
    <w:rsid w:val="00D96599"/>
    <w:rsid w:val="00D96825"/>
    <w:rsid w:val="00D96A1B"/>
    <w:rsid w:val="00D96DB5"/>
    <w:rsid w:val="00D96EE8"/>
    <w:rsid w:val="00D972FB"/>
    <w:rsid w:val="00D97A1E"/>
    <w:rsid w:val="00D97A24"/>
    <w:rsid w:val="00DA113D"/>
    <w:rsid w:val="00DA1172"/>
    <w:rsid w:val="00DA2153"/>
    <w:rsid w:val="00DA268C"/>
    <w:rsid w:val="00DA269C"/>
    <w:rsid w:val="00DA26A1"/>
    <w:rsid w:val="00DA2B39"/>
    <w:rsid w:val="00DA2E74"/>
    <w:rsid w:val="00DA3AC3"/>
    <w:rsid w:val="00DA3C01"/>
    <w:rsid w:val="00DA488C"/>
    <w:rsid w:val="00DA4A74"/>
    <w:rsid w:val="00DA4D69"/>
    <w:rsid w:val="00DA4FEC"/>
    <w:rsid w:val="00DA502C"/>
    <w:rsid w:val="00DA6557"/>
    <w:rsid w:val="00DA670F"/>
    <w:rsid w:val="00DA6731"/>
    <w:rsid w:val="00DA6DFB"/>
    <w:rsid w:val="00DA78E7"/>
    <w:rsid w:val="00DB03ED"/>
    <w:rsid w:val="00DB0439"/>
    <w:rsid w:val="00DB11E9"/>
    <w:rsid w:val="00DB15EC"/>
    <w:rsid w:val="00DB170D"/>
    <w:rsid w:val="00DB1E04"/>
    <w:rsid w:val="00DB1F90"/>
    <w:rsid w:val="00DB2146"/>
    <w:rsid w:val="00DB22A8"/>
    <w:rsid w:val="00DB236A"/>
    <w:rsid w:val="00DB23FC"/>
    <w:rsid w:val="00DB28EF"/>
    <w:rsid w:val="00DB2A12"/>
    <w:rsid w:val="00DB39EB"/>
    <w:rsid w:val="00DB3B48"/>
    <w:rsid w:val="00DB3E92"/>
    <w:rsid w:val="00DB41B0"/>
    <w:rsid w:val="00DB42CC"/>
    <w:rsid w:val="00DB4756"/>
    <w:rsid w:val="00DB5068"/>
    <w:rsid w:val="00DB5096"/>
    <w:rsid w:val="00DB518D"/>
    <w:rsid w:val="00DB57D4"/>
    <w:rsid w:val="00DB57D6"/>
    <w:rsid w:val="00DB5B7E"/>
    <w:rsid w:val="00DB5F30"/>
    <w:rsid w:val="00DB6044"/>
    <w:rsid w:val="00DB62D2"/>
    <w:rsid w:val="00DB69C9"/>
    <w:rsid w:val="00DB6F09"/>
    <w:rsid w:val="00DB740C"/>
    <w:rsid w:val="00DC0B32"/>
    <w:rsid w:val="00DC0C5B"/>
    <w:rsid w:val="00DC0DD8"/>
    <w:rsid w:val="00DC0FAD"/>
    <w:rsid w:val="00DC143A"/>
    <w:rsid w:val="00DC1AD6"/>
    <w:rsid w:val="00DC1AEC"/>
    <w:rsid w:val="00DC22D0"/>
    <w:rsid w:val="00DC2672"/>
    <w:rsid w:val="00DC26AB"/>
    <w:rsid w:val="00DC281D"/>
    <w:rsid w:val="00DC3EB0"/>
    <w:rsid w:val="00DC43B7"/>
    <w:rsid w:val="00DC48BF"/>
    <w:rsid w:val="00DC5364"/>
    <w:rsid w:val="00DC56C0"/>
    <w:rsid w:val="00DC6EE1"/>
    <w:rsid w:val="00DC7184"/>
    <w:rsid w:val="00DD04EA"/>
    <w:rsid w:val="00DD078C"/>
    <w:rsid w:val="00DD1444"/>
    <w:rsid w:val="00DD1651"/>
    <w:rsid w:val="00DD1AA2"/>
    <w:rsid w:val="00DD2F61"/>
    <w:rsid w:val="00DD3129"/>
    <w:rsid w:val="00DD32A5"/>
    <w:rsid w:val="00DD34DA"/>
    <w:rsid w:val="00DD3833"/>
    <w:rsid w:val="00DD4160"/>
    <w:rsid w:val="00DD420D"/>
    <w:rsid w:val="00DD4406"/>
    <w:rsid w:val="00DD4597"/>
    <w:rsid w:val="00DD4873"/>
    <w:rsid w:val="00DD4C1A"/>
    <w:rsid w:val="00DD4CAC"/>
    <w:rsid w:val="00DD5125"/>
    <w:rsid w:val="00DD5414"/>
    <w:rsid w:val="00DD56EA"/>
    <w:rsid w:val="00DD6277"/>
    <w:rsid w:val="00DD680B"/>
    <w:rsid w:val="00DD74A4"/>
    <w:rsid w:val="00DE0105"/>
    <w:rsid w:val="00DE02E5"/>
    <w:rsid w:val="00DE0482"/>
    <w:rsid w:val="00DE084C"/>
    <w:rsid w:val="00DE0AF1"/>
    <w:rsid w:val="00DE0B67"/>
    <w:rsid w:val="00DE0DA7"/>
    <w:rsid w:val="00DE16BA"/>
    <w:rsid w:val="00DE1C5F"/>
    <w:rsid w:val="00DE1EAF"/>
    <w:rsid w:val="00DE28D8"/>
    <w:rsid w:val="00DE336B"/>
    <w:rsid w:val="00DE348F"/>
    <w:rsid w:val="00DE3967"/>
    <w:rsid w:val="00DE3AA9"/>
    <w:rsid w:val="00DE3AF2"/>
    <w:rsid w:val="00DE4258"/>
    <w:rsid w:val="00DE432E"/>
    <w:rsid w:val="00DE4545"/>
    <w:rsid w:val="00DE4E85"/>
    <w:rsid w:val="00DE51C0"/>
    <w:rsid w:val="00DE595A"/>
    <w:rsid w:val="00DE5BDB"/>
    <w:rsid w:val="00DE6765"/>
    <w:rsid w:val="00DE6B44"/>
    <w:rsid w:val="00DE6C32"/>
    <w:rsid w:val="00DE6C8E"/>
    <w:rsid w:val="00DE7218"/>
    <w:rsid w:val="00DE7930"/>
    <w:rsid w:val="00DF1115"/>
    <w:rsid w:val="00DF1460"/>
    <w:rsid w:val="00DF2179"/>
    <w:rsid w:val="00DF2BB3"/>
    <w:rsid w:val="00DF3D4E"/>
    <w:rsid w:val="00DF49A8"/>
    <w:rsid w:val="00DF4AC4"/>
    <w:rsid w:val="00DF4B71"/>
    <w:rsid w:val="00DF4DEE"/>
    <w:rsid w:val="00DF4F1A"/>
    <w:rsid w:val="00DF5EB9"/>
    <w:rsid w:val="00DF5F66"/>
    <w:rsid w:val="00DF60C4"/>
    <w:rsid w:val="00DF620D"/>
    <w:rsid w:val="00DF6638"/>
    <w:rsid w:val="00DF75E3"/>
    <w:rsid w:val="00DF77B0"/>
    <w:rsid w:val="00DF7EE3"/>
    <w:rsid w:val="00E00C9B"/>
    <w:rsid w:val="00E00ED1"/>
    <w:rsid w:val="00E01438"/>
    <w:rsid w:val="00E016AB"/>
    <w:rsid w:val="00E016AE"/>
    <w:rsid w:val="00E022E5"/>
    <w:rsid w:val="00E02BCB"/>
    <w:rsid w:val="00E02C8B"/>
    <w:rsid w:val="00E039E1"/>
    <w:rsid w:val="00E03D4F"/>
    <w:rsid w:val="00E04397"/>
    <w:rsid w:val="00E07A03"/>
    <w:rsid w:val="00E07C92"/>
    <w:rsid w:val="00E07F70"/>
    <w:rsid w:val="00E102AF"/>
    <w:rsid w:val="00E1099E"/>
    <w:rsid w:val="00E10E91"/>
    <w:rsid w:val="00E11960"/>
    <w:rsid w:val="00E12110"/>
    <w:rsid w:val="00E126BF"/>
    <w:rsid w:val="00E12AFE"/>
    <w:rsid w:val="00E12EE0"/>
    <w:rsid w:val="00E13108"/>
    <w:rsid w:val="00E131FD"/>
    <w:rsid w:val="00E1335A"/>
    <w:rsid w:val="00E13B50"/>
    <w:rsid w:val="00E14718"/>
    <w:rsid w:val="00E14A5E"/>
    <w:rsid w:val="00E161FC"/>
    <w:rsid w:val="00E1621D"/>
    <w:rsid w:val="00E16239"/>
    <w:rsid w:val="00E16A6B"/>
    <w:rsid w:val="00E16E1F"/>
    <w:rsid w:val="00E17906"/>
    <w:rsid w:val="00E202F4"/>
    <w:rsid w:val="00E203E8"/>
    <w:rsid w:val="00E2153A"/>
    <w:rsid w:val="00E218EF"/>
    <w:rsid w:val="00E21A39"/>
    <w:rsid w:val="00E221AB"/>
    <w:rsid w:val="00E23A52"/>
    <w:rsid w:val="00E23DB8"/>
    <w:rsid w:val="00E24142"/>
    <w:rsid w:val="00E2416C"/>
    <w:rsid w:val="00E24536"/>
    <w:rsid w:val="00E2455D"/>
    <w:rsid w:val="00E24BED"/>
    <w:rsid w:val="00E251C3"/>
    <w:rsid w:val="00E25E26"/>
    <w:rsid w:val="00E2709D"/>
    <w:rsid w:val="00E2731F"/>
    <w:rsid w:val="00E27B3F"/>
    <w:rsid w:val="00E27E36"/>
    <w:rsid w:val="00E3074C"/>
    <w:rsid w:val="00E311B9"/>
    <w:rsid w:val="00E3133C"/>
    <w:rsid w:val="00E323B8"/>
    <w:rsid w:val="00E323D4"/>
    <w:rsid w:val="00E32BCE"/>
    <w:rsid w:val="00E32C15"/>
    <w:rsid w:val="00E32D42"/>
    <w:rsid w:val="00E335E8"/>
    <w:rsid w:val="00E347D2"/>
    <w:rsid w:val="00E3512D"/>
    <w:rsid w:val="00E353CF"/>
    <w:rsid w:val="00E35636"/>
    <w:rsid w:val="00E3584B"/>
    <w:rsid w:val="00E35866"/>
    <w:rsid w:val="00E35BCF"/>
    <w:rsid w:val="00E36021"/>
    <w:rsid w:val="00E36604"/>
    <w:rsid w:val="00E36A5D"/>
    <w:rsid w:val="00E36C17"/>
    <w:rsid w:val="00E40098"/>
    <w:rsid w:val="00E40512"/>
    <w:rsid w:val="00E405C7"/>
    <w:rsid w:val="00E405FC"/>
    <w:rsid w:val="00E40F19"/>
    <w:rsid w:val="00E4127B"/>
    <w:rsid w:val="00E415B2"/>
    <w:rsid w:val="00E42B8B"/>
    <w:rsid w:val="00E444E3"/>
    <w:rsid w:val="00E447BF"/>
    <w:rsid w:val="00E44F10"/>
    <w:rsid w:val="00E450A1"/>
    <w:rsid w:val="00E452D6"/>
    <w:rsid w:val="00E452ED"/>
    <w:rsid w:val="00E45BF9"/>
    <w:rsid w:val="00E466F0"/>
    <w:rsid w:val="00E46B16"/>
    <w:rsid w:val="00E46BBF"/>
    <w:rsid w:val="00E46D30"/>
    <w:rsid w:val="00E50128"/>
    <w:rsid w:val="00E5023C"/>
    <w:rsid w:val="00E504DF"/>
    <w:rsid w:val="00E50621"/>
    <w:rsid w:val="00E50A8F"/>
    <w:rsid w:val="00E5136E"/>
    <w:rsid w:val="00E51676"/>
    <w:rsid w:val="00E51932"/>
    <w:rsid w:val="00E51A80"/>
    <w:rsid w:val="00E51B0C"/>
    <w:rsid w:val="00E51FE0"/>
    <w:rsid w:val="00E526ED"/>
    <w:rsid w:val="00E52FD5"/>
    <w:rsid w:val="00E536FC"/>
    <w:rsid w:val="00E5371E"/>
    <w:rsid w:val="00E5389A"/>
    <w:rsid w:val="00E54714"/>
    <w:rsid w:val="00E54C2D"/>
    <w:rsid w:val="00E54C78"/>
    <w:rsid w:val="00E54E66"/>
    <w:rsid w:val="00E5565E"/>
    <w:rsid w:val="00E55E0F"/>
    <w:rsid w:val="00E56041"/>
    <w:rsid w:val="00E566BD"/>
    <w:rsid w:val="00E56862"/>
    <w:rsid w:val="00E5773A"/>
    <w:rsid w:val="00E60359"/>
    <w:rsid w:val="00E60674"/>
    <w:rsid w:val="00E609BF"/>
    <w:rsid w:val="00E60B55"/>
    <w:rsid w:val="00E60BE2"/>
    <w:rsid w:val="00E60D80"/>
    <w:rsid w:val="00E615A7"/>
    <w:rsid w:val="00E61E8A"/>
    <w:rsid w:val="00E62783"/>
    <w:rsid w:val="00E629A5"/>
    <w:rsid w:val="00E636CE"/>
    <w:rsid w:val="00E63D07"/>
    <w:rsid w:val="00E6451D"/>
    <w:rsid w:val="00E64D9E"/>
    <w:rsid w:val="00E65CE3"/>
    <w:rsid w:val="00E66706"/>
    <w:rsid w:val="00E668EB"/>
    <w:rsid w:val="00E66BB9"/>
    <w:rsid w:val="00E66EE5"/>
    <w:rsid w:val="00E67631"/>
    <w:rsid w:val="00E676BD"/>
    <w:rsid w:val="00E67859"/>
    <w:rsid w:val="00E67DC0"/>
    <w:rsid w:val="00E7015D"/>
    <w:rsid w:val="00E701CA"/>
    <w:rsid w:val="00E70279"/>
    <w:rsid w:val="00E7030F"/>
    <w:rsid w:val="00E70752"/>
    <w:rsid w:val="00E70994"/>
    <w:rsid w:val="00E70CAD"/>
    <w:rsid w:val="00E71757"/>
    <w:rsid w:val="00E71CC5"/>
    <w:rsid w:val="00E72038"/>
    <w:rsid w:val="00E72700"/>
    <w:rsid w:val="00E72887"/>
    <w:rsid w:val="00E73016"/>
    <w:rsid w:val="00E7334E"/>
    <w:rsid w:val="00E74185"/>
    <w:rsid w:val="00E741D2"/>
    <w:rsid w:val="00E74279"/>
    <w:rsid w:val="00E744DE"/>
    <w:rsid w:val="00E74F2D"/>
    <w:rsid w:val="00E75587"/>
    <w:rsid w:val="00E75CB2"/>
    <w:rsid w:val="00E76D1C"/>
    <w:rsid w:val="00E80145"/>
    <w:rsid w:val="00E80A9B"/>
    <w:rsid w:val="00E80D67"/>
    <w:rsid w:val="00E80EA0"/>
    <w:rsid w:val="00E81053"/>
    <w:rsid w:val="00E82867"/>
    <w:rsid w:val="00E84022"/>
    <w:rsid w:val="00E8456D"/>
    <w:rsid w:val="00E84B78"/>
    <w:rsid w:val="00E84D8F"/>
    <w:rsid w:val="00E852DC"/>
    <w:rsid w:val="00E86243"/>
    <w:rsid w:val="00E86637"/>
    <w:rsid w:val="00E86D95"/>
    <w:rsid w:val="00E86EE3"/>
    <w:rsid w:val="00E87072"/>
    <w:rsid w:val="00E87774"/>
    <w:rsid w:val="00E87DB5"/>
    <w:rsid w:val="00E87F11"/>
    <w:rsid w:val="00E90557"/>
    <w:rsid w:val="00E905FB"/>
    <w:rsid w:val="00E90DF9"/>
    <w:rsid w:val="00E910C5"/>
    <w:rsid w:val="00E9153F"/>
    <w:rsid w:val="00E91FE3"/>
    <w:rsid w:val="00E921DD"/>
    <w:rsid w:val="00E922F5"/>
    <w:rsid w:val="00E9288F"/>
    <w:rsid w:val="00E93315"/>
    <w:rsid w:val="00E935D4"/>
    <w:rsid w:val="00E93A0D"/>
    <w:rsid w:val="00E93C76"/>
    <w:rsid w:val="00E93DC2"/>
    <w:rsid w:val="00E93EFD"/>
    <w:rsid w:val="00E94123"/>
    <w:rsid w:val="00E94E25"/>
    <w:rsid w:val="00E9501C"/>
    <w:rsid w:val="00E9581C"/>
    <w:rsid w:val="00E95BC1"/>
    <w:rsid w:val="00E96729"/>
    <w:rsid w:val="00E96FAB"/>
    <w:rsid w:val="00E97697"/>
    <w:rsid w:val="00E9784F"/>
    <w:rsid w:val="00EA01EB"/>
    <w:rsid w:val="00EA027F"/>
    <w:rsid w:val="00EA0477"/>
    <w:rsid w:val="00EA0B86"/>
    <w:rsid w:val="00EA11C9"/>
    <w:rsid w:val="00EA1543"/>
    <w:rsid w:val="00EA2323"/>
    <w:rsid w:val="00EA2C08"/>
    <w:rsid w:val="00EA2DB7"/>
    <w:rsid w:val="00EA2F6C"/>
    <w:rsid w:val="00EA33D9"/>
    <w:rsid w:val="00EA3448"/>
    <w:rsid w:val="00EA3A36"/>
    <w:rsid w:val="00EA3A60"/>
    <w:rsid w:val="00EA3AAE"/>
    <w:rsid w:val="00EA423F"/>
    <w:rsid w:val="00EA42B1"/>
    <w:rsid w:val="00EA4DE5"/>
    <w:rsid w:val="00EA5729"/>
    <w:rsid w:val="00EA6416"/>
    <w:rsid w:val="00EA7013"/>
    <w:rsid w:val="00EA795E"/>
    <w:rsid w:val="00EA7FD5"/>
    <w:rsid w:val="00EB023A"/>
    <w:rsid w:val="00EB04AE"/>
    <w:rsid w:val="00EB0EE5"/>
    <w:rsid w:val="00EB16DC"/>
    <w:rsid w:val="00EB18E3"/>
    <w:rsid w:val="00EB1A73"/>
    <w:rsid w:val="00EB1E8D"/>
    <w:rsid w:val="00EB269A"/>
    <w:rsid w:val="00EB2948"/>
    <w:rsid w:val="00EB2FB1"/>
    <w:rsid w:val="00EB3420"/>
    <w:rsid w:val="00EB347F"/>
    <w:rsid w:val="00EB3C56"/>
    <w:rsid w:val="00EB3FF8"/>
    <w:rsid w:val="00EB4368"/>
    <w:rsid w:val="00EB4420"/>
    <w:rsid w:val="00EB4492"/>
    <w:rsid w:val="00EB46EC"/>
    <w:rsid w:val="00EB4E7C"/>
    <w:rsid w:val="00EB54CC"/>
    <w:rsid w:val="00EB551B"/>
    <w:rsid w:val="00EB6124"/>
    <w:rsid w:val="00EB697D"/>
    <w:rsid w:val="00EB7058"/>
    <w:rsid w:val="00EB70FB"/>
    <w:rsid w:val="00EB7D91"/>
    <w:rsid w:val="00EB7DFF"/>
    <w:rsid w:val="00EB7E72"/>
    <w:rsid w:val="00EC00FD"/>
    <w:rsid w:val="00EC02E6"/>
    <w:rsid w:val="00EC0BC1"/>
    <w:rsid w:val="00EC1711"/>
    <w:rsid w:val="00EC1907"/>
    <w:rsid w:val="00EC3210"/>
    <w:rsid w:val="00EC3868"/>
    <w:rsid w:val="00EC3E91"/>
    <w:rsid w:val="00EC3F76"/>
    <w:rsid w:val="00EC432B"/>
    <w:rsid w:val="00EC45FD"/>
    <w:rsid w:val="00EC46AF"/>
    <w:rsid w:val="00EC4C71"/>
    <w:rsid w:val="00EC4FBC"/>
    <w:rsid w:val="00EC5238"/>
    <w:rsid w:val="00EC525D"/>
    <w:rsid w:val="00EC569F"/>
    <w:rsid w:val="00EC57E2"/>
    <w:rsid w:val="00EC58C3"/>
    <w:rsid w:val="00EC667A"/>
    <w:rsid w:val="00EC675A"/>
    <w:rsid w:val="00EC6858"/>
    <w:rsid w:val="00EC6EB1"/>
    <w:rsid w:val="00EC6F0F"/>
    <w:rsid w:val="00EC7554"/>
    <w:rsid w:val="00EC7C1E"/>
    <w:rsid w:val="00EC7CC2"/>
    <w:rsid w:val="00ED0216"/>
    <w:rsid w:val="00ED021F"/>
    <w:rsid w:val="00ED02D2"/>
    <w:rsid w:val="00ED06E1"/>
    <w:rsid w:val="00ED19A3"/>
    <w:rsid w:val="00ED1F6F"/>
    <w:rsid w:val="00ED2F12"/>
    <w:rsid w:val="00ED3047"/>
    <w:rsid w:val="00ED3CC2"/>
    <w:rsid w:val="00ED400B"/>
    <w:rsid w:val="00ED4130"/>
    <w:rsid w:val="00ED450A"/>
    <w:rsid w:val="00ED4F12"/>
    <w:rsid w:val="00ED5094"/>
    <w:rsid w:val="00ED5817"/>
    <w:rsid w:val="00ED6201"/>
    <w:rsid w:val="00ED6AFF"/>
    <w:rsid w:val="00ED6E87"/>
    <w:rsid w:val="00ED6E8B"/>
    <w:rsid w:val="00ED6F69"/>
    <w:rsid w:val="00ED7E69"/>
    <w:rsid w:val="00EE01A5"/>
    <w:rsid w:val="00EE04B3"/>
    <w:rsid w:val="00EE0A9D"/>
    <w:rsid w:val="00EE10EA"/>
    <w:rsid w:val="00EE236C"/>
    <w:rsid w:val="00EE248B"/>
    <w:rsid w:val="00EE281A"/>
    <w:rsid w:val="00EE2C0E"/>
    <w:rsid w:val="00EE2FB3"/>
    <w:rsid w:val="00EE3E6B"/>
    <w:rsid w:val="00EE3EC3"/>
    <w:rsid w:val="00EE4102"/>
    <w:rsid w:val="00EE46EC"/>
    <w:rsid w:val="00EE4B19"/>
    <w:rsid w:val="00EE554F"/>
    <w:rsid w:val="00EE5807"/>
    <w:rsid w:val="00EE5F45"/>
    <w:rsid w:val="00EE651A"/>
    <w:rsid w:val="00EE67BB"/>
    <w:rsid w:val="00EE6E2B"/>
    <w:rsid w:val="00EE7A0C"/>
    <w:rsid w:val="00EF0B93"/>
    <w:rsid w:val="00EF0FFE"/>
    <w:rsid w:val="00EF111D"/>
    <w:rsid w:val="00EF12FE"/>
    <w:rsid w:val="00EF13EE"/>
    <w:rsid w:val="00EF1923"/>
    <w:rsid w:val="00EF1FC9"/>
    <w:rsid w:val="00EF2696"/>
    <w:rsid w:val="00EF3C71"/>
    <w:rsid w:val="00EF41BE"/>
    <w:rsid w:val="00EF46D4"/>
    <w:rsid w:val="00EF5421"/>
    <w:rsid w:val="00EF5517"/>
    <w:rsid w:val="00EF601C"/>
    <w:rsid w:val="00EF62D9"/>
    <w:rsid w:val="00EF6673"/>
    <w:rsid w:val="00EF7096"/>
    <w:rsid w:val="00EF7736"/>
    <w:rsid w:val="00F005A3"/>
    <w:rsid w:val="00F009D1"/>
    <w:rsid w:val="00F00B92"/>
    <w:rsid w:val="00F00D34"/>
    <w:rsid w:val="00F01143"/>
    <w:rsid w:val="00F014AF"/>
    <w:rsid w:val="00F0179E"/>
    <w:rsid w:val="00F02704"/>
    <w:rsid w:val="00F028D5"/>
    <w:rsid w:val="00F029C4"/>
    <w:rsid w:val="00F0309E"/>
    <w:rsid w:val="00F03706"/>
    <w:rsid w:val="00F03755"/>
    <w:rsid w:val="00F044D0"/>
    <w:rsid w:val="00F04F13"/>
    <w:rsid w:val="00F04FC3"/>
    <w:rsid w:val="00F0548F"/>
    <w:rsid w:val="00F05848"/>
    <w:rsid w:val="00F06811"/>
    <w:rsid w:val="00F071A3"/>
    <w:rsid w:val="00F07464"/>
    <w:rsid w:val="00F076D1"/>
    <w:rsid w:val="00F076F7"/>
    <w:rsid w:val="00F07754"/>
    <w:rsid w:val="00F07BC3"/>
    <w:rsid w:val="00F100FC"/>
    <w:rsid w:val="00F1142D"/>
    <w:rsid w:val="00F118F3"/>
    <w:rsid w:val="00F11A61"/>
    <w:rsid w:val="00F11B2D"/>
    <w:rsid w:val="00F11F67"/>
    <w:rsid w:val="00F128F9"/>
    <w:rsid w:val="00F12D6F"/>
    <w:rsid w:val="00F13914"/>
    <w:rsid w:val="00F13CF4"/>
    <w:rsid w:val="00F13D81"/>
    <w:rsid w:val="00F1404C"/>
    <w:rsid w:val="00F14986"/>
    <w:rsid w:val="00F1513B"/>
    <w:rsid w:val="00F1521D"/>
    <w:rsid w:val="00F154AF"/>
    <w:rsid w:val="00F15705"/>
    <w:rsid w:val="00F160D9"/>
    <w:rsid w:val="00F165A0"/>
    <w:rsid w:val="00F16E65"/>
    <w:rsid w:val="00F17433"/>
    <w:rsid w:val="00F175CC"/>
    <w:rsid w:val="00F1798F"/>
    <w:rsid w:val="00F17BA1"/>
    <w:rsid w:val="00F200C5"/>
    <w:rsid w:val="00F20241"/>
    <w:rsid w:val="00F2097F"/>
    <w:rsid w:val="00F20BFE"/>
    <w:rsid w:val="00F21730"/>
    <w:rsid w:val="00F224F7"/>
    <w:rsid w:val="00F228DC"/>
    <w:rsid w:val="00F22985"/>
    <w:rsid w:val="00F23433"/>
    <w:rsid w:val="00F24422"/>
    <w:rsid w:val="00F2486A"/>
    <w:rsid w:val="00F257E4"/>
    <w:rsid w:val="00F25AD3"/>
    <w:rsid w:val="00F25B7C"/>
    <w:rsid w:val="00F25CB1"/>
    <w:rsid w:val="00F268C0"/>
    <w:rsid w:val="00F27031"/>
    <w:rsid w:val="00F2739E"/>
    <w:rsid w:val="00F276AE"/>
    <w:rsid w:val="00F30714"/>
    <w:rsid w:val="00F30A0C"/>
    <w:rsid w:val="00F30C29"/>
    <w:rsid w:val="00F30FC7"/>
    <w:rsid w:val="00F31075"/>
    <w:rsid w:val="00F3152F"/>
    <w:rsid w:val="00F317B5"/>
    <w:rsid w:val="00F317C3"/>
    <w:rsid w:val="00F31D63"/>
    <w:rsid w:val="00F31DF3"/>
    <w:rsid w:val="00F3240C"/>
    <w:rsid w:val="00F32A2A"/>
    <w:rsid w:val="00F335FF"/>
    <w:rsid w:val="00F33752"/>
    <w:rsid w:val="00F33D3F"/>
    <w:rsid w:val="00F34468"/>
    <w:rsid w:val="00F344D2"/>
    <w:rsid w:val="00F34549"/>
    <w:rsid w:val="00F34D60"/>
    <w:rsid w:val="00F34DFC"/>
    <w:rsid w:val="00F356EC"/>
    <w:rsid w:val="00F35AA8"/>
    <w:rsid w:val="00F361AB"/>
    <w:rsid w:val="00F3675F"/>
    <w:rsid w:val="00F37A78"/>
    <w:rsid w:val="00F37B5D"/>
    <w:rsid w:val="00F37F8F"/>
    <w:rsid w:val="00F402F2"/>
    <w:rsid w:val="00F408C9"/>
    <w:rsid w:val="00F41A97"/>
    <w:rsid w:val="00F41B1E"/>
    <w:rsid w:val="00F41B77"/>
    <w:rsid w:val="00F41CA0"/>
    <w:rsid w:val="00F42235"/>
    <w:rsid w:val="00F42C1F"/>
    <w:rsid w:val="00F43611"/>
    <w:rsid w:val="00F437D1"/>
    <w:rsid w:val="00F43C3A"/>
    <w:rsid w:val="00F43CA1"/>
    <w:rsid w:val="00F44F3F"/>
    <w:rsid w:val="00F454EC"/>
    <w:rsid w:val="00F45A96"/>
    <w:rsid w:val="00F45BA3"/>
    <w:rsid w:val="00F46420"/>
    <w:rsid w:val="00F46D81"/>
    <w:rsid w:val="00F46E84"/>
    <w:rsid w:val="00F476A4"/>
    <w:rsid w:val="00F50D95"/>
    <w:rsid w:val="00F51836"/>
    <w:rsid w:val="00F51C03"/>
    <w:rsid w:val="00F51F5F"/>
    <w:rsid w:val="00F520BE"/>
    <w:rsid w:val="00F5218D"/>
    <w:rsid w:val="00F526CD"/>
    <w:rsid w:val="00F528B1"/>
    <w:rsid w:val="00F53109"/>
    <w:rsid w:val="00F542F4"/>
    <w:rsid w:val="00F546D7"/>
    <w:rsid w:val="00F5485F"/>
    <w:rsid w:val="00F5489E"/>
    <w:rsid w:val="00F55204"/>
    <w:rsid w:val="00F5575F"/>
    <w:rsid w:val="00F55BF5"/>
    <w:rsid w:val="00F55F6D"/>
    <w:rsid w:val="00F56B0D"/>
    <w:rsid w:val="00F57163"/>
    <w:rsid w:val="00F5780D"/>
    <w:rsid w:val="00F60218"/>
    <w:rsid w:val="00F60719"/>
    <w:rsid w:val="00F609B7"/>
    <w:rsid w:val="00F60E01"/>
    <w:rsid w:val="00F61190"/>
    <w:rsid w:val="00F61614"/>
    <w:rsid w:val="00F61C9A"/>
    <w:rsid w:val="00F61EDC"/>
    <w:rsid w:val="00F624C8"/>
    <w:rsid w:val="00F62E30"/>
    <w:rsid w:val="00F63056"/>
    <w:rsid w:val="00F633AB"/>
    <w:rsid w:val="00F638D9"/>
    <w:rsid w:val="00F64250"/>
    <w:rsid w:val="00F648FC"/>
    <w:rsid w:val="00F653EA"/>
    <w:rsid w:val="00F65AB1"/>
    <w:rsid w:val="00F65D7C"/>
    <w:rsid w:val="00F66742"/>
    <w:rsid w:val="00F66F3F"/>
    <w:rsid w:val="00F67252"/>
    <w:rsid w:val="00F6769A"/>
    <w:rsid w:val="00F67DB5"/>
    <w:rsid w:val="00F70404"/>
    <w:rsid w:val="00F70FA3"/>
    <w:rsid w:val="00F71417"/>
    <w:rsid w:val="00F71485"/>
    <w:rsid w:val="00F726A1"/>
    <w:rsid w:val="00F729D2"/>
    <w:rsid w:val="00F72C41"/>
    <w:rsid w:val="00F730B9"/>
    <w:rsid w:val="00F73871"/>
    <w:rsid w:val="00F73A38"/>
    <w:rsid w:val="00F74064"/>
    <w:rsid w:val="00F7429F"/>
    <w:rsid w:val="00F749AF"/>
    <w:rsid w:val="00F74AB8"/>
    <w:rsid w:val="00F757DC"/>
    <w:rsid w:val="00F76BFE"/>
    <w:rsid w:val="00F76EF9"/>
    <w:rsid w:val="00F77270"/>
    <w:rsid w:val="00F772A7"/>
    <w:rsid w:val="00F77634"/>
    <w:rsid w:val="00F77EBD"/>
    <w:rsid w:val="00F8011D"/>
    <w:rsid w:val="00F80B0C"/>
    <w:rsid w:val="00F811DC"/>
    <w:rsid w:val="00F8154E"/>
    <w:rsid w:val="00F81F63"/>
    <w:rsid w:val="00F822B2"/>
    <w:rsid w:val="00F82665"/>
    <w:rsid w:val="00F82F3B"/>
    <w:rsid w:val="00F8300D"/>
    <w:rsid w:val="00F83CF4"/>
    <w:rsid w:val="00F83D76"/>
    <w:rsid w:val="00F83FB9"/>
    <w:rsid w:val="00F84596"/>
    <w:rsid w:val="00F84759"/>
    <w:rsid w:val="00F84A58"/>
    <w:rsid w:val="00F84D17"/>
    <w:rsid w:val="00F84EDD"/>
    <w:rsid w:val="00F856F8"/>
    <w:rsid w:val="00F8572C"/>
    <w:rsid w:val="00F859FE"/>
    <w:rsid w:val="00F85BD6"/>
    <w:rsid w:val="00F85E16"/>
    <w:rsid w:val="00F869B1"/>
    <w:rsid w:val="00F86A14"/>
    <w:rsid w:val="00F86C91"/>
    <w:rsid w:val="00F87247"/>
    <w:rsid w:val="00F878A9"/>
    <w:rsid w:val="00F87A80"/>
    <w:rsid w:val="00F901C5"/>
    <w:rsid w:val="00F904FB"/>
    <w:rsid w:val="00F90A24"/>
    <w:rsid w:val="00F90EEC"/>
    <w:rsid w:val="00F91661"/>
    <w:rsid w:val="00F91FEA"/>
    <w:rsid w:val="00F9224D"/>
    <w:rsid w:val="00F92414"/>
    <w:rsid w:val="00F92811"/>
    <w:rsid w:val="00F92AC8"/>
    <w:rsid w:val="00F92D81"/>
    <w:rsid w:val="00F92DD1"/>
    <w:rsid w:val="00F933E4"/>
    <w:rsid w:val="00F93458"/>
    <w:rsid w:val="00F93D64"/>
    <w:rsid w:val="00F93E9A"/>
    <w:rsid w:val="00F93FC6"/>
    <w:rsid w:val="00F9475F"/>
    <w:rsid w:val="00F94858"/>
    <w:rsid w:val="00F94ACF"/>
    <w:rsid w:val="00F94B9F"/>
    <w:rsid w:val="00F95DBD"/>
    <w:rsid w:val="00F95F2B"/>
    <w:rsid w:val="00F96076"/>
    <w:rsid w:val="00F96CD4"/>
    <w:rsid w:val="00F96E77"/>
    <w:rsid w:val="00F96FA2"/>
    <w:rsid w:val="00F97800"/>
    <w:rsid w:val="00FA02C5"/>
    <w:rsid w:val="00FA05BB"/>
    <w:rsid w:val="00FA1375"/>
    <w:rsid w:val="00FA1463"/>
    <w:rsid w:val="00FA1AB9"/>
    <w:rsid w:val="00FA283F"/>
    <w:rsid w:val="00FA2C9C"/>
    <w:rsid w:val="00FA2E30"/>
    <w:rsid w:val="00FA3002"/>
    <w:rsid w:val="00FA3232"/>
    <w:rsid w:val="00FA3706"/>
    <w:rsid w:val="00FA3B2F"/>
    <w:rsid w:val="00FA3B5F"/>
    <w:rsid w:val="00FA41BA"/>
    <w:rsid w:val="00FA4E44"/>
    <w:rsid w:val="00FA5408"/>
    <w:rsid w:val="00FA5996"/>
    <w:rsid w:val="00FA5ED3"/>
    <w:rsid w:val="00FA60C0"/>
    <w:rsid w:val="00FA60C2"/>
    <w:rsid w:val="00FA6B98"/>
    <w:rsid w:val="00FA70A1"/>
    <w:rsid w:val="00FB03D8"/>
    <w:rsid w:val="00FB04FD"/>
    <w:rsid w:val="00FB1806"/>
    <w:rsid w:val="00FB20C0"/>
    <w:rsid w:val="00FB23D4"/>
    <w:rsid w:val="00FB29D0"/>
    <w:rsid w:val="00FB3350"/>
    <w:rsid w:val="00FB3CEA"/>
    <w:rsid w:val="00FB4115"/>
    <w:rsid w:val="00FB45F6"/>
    <w:rsid w:val="00FB4889"/>
    <w:rsid w:val="00FB4B56"/>
    <w:rsid w:val="00FB4B80"/>
    <w:rsid w:val="00FB537C"/>
    <w:rsid w:val="00FB54A2"/>
    <w:rsid w:val="00FB5818"/>
    <w:rsid w:val="00FB5B0B"/>
    <w:rsid w:val="00FB5ED1"/>
    <w:rsid w:val="00FB620D"/>
    <w:rsid w:val="00FB6359"/>
    <w:rsid w:val="00FB6608"/>
    <w:rsid w:val="00FB6726"/>
    <w:rsid w:val="00FB79F5"/>
    <w:rsid w:val="00FB7B93"/>
    <w:rsid w:val="00FB7D0A"/>
    <w:rsid w:val="00FB7D42"/>
    <w:rsid w:val="00FC039F"/>
    <w:rsid w:val="00FC0C63"/>
    <w:rsid w:val="00FC1207"/>
    <w:rsid w:val="00FC1B08"/>
    <w:rsid w:val="00FC212F"/>
    <w:rsid w:val="00FC2B4A"/>
    <w:rsid w:val="00FC2B50"/>
    <w:rsid w:val="00FC2DC3"/>
    <w:rsid w:val="00FC41F6"/>
    <w:rsid w:val="00FC4819"/>
    <w:rsid w:val="00FC5159"/>
    <w:rsid w:val="00FC5302"/>
    <w:rsid w:val="00FC5F0F"/>
    <w:rsid w:val="00FC663E"/>
    <w:rsid w:val="00FC6B96"/>
    <w:rsid w:val="00FC7043"/>
    <w:rsid w:val="00FC776B"/>
    <w:rsid w:val="00FC7EFF"/>
    <w:rsid w:val="00FD0196"/>
    <w:rsid w:val="00FD083A"/>
    <w:rsid w:val="00FD0973"/>
    <w:rsid w:val="00FD0A4D"/>
    <w:rsid w:val="00FD0B6E"/>
    <w:rsid w:val="00FD103E"/>
    <w:rsid w:val="00FD19D6"/>
    <w:rsid w:val="00FD1BD7"/>
    <w:rsid w:val="00FD1E53"/>
    <w:rsid w:val="00FD22E6"/>
    <w:rsid w:val="00FD2AB6"/>
    <w:rsid w:val="00FD3A14"/>
    <w:rsid w:val="00FD3C2D"/>
    <w:rsid w:val="00FD40E8"/>
    <w:rsid w:val="00FD4527"/>
    <w:rsid w:val="00FD4536"/>
    <w:rsid w:val="00FD65AD"/>
    <w:rsid w:val="00FD6D42"/>
    <w:rsid w:val="00FD79E4"/>
    <w:rsid w:val="00FE046E"/>
    <w:rsid w:val="00FE08BD"/>
    <w:rsid w:val="00FE0ABB"/>
    <w:rsid w:val="00FE0B86"/>
    <w:rsid w:val="00FE14A9"/>
    <w:rsid w:val="00FE1D7B"/>
    <w:rsid w:val="00FE2FD3"/>
    <w:rsid w:val="00FE3BC1"/>
    <w:rsid w:val="00FE4004"/>
    <w:rsid w:val="00FE412B"/>
    <w:rsid w:val="00FE4136"/>
    <w:rsid w:val="00FE43D4"/>
    <w:rsid w:val="00FE4AFD"/>
    <w:rsid w:val="00FE5466"/>
    <w:rsid w:val="00FE584D"/>
    <w:rsid w:val="00FE5DB7"/>
    <w:rsid w:val="00FE5FE0"/>
    <w:rsid w:val="00FE6407"/>
    <w:rsid w:val="00FE6A51"/>
    <w:rsid w:val="00FE7E80"/>
    <w:rsid w:val="00FF065C"/>
    <w:rsid w:val="00FF09AD"/>
    <w:rsid w:val="00FF0B41"/>
    <w:rsid w:val="00FF0C15"/>
    <w:rsid w:val="00FF150D"/>
    <w:rsid w:val="00FF1ECA"/>
    <w:rsid w:val="00FF2311"/>
    <w:rsid w:val="00FF2387"/>
    <w:rsid w:val="00FF2C7A"/>
    <w:rsid w:val="00FF3DA4"/>
    <w:rsid w:val="00FF3ECA"/>
    <w:rsid w:val="00FF42CC"/>
    <w:rsid w:val="00FF4851"/>
    <w:rsid w:val="00FF4CFF"/>
    <w:rsid w:val="00FF52DD"/>
    <w:rsid w:val="00FF541C"/>
    <w:rsid w:val="00FF552F"/>
    <w:rsid w:val="00FF5914"/>
    <w:rsid w:val="00FF5945"/>
    <w:rsid w:val="00FF5ECB"/>
    <w:rsid w:val="00FF6B82"/>
    <w:rsid w:val="00FF76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line number" w:uiPriority="99"/>
    <w:lsdException w:name="Title" w:qFormat="1"/>
    <w:lsdException w:name="Body Text" w:uiPriority="99"/>
    <w:lsdException w:name="Subtitle" w:qFormat="1"/>
    <w:lsdException w:name="Strong" w:qFormat="1"/>
    <w:lsdException w:name="Emphasis"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51D"/>
    <w:rPr>
      <w:rFonts w:ascii="Arial" w:hAnsi="Arial" w:cs="Arial"/>
      <w:sz w:val="24"/>
      <w:szCs w:val="24"/>
    </w:rPr>
  </w:style>
  <w:style w:type="paragraph" w:styleId="Heading1">
    <w:name w:val="heading 1"/>
    <w:basedOn w:val="Normal"/>
    <w:next w:val="Normal"/>
    <w:qFormat/>
    <w:rsid w:val="00C64115"/>
    <w:pPr>
      <w:keepNext/>
      <w:spacing w:before="240" w:after="60"/>
      <w:outlineLvl w:val="0"/>
    </w:pPr>
    <w:rPr>
      <w:b/>
      <w:bCs/>
      <w:kern w:val="28"/>
      <w:sz w:val="28"/>
      <w:szCs w:val="28"/>
    </w:rPr>
  </w:style>
  <w:style w:type="paragraph" w:styleId="Heading2">
    <w:name w:val="heading 2"/>
    <w:basedOn w:val="Normal"/>
    <w:next w:val="Normal"/>
    <w:link w:val="Heading2Char"/>
    <w:qFormat/>
    <w:rsid w:val="00C64115"/>
    <w:pPr>
      <w:keepNext/>
      <w:spacing w:before="240" w:after="60"/>
      <w:outlineLvl w:val="1"/>
    </w:pPr>
    <w:rPr>
      <w:b/>
      <w:bCs/>
      <w:i/>
      <w:iCs/>
      <w:sz w:val="28"/>
      <w:szCs w:val="28"/>
    </w:rPr>
  </w:style>
  <w:style w:type="paragraph" w:styleId="Heading3">
    <w:name w:val="heading 3"/>
    <w:basedOn w:val="Normal"/>
    <w:next w:val="Normal"/>
    <w:qFormat/>
    <w:rsid w:val="00C64115"/>
    <w:pPr>
      <w:keepNext/>
      <w:spacing w:line="360" w:lineRule="auto"/>
      <w:outlineLvl w:val="2"/>
    </w:pPr>
    <w:rPr>
      <w:b/>
      <w:i/>
      <w:sz w:val="20"/>
    </w:rPr>
  </w:style>
  <w:style w:type="paragraph" w:styleId="Heading4">
    <w:name w:val="heading 4"/>
    <w:basedOn w:val="Normal"/>
    <w:next w:val="Normal"/>
    <w:qFormat/>
    <w:rsid w:val="00C64115"/>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C64115"/>
    <w:pPr>
      <w:spacing w:before="240" w:after="60"/>
      <w:outlineLvl w:val="4"/>
    </w:pPr>
    <w:rPr>
      <w:b/>
      <w:bCs/>
      <w:i/>
      <w:iCs/>
      <w:sz w:val="26"/>
      <w:szCs w:val="26"/>
    </w:rPr>
  </w:style>
  <w:style w:type="paragraph" w:styleId="Heading6">
    <w:name w:val="heading 6"/>
    <w:basedOn w:val="Normal"/>
    <w:next w:val="Normal"/>
    <w:qFormat/>
    <w:rsid w:val="00C64115"/>
    <w:pPr>
      <w:keepNext/>
      <w:shd w:val="pct10" w:color="auto" w:fill="auto"/>
      <w:spacing w:line="360" w:lineRule="auto"/>
      <w:ind w:left="2340" w:right="1620"/>
      <w:jc w:val="center"/>
      <w:outlineLvl w:val="5"/>
    </w:pPr>
    <w:rPr>
      <w:rFonts w:cs="Times New Roman"/>
      <w:b/>
      <w:szCs w:val="20"/>
    </w:rPr>
  </w:style>
  <w:style w:type="paragraph" w:styleId="Heading7">
    <w:name w:val="heading 7"/>
    <w:basedOn w:val="Normal"/>
    <w:next w:val="Normal"/>
    <w:qFormat/>
    <w:rsid w:val="00C64115"/>
    <w:pPr>
      <w:keepNext/>
      <w:jc w:val="center"/>
      <w:outlineLvl w:val="6"/>
    </w:pPr>
    <w:rPr>
      <w:rFonts w:cs="Times New Roman"/>
      <w:b/>
      <w:szCs w:val="20"/>
    </w:rPr>
  </w:style>
  <w:style w:type="paragraph" w:styleId="Heading8">
    <w:name w:val="heading 8"/>
    <w:basedOn w:val="Normal"/>
    <w:next w:val="Normal"/>
    <w:link w:val="Heading8Char"/>
    <w:qFormat/>
    <w:rsid w:val="00C64115"/>
    <w:pPr>
      <w:spacing w:before="240" w:after="60"/>
      <w:outlineLvl w:val="7"/>
    </w:pPr>
    <w:rPr>
      <w:rFonts w:ascii="Times New Roman" w:hAnsi="Times New Roman" w:cs="Times New Roman"/>
      <w:i/>
      <w:iCs/>
    </w:rPr>
  </w:style>
  <w:style w:type="paragraph" w:styleId="Heading9">
    <w:name w:val="heading 9"/>
    <w:basedOn w:val="Normal"/>
    <w:next w:val="Normal"/>
    <w:qFormat/>
    <w:rsid w:val="00C64115"/>
    <w:pPr>
      <w:keepNext/>
      <w:tabs>
        <w:tab w:val="left" w:pos="4788"/>
        <w:tab w:val="left" w:pos="9576"/>
      </w:tabs>
      <w:spacing w:line="360" w:lineRule="auto"/>
      <w:outlineLvl w:val="8"/>
    </w:pPr>
    <w:rPr>
      <w:rFonts w:cs="Times New Roman"/>
      <w:b/>
      <w:i/>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3252"/>
    <w:rPr>
      <w:rFonts w:ascii="Arial" w:hAnsi="Arial" w:cs="Arial"/>
      <w:b/>
      <w:bCs/>
      <w:i/>
      <w:iCs/>
      <w:sz w:val="28"/>
      <w:szCs w:val="28"/>
    </w:rPr>
  </w:style>
  <w:style w:type="paragraph" w:styleId="Header">
    <w:name w:val="header"/>
    <w:basedOn w:val="Normal"/>
    <w:link w:val="HeaderChar"/>
    <w:rsid w:val="00C64115"/>
    <w:pPr>
      <w:tabs>
        <w:tab w:val="center" w:pos="4153"/>
        <w:tab w:val="right" w:pos="8306"/>
      </w:tabs>
    </w:pPr>
  </w:style>
  <w:style w:type="paragraph" w:styleId="Footer">
    <w:name w:val="footer"/>
    <w:basedOn w:val="Normal"/>
    <w:link w:val="FooterChar"/>
    <w:uiPriority w:val="99"/>
    <w:rsid w:val="00C64115"/>
    <w:pPr>
      <w:tabs>
        <w:tab w:val="center" w:pos="4153"/>
        <w:tab w:val="right" w:pos="8306"/>
      </w:tabs>
    </w:pPr>
  </w:style>
  <w:style w:type="character" w:customStyle="1" w:styleId="FooterChar">
    <w:name w:val="Footer Char"/>
    <w:basedOn w:val="DefaultParagraphFont"/>
    <w:link w:val="Footer"/>
    <w:uiPriority w:val="99"/>
    <w:rsid w:val="00922D5E"/>
    <w:rPr>
      <w:rFonts w:ascii="Arial" w:hAnsi="Arial" w:cs="Arial"/>
      <w:sz w:val="24"/>
      <w:szCs w:val="24"/>
    </w:rPr>
  </w:style>
  <w:style w:type="character" w:styleId="PageNumber">
    <w:name w:val="page number"/>
    <w:basedOn w:val="DefaultParagraphFont"/>
    <w:rsid w:val="00C64115"/>
  </w:style>
  <w:style w:type="paragraph" w:customStyle="1" w:styleId="Bullets">
    <w:name w:val="Bullets"/>
    <w:basedOn w:val="Normal"/>
    <w:rsid w:val="00C64115"/>
    <w:pPr>
      <w:numPr>
        <w:numId w:val="2"/>
      </w:numPr>
      <w:tabs>
        <w:tab w:val="left" w:pos="3062"/>
      </w:tabs>
      <w:spacing w:before="30" w:line="264" w:lineRule="auto"/>
    </w:pPr>
    <w:rPr>
      <w:rFonts w:ascii="Times" w:hAnsi="Times"/>
      <w:sz w:val="21"/>
    </w:rPr>
  </w:style>
  <w:style w:type="character" w:styleId="Hyperlink">
    <w:name w:val="Hyperlink"/>
    <w:basedOn w:val="DefaultParagraphFont"/>
    <w:rsid w:val="00C64115"/>
    <w:rPr>
      <w:color w:val="0000FF"/>
      <w:u w:val="single"/>
    </w:rPr>
  </w:style>
  <w:style w:type="paragraph" w:styleId="Title">
    <w:name w:val="Title"/>
    <w:basedOn w:val="Normal"/>
    <w:qFormat/>
    <w:rsid w:val="00C64115"/>
    <w:pPr>
      <w:jc w:val="center"/>
    </w:pPr>
    <w:rPr>
      <w:rFonts w:cs="Times New Roman"/>
      <w:b/>
      <w:sz w:val="36"/>
      <w:szCs w:val="20"/>
    </w:rPr>
  </w:style>
  <w:style w:type="paragraph" w:customStyle="1" w:styleId="Bodyindent">
    <w:name w:val="Body indent"/>
    <w:basedOn w:val="Normal"/>
    <w:rsid w:val="00C64115"/>
    <w:pPr>
      <w:widowControl w:val="0"/>
      <w:spacing w:before="140" w:line="290" w:lineRule="atLeast"/>
      <w:ind w:left="680"/>
    </w:pPr>
    <w:rPr>
      <w:rFonts w:ascii="Sabon" w:hAnsi="Sabon" w:cs="Times New Roman"/>
      <w:color w:val="000000"/>
      <w:sz w:val="21"/>
      <w:szCs w:val="20"/>
      <w:lang w:val="en-US" w:eastAsia="en-US"/>
    </w:rPr>
  </w:style>
  <w:style w:type="character" w:styleId="FollowedHyperlink">
    <w:name w:val="FollowedHyperlink"/>
    <w:basedOn w:val="DefaultParagraphFont"/>
    <w:rsid w:val="00C64115"/>
    <w:rPr>
      <w:color w:val="800080"/>
      <w:u w:val="single"/>
    </w:rPr>
  </w:style>
  <w:style w:type="paragraph" w:styleId="BlockText">
    <w:name w:val="Block Text"/>
    <w:basedOn w:val="Normal"/>
    <w:rsid w:val="00C64115"/>
    <w:pPr>
      <w:shd w:val="pct10" w:color="auto" w:fill="auto"/>
      <w:ind w:left="2880" w:right="3123"/>
    </w:pPr>
    <w:rPr>
      <w:rFonts w:cs="Times New Roman"/>
      <w:szCs w:val="20"/>
    </w:rPr>
  </w:style>
  <w:style w:type="paragraph" w:styleId="BodyTextIndent3">
    <w:name w:val="Body Text Indent 3"/>
    <w:basedOn w:val="Normal"/>
    <w:rsid w:val="00C64115"/>
    <w:pPr>
      <w:tabs>
        <w:tab w:val="left" w:pos="360"/>
      </w:tabs>
      <w:ind w:left="360"/>
    </w:pPr>
    <w:rPr>
      <w:rFonts w:cs="Times New Roman"/>
      <w:szCs w:val="20"/>
    </w:rPr>
  </w:style>
  <w:style w:type="paragraph" w:styleId="BodyText3">
    <w:name w:val="Body Text 3"/>
    <w:basedOn w:val="Normal"/>
    <w:rsid w:val="00C64115"/>
    <w:pPr>
      <w:outlineLvl w:val="0"/>
    </w:pPr>
    <w:rPr>
      <w:rFonts w:ascii="Times New Roman" w:hAnsi="Times New Roman" w:cs="Times New Roman"/>
      <w:color w:val="000000"/>
      <w:szCs w:val="20"/>
    </w:rPr>
  </w:style>
  <w:style w:type="paragraph" w:styleId="ListBullet">
    <w:name w:val="List Bullet"/>
    <w:aliases w:val=" Char"/>
    <w:basedOn w:val="Normal"/>
    <w:link w:val="ListBulletChar"/>
    <w:autoRedefine/>
    <w:rsid w:val="00C64115"/>
    <w:pPr>
      <w:tabs>
        <w:tab w:val="num" w:pos="360"/>
      </w:tabs>
      <w:ind w:left="360" w:hanging="360"/>
    </w:pPr>
    <w:rPr>
      <w:rFonts w:cs="Times New Roman"/>
      <w:szCs w:val="20"/>
    </w:rPr>
  </w:style>
  <w:style w:type="character" w:customStyle="1" w:styleId="ListBulletChar">
    <w:name w:val="List Bullet Char"/>
    <w:aliases w:val=" Char Char"/>
    <w:basedOn w:val="DefaultParagraphFont"/>
    <w:link w:val="ListBullet"/>
    <w:rsid w:val="001D0B85"/>
    <w:rPr>
      <w:rFonts w:ascii="Arial" w:hAnsi="Arial"/>
      <w:sz w:val="24"/>
    </w:rPr>
  </w:style>
  <w:style w:type="paragraph" w:styleId="BodyText">
    <w:name w:val="Body Text"/>
    <w:basedOn w:val="Normal"/>
    <w:link w:val="BodyTextChar"/>
    <w:uiPriority w:val="99"/>
    <w:rsid w:val="00C64115"/>
    <w:rPr>
      <w:rFonts w:cs="Times New Roman"/>
      <w:b/>
      <w:szCs w:val="20"/>
    </w:rPr>
  </w:style>
  <w:style w:type="paragraph" w:styleId="BodyText2">
    <w:name w:val="Body Text 2"/>
    <w:basedOn w:val="Normal"/>
    <w:rsid w:val="00C64115"/>
    <w:pPr>
      <w:ind w:right="-180"/>
    </w:pPr>
    <w:rPr>
      <w:rFonts w:cs="Times New Roman"/>
      <w:szCs w:val="20"/>
    </w:rPr>
  </w:style>
  <w:style w:type="paragraph" w:styleId="NormalWeb">
    <w:name w:val="Normal (Web)"/>
    <w:basedOn w:val="Normal"/>
    <w:uiPriority w:val="99"/>
    <w:rsid w:val="00C64115"/>
    <w:pPr>
      <w:spacing w:before="100" w:after="100"/>
    </w:pPr>
    <w:rPr>
      <w:rFonts w:ascii="Times New Roman" w:hAnsi="Times New Roman" w:cs="Times New Roman"/>
      <w:szCs w:val="20"/>
      <w:lang w:val="en-US"/>
    </w:rPr>
  </w:style>
  <w:style w:type="paragraph" w:customStyle="1" w:styleId="arial11">
    <w:name w:val="arial11"/>
    <w:basedOn w:val="Normal"/>
    <w:rsid w:val="00C64115"/>
    <w:rPr>
      <w:rFonts w:cs="Times New Roman"/>
      <w:szCs w:val="20"/>
    </w:rPr>
  </w:style>
  <w:style w:type="paragraph" w:styleId="BodyTextIndent">
    <w:name w:val="Body Text Indent"/>
    <w:basedOn w:val="Normal"/>
    <w:link w:val="BodyTextIndentChar"/>
    <w:rsid w:val="00C64115"/>
    <w:pPr>
      <w:spacing w:after="240"/>
      <w:ind w:left="720"/>
      <w:jc w:val="both"/>
    </w:pPr>
    <w:rPr>
      <w:rFonts w:cs="Times New Roman"/>
      <w:szCs w:val="20"/>
    </w:rPr>
  </w:style>
  <w:style w:type="character" w:customStyle="1" w:styleId="BodyTextIndentChar">
    <w:name w:val="Body Text Indent Char"/>
    <w:basedOn w:val="DefaultParagraphFont"/>
    <w:link w:val="BodyTextIndent"/>
    <w:rsid w:val="003D305C"/>
    <w:rPr>
      <w:rFonts w:ascii="Arial" w:hAnsi="Arial"/>
      <w:sz w:val="24"/>
    </w:rPr>
  </w:style>
  <w:style w:type="paragraph" w:styleId="BodyTextIndent2">
    <w:name w:val="Body Text Indent 2"/>
    <w:basedOn w:val="Normal"/>
    <w:rsid w:val="00C64115"/>
    <w:pPr>
      <w:tabs>
        <w:tab w:val="left" w:pos="1080"/>
      </w:tabs>
      <w:spacing w:after="120"/>
      <w:ind w:left="1080"/>
      <w:jc w:val="both"/>
    </w:pPr>
    <w:rPr>
      <w:rFonts w:cs="Times New Roman"/>
      <w:szCs w:val="20"/>
    </w:rPr>
  </w:style>
  <w:style w:type="paragraph" w:styleId="BalloonText">
    <w:name w:val="Balloon Text"/>
    <w:basedOn w:val="Normal"/>
    <w:semiHidden/>
    <w:rsid w:val="000E020D"/>
    <w:rPr>
      <w:rFonts w:ascii="Tahoma" w:hAnsi="Tahoma" w:cs="Tahoma"/>
      <w:sz w:val="16"/>
      <w:szCs w:val="16"/>
    </w:rPr>
  </w:style>
  <w:style w:type="character" w:styleId="CommentReference">
    <w:name w:val="annotation reference"/>
    <w:basedOn w:val="DefaultParagraphFont"/>
    <w:uiPriority w:val="99"/>
    <w:semiHidden/>
    <w:rsid w:val="005917A4"/>
    <w:rPr>
      <w:sz w:val="16"/>
      <w:szCs w:val="16"/>
    </w:rPr>
  </w:style>
  <w:style w:type="paragraph" w:styleId="CommentText">
    <w:name w:val="annotation text"/>
    <w:basedOn w:val="Normal"/>
    <w:link w:val="CommentTextChar"/>
    <w:uiPriority w:val="99"/>
    <w:semiHidden/>
    <w:rsid w:val="005917A4"/>
    <w:rPr>
      <w:sz w:val="20"/>
      <w:szCs w:val="20"/>
    </w:rPr>
  </w:style>
  <w:style w:type="character" w:customStyle="1" w:styleId="CommentTextChar">
    <w:name w:val="Comment Text Char"/>
    <w:basedOn w:val="DefaultParagraphFont"/>
    <w:link w:val="CommentText"/>
    <w:uiPriority w:val="99"/>
    <w:semiHidden/>
    <w:rsid w:val="00F729D2"/>
    <w:rPr>
      <w:rFonts w:ascii="Arial" w:hAnsi="Arial" w:cs="Arial"/>
      <w:lang w:val="en-GB" w:eastAsia="en-GB" w:bidi="ar-SA"/>
    </w:rPr>
  </w:style>
  <w:style w:type="paragraph" w:styleId="CommentSubject">
    <w:name w:val="annotation subject"/>
    <w:basedOn w:val="CommentText"/>
    <w:next w:val="CommentText"/>
    <w:semiHidden/>
    <w:rsid w:val="005917A4"/>
    <w:rPr>
      <w:b/>
      <w:bCs/>
    </w:rPr>
  </w:style>
  <w:style w:type="paragraph" w:customStyle="1" w:styleId="Bodytext0">
    <w:name w:val="Body text"/>
    <w:basedOn w:val="Normal"/>
    <w:link w:val="BodytextChar0"/>
    <w:rsid w:val="00435D4D"/>
    <w:pPr>
      <w:keepLines/>
      <w:spacing w:before="140" w:after="140"/>
      <w:ind w:left="397"/>
    </w:pPr>
    <w:rPr>
      <w:rFonts w:cs="Times New Roman"/>
    </w:rPr>
  </w:style>
  <w:style w:type="character" w:customStyle="1" w:styleId="BodytextChar0">
    <w:name w:val="Body text Char"/>
    <w:basedOn w:val="DefaultParagraphFont"/>
    <w:link w:val="Bodytext0"/>
    <w:rsid w:val="00435D4D"/>
    <w:rPr>
      <w:rFonts w:ascii="Arial" w:hAnsi="Arial"/>
      <w:sz w:val="24"/>
      <w:szCs w:val="24"/>
      <w:lang w:val="en-GB" w:eastAsia="en-GB" w:bidi="ar-SA"/>
    </w:rPr>
  </w:style>
  <w:style w:type="paragraph" w:customStyle="1" w:styleId="Bullet1">
    <w:name w:val="Bullet 1"/>
    <w:basedOn w:val="Normal"/>
    <w:link w:val="Bullet1Char"/>
    <w:rsid w:val="00435D4D"/>
    <w:pPr>
      <w:keepLines/>
      <w:numPr>
        <w:numId w:val="10"/>
      </w:numPr>
      <w:spacing w:before="100"/>
    </w:pPr>
    <w:rPr>
      <w:rFonts w:cs="Times New Roman"/>
    </w:rPr>
  </w:style>
  <w:style w:type="character" w:customStyle="1" w:styleId="Bullet1Char">
    <w:name w:val="Bullet 1 Char"/>
    <w:basedOn w:val="DefaultParagraphFont"/>
    <w:link w:val="Bullet1"/>
    <w:rsid w:val="00435D4D"/>
    <w:rPr>
      <w:rFonts w:ascii="Arial" w:hAnsi="Arial"/>
      <w:sz w:val="24"/>
      <w:szCs w:val="24"/>
    </w:rPr>
  </w:style>
  <w:style w:type="character" w:customStyle="1" w:styleId="Bodytextemphasised">
    <w:name w:val="Body text (emphasised)"/>
    <w:basedOn w:val="DefaultParagraphFont"/>
    <w:rsid w:val="00435D4D"/>
    <w:rPr>
      <w:rFonts w:ascii="Arial" w:hAnsi="Arial"/>
      <w:b/>
      <w:sz w:val="24"/>
      <w:szCs w:val="24"/>
      <w:lang w:val="en-GB" w:eastAsia="en-GB" w:bidi="ar-SA"/>
    </w:rPr>
  </w:style>
  <w:style w:type="table" w:styleId="TableGrid">
    <w:name w:val="Table Grid"/>
    <w:basedOn w:val="TableNormal"/>
    <w:rsid w:val="00A11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ampleend">
    <w:name w:val="exampleend"/>
    <w:basedOn w:val="Normal"/>
    <w:rsid w:val="00005B78"/>
    <w:pPr>
      <w:pBdr>
        <w:bottom w:val="single" w:sz="6" w:space="2" w:color="502470"/>
      </w:pBdr>
      <w:spacing w:before="100" w:beforeAutospacing="1" w:after="100" w:afterAutospacing="1"/>
    </w:pPr>
    <w:rPr>
      <w:rFonts w:ascii="Verdana" w:hAnsi="Verdana" w:cs="Times New Roman"/>
      <w:color w:val="000000"/>
      <w:sz w:val="17"/>
      <w:szCs w:val="17"/>
    </w:rPr>
  </w:style>
  <w:style w:type="paragraph" w:styleId="PlainText">
    <w:name w:val="Plain Text"/>
    <w:basedOn w:val="Normal"/>
    <w:link w:val="PlainTextChar"/>
    <w:rsid w:val="002666F4"/>
    <w:rPr>
      <w:rFonts w:ascii="Courier New" w:hAnsi="Courier New" w:cs="Courier New"/>
      <w:sz w:val="20"/>
      <w:szCs w:val="20"/>
    </w:rPr>
  </w:style>
  <w:style w:type="paragraph" w:styleId="Revision">
    <w:name w:val="Revision"/>
    <w:hidden/>
    <w:uiPriority w:val="99"/>
    <w:semiHidden/>
    <w:rsid w:val="00EA027F"/>
    <w:rPr>
      <w:rFonts w:ascii="Arial" w:hAnsi="Arial" w:cs="Arial"/>
      <w:sz w:val="24"/>
      <w:szCs w:val="24"/>
    </w:rPr>
  </w:style>
  <w:style w:type="paragraph" w:customStyle="1" w:styleId="Bodytextnumbered">
    <w:name w:val="Body text (numbered)"/>
    <w:basedOn w:val="Normal"/>
    <w:link w:val="BodytextnumberedChar"/>
    <w:rsid w:val="001402E9"/>
    <w:pPr>
      <w:numPr>
        <w:numId w:val="24"/>
      </w:numPr>
      <w:spacing w:before="140" w:after="140"/>
    </w:pPr>
    <w:rPr>
      <w:rFonts w:cs="Times New Roman"/>
    </w:rPr>
  </w:style>
  <w:style w:type="character" w:customStyle="1" w:styleId="Bullet1CharChar">
    <w:name w:val="Bullet 1 Char Char"/>
    <w:basedOn w:val="DefaultParagraphFont"/>
    <w:locked/>
    <w:rsid w:val="001402E9"/>
    <w:rPr>
      <w:rFonts w:ascii="Arial" w:hAnsi="Arial" w:cs="Arial"/>
      <w:sz w:val="24"/>
      <w:szCs w:val="24"/>
      <w:lang w:val="en-GB" w:eastAsia="en-GB" w:bidi="ar-SA"/>
    </w:rPr>
  </w:style>
  <w:style w:type="paragraph" w:customStyle="1" w:styleId="Bullet2">
    <w:name w:val="Bullet 2"/>
    <w:basedOn w:val="Normal"/>
    <w:rsid w:val="001402E9"/>
    <w:pPr>
      <w:numPr>
        <w:numId w:val="25"/>
      </w:numPr>
      <w:spacing w:before="100"/>
    </w:pPr>
    <w:rPr>
      <w:rFonts w:cs="Times New Roman"/>
    </w:rPr>
  </w:style>
  <w:style w:type="paragraph" w:customStyle="1" w:styleId="Pa2">
    <w:name w:val="Pa2"/>
    <w:basedOn w:val="Normal"/>
    <w:next w:val="Normal"/>
    <w:rsid w:val="00FE3BC1"/>
    <w:pPr>
      <w:autoSpaceDE w:val="0"/>
      <w:autoSpaceDN w:val="0"/>
      <w:adjustRightInd w:val="0"/>
      <w:spacing w:line="241" w:lineRule="atLeast"/>
    </w:pPr>
    <w:rPr>
      <w:rFonts w:ascii="QEJOBV+Helvetica-Bold" w:hAnsi="QEJOBV+Helvetica-Bold" w:cs="Times New Roman"/>
    </w:rPr>
  </w:style>
  <w:style w:type="character" w:styleId="Strong">
    <w:name w:val="Strong"/>
    <w:basedOn w:val="DefaultParagraphFont"/>
    <w:qFormat/>
    <w:rsid w:val="00B65AF6"/>
    <w:rPr>
      <w:b/>
      <w:bCs/>
    </w:rPr>
  </w:style>
  <w:style w:type="paragraph" w:styleId="FootnoteText">
    <w:name w:val="footnote text"/>
    <w:basedOn w:val="Normal"/>
    <w:rsid w:val="006543B4"/>
    <w:pPr>
      <w:tabs>
        <w:tab w:val="left" w:pos="170"/>
      </w:tabs>
      <w:ind w:left="170" w:hanging="170"/>
    </w:pPr>
    <w:rPr>
      <w:rFonts w:cs="Times New Roman"/>
      <w:sz w:val="18"/>
      <w:szCs w:val="20"/>
    </w:rPr>
  </w:style>
  <w:style w:type="character" w:styleId="FootnoteReference">
    <w:name w:val="footnote reference"/>
    <w:basedOn w:val="DefaultParagraphFont"/>
    <w:rsid w:val="006543B4"/>
    <w:rPr>
      <w:rFonts w:ascii="Arial" w:hAnsi="Arial"/>
      <w:b/>
      <w:color w:val="7AB800"/>
      <w:vertAlign w:val="superscript"/>
    </w:rPr>
  </w:style>
  <w:style w:type="paragraph" w:styleId="ListParagraph">
    <w:name w:val="List Paragraph"/>
    <w:basedOn w:val="Normal"/>
    <w:uiPriority w:val="34"/>
    <w:qFormat/>
    <w:rsid w:val="006A75D6"/>
    <w:pPr>
      <w:ind w:left="720"/>
    </w:pPr>
  </w:style>
  <w:style w:type="paragraph" w:customStyle="1" w:styleId="Default">
    <w:name w:val="Default"/>
    <w:rsid w:val="00F729D2"/>
    <w:pPr>
      <w:autoSpaceDE w:val="0"/>
      <w:autoSpaceDN w:val="0"/>
      <w:adjustRightInd w:val="0"/>
    </w:pPr>
    <w:rPr>
      <w:rFonts w:ascii="Gill Sans MT Pro Medium" w:hAnsi="Gill Sans MT Pro Medium" w:cs="Gill Sans MT Pro Medium"/>
      <w:color w:val="000000"/>
      <w:sz w:val="24"/>
      <w:szCs w:val="24"/>
    </w:rPr>
  </w:style>
  <w:style w:type="paragraph" w:customStyle="1" w:styleId="Bullet4">
    <w:name w:val="Bullet 4"/>
    <w:basedOn w:val="Normal"/>
    <w:uiPriority w:val="99"/>
    <w:rsid w:val="001D0B85"/>
    <w:pPr>
      <w:numPr>
        <w:numId w:val="34"/>
      </w:numPr>
      <w:spacing w:after="240"/>
    </w:pPr>
    <w:rPr>
      <w:rFonts w:ascii="Times New Roman" w:hAnsi="Times New Roman" w:cs="Times New Roman"/>
      <w:szCs w:val="20"/>
    </w:rPr>
  </w:style>
  <w:style w:type="paragraph" w:styleId="DocumentMap">
    <w:name w:val="Document Map"/>
    <w:basedOn w:val="Normal"/>
    <w:link w:val="DocumentMapChar"/>
    <w:rsid w:val="001D0B85"/>
    <w:pPr>
      <w:shd w:val="clear" w:color="auto" w:fill="000080"/>
    </w:pPr>
    <w:rPr>
      <w:rFonts w:ascii="Tahoma" w:hAnsi="Tahoma" w:cs="Times New Roman"/>
      <w:szCs w:val="20"/>
    </w:rPr>
  </w:style>
  <w:style w:type="character" w:customStyle="1" w:styleId="DocumentMapChar">
    <w:name w:val="Document Map Char"/>
    <w:basedOn w:val="DefaultParagraphFont"/>
    <w:link w:val="DocumentMap"/>
    <w:rsid w:val="001D0B85"/>
    <w:rPr>
      <w:rFonts w:ascii="Tahoma" w:hAnsi="Tahoma"/>
      <w:sz w:val="24"/>
      <w:shd w:val="clear" w:color="auto" w:fill="000080"/>
    </w:rPr>
  </w:style>
  <w:style w:type="paragraph" w:customStyle="1" w:styleId="TableHeadingText">
    <w:name w:val="Table Heading Text"/>
    <w:basedOn w:val="Normal"/>
    <w:rsid w:val="001D0B85"/>
    <w:pPr>
      <w:spacing w:before="60" w:after="60"/>
    </w:pPr>
    <w:rPr>
      <w:rFonts w:ascii="Arial Black" w:hAnsi="Arial Black" w:cs="Times New Roman"/>
      <w:sz w:val="18"/>
      <w:szCs w:val="20"/>
      <w:lang w:eastAsia="en-US"/>
    </w:rPr>
  </w:style>
  <w:style w:type="paragraph" w:customStyle="1" w:styleId="TableText">
    <w:name w:val="Table Text"/>
    <w:basedOn w:val="Normal"/>
    <w:rsid w:val="001D0B85"/>
    <w:pPr>
      <w:spacing w:before="40" w:after="40"/>
    </w:pPr>
    <w:rPr>
      <w:sz w:val="20"/>
      <w:szCs w:val="20"/>
      <w:lang w:eastAsia="en-US"/>
    </w:rPr>
  </w:style>
  <w:style w:type="paragraph" w:customStyle="1" w:styleId="OutlineNum2">
    <w:name w:val="Outline Num 2"/>
    <w:basedOn w:val="Normal"/>
    <w:rsid w:val="001D0B85"/>
    <w:pPr>
      <w:numPr>
        <w:ilvl w:val="1"/>
        <w:numId w:val="35"/>
      </w:numPr>
      <w:spacing w:after="240"/>
      <w:outlineLvl w:val="1"/>
    </w:pPr>
    <w:rPr>
      <w:rFonts w:cs="Times New Roman"/>
      <w:sz w:val="22"/>
      <w:szCs w:val="20"/>
    </w:rPr>
  </w:style>
  <w:style w:type="paragraph" w:customStyle="1" w:styleId="OutlineNum3">
    <w:name w:val="Outline Num 3"/>
    <w:basedOn w:val="Normal"/>
    <w:rsid w:val="001D0B85"/>
    <w:pPr>
      <w:numPr>
        <w:ilvl w:val="2"/>
        <w:numId w:val="35"/>
      </w:numPr>
      <w:spacing w:after="240"/>
      <w:outlineLvl w:val="2"/>
    </w:pPr>
    <w:rPr>
      <w:rFonts w:cs="Times New Roman"/>
      <w:sz w:val="22"/>
      <w:szCs w:val="20"/>
    </w:rPr>
  </w:style>
  <w:style w:type="paragraph" w:customStyle="1" w:styleId="BulletSingle">
    <w:name w:val="Bullet Single"/>
    <w:basedOn w:val="Normal"/>
    <w:rsid w:val="001D0B85"/>
    <w:pPr>
      <w:numPr>
        <w:numId w:val="36"/>
      </w:numPr>
      <w:outlineLvl w:val="0"/>
    </w:pPr>
    <w:rPr>
      <w:rFonts w:cs="Times New Roman"/>
      <w:sz w:val="22"/>
      <w:szCs w:val="20"/>
    </w:rPr>
  </w:style>
  <w:style w:type="paragraph" w:customStyle="1" w:styleId="BulletSingle2">
    <w:name w:val="Bullet Single 2"/>
    <w:basedOn w:val="Normal"/>
    <w:rsid w:val="001D0B85"/>
    <w:pPr>
      <w:numPr>
        <w:ilvl w:val="1"/>
        <w:numId w:val="36"/>
      </w:numPr>
      <w:outlineLvl w:val="1"/>
    </w:pPr>
    <w:rPr>
      <w:rFonts w:cs="Times New Roman"/>
      <w:sz w:val="22"/>
      <w:szCs w:val="20"/>
    </w:rPr>
  </w:style>
  <w:style w:type="paragraph" w:customStyle="1" w:styleId="BulletSingle3">
    <w:name w:val="Bullet Single 3"/>
    <w:basedOn w:val="Normal"/>
    <w:rsid w:val="001D0B85"/>
    <w:pPr>
      <w:numPr>
        <w:ilvl w:val="2"/>
        <w:numId w:val="36"/>
      </w:numPr>
      <w:outlineLvl w:val="2"/>
    </w:pPr>
    <w:rPr>
      <w:rFonts w:cs="Times New Roman"/>
      <w:sz w:val="22"/>
      <w:szCs w:val="20"/>
    </w:rPr>
  </w:style>
  <w:style w:type="paragraph" w:customStyle="1" w:styleId="BulletSingle4">
    <w:name w:val="Bullet Single 4"/>
    <w:basedOn w:val="BulletSingle"/>
    <w:rsid w:val="001D0B85"/>
    <w:pPr>
      <w:numPr>
        <w:ilvl w:val="3"/>
      </w:numPr>
      <w:outlineLvl w:val="3"/>
    </w:pPr>
  </w:style>
  <w:style w:type="paragraph" w:customStyle="1" w:styleId="CM33">
    <w:name w:val="CM33"/>
    <w:basedOn w:val="Default"/>
    <w:next w:val="Default"/>
    <w:rsid w:val="001D0B85"/>
    <w:pPr>
      <w:widowControl w:val="0"/>
      <w:spacing w:after="498"/>
    </w:pPr>
    <w:rPr>
      <w:rFonts w:ascii="Arial" w:hAnsi="Arial" w:cs="Times New Roman"/>
      <w:color w:val="auto"/>
    </w:rPr>
  </w:style>
  <w:style w:type="paragraph" w:customStyle="1" w:styleId="CM35">
    <w:name w:val="CM35"/>
    <w:basedOn w:val="Default"/>
    <w:next w:val="Default"/>
    <w:rsid w:val="001D0B85"/>
    <w:pPr>
      <w:widowControl w:val="0"/>
      <w:spacing w:after="553"/>
    </w:pPr>
    <w:rPr>
      <w:rFonts w:ascii="Arial" w:hAnsi="Arial" w:cs="Times New Roman"/>
      <w:color w:val="auto"/>
    </w:rPr>
  </w:style>
  <w:style w:type="paragraph" w:customStyle="1" w:styleId="CM36">
    <w:name w:val="CM36"/>
    <w:basedOn w:val="Default"/>
    <w:next w:val="Default"/>
    <w:rsid w:val="001D0B85"/>
    <w:pPr>
      <w:widowControl w:val="0"/>
      <w:spacing w:after="295"/>
    </w:pPr>
    <w:rPr>
      <w:rFonts w:ascii="Arial" w:hAnsi="Arial" w:cs="Times New Roman"/>
      <w:color w:val="auto"/>
    </w:rPr>
  </w:style>
  <w:style w:type="paragraph" w:customStyle="1" w:styleId="CM5">
    <w:name w:val="CM5"/>
    <w:basedOn w:val="Default"/>
    <w:next w:val="Default"/>
    <w:rsid w:val="001D0B85"/>
    <w:pPr>
      <w:widowControl w:val="0"/>
      <w:spacing w:line="320" w:lineRule="atLeast"/>
    </w:pPr>
    <w:rPr>
      <w:rFonts w:ascii="Arial" w:hAnsi="Arial" w:cs="Times New Roman"/>
      <w:color w:val="auto"/>
    </w:rPr>
  </w:style>
  <w:style w:type="paragraph" w:customStyle="1" w:styleId="CM37">
    <w:name w:val="CM37"/>
    <w:basedOn w:val="Default"/>
    <w:next w:val="Default"/>
    <w:rsid w:val="001D0B85"/>
    <w:pPr>
      <w:widowControl w:val="0"/>
      <w:spacing w:after="335"/>
    </w:pPr>
    <w:rPr>
      <w:rFonts w:ascii="Arial" w:hAnsi="Arial" w:cs="Times New Roman"/>
      <w:color w:val="auto"/>
    </w:rPr>
  </w:style>
  <w:style w:type="paragraph" w:customStyle="1" w:styleId="CM43">
    <w:name w:val="CM43"/>
    <w:basedOn w:val="Default"/>
    <w:next w:val="Default"/>
    <w:rsid w:val="001D0B85"/>
    <w:pPr>
      <w:widowControl w:val="0"/>
      <w:spacing w:after="950"/>
    </w:pPr>
    <w:rPr>
      <w:rFonts w:ascii="Arial" w:hAnsi="Arial" w:cs="Times New Roman"/>
      <w:color w:val="auto"/>
    </w:rPr>
  </w:style>
  <w:style w:type="table" w:styleId="TableList4">
    <w:name w:val="Table List 4"/>
    <w:basedOn w:val="TableNormal"/>
    <w:rsid w:val="0057071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00-Normal-BB">
    <w:name w:val="00-Normal-BB"/>
    <w:rsid w:val="004B797E"/>
    <w:pPr>
      <w:jc w:val="both"/>
    </w:pPr>
    <w:rPr>
      <w:rFonts w:ascii="Arial" w:hAnsi="Arial"/>
      <w:sz w:val="22"/>
      <w:lang w:eastAsia="en-US"/>
    </w:rPr>
  </w:style>
  <w:style w:type="paragraph" w:customStyle="1" w:styleId="01-NormInd1-BB">
    <w:name w:val="01-NormInd1-BB"/>
    <w:basedOn w:val="00-Normal-BB"/>
    <w:rsid w:val="004B797E"/>
    <w:pPr>
      <w:ind w:left="720"/>
    </w:pPr>
  </w:style>
  <w:style w:type="character" w:customStyle="1" w:styleId="Heading8Char">
    <w:name w:val="Heading 8 Char"/>
    <w:basedOn w:val="DefaultParagraphFont"/>
    <w:link w:val="Heading8"/>
    <w:rsid w:val="0003279A"/>
    <w:rPr>
      <w:i/>
      <w:iCs/>
      <w:sz w:val="24"/>
      <w:szCs w:val="24"/>
    </w:rPr>
  </w:style>
  <w:style w:type="character" w:customStyle="1" w:styleId="HeaderChar">
    <w:name w:val="Header Char"/>
    <w:basedOn w:val="DefaultParagraphFont"/>
    <w:link w:val="Header"/>
    <w:uiPriority w:val="99"/>
    <w:rsid w:val="0003279A"/>
    <w:rPr>
      <w:rFonts w:ascii="Arial" w:hAnsi="Arial" w:cs="Arial"/>
      <w:sz w:val="24"/>
      <w:szCs w:val="24"/>
    </w:rPr>
  </w:style>
  <w:style w:type="character" w:customStyle="1" w:styleId="BodyTextChar">
    <w:name w:val="Body Text Char"/>
    <w:basedOn w:val="DefaultParagraphFont"/>
    <w:link w:val="BodyText"/>
    <w:uiPriority w:val="99"/>
    <w:rsid w:val="0003279A"/>
    <w:rPr>
      <w:rFonts w:ascii="Arial" w:hAnsi="Arial"/>
      <w:b/>
      <w:sz w:val="24"/>
    </w:rPr>
  </w:style>
  <w:style w:type="character" w:styleId="HTMLCite">
    <w:name w:val="HTML Cite"/>
    <w:basedOn w:val="DefaultParagraphFont"/>
    <w:uiPriority w:val="99"/>
    <w:unhideWhenUsed/>
    <w:rsid w:val="0003279A"/>
    <w:rPr>
      <w:i/>
      <w:iCs/>
    </w:rPr>
  </w:style>
  <w:style w:type="character" w:styleId="LineNumber">
    <w:name w:val="line number"/>
    <w:basedOn w:val="DefaultParagraphFont"/>
    <w:uiPriority w:val="99"/>
    <w:unhideWhenUsed/>
    <w:rsid w:val="0003279A"/>
  </w:style>
  <w:style w:type="paragraph" w:styleId="NoSpacing">
    <w:name w:val="No Spacing"/>
    <w:link w:val="NoSpacingChar"/>
    <w:uiPriority w:val="1"/>
    <w:qFormat/>
    <w:rsid w:val="0003279A"/>
    <w:rPr>
      <w:rFonts w:ascii="Calibri" w:hAnsi="Calibri"/>
      <w:sz w:val="22"/>
      <w:szCs w:val="22"/>
      <w:lang w:val="en-US" w:eastAsia="en-US"/>
    </w:rPr>
  </w:style>
  <w:style w:type="character" w:customStyle="1" w:styleId="NoSpacingChar">
    <w:name w:val="No Spacing Char"/>
    <w:basedOn w:val="DefaultParagraphFont"/>
    <w:link w:val="NoSpacing"/>
    <w:uiPriority w:val="1"/>
    <w:rsid w:val="0003279A"/>
    <w:rPr>
      <w:rFonts w:ascii="Calibri" w:hAnsi="Calibri"/>
      <w:sz w:val="22"/>
      <w:szCs w:val="22"/>
      <w:lang w:val="en-US" w:eastAsia="en-US" w:bidi="ar-SA"/>
    </w:rPr>
  </w:style>
  <w:style w:type="character" w:customStyle="1" w:styleId="BodytextnumberedChar">
    <w:name w:val="Body text (numbered) Char"/>
    <w:basedOn w:val="DefaultParagraphFont"/>
    <w:link w:val="Bodytextnumbered"/>
    <w:rsid w:val="000B6444"/>
    <w:rPr>
      <w:rFonts w:ascii="Arial" w:hAnsi="Arial"/>
      <w:sz w:val="24"/>
      <w:szCs w:val="24"/>
    </w:rPr>
  </w:style>
  <w:style w:type="character" w:styleId="Emphasis">
    <w:name w:val="Emphasis"/>
    <w:basedOn w:val="DefaultParagraphFont"/>
    <w:qFormat/>
    <w:rsid w:val="0086325C"/>
    <w:rPr>
      <w:i/>
      <w:iCs/>
    </w:rPr>
  </w:style>
  <w:style w:type="paragraph" w:customStyle="1" w:styleId="inlinenormal">
    <w:name w:val="inlinenormal"/>
    <w:basedOn w:val="Normal"/>
    <w:rsid w:val="0086325C"/>
    <w:pPr>
      <w:autoSpaceDN w:val="0"/>
      <w:spacing w:before="120" w:after="60" w:line="264" w:lineRule="auto"/>
    </w:pPr>
  </w:style>
  <w:style w:type="character" w:customStyle="1" w:styleId="PlainTextChar">
    <w:name w:val="Plain Text Char"/>
    <w:basedOn w:val="DefaultParagraphFont"/>
    <w:link w:val="PlainText"/>
    <w:rsid w:val="00906FA5"/>
    <w:rPr>
      <w:rFonts w:ascii="Courier New" w:hAnsi="Courier New" w:cs="Courier New"/>
    </w:rPr>
  </w:style>
  <w:style w:type="paragraph" w:customStyle="1" w:styleId="Body1">
    <w:name w:val="Body 1"/>
    <w:rsid w:val="00A21530"/>
    <w:pPr>
      <w:spacing w:after="200" w:line="276" w:lineRule="auto"/>
      <w:outlineLvl w:val="0"/>
    </w:pPr>
    <w:rPr>
      <w:rFonts w:ascii="Arial" w:eastAsia="Arial Unicode MS" w:hAnsi="Arial"/>
      <w:color w:val="000000"/>
      <w:sz w:val="24"/>
      <w:u w:color="000000"/>
    </w:rPr>
  </w:style>
  <w:style w:type="paragraph" w:customStyle="1" w:styleId="BaseBold">
    <w:name w:val="Base Bold"/>
    <w:next w:val="Normal"/>
    <w:rsid w:val="00D40E86"/>
    <w:pPr>
      <w:spacing w:line="200" w:lineRule="atLeast"/>
    </w:pPr>
    <w:rPr>
      <w:rFonts w:ascii="Arial" w:hAnsi="Arial" w:cs="Arial"/>
      <w:b/>
      <w:sz w:val="16"/>
      <w:lang w:eastAsia="en-US"/>
    </w:rPr>
  </w:style>
</w:styles>
</file>

<file path=word/webSettings.xml><?xml version="1.0" encoding="utf-8"?>
<w:webSettings xmlns:r="http://schemas.openxmlformats.org/officeDocument/2006/relationships" xmlns:w="http://schemas.openxmlformats.org/wordprocessingml/2006/main">
  <w:divs>
    <w:div w:id="5790413">
      <w:bodyDiv w:val="1"/>
      <w:marLeft w:val="0"/>
      <w:marRight w:val="0"/>
      <w:marTop w:val="0"/>
      <w:marBottom w:val="0"/>
      <w:divBdr>
        <w:top w:val="none" w:sz="0" w:space="0" w:color="auto"/>
        <w:left w:val="none" w:sz="0" w:space="0" w:color="auto"/>
        <w:bottom w:val="none" w:sz="0" w:space="0" w:color="auto"/>
        <w:right w:val="none" w:sz="0" w:space="0" w:color="auto"/>
      </w:divBdr>
    </w:div>
    <w:div w:id="7174500">
      <w:bodyDiv w:val="1"/>
      <w:marLeft w:val="0"/>
      <w:marRight w:val="0"/>
      <w:marTop w:val="0"/>
      <w:marBottom w:val="0"/>
      <w:divBdr>
        <w:top w:val="none" w:sz="0" w:space="0" w:color="auto"/>
        <w:left w:val="none" w:sz="0" w:space="0" w:color="auto"/>
        <w:bottom w:val="none" w:sz="0" w:space="0" w:color="auto"/>
        <w:right w:val="none" w:sz="0" w:space="0" w:color="auto"/>
      </w:divBdr>
    </w:div>
    <w:div w:id="7760590">
      <w:bodyDiv w:val="1"/>
      <w:marLeft w:val="0"/>
      <w:marRight w:val="0"/>
      <w:marTop w:val="0"/>
      <w:marBottom w:val="0"/>
      <w:divBdr>
        <w:top w:val="none" w:sz="0" w:space="0" w:color="auto"/>
        <w:left w:val="none" w:sz="0" w:space="0" w:color="auto"/>
        <w:bottom w:val="none" w:sz="0" w:space="0" w:color="auto"/>
        <w:right w:val="none" w:sz="0" w:space="0" w:color="auto"/>
      </w:divBdr>
    </w:div>
    <w:div w:id="14162716">
      <w:bodyDiv w:val="1"/>
      <w:marLeft w:val="0"/>
      <w:marRight w:val="0"/>
      <w:marTop w:val="0"/>
      <w:marBottom w:val="0"/>
      <w:divBdr>
        <w:top w:val="none" w:sz="0" w:space="0" w:color="auto"/>
        <w:left w:val="none" w:sz="0" w:space="0" w:color="auto"/>
        <w:bottom w:val="none" w:sz="0" w:space="0" w:color="auto"/>
        <w:right w:val="none" w:sz="0" w:space="0" w:color="auto"/>
      </w:divBdr>
    </w:div>
    <w:div w:id="15347203">
      <w:bodyDiv w:val="1"/>
      <w:marLeft w:val="0"/>
      <w:marRight w:val="0"/>
      <w:marTop w:val="0"/>
      <w:marBottom w:val="0"/>
      <w:divBdr>
        <w:top w:val="none" w:sz="0" w:space="0" w:color="auto"/>
        <w:left w:val="none" w:sz="0" w:space="0" w:color="auto"/>
        <w:bottom w:val="none" w:sz="0" w:space="0" w:color="auto"/>
        <w:right w:val="none" w:sz="0" w:space="0" w:color="auto"/>
      </w:divBdr>
    </w:div>
    <w:div w:id="20135051">
      <w:bodyDiv w:val="1"/>
      <w:marLeft w:val="0"/>
      <w:marRight w:val="0"/>
      <w:marTop w:val="0"/>
      <w:marBottom w:val="0"/>
      <w:divBdr>
        <w:top w:val="none" w:sz="0" w:space="0" w:color="auto"/>
        <w:left w:val="none" w:sz="0" w:space="0" w:color="auto"/>
        <w:bottom w:val="none" w:sz="0" w:space="0" w:color="auto"/>
        <w:right w:val="none" w:sz="0" w:space="0" w:color="auto"/>
      </w:divBdr>
    </w:div>
    <w:div w:id="24059539">
      <w:bodyDiv w:val="1"/>
      <w:marLeft w:val="0"/>
      <w:marRight w:val="0"/>
      <w:marTop w:val="0"/>
      <w:marBottom w:val="0"/>
      <w:divBdr>
        <w:top w:val="none" w:sz="0" w:space="0" w:color="auto"/>
        <w:left w:val="none" w:sz="0" w:space="0" w:color="auto"/>
        <w:bottom w:val="none" w:sz="0" w:space="0" w:color="auto"/>
        <w:right w:val="none" w:sz="0" w:space="0" w:color="auto"/>
      </w:divBdr>
    </w:div>
    <w:div w:id="30494178">
      <w:bodyDiv w:val="1"/>
      <w:marLeft w:val="0"/>
      <w:marRight w:val="0"/>
      <w:marTop w:val="0"/>
      <w:marBottom w:val="0"/>
      <w:divBdr>
        <w:top w:val="none" w:sz="0" w:space="0" w:color="auto"/>
        <w:left w:val="none" w:sz="0" w:space="0" w:color="auto"/>
        <w:bottom w:val="none" w:sz="0" w:space="0" w:color="auto"/>
        <w:right w:val="none" w:sz="0" w:space="0" w:color="auto"/>
      </w:divBdr>
    </w:div>
    <w:div w:id="31662061">
      <w:bodyDiv w:val="1"/>
      <w:marLeft w:val="0"/>
      <w:marRight w:val="0"/>
      <w:marTop w:val="0"/>
      <w:marBottom w:val="0"/>
      <w:divBdr>
        <w:top w:val="none" w:sz="0" w:space="0" w:color="auto"/>
        <w:left w:val="none" w:sz="0" w:space="0" w:color="auto"/>
        <w:bottom w:val="none" w:sz="0" w:space="0" w:color="auto"/>
        <w:right w:val="none" w:sz="0" w:space="0" w:color="auto"/>
      </w:divBdr>
    </w:div>
    <w:div w:id="38626167">
      <w:bodyDiv w:val="1"/>
      <w:marLeft w:val="0"/>
      <w:marRight w:val="0"/>
      <w:marTop w:val="0"/>
      <w:marBottom w:val="0"/>
      <w:divBdr>
        <w:top w:val="none" w:sz="0" w:space="0" w:color="auto"/>
        <w:left w:val="none" w:sz="0" w:space="0" w:color="auto"/>
        <w:bottom w:val="none" w:sz="0" w:space="0" w:color="auto"/>
        <w:right w:val="none" w:sz="0" w:space="0" w:color="auto"/>
      </w:divBdr>
    </w:div>
    <w:div w:id="42411037">
      <w:bodyDiv w:val="1"/>
      <w:marLeft w:val="0"/>
      <w:marRight w:val="0"/>
      <w:marTop w:val="0"/>
      <w:marBottom w:val="0"/>
      <w:divBdr>
        <w:top w:val="none" w:sz="0" w:space="0" w:color="auto"/>
        <w:left w:val="none" w:sz="0" w:space="0" w:color="auto"/>
        <w:bottom w:val="none" w:sz="0" w:space="0" w:color="auto"/>
        <w:right w:val="none" w:sz="0" w:space="0" w:color="auto"/>
      </w:divBdr>
    </w:div>
    <w:div w:id="70470149">
      <w:bodyDiv w:val="1"/>
      <w:marLeft w:val="0"/>
      <w:marRight w:val="0"/>
      <w:marTop w:val="0"/>
      <w:marBottom w:val="0"/>
      <w:divBdr>
        <w:top w:val="none" w:sz="0" w:space="0" w:color="auto"/>
        <w:left w:val="none" w:sz="0" w:space="0" w:color="auto"/>
        <w:bottom w:val="none" w:sz="0" w:space="0" w:color="auto"/>
        <w:right w:val="none" w:sz="0" w:space="0" w:color="auto"/>
      </w:divBdr>
    </w:div>
    <w:div w:id="86118603">
      <w:bodyDiv w:val="1"/>
      <w:marLeft w:val="0"/>
      <w:marRight w:val="0"/>
      <w:marTop w:val="0"/>
      <w:marBottom w:val="0"/>
      <w:divBdr>
        <w:top w:val="none" w:sz="0" w:space="0" w:color="auto"/>
        <w:left w:val="none" w:sz="0" w:space="0" w:color="auto"/>
        <w:bottom w:val="none" w:sz="0" w:space="0" w:color="auto"/>
        <w:right w:val="none" w:sz="0" w:space="0" w:color="auto"/>
      </w:divBdr>
    </w:div>
    <w:div w:id="87046275">
      <w:bodyDiv w:val="1"/>
      <w:marLeft w:val="0"/>
      <w:marRight w:val="0"/>
      <w:marTop w:val="0"/>
      <w:marBottom w:val="0"/>
      <w:divBdr>
        <w:top w:val="none" w:sz="0" w:space="0" w:color="auto"/>
        <w:left w:val="none" w:sz="0" w:space="0" w:color="auto"/>
        <w:bottom w:val="none" w:sz="0" w:space="0" w:color="auto"/>
        <w:right w:val="none" w:sz="0" w:space="0" w:color="auto"/>
      </w:divBdr>
    </w:div>
    <w:div w:id="94206021">
      <w:bodyDiv w:val="1"/>
      <w:marLeft w:val="0"/>
      <w:marRight w:val="0"/>
      <w:marTop w:val="0"/>
      <w:marBottom w:val="0"/>
      <w:divBdr>
        <w:top w:val="none" w:sz="0" w:space="0" w:color="auto"/>
        <w:left w:val="none" w:sz="0" w:space="0" w:color="auto"/>
        <w:bottom w:val="none" w:sz="0" w:space="0" w:color="auto"/>
        <w:right w:val="none" w:sz="0" w:space="0" w:color="auto"/>
      </w:divBdr>
    </w:div>
    <w:div w:id="98067588">
      <w:bodyDiv w:val="1"/>
      <w:marLeft w:val="0"/>
      <w:marRight w:val="0"/>
      <w:marTop w:val="0"/>
      <w:marBottom w:val="0"/>
      <w:divBdr>
        <w:top w:val="none" w:sz="0" w:space="0" w:color="auto"/>
        <w:left w:val="none" w:sz="0" w:space="0" w:color="auto"/>
        <w:bottom w:val="none" w:sz="0" w:space="0" w:color="auto"/>
        <w:right w:val="none" w:sz="0" w:space="0" w:color="auto"/>
      </w:divBdr>
    </w:div>
    <w:div w:id="104085287">
      <w:bodyDiv w:val="1"/>
      <w:marLeft w:val="0"/>
      <w:marRight w:val="0"/>
      <w:marTop w:val="0"/>
      <w:marBottom w:val="0"/>
      <w:divBdr>
        <w:top w:val="none" w:sz="0" w:space="0" w:color="auto"/>
        <w:left w:val="none" w:sz="0" w:space="0" w:color="auto"/>
        <w:bottom w:val="none" w:sz="0" w:space="0" w:color="auto"/>
        <w:right w:val="none" w:sz="0" w:space="0" w:color="auto"/>
      </w:divBdr>
    </w:div>
    <w:div w:id="104546854">
      <w:bodyDiv w:val="1"/>
      <w:marLeft w:val="0"/>
      <w:marRight w:val="0"/>
      <w:marTop w:val="0"/>
      <w:marBottom w:val="0"/>
      <w:divBdr>
        <w:top w:val="none" w:sz="0" w:space="0" w:color="auto"/>
        <w:left w:val="none" w:sz="0" w:space="0" w:color="auto"/>
        <w:bottom w:val="none" w:sz="0" w:space="0" w:color="auto"/>
        <w:right w:val="none" w:sz="0" w:space="0" w:color="auto"/>
      </w:divBdr>
    </w:div>
    <w:div w:id="119417910">
      <w:bodyDiv w:val="1"/>
      <w:marLeft w:val="0"/>
      <w:marRight w:val="0"/>
      <w:marTop w:val="0"/>
      <w:marBottom w:val="0"/>
      <w:divBdr>
        <w:top w:val="none" w:sz="0" w:space="0" w:color="auto"/>
        <w:left w:val="none" w:sz="0" w:space="0" w:color="auto"/>
        <w:bottom w:val="none" w:sz="0" w:space="0" w:color="auto"/>
        <w:right w:val="none" w:sz="0" w:space="0" w:color="auto"/>
      </w:divBdr>
    </w:div>
    <w:div w:id="128473324">
      <w:bodyDiv w:val="1"/>
      <w:marLeft w:val="0"/>
      <w:marRight w:val="0"/>
      <w:marTop w:val="0"/>
      <w:marBottom w:val="0"/>
      <w:divBdr>
        <w:top w:val="none" w:sz="0" w:space="0" w:color="auto"/>
        <w:left w:val="none" w:sz="0" w:space="0" w:color="auto"/>
        <w:bottom w:val="none" w:sz="0" w:space="0" w:color="auto"/>
        <w:right w:val="none" w:sz="0" w:space="0" w:color="auto"/>
      </w:divBdr>
    </w:div>
    <w:div w:id="130752203">
      <w:bodyDiv w:val="1"/>
      <w:marLeft w:val="0"/>
      <w:marRight w:val="0"/>
      <w:marTop w:val="0"/>
      <w:marBottom w:val="0"/>
      <w:divBdr>
        <w:top w:val="none" w:sz="0" w:space="0" w:color="auto"/>
        <w:left w:val="none" w:sz="0" w:space="0" w:color="auto"/>
        <w:bottom w:val="none" w:sz="0" w:space="0" w:color="auto"/>
        <w:right w:val="none" w:sz="0" w:space="0" w:color="auto"/>
      </w:divBdr>
    </w:div>
    <w:div w:id="132607023">
      <w:bodyDiv w:val="1"/>
      <w:marLeft w:val="0"/>
      <w:marRight w:val="0"/>
      <w:marTop w:val="0"/>
      <w:marBottom w:val="0"/>
      <w:divBdr>
        <w:top w:val="none" w:sz="0" w:space="0" w:color="auto"/>
        <w:left w:val="none" w:sz="0" w:space="0" w:color="auto"/>
        <w:bottom w:val="none" w:sz="0" w:space="0" w:color="auto"/>
        <w:right w:val="none" w:sz="0" w:space="0" w:color="auto"/>
      </w:divBdr>
    </w:div>
    <w:div w:id="136842018">
      <w:bodyDiv w:val="1"/>
      <w:marLeft w:val="0"/>
      <w:marRight w:val="0"/>
      <w:marTop w:val="0"/>
      <w:marBottom w:val="0"/>
      <w:divBdr>
        <w:top w:val="none" w:sz="0" w:space="0" w:color="auto"/>
        <w:left w:val="none" w:sz="0" w:space="0" w:color="auto"/>
        <w:bottom w:val="none" w:sz="0" w:space="0" w:color="auto"/>
        <w:right w:val="none" w:sz="0" w:space="0" w:color="auto"/>
      </w:divBdr>
    </w:div>
    <w:div w:id="150680809">
      <w:bodyDiv w:val="1"/>
      <w:marLeft w:val="0"/>
      <w:marRight w:val="0"/>
      <w:marTop w:val="0"/>
      <w:marBottom w:val="0"/>
      <w:divBdr>
        <w:top w:val="none" w:sz="0" w:space="0" w:color="auto"/>
        <w:left w:val="none" w:sz="0" w:space="0" w:color="auto"/>
        <w:bottom w:val="none" w:sz="0" w:space="0" w:color="auto"/>
        <w:right w:val="none" w:sz="0" w:space="0" w:color="auto"/>
      </w:divBdr>
    </w:div>
    <w:div w:id="151408488">
      <w:bodyDiv w:val="1"/>
      <w:marLeft w:val="0"/>
      <w:marRight w:val="0"/>
      <w:marTop w:val="0"/>
      <w:marBottom w:val="0"/>
      <w:divBdr>
        <w:top w:val="none" w:sz="0" w:space="0" w:color="auto"/>
        <w:left w:val="none" w:sz="0" w:space="0" w:color="auto"/>
        <w:bottom w:val="none" w:sz="0" w:space="0" w:color="auto"/>
        <w:right w:val="none" w:sz="0" w:space="0" w:color="auto"/>
      </w:divBdr>
    </w:div>
    <w:div w:id="155464694">
      <w:bodyDiv w:val="1"/>
      <w:marLeft w:val="0"/>
      <w:marRight w:val="0"/>
      <w:marTop w:val="0"/>
      <w:marBottom w:val="0"/>
      <w:divBdr>
        <w:top w:val="none" w:sz="0" w:space="0" w:color="auto"/>
        <w:left w:val="none" w:sz="0" w:space="0" w:color="auto"/>
        <w:bottom w:val="none" w:sz="0" w:space="0" w:color="auto"/>
        <w:right w:val="none" w:sz="0" w:space="0" w:color="auto"/>
      </w:divBdr>
    </w:div>
    <w:div w:id="160706103">
      <w:bodyDiv w:val="1"/>
      <w:marLeft w:val="0"/>
      <w:marRight w:val="0"/>
      <w:marTop w:val="0"/>
      <w:marBottom w:val="0"/>
      <w:divBdr>
        <w:top w:val="none" w:sz="0" w:space="0" w:color="auto"/>
        <w:left w:val="none" w:sz="0" w:space="0" w:color="auto"/>
        <w:bottom w:val="none" w:sz="0" w:space="0" w:color="auto"/>
        <w:right w:val="none" w:sz="0" w:space="0" w:color="auto"/>
      </w:divBdr>
    </w:div>
    <w:div w:id="162163579">
      <w:bodyDiv w:val="1"/>
      <w:marLeft w:val="0"/>
      <w:marRight w:val="0"/>
      <w:marTop w:val="0"/>
      <w:marBottom w:val="0"/>
      <w:divBdr>
        <w:top w:val="none" w:sz="0" w:space="0" w:color="auto"/>
        <w:left w:val="none" w:sz="0" w:space="0" w:color="auto"/>
        <w:bottom w:val="none" w:sz="0" w:space="0" w:color="auto"/>
        <w:right w:val="none" w:sz="0" w:space="0" w:color="auto"/>
      </w:divBdr>
    </w:div>
    <w:div w:id="179899576">
      <w:bodyDiv w:val="1"/>
      <w:marLeft w:val="0"/>
      <w:marRight w:val="0"/>
      <w:marTop w:val="0"/>
      <w:marBottom w:val="0"/>
      <w:divBdr>
        <w:top w:val="none" w:sz="0" w:space="0" w:color="auto"/>
        <w:left w:val="none" w:sz="0" w:space="0" w:color="auto"/>
        <w:bottom w:val="none" w:sz="0" w:space="0" w:color="auto"/>
        <w:right w:val="none" w:sz="0" w:space="0" w:color="auto"/>
      </w:divBdr>
    </w:div>
    <w:div w:id="186796043">
      <w:bodyDiv w:val="1"/>
      <w:marLeft w:val="0"/>
      <w:marRight w:val="0"/>
      <w:marTop w:val="0"/>
      <w:marBottom w:val="0"/>
      <w:divBdr>
        <w:top w:val="none" w:sz="0" w:space="0" w:color="auto"/>
        <w:left w:val="none" w:sz="0" w:space="0" w:color="auto"/>
        <w:bottom w:val="none" w:sz="0" w:space="0" w:color="auto"/>
        <w:right w:val="none" w:sz="0" w:space="0" w:color="auto"/>
      </w:divBdr>
    </w:div>
    <w:div w:id="193419737">
      <w:bodyDiv w:val="1"/>
      <w:marLeft w:val="0"/>
      <w:marRight w:val="0"/>
      <w:marTop w:val="0"/>
      <w:marBottom w:val="0"/>
      <w:divBdr>
        <w:top w:val="none" w:sz="0" w:space="0" w:color="auto"/>
        <w:left w:val="none" w:sz="0" w:space="0" w:color="auto"/>
        <w:bottom w:val="none" w:sz="0" w:space="0" w:color="auto"/>
        <w:right w:val="none" w:sz="0" w:space="0" w:color="auto"/>
      </w:divBdr>
    </w:div>
    <w:div w:id="197863815">
      <w:bodyDiv w:val="1"/>
      <w:marLeft w:val="0"/>
      <w:marRight w:val="0"/>
      <w:marTop w:val="0"/>
      <w:marBottom w:val="0"/>
      <w:divBdr>
        <w:top w:val="none" w:sz="0" w:space="0" w:color="auto"/>
        <w:left w:val="none" w:sz="0" w:space="0" w:color="auto"/>
        <w:bottom w:val="none" w:sz="0" w:space="0" w:color="auto"/>
        <w:right w:val="none" w:sz="0" w:space="0" w:color="auto"/>
      </w:divBdr>
    </w:div>
    <w:div w:id="213155399">
      <w:bodyDiv w:val="1"/>
      <w:marLeft w:val="0"/>
      <w:marRight w:val="0"/>
      <w:marTop w:val="0"/>
      <w:marBottom w:val="0"/>
      <w:divBdr>
        <w:top w:val="none" w:sz="0" w:space="0" w:color="auto"/>
        <w:left w:val="none" w:sz="0" w:space="0" w:color="auto"/>
        <w:bottom w:val="none" w:sz="0" w:space="0" w:color="auto"/>
        <w:right w:val="none" w:sz="0" w:space="0" w:color="auto"/>
      </w:divBdr>
    </w:div>
    <w:div w:id="224684385">
      <w:bodyDiv w:val="1"/>
      <w:marLeft w:val="0"/>
      <w:marRight w:val="0"/>
      <w:marTop w:val="0"/>
      <w:marBottom w:val="0"/>
      <w:divBdr>
        <w:top w:val="none" w:sz="0" w:space="0" w:color="auto"/>
        <w:left w:val="none" w:sz="0" w:space="0" w:color="auto"/>
        <w:bottom w:val="none" w:sz="0" w:space="0" w:color="auto"/>
        <w:right w:val="none" w:sz="0" w:space="0" w:color="auto"/>
      </w:divBdr>
    </w:div>
    <w:div w:id="226040744">
      <w:bodyDiv w:val="1"/>
      <w:marLeft w:val="0"/>
      <w:marRight w:val="0"/>
      <w:marTop w:val="0"/>
      <w:marBottom w:val="0"/>
      <w:divBdr>
        <w:top w:val="none" w:sz="0" w:space="0" w:color="auto"/>
        <w:left w:val="none" w:sz="0" w:space="0" w:color="auto"/>
        <w:bottom w:val="none" w:sz="0" w:space="0" w:color="auto"/>
        <w:right w:val="none" w:sz="0" w:space="0" w:color="auto"/>
      </w:divBdr>
    </w:div>
    <w:div w:id="247351433">
      <w:bodyDiv w:val="1"/>
      <w:marLeft w:val="0"/>
      <w:marRight w:val="0"/>
      <w:marTop w:val="0"/>
      <w:marBottom w:val="0"/>
      <w:divBdr>
        <w:top w:val="none" w:sz="0" w:space="0" w:color="auto"/>
        <w:left w:val="none" w:sz="0" w:space="0" w:color="auto"/>
        <w:bottom w:val="none" w:sz="0" w:space="0" w:color="auto"/>
        <w:right w:val="none" w:sz="0" w:space="0" w:color="auto"/>
      </w:divBdr>
    </w:div>
    <w:div w:id="258609832">
      <w:bodyDiv w:val="1"/>
      <w:marLeft w:val="0"/>
      <w:marRight w:val="0"/>
      <w:marTop w:val="0"/>
      <w:marBottom w:val="0"/>
      <w:divBdr>
        <w:top w:val="none" w:sz="0" w:space="0" w:color="auto"/>
        <w:left w:val="none" w:sz="0" w:space="0" w:color="auto"/>
        <w:bottom w:val="none" w:sz="0" w:space="0" w:color="auto"/>
        <w:right w:val="none" w:sz="0" w:space="0" w:color="auto"/>
      </w:divBdr>
    </w:div>
    <w:div w:id="262419335">
      <w:bodyDiv w:val="1"/>
      <w:marLeft w:val="0"/>
      <w:marRight w:val="0"/>
      <w:marTop w:val="0"/>
      <w:marBottom w:val="0"/>
      <w:divBdr>
        <w:top w:val="none" w:sz="0" w:space="0" w:color="auto"/>
        <w:left w:val="none" w:sz="0" w:space="0" w:color="auto"/>
        <w:bottom w:val="none" w:sz="0" w:space="0" w:color="auto"/>
        <w:right w:val="none" w:sz="0" w:space="0" w:color="auto"/>
      </w:divBdr>
    </w:div>
    <w:div w:id="267809721">
      <w:bodyDiv w:val="1"/>
      <w:marLeft w:val="0"/>
      <w:marRight w:val="0"/>
      <w:marTop w:val="0"/>
      <w:marBottom w:val="0"/>
      <w:divBdr>
        <w:top w:val="none" w:sz="0" w:space="0" w:color="auto"/>
        <w:left w:val="none" w:sz="0" w:space="0" w:color="auto"/>
        <w:bottom w:val="none" w:sz="0" w:space="0" w:color="auto"/>
        <w:right w:val="none" w:sz="0" w:space="0" w:color="auto"/>
      </w:divBdr>
    </w:div>
    <w:div w:id="272052729">
      <w:bodyDiv w:val="1"/>
      <w:marLeft w:val="0"/>
      <w:marRight w:val="0"/>
      <w:marTop w:val="0"/>
      <w:marBottom w:val="0"/>
      <w:divBdr>
        <w:top w:val="none" w:sz="0" w:space="0" w:color="auto"/>
        <w:left w:val="none" w:sz="0" w:space="0" w:color="auto"/>
        <w:bottom w:val="none" w:sz="0" w:space="0" w:color="auto"/>
        <w:right w:val="none" w:sz="0" w:space="0" w:color="auto"/>
      </w:divBdr>
    </w:div>
    <w:div w:id="279187240">
      <w:bodyDiv w:val="1"/>
      <w:marLeft w:val="0"/>
      <w:marRight w:val="0"/>
      <w:marTop w:val="0"/>
      <w:marBottom w:val="0"/>
      <w:divBdr>
        <w:top w:val="none" w:sz="0" w:space="0" w:color="auto"/>
        <w:left w:val="none" w:sz="0" w:space="0" w:color="auto"/>
        <w:bottom w:val="none" w:sz="0" w:space="0" w:color="auto"/>
        <w:right w:val="none" w:sz="0" w:space="0" w:color="auto"/>
      </w:divBdr>
    </w:div>
    <w:div w:id="294221201">
      <w:bodyDiv w:val="1"/>
      <w:marLeft w:val="0"/>
      <w:marRight w:val="0"/>
      <w:marTop w:val="0"/>
      <w:marBottom w:val="0"/>
      <w:divBdr>
        <w:top w:val="none" w:sz="0" w:space="0" w:color="auto"/>
        <w:left w:val="none" w:sz="0" w:space="0" w:color="auto"/>
        <w:bottom w:val="none" w:sz="0" w:space="0" w:color="auto"/>
        <w:right w:val="none" w:sz="0" w:space="0" w:color="auto"/>
      </w:divBdr>
    </w:div>
    <w:div w:id="296684596">
      <w:bodyDiv w:val="1"/>
      <w:marLeft w:val="0"/>
      <w:marRight w:val="0"/>
      <w:marTop w:val="0"/>
      <w:marBottom w:val="0"/>
      <w:divBdr>
        <w:top w:val="none" w:sz="0" w:space="0" w:color="auto"/>
        <w:left w:val="none" w:sz="0" w:space="0" w:color="auto"/>
        <w:bottom w:val="none" w:sz="0" w:space="0" w:color="auto"/>
        <w:right w:val="none" w:sz="0" w:space="0" w:color="auto"/>
      </w:divBdr>
    </w:div>
    <w:div w:id="297610415">
      <w:bodyDiv w:val="1"/>
      <w:marLeft w:val="0"/>
      <w:marRight w:val="0"/>
      <w:marTop w:val="0"/>
      <w:marBottom w:val="0"/>
      <w:divBdr>
        <w:top w:val="none" w:sz="0" w:space="0" w:color="auto"/>
        <w:left w:val="none" w:sz="0" w:space="0" w:color="auto"/>
        <w:bottom w:val="none" w:sz="0" w:space="0" w:color="auto"/>
        <w:right w:val="none" w:sz="0" w:space="0" w:color="auto"/>
      </w:divBdr>
    </w:div>
    <w:div w:id="306470197">
      <w:bodyDiv w:val="1"/>
      <w:marLeft w:val="0"/>
      <w:marRight w:val="0"/>
      <w:marTop w:val="0"/>
      <w:marBottom w:val="0"/>
      <w:divBdr>
        <w:top w:val="none" w:sz="0" w:space="0" w:color="auto"/>
        <w:left w:val="none" w:sz="0" w:space="0" w:color="auto"/>
        <w:bottom w:val="none" w:sz="0" w:space="0" w:color="auto"/>
        <w:right w:val="none" w:sz="0" w:space="0" w:color="auto"/>
      </w:divBdr>
    </w:div>
    <w:div w:id="313460881">
      <w:bodyDiv w:val="1"/>
      <w:marLeft w:val="0"/>
      <w:marRight w:val="0"/>
      <w:marTop w:val="0"/>
      <w:marBottom w:val="0"/>
      <w:divBdr>
        <w:top w:val="none" w:sz="0" w:space="0" w:color="auto"/>
        <w:left w:val="none" w:sz="0" w:space="0" w:color="auto"/>
        <w:bottom w:val="none" w:sz="0" w:space="0" w:color="auto"/>
        <w:right w:val="none" w:sz="0" w:space="0" w:color="auto"/>
      </w:divBdr>
    </w:div>
    <w:div w:id="315650481">
      <w:bodyDiv w:val="1"/>
      <w:marLeft w:val="0"/>
      <w:marRight w:val="0"/>
      <w:marTop w:val="0"/>
      <w:marBottom w:val="0"/>
      <w:divBdr>
        <w:top w:val="none" w:sz="0" w:space="0" w:color="auto"/>
        <w:left w:val="none" w:sz="0" w:space="0" w:color="auto"/>
        <w:bottom w:val="none" w:sz="0" w:space="0" w:color="auto"/>
        <w:right w:val="none" w:sz="0" w:space="0" w:color="auto"/>
      </w:divBdr>
    </w:div>
    <w:div w:id="321155071">
      <w:bodyDiv w:val="1"/>
      <w:marLeft w:val="0"/>
      <w:marRight w:val="0"/>
      <w:marTop w:val="0"/>
      <w:marBottom w:val="0"/>
      <w:divBdr>
        <w:top w:val="none" w:sz="0" w:space="0" w:color="auto"/>
        <w:left w:val="none" w:sz="0" w:space="0" w:color="auto"/>
        <w:bottom w:val="none" w:sz="0" w:space="0" w:color="auto"/>
        <w:right w:val="none" w:sz="0" w:space="0" w:color="auto"/>
      </w:divBdr>
    </w:div>
    <w:div w:id="322203664">
      <w:bodyDiv w:val="1"/>
      <w:marLeft w:val="0"/>
      <w:marRight w:val="0"/>
      <w:marTop w:val="0"/>
      <w:marBottom w:val="0"/>
      <w:divBdr>
        <w:top w:val="none" w:sz="0" w:space="0" w:color="auto"/>
        <w:left w:val="none" w:sz="0" w:space="0" w:color="auto"/>
        <w:bottom w:val="none" w:sz="0" w:space="0" w:color="auto"/>
        <w:right w:val="none" w:sz="0" w:space="0" w:color="auto"/>
      </w:divBdr>
    </w:div>
    <w:div w:id="325519833">
      <w:bodyDiv w:val="1"/>
      <w:marLeft w:val="0"/>
      <w:marRight w:val="0"/>
      <w:marTop w:val="0"/>
      <w:marBottom w:val="0"/>
      <w:divBdr>
        <w:top w:val="none" w:sz="0" w:space="0" w:color="auto"/>
        <w:left w:val="none" w:sz="0" w:space="0" w:color="auto"/>
        <w:bottom w:val="none" w:sz="0" w:space="0" w:color="auto"/>
        <w:right w:val="none" w:sz="0" w:space="0" w:color="auto"/>
      </w:divBdr>
    </w:div>
    <w:div w:id="331299441">
      <w:bodyDiv w:val="1"/>
      <w:marLeft w:val="0"/>
      <w:marRight w:val="0"/>
      <w:marTop w:val="0"/>
      <w:marBottom w:val="0"/>
      <w:divBdr>
        <w:top w:val="none" w:sz="0" w:space="0" w:color="auto"/>
        <w:left w:val="none" w:sz="0" w:space="0" w:color="auto"/>
        <w:bottom w:val="none" w:sz="0" w:space="0" w:color="auto"/>
        <w:right w:val="none" w:sz="0" w:space="0" w:color="auto"/>
      </w:divBdr>
    </w:div>
    <w:div w:id="333918908">
      <w:bodyDiv w:val="1"/>
      <w:marLeft w:val="0"/>
      <w:marRight w:val="0"/>
      <w:marTop w:val="0"/>
      <w:marBottom w:val="0"/>
      <w:divBdr>
        <w:top w:val="none" w:sz="0" w:space="0" w:color="auto"/>
        <w:left w:val="none" w:sz="0" w:space="0" w:color="auto"/>
        <w:bottom w:val="none" w:sz="0" w:space="0" w:color="auto"/>
        <w:right w:val="none" w:sz="0" w:space="0" w:color="auto"/>
      </w:divBdr>
    </w:div>
    <w:div w:id="335693825">
      <w:bodyDiv w:val="1"/>
      <w:marLeft w:val="0"/>
      <w:marRight w:val="0"/>
      <w:marTop w:val="0"/>
      <w:marBottom w:val="0"/>
      <w:divBdr>
        <w:top w:val="none" w:sz="0" w:space="0" w:color="auto"/>
        <w:left w:val="none" w:sz="0" w:space="0" w:color="auto"/>
        <w:bottom w:val="none" w:sz="0" w:space="0" w:color="auto"/>
        <w:right w:val="none" w:sz="0" w:space="0" w:color="auto"/>
      </w:divBdr>
    </w:div>
    <w:div w:id="343168866">
      <w:bodyDiv w:val="1"/>
      <w:marLeft w:val="0"/>
      <w:marRight w:val="0"/>
      <w:marTop w:val="0"/>
      <w:marBottom w:val="0"/>
      <w:divBdr>
        <w:top w:val="none" w:sz="0" w:space="0" w:color="auto"/>
        <w:left w:val="none" w:sz="0" w:space="0" w:color="auto"/>
        <w:bottom w:val="none" w:sz="0" w:space="0" w:color="auto"/>
        <w:right w:val="none" w:sz="0" w:space="0" w:color="auto"/>
      </w:divBdr>
    </w:div>
    <w:div w:id="351302289">
      <w:bodyDiv w:val="1"/>
      <w:marLeft w:val="0"/>
      <w:marRight w:val="0"/>
      <w:marTop w:val="0"/>
      <w:marBottom w:val="0"/>
      <w:divBdr>
        <w:top w:val="none" w:sz="0" w:space="0" w:color="auto"/>
        <w:left w:val="none" w:sz="0" w:space="0" w:color="auto"/>
        <w:bottom w:val="none" w:sz="0" w:space="0" w:color="auto"/>
        <w:right w:val="none" w:sz="0" w:space="0" w:color="auto"/>
      </w:divBdr>
    </w:div>
    <w:div w:id="351421562">
      <w:bodyDiv w:val="1"/>
      <w:marLeft w:val="0"/>
      <w:marRight w:val="0"/>
      <w:marTop w:val="0"/>
      <w:marBottom w:val="0"/>
      <w:divBdr>
        <w:top w:val="none" w:sz="0" w:space="0" w:color="auto"/>
        <w:left w:val="none" w:sz="0" w:space="0" w:color="auto"/>
        <w:bottom w:val="none" w:sz="0" w:space="0" w:color="auto"/>
        <w:right w:val="none" w:sz="0" w:space="0" w:color="auto"/>
      </w:divBdr>
    </w:div>
    <w:div w:id="356391536">
      <w:bodyDiv w:val="1"/>
      <w:marLeft w:val="0"/>
      <w:marRight w:val="0"/>
      <w:marTop w:val="0"/>
      <w:marBottom w:val="0"/>
      <w:divBdr>
        <w:top w:val="none" w:sz="0" w:space="0" w:color="auto"/>
        <w:left w:val="none" w:sz="0" w:space="0" w:color="auto"/>
        <w:bottom w:val="none" w:sz="0" w:space="0" w:color="auto"/>
        <w:right w:val="none" w:sz="0" w:space="0" w:color="auto"/>
      </w:divBdr>
    </w:div>
    <w:div w:id="358892212">
      <w:bodyDiv w:val="1"/>
      <w:marLeft w:val="0"/>
      <w:marRight w:val="0"/>
      <w:marTop w:val="0"/>
      <w:marBottom w:val="0"/>
      <w:divBdr>
        <w:top w:val="none" w:sz="0" w:space="0" w:color="auto"/>
        <w:left w:val="none" w:sz="0" w:space="0" w:color="auto"/>
        <w:bottom w:val="none" w:sz="0" w:space="0" w:color="auto"/>
        <w:right w:val="none" w:sz="0" w:space="0" w:color="auto"/>
      </w:divBdr>
    </w:div>
    <w:div w:id="361126074">
      <w:bodyDiv w:val="1"/>
      <w:marLeft w:val="0"/>
      <w:marRight w:val="0"/>
      <w:marTop w:val="0"/>
      <w:marBottom w:val="0"/>
      <w:divBdr>
        <w:top w:val="none" w:sz="0" w:space="0" w:color="auto"/>
        <w:left w:val="none" w:sz="0" w:space="0" w:color="auto"/>
        <w:bottom w:val="none" w:sz="0" w:space="0" w:color="auto"/>
        <w:right w:val="none" w:sz="0" w:space="0" w:color="auto"/>
      </w:divBdr>
    </w:div>
    <w:div w:id="368071453">
      <w:bodyDiv w:val="1"/>
      <w:marLeft w:val="0"/>
      <w:marRight w:val="0"/>
      <w:marTop w:val="0"/>
      <w:marBottom w:val="0"/>
      <w:divBdr>
        <w:top w:val="none" w:sz="0" w:space="0" w:color="auto"/>
        <w:left w:val="none" w:sz="0" w:space="0" w:color="auto"/>
        <w:bottom w:val="none" w:sz="0" w:space="0" w:color="auto"/>
        <w:right w:val="none" w:sz="0" w:space="0" w:color="auto"/>
      </w:divBdr>
    </w:div>
    <w:div w:id="370765038">
      <w:bodyDiv w:val="1"/>
      <w:marLeft w:val="0"/>
      <w:marRight w:val="0"/>
      <w:marTop w:val="0"/>
      <w:marBottom w:val="0"/>
      <w:divBdr>
        <w:top w:val="none" w:sz="0" w:space="0" w:color="auto"/>
        <w:left w:val="none" w:sz="0" w:space="0" w:color="auto"/>
        <w:bottom w:val="none" w:sz="0" w:space="0" w:color="auto"/>
        <w:right w:val="none" w:sz="0" w:space="0" w:color="auto"/>
      </w:divBdr>
    </w:div>
    <w:div w:id="385225206">
      <w:bodyDiv w:val="1"/>
      <w:marLeft w:val="0"/>
      <w:marRight w:val="0"/>
      <w:marTop w:val="0"/>
      <w:marBottom w:val="0"/>
      <w:divBdr>
        <w:top w:val="none" w:sz="0" w:space="0" w:color="auto"/>
        <w:left w:val="none" w:sz="0" w:space="0" w:color="auto"/>
        <w:bottom w:val="none" w:sz="0" w:space="0" w:color="auto"/>
        <w:right w:val="none" w:sz="0" w:space="0" w:color="auto"/>
      </w:divBdr>
    </w:div>
    <w:div w:id="386076783">
      <w:bodyDiv w:val="1"/>
      <w:marLeft w:val="0"/>
      <w:marRight w:val="0"/>
      <w:marTop w:val="0"/>
      <w:marBottom w:val="0"/>
      <w:divBdr>
        <w:top w:val="none" w:sz="0" w:space="0" w:color="auto"/>
        <w:left w:val="none" w:sz="0" w:space="0" w:color="auto"/>
        <w:bottom w:val="none" w:sz="0" w:space="0" w:color="auto"/>
        <w:right w:val="none" w:sz="0" w:space="0" w:color="auto"/>
      </w:divBdr>
    </w:div>
    <w:div w:id="386999616">
      <w:bodyDiv w:val="1"/>
      <w:marLeft w:val="0"/>
      <w:marRight w:val="0"/>
      <w:marTop w:val="0"/>
      <w:marBottom w:val="0"/>
      <w:divBdr>
        <w:top w:val="none" w:sz="0" w:space="0" w:color="auto"/>
        <w:left w:val="none" w:sz="0" w:space="0" w:color="auto"/>
        <w:bottom w:val="none" w:sz="0" w:space="0" w:color="auto"/>
        <w:right w:val="none" w:sz="0" w:space="0" w:color="auto"/>
      </w:divBdr>
    </w:div>
    <w:div w:id="387805423">
      <w:bodyDiv w:val="1"/>
      <w:marLeft w:val="0"/>
      <w:marRight w:val="0"/>
      <w:marTop w:val="0"/>
      <w:marBottom w:val="0"/>
      <w:divBdr>
        <w:top w:val="none" w:sz="0" w:space="0" w:color="auto"/>
        <w:left w:val="none" w:sz="0" w:space="0" w:color="auto"/>
        <w:bottom w:val="none" w:sz="0" w:space="0" w:color="auto"/>
        <w:right w:val="none" w:sz="0" w:space="0" w:color="auto"/>
      </w:divBdr>
    </w:div>
    <w:div w:id="388265125">
      <w:bodyDiv w:val="1"/>
      <w:marLeft w:val="0"/>
      <w:marRight w:val="0"/>
      <w:marTop w:val="0"/>
      <w:marBottom w:val="0"/>
      <w:divBdr>
        <w:top w:val="none" w:sz="0" w:space="0" w:color="auto"/>
        <w:left w:val="none" w:sz="0" w:space="0" w:color="auto"/>
        <w:bottom w:val="none" w:sz="0" w:space="0" w:color="auto"/>
        <w:right w:val="none" w:sz="0" w:space="0" w:color="auto"/>
      </w:divBdr>
    </w:div>
    <w:div w:id="401027958">
      <w:bodyDiv w:val="1"/>
      <w:marLeft w:val="0"/>
      <w:marRight w:val="0"/>
      <w:marTop w:val="0"/>
      <w:marBottom w:val="0"/>
      <w:divBdr>
        <w:top w:val="none" w:sz="0" w:space="0" w:color="auto"/>
        <w:left w:val="none" w:sz="0" w:space="0" w:color="auto"/>
        <w:bottom w:val="none" w:sz="0" w:space="0" w:color="auto"/>
        <w:right w:val="none" w:sz="0" w:space="0" w:color="auto"/>
      </w:divBdr>
    </w:div>
    <w:div w:id="414208598">
      <w:bodyDiv w:val="1"/>
      <w:marLeft w:val="0"/>
      <w:marRight w:val="0"/>
      <w:marTop w:val="0"/>
      <w:marBottom w:val="0"/>
      <w:divBdr>
        <w:top w:val="none" w:sz="0" w:space="0" w:color="auto"/>
        <w:left w:val="none" w:sz="0" w:space="0" w:color="auto"/>
        <w:bottom w:val="none" w:sz="0" w:space="0" w:color="auto"/>
        <w:right w:val="none" w:sz="0" w:space="0" w:color="auto"/>
      </w:divBdr>
    </w:div>
    <w:div w:id="427190966">
      <w:bodyDiv w:val="1"/>
      <w:marLeft w:val="0"/>
      <w:marRight w:val="0"/>
      <w:marTop w:val="0"/>
      <w:marBottom w:val="0"/>
      <w:divBdr>
        <w:top w:val="none" w:sz="0" w:space="0" w:color="auto"/>
        <w:left w:val="none" w:sz="0" w:space="0" w:color="auto"/>
        <w:bottom w:val="none" w:sz="0" w:space="0" w:color="auto"/>
        <w:right w:val="none" w:sz="0" w:space="0" w:color="auto"/>
      </w:divBdr>
    </w:div>
    <w:div w:id="436172644">
      <w:bodyDiv w:val="1"/>
      <w:marLeft w:val="0"/>
      <w:marRight w:val="0"/>
      <w:marTop w:val="0"/>
      <w:marBottom w:val="0"/>
      <w:divBdr>
        <w:top w:val="none" w:sz="0" w:space="0" w:color="auto"/>
        <w:left w:val="none" w:sz="0" w:space="0" w:color="auto"/>
        <w:bottom w:val="none" w:sz="0" w:space="0" w:color="auto"/>
        <w:right w:val="none" w:sz="0" w:space="0" w:color="auto"/>
      </w:divBdr>
    </w:div>
    <w:div w:id="455030674">
      <w:bodyDiv w:val="1"/>
      <w:marLeft w:val="0"/>
      <w:marRight w:val="0"/>
      <w:marTop w:val="0"/>
      <w:marBottom w:val="0"/>
      <w:divBdr>
        <w:top w:val="none" w:sz="0" w:space="0" w:color="auto"/>
        <w:left w:val="none" w:sz="0" w:space="0" w:color="auto"/>
        <w:bottom w:val="none" w:sz="0" w:space="0" w:color="auto"/>
        <w:right w:val="none" w:sz="0" w:space="0" w:color="auto"/>
      </w:divBdr>
    </w:div>
    <w:div w:id="466431350">
      <w:bodyDiv w:val="1"/>
      <w:marLeft w:val="0"/>
      <w:marRight w:val="0"/>
      <w:marTop w:val="0"/>
      <w:marBottom w:val="0"/>
      <w:divBdr>
        <w:top w:val="none" w:sz="0" w:space="0" w:color="auto"/>
        <w:left w:val="none" w:sz="0" w:space="0" w:color="auto"/>
        <w:bottom w:val="none" w:sz="0" w:space="0" w:color="auto"/>
        <w:right w:val="none" w:sz="0" w:space="0" w:color="auto"/>
      </w:divBdr>
    </w:div>
    <w:div w:id="472406048">
      <w:bodyDiv w:val="1"/>
      <w:marLeft w:val="0"/>
      <w:marRight w:val="0"/>
      <w:marTop w:val="0"/>
      <w:marBottom w:val="0"/>
      <w:divBdr>
        <w:top w:val="none" w:sz="0" w:space="0" w:color="auto"/>
        <w:left w:val="none" w:sz="0" w:space="0" w:color="auto"/>
        <w:bottom w:val="none" w:sz="0" w:space="0" w:color="auto"/>
        <w:right w:val="none" w:sz="0" w:space="0" w:color="auto"/>
      </w:divBdr>
    </w:div>
    <w:div w:id="474568690">
      <w:bodyDiv w:val="1"/>
      <w:marLeft w:val="0"/>
      <w:marRight w:val="0"/>
      <w:marTop w:val="0"/>
      <w:marBottom w:val="0"/>
      <w:divBdr>
        <w:top w:val="none" w:sz="0" w:space="0" w:color="auto"/>
        <w:left w:val="none" w:sz="0" w:space="0" w:color="auto"/>
        <w:bottom w:val="none" w:sz="0" w:space="0" w:color="auto"/>
        <w:right w:val="none" w:sz="0" w:space="0" w:color="auto"/>
      </w:divBdr>
    </w:div>
    <w:div w:id="501049135">
      <w:bodyDiv w:val="1"/>
      <w:marLeft w:val="0"/>
      <w:marRight w:val="0"/>
      <w:marTop w:val="0"/>
      <w:marBottom w:val="0"/>
      <w:divBdr>
        <w:top w:val="none" w:sz="0" w:space="0" w:color="auto"/>
        <w:left w:val="none" w:sz="0" w:space="0" w:color="auto"/>
        <w:bottom w:val="none" w:sz="0" w:space="0" w:color="auto"/>
        <w:right w:val="none" w:sz="0" w:space="0" w:color="auto"/>
      </w:divBdr>
    </w:div>
    <w:div w:id="505949929">
      <w:bodyDiv w:val="1"/>
      <w:marLeft w:val="0"/>
      <w:marRight w:val="0"/>
      <w:marTop w:val="0"/>
      <w:marBottom w:val="0"/>
      <w:divBdr>
        <w:top w:val="none" w:sz="0" w:space="0" w:color="auto"/>
        <w:left w:val="none" w:sz="0" w:space="0" w:color="auto"/>
        <w:bottom w:val="none" w:sz="0" w:space="0" w:color="auto"/>
        <w:right w:val="none" w:sz="0" w:space="0" w:color="auto"/>
      </w:divBdr>
    </w:div>
    <w:div w:id="523443896">
      <w:bodyDiv w:val="1"/>
      <w:marLeft w:val="0"/>
      <w:marRight w:val="0"/>
      <w:marTop w:val="0"/>
      <w:marBottom w:val="0"/>
      <w:divBdr>
        <w:top w:val="none" w:sz="0" w:space="0" w:color="auto"/>
        <w:left w:val="none" w:sz="0" w:space="0" w:color="auto"/>
        <w:bottom w:val="none" w:sz="0" w:space="0" w:color="auto"/>
        <w:right w:val="none" w:sz="0" w:space="0" w:color="auto"/>
      </w:divBdr>
    </w:div>
    <w:div w:id="524515046">
      <w:bodyDiv w:val="1"/>
      <w:marLeft w:val="0"/>
      <w:marRight w:val="0"/>
      <w:marTop w:val="0"/>
      <w:marBottom w:val="0"/>
      <w:divBdr>
        <w:top w:val="none" w:sz="0" w:space="0" w:color="auto"/>
        <w:left w:val="none" w:sz="0" w:space="0" w:color="auto"/>
        <w:bottom w:val="none" w:sz="0" w:space="0" w:color="auto"/>
        <w:right w:val="none" w:sz="0" w:space="0" w:color="auto"/>
      </w:divBdr>
    </w:div>
    <w:div w:id="527565957">
      <w:bodyDiv w:val="1"/>
      <w:marLeft w:val="0"/>
      <w:marRight w:val="0"/>
      <w:marTop w:val="0"/>
      <w:marBottom w:val="0"/>
      <w:divBdr>
        <w:top w:val="none" w:sz="0" w:space="0" w:color="auto"/>
        <w:left w:val="none" w:sz="0" w:space="0" w:color="auto"/>
        <w:bottom w:val="none" w:sz="0" w:space="0" w:color="auto"/>
        <w:right w:val="none" w:sz="0" w:space="0" w:color="auto"/>
      </w:divBdr>
    </w:div>
    <w:div w:id="531192449">
      <w:bodyDiv w:val="1"/>
      <w:marLeft w:val="0"/>
      <w:marRight w:val="0"/>
      <w:marTop w:val="0"/>
      <w:marBottom w:val="0"/>
      <w:divBdr>
        <w:top w:val="none" w:sz="0" w:space="0" w:color="auto"/>
        <w:left w:val="none" w:sz="0" w:space="0" w:color="auto"/>
        <w:bottom w:val="none" w:sz="0" w:space="0" w:color="auto"/>
        <w:right w:val="none" w:sz="0" w:space="0" w:color="auto"/>
      </w:divBdr>
    </w:div>
    <w:div w:id="532155016">
      <w:bodyDiv w:val="1"/>
      <w:marLeft w:val="0"/>
      <w:marRight w:val="0"/>
      <w:marTop w:val="0"/>
      <w:marBottom w:val="0"/>
      <w:divBdr>
        <w:top w:val="none" w:sz="0" w:space="0" w:color="auto"/>
        <w:left w:val="none" w:sz="0" w:space="0" w:color="auto"/>
        <w:bottom w:val="none" w:sz="0" w:space="0" w:color="auto"/>
        <w:right w:val="none" w:sz="0" w:space="0" w:color="auto"/>
      </w:divBdr>
    </w:div>
    <w:div w:id="554511065">
      <w:bodyDiv w:val="1"/>
      <w:marLeft w:val="0"/>
      <w:marRight w:val="0"/>
      <w:marTop w:val="0"/>
      <w:marBottom w:val="0"/>
      <w:divBdr>
        <w:top w:val="none" w:sz="0" w:space="0" w:color="auto"/>
        <w:left w:val="none" w:sz="0" w:space="0" w:color="auto"/>
        <w:bottom w:val="none" w:sz="0" w:space="0" w:color="auto"/>
        <w:right w:val="none" w:sz="0" w:space="0" w:color="auto"/>
      </w:divBdr>
    </w:div>
    <w:div w:id="554925094">
      <w:bodyDiv w:val="1"/>
      <w:marLeft w:val="0"/>
      <w:marRight w:val="0"/>
      <w:marTop w:val="0"/>
      <w:marBottom w:val="0"/>
      <w:divBdr>
        <w:top w:val="none" w:sz="0" w:space="0" w:color="auto"/>
        <w:left w:val="none" w:sz="0" w:space="0" w:color="auto"/>
        <w:bottom w:val="none" w:sz="0" w:space="0" w:color="auto"/>
        <w:right w:val="none" w:sz="0" w:space="0" w:color="auto"/>
      </w:divBdr>
    </w:div>
    <w:div w:id="564075335">
      <w:bodyDiv w:val="1"/>
      <w:marLeft w:val="0"/>
      <w:marRight w:val="0"/>
      <w:marTop w:val="0"/>
      <w:marBottom w:val="0"/>
      <w:divBdr>
        <w:top w:val="none" w:sz="0" w:space="0" w:color="auto"/>
        <w:left w:val="none" w:sz="0" w:space="0" w:color="auto"/>
        <w:bottom w:val="none" w:sz="0" w:space="0" w:color="auto"/>
        <w:right w:val="none" w:sz="0" w:space="0" w:color="auto"/>
      </w:divBdr>
    </w:div>
    <w:div w:id="567879713">
      <w:bodyDiv w:val="1"/>
      <w:marLeft w:val="0"/>
      <w:marRight w:val="0"/>
      <w:marTop w:val="0"/>
      <w:marBottom w:val="0"/>
      <w:divBdr>
        <w:top w:val="none" w:sz="0" w:space="0" w:color="auto"/>
        <w:left w:val="none" w:sz="0" w:space="0" w:color="auto"/>
        <w:bottom w:val="none" w:sz="0" w:space="0" w:color="auto"/>
        <w:right w:val="none" w:sz="0" w:space="0" w:color="auto"/>
      </w:divBdr>
    </w:div>
    <w:div w:id="576138301">
      <w:bodyDiv w:val="1"/>
      <w:marLeft w:val="0"/>
      <w:marRight w:val="0"/>
      <w:marTop w:val="0"/>
      <w:marBottom w:val="0"/>
      <w:divBdr>
        <w:top w:val="none" w:sz="0" w:space="0" w:color="auto"/>
        <w:left w:val="none" w:sz="0" w:space="0" w:color="auto"/>
        <w:bottom w:val="none" w:sz="0" w:space="0" w:color="auto"/>
        <w:right w:val="none" w:sz="0" w:space="0" w:color="auto"/>
      </w:divBdr>
    </w:div>
    <w:div w:id="578056230">
      <w:bodyDiv w:val="1"/>
      <w:marLeft w:val="0"/>
      <w:marRight w:val="0"/>
      <w:marTop w:val="0"/>
      <w:marBottom w:val="0"/>
      <w:divBdr>
        <w:top w:val="none" w:sz="0" w:space="0" w:color="auto"/>
        <w:left w:val="none" w:sz="0" w:space="0" w:color="auto"/>
        <w:bottom w:val="none" w:sz="0" w:space="0" w:color="auto"/>
        <w:right w:val="none" w:sz="0" w:space="0" w:color="auto"/>
      </w:divBdr>
    </w:div>
    <w:div w:id="584847253">
      <w:bodyDiv w:val="1"/>
      <w:marLeft w:val="0"/>
      <w:marRight w:val="0"/>
      <w:marTop w:val="0"/>
      <w:marBottom w:val="0"/>
      <w:divBdr>
        <w:top w:val="none" w:sz="0" w:space="0" w:color="auto"/>
        <w:left w:val="none" w:sz="0" w:space="0" w:color="auto"/>
        <w:bottom w:val="none" w:sz="0" w:space="0" w:color="auto"/>
        <w:right w:val="none" w:sz="0" w:space="0" w:color="auto"/>
      </w:divBdr>
    </w:div>
    <w:div w:id="597562746">
      <w:bodyDiv w:val="1"/>
      <w:marLeft w:val="0"/>
      <w:marRight w:val="0"/>
      <w:marTop w:val="0"/>
      <w:marBottom w:val="0"/>
      <w:divBdr>
        <w:top w:val="none" w:sz="0" w:space="0" w:color="auto"/>
        <w:left w:val="none" w:sz="0" w:space="0" w:color="auto"/>
        <w:bottom w:val="none" w:sz="0" w:space="0" w:color="auto"/>
        <w:right w:val="none" w:sz="0" w:space="0" w:color="auto"/>
      </w:divBdr>
    </w:div>
    <w:div w:id="598804117">
      <w:bodyDiv w:val="1"/>
      <w:marLeft w:val="0"/>
      <w:marRight w:val="0"/>
      <w:marTop w:val="0"/>
      <w:marBottom w:val="0"/>
      <w:divBdr>
        <w:top w:val="none" w:sz="0" w:space="0" w:color="auto"/>
        <w:left w:val="none" w:sz="0" w:space="0" w:color="auto"/>
        <w:bottom w:val="none" w:sz="0" w:space="0" w:color="auto"/>
        <w:right w:val="none" w:sz="0" w:space="0" w:color="auto"/>
      </w:divBdr>
    </w:div>
    <w:div w:id="612977790">
      <w:bodyDiv w:val="1"/>
      <w:marLeft w:val="0"/>
      <w:marRight w:val="0"/>
      <w:marTop w:val="0"/>
      <w:marBottom w:val="0"/>
      <w:divBdr>
        <w:top w:val="none" w:sz="0" w:space="0" w:color="auto"/>
        <w:left w:val="none" w:sz="0" w:space="0" w:color="auto"/>
        <w:bottom w:val="none" w:sz="0" w:space="0" w:color="auto"/>
        <w:right w:val="none" w:sz="0" w:space="0" w:color="auto"/>
      </w:divBdr>
    </w:div>
    <w:div w:id="618339758">
      <w:bodyDiv w:val="1"/>
      <w:marLeft w:val="0"/>
      <w:marRight w:val="0"/>
      <w:marTop w:val="0"/>
      <w:marBottom w:val="0"/>
      <w:divBdr>
        <w:top w:val="none" w:sz="0" w:space="0" w:color="auto"/>
        <w:left w:val="none" w:sz="0" w:space="0" w:color="auto"/>
        <w:bottom w:val="none" w:sz="0" w:space="0" w:color="auto"/>
        <w:right w:val="none" w:sz="0" w:space="0" w:color="auto"/>
      </w:divBdr>
    </w:div>
    <w:div w:id="622006070">
      <w:bodyDiv w:val="1"/>
      <w:marLeft w:val="0"/>
      <w:marRight w:val="0"/>
      <w:marTop w:val="0"/>
      <w:marBottom w:val="0"/>
      <w:divBdr>
        <w:top w:val="none" w:sz="0" w:space="0" w:color="auto"/>
        <w:left w:val="none" w:sz="0" w:space="0" w:color="auto"/>
        <w:bottom w:val="none" w:sz="0" w:space="0" w:color="auto"/>
        <w:right w:val="none" w:sz="0" w:space="0" w:color="auto"/>
      </w:divBdr>
    </w:div>
    <w:div w:id="629096645">
      <w:bodyDiv w:val="1"/>
      <w:marLeft w:val="0"/>
      <w:marRight w:val="0"/>
      <w:marTop w:val="0"/>
      <w:marBottom w:val="0"/>
      <w:divBdr>
        <w:top w:val="none" w:sz="0" w:space="0" w:color="auto"/>
        <w:left w:val="none" w:sz="0" w:space="0" w:color="auto"/>
        <w:bottom w:val="none" w:sz="0" w:space="0" w:color="auto"/>
        <w:right w:val="none" w:sz="0" w:space="0" w:color="auto"/>
      </w:divBdr>
    </w:div>
    <w:div w:id="632105168">
      <w:bodyDiv w:val="1"/>
      <w:marLeft w:val="0"/>
      <w:marRight w:val="0"/>
      <w:marTop w:val="0"/>
      <w:marBottom w:val="0"/>
      <w:divBdr>
        <w:top w:val="none" w:sz="0" w:space="0" w:color="auto"/>
        <w:left w:val="none" w:sz="0" w:space="0" w:color="auto"/>
        <w:bottom w:val="none" w:sz="0" w:space="0" w:color="auto"/>
        <w:right w:val="none" w:sz="0" w:space="0" w:color="auto"/>
      </w:divBdr>
    </w:div>
    <w:div w:id="640697401">
      <w:bodyDiv w:val="1"/>
      <w:marLeft w:val="0"/>
      <w:marRight w:val="0"/>
      <w:marTop w:val="0"/>
      <w:marBottom w:val="0"/>
      <w:divBdr>
        <w:top w:val="none" w:sz="0" w:space="0" w:color="auto"/>
        <w:left w:val="none" w:sz="0" w:space="0" w:color="auto"/>
        <w:bottom w:val="none" w:sz="0" w:space="0" w:color="auto"/>
        <w:right w:val="none" w:sz="0" w:space="0" w:color="auto"/>
      </w:divBdr>
    </w:div>
    <w:div w:id="643200405">
      <w:bodyDiv w:val="1"/>
      <w:marLeft w:val="0"/>
      <w:marRight w:val="0"/>
      <w:marTop w:val="0"/>
      <w:marBottom w:val="0"/>
      <w:divBdr>
        <w:top w:val="none" w:sz="0" w:space="0" w:color="auto"/>
        <w:left w:val="none" w:sz="0" w:space="0" w:color="auto"/>
        <w:bottom w:val="none" w:sz="0" w:space="0" w:color="auto"/>
        <w:right w:val="none" w:sz="0" w:space="0" w:color="auto"/>
      </w:divBdr>
    </w:div>
    <w:div w:id="656036975">
      <w:bodyDiv w:val="1"/>
      <w:marLeft w:val="0"/>
      <w:marRight w:val="0"/>
      <w:marTop w:val="0"/>
      <w:marBottom w:val="0"/>
      <w:divBdr>
        <w:top w:val="none" w:sz="0" w:space="0" w:color="auto"/>
        <w:left w:val="none" w:sz="0" w:space="0" w:color="auto"/>
        <w:bottom w:val="none" w:sz="0" w:space="0" w:color="auto"/>
        <w:right w:val="none" w:sz="0" w:space="0" w:color="auto"/>
      </w:divBdr>
    </w:div>
    <w:div w:id="669139998">
      <w:bodyDiv w:val="1"/>
      <w:marLeft w:val="0"/>
      <w:marRight w:val="0"/>
      <w:marTop w:val="0"/>
      <w:marBottom w:val="0"/>
      <w:divBdr>
        <w:top w:val="none" w:sz="0" w:space="0" w:color="auto"/>
        <w:left w:val="none" w:sz="0" w:space="0" w:color="auto"/>
        <w:bottom w:val="none" w:sz="0" w:space="0" w:color="auto"/>
        <w:right w:val="none" w:sz="0" w:space="0" w:color="auto"/>
      </w:divBdr>
    </w:div>
    <w:div w:id="673343149">
      <w:bodyDiv w:val="1"/>
      <w:marLeft w:val="0"/>
      <w:marRight w:val="0"/>
      <w:marTop w:val="0"/>
      <w:marBottom w:val="0"/>
      <w:divBdr>
        <w:top w:val="none" w:sz="0" w:space="0" w:color="auto"/>
        <w:left w:val="none" w:sz="0" w:space="0" w:color="auto"/>
        <w:bottom w:val="none" w:sz="0" w:space="0" w:color="auto"/>
        <w:right w:val="none" w:sz="0" w:space="0" w:color="auto"/>
      </w:divBdr>
    </w:div>
    <w:div w:id="687563804">
      <w:bodyDiv w:val="1"/>
      <w:marLeft w:val="0"/>
      <w:marRight w:val="0"/>
      <w:marTop w:val="0"/>
      <w:marBottom w:val="0"/>
      <w:divBdr>
        <w:top w:val="none" w:sz="0" w:space="0" w:color="auto"/>
        <w:left w:val="none" w:sz="0" w:space="0" w:color="auto"/>
        <w:bottom w:val="none" w:sz="0" w:space="0" w:color="auto"/>
        <w:right w:val="none" w:sz="0" w:space="0" w:color="auto"/>
      </w:divBdr>
    </w:div>
    <w:div w:id="689381357">
      <w:bodyDiv w:val="1"/>
      <w:marLeft w:val="0"/>
      <w:marRight w:val="0"/>
      <w:marTop w:val="0"/>
      <w:marBottom w:val="0"/>
      <w:divBdr>
        <w:top w:val="none" w:sz="0" w:space="0" w:color="auto"/>
        <w:left w:val="none" w:sz="0" w:space="0" w:color="auto"/>
        <w:bottom w:val="none" w:sz="0" w:space="0" w:color="auto"/>
        <w:right w:val="none" w:sz="0" w:space="0" w:color="auto"/>
      </w:divBdr>
    </w:div>
    <w:div w:id="701172636">
      <w:bodyDiv w:val="1"/>
      <w:marLeft w:val="0"/>
      <w:marRight w:val="0"/>
      <w:marTop w:val="0"/>
      <w:marBottom w:val="0"/>
      <w:divBdr>
        <w:top w:val="none" w:sz="0" w:space="0" w:color="auto"/>
        <w:left w:val="none" w:sz="0" w:space="0" w:color="auto"/>
        <w:bottom w:val="none" w:sz="0" w:space="0" w:color="auto"/>
        <w:right w:val="none" w:sz="0" w:space="0" w:color="auto"/>
      </w:divBdr>
    </w:div>
    <w:div w:id="704866362">
      <w:bodyDiv w:val="1"/>
      <w:marLeft w:val="0"/>
      <w:marRight w:val="0"/>
      <w:marTop w:val="0"/>
      <w:marBottom w:val="0"/>
      <w:divBdr>
        <w:top w:val="none" w:sz="0" w:space="0" w:color="auto"/>
        <w:left w:val="none" w:sz="0" w:space="0" w:color="auto"/>
        <w:bottom w:val="none" w:sz="0" w:space="0" w:color="auto"/>
        <w:right w:val="none" w:sz="0" w:space="0" w:color="auto"/>
      </w:divBdr>
    </w:div>
    <w:div w:id="712578825">
      <w:bodyDiv w:val="1"/>
      <w:marLeft w:val="0"/>
      <w:marRight w:val="0"/>
      <w:marTop w:val="0"/>
      <w:marBottom w:val="0"/>
      <w:divBdr>
        <w:top w:val="none" w:sz="0" w:space="0" w:color="auto"/>
        <w:left w:val="none" w:sz="0" w:space="0" w:color="auto"/>
        <w:bottom w:val="none" w:sz="0" w:space="0" w:color="auto"/>
        <w:right w:val="none" w:sz="0" w:space="0" w:color="auto"/>
      </w:divBdr>
    </w:div>
    <w:div w:id="714425188">
      <w:bodyDiv w:val="1"/>
      <w:marLeft w:val="0"/>
      <w:marRight w:val="0"/>
      <w:marTop w:val="0"/>
      <w:marBottom w:val="0"/>
      <w:divBdr>
        <w:top w:val="none" w:sz="0" w:space="0" w:color="auto"/>
        <w:left w:val="none" w:sz="0" w:space="0" w:color="auto"/>
        <w:bottom w:val="none" w:sz="0" w:space="0" w:color="auto"/>
        <w:right w:val="none" w:sz="0" w:space="0" w:color="auto"/>
      </w:divBdr>
    </w:div>
    <w:div w:id="725107377">
      <w:bodyDiv w:val="1"/>
      <w:marLeft w:val="0"/>
      <w:marRight w:val="0"/>
      <w:marTop w:val="0"/>
      <w:marBottom w:val="0"/>
      <w:divBdr>
        <w:top w:val="none" w:sz="0" w:space="0" w:color="auto"/>
        <w:left w:val="none" w:sz="0" w:space="0" w:color="auto"/>
        <w:bottom w:val="none" w:sz="0" w:space="0" w:color="auto"/>
        <w:right w:val="none" w:sz="0" w:space="0" w:color="auto"/>
      </w:divBdr>
    </w:div>
    <w:div w:id="728654763">
      <w:bodyDiv w:val="1"/>
      <w:marLeft w:val="0"/>
      <w:marRight w:val="0"/>
      <w:marTop w:val="0"/>
      <w:marBottom w:val="0"/>
      <w:divBdr>
        <w:top w:val="none" w:sz="0" w:space="0" w:color="auto"/>
        <w:left w:val="none" w:sz="0" w:space="0" w:color="auto"/>
        <w:bottom w:val="none" w:sz="0" w:space="0" w:color="auto"/>
        <w:right w:val="none" w:sz="0" w:space="0" w:color="auto"/>
      </w:divBdr>
    </w:div>
    <w:div w:id="729768481">
      <w:bodyDiv w:val="1"/>
      <w:marLeft w:val="0"/>
      <w:marRight w:val="0"/>
      <w:marTop w:val="0"/>
      <w:marBottom w:val="0"/>
      <w:divBdr>
        <w:top w:val="none" w:sz="0" w:space="0" w:color="auto"/>
        <w:left w:val="none" w:sz="0" w:space="0" w:color="auto"/>
        <w:bottom w:val="none" w:sz="0" w:space="0" w:color="auto"/>
        <w:right w:val="none" w:sz="0" w:space="0" w:color="auto"/>
      </w:divBdr>
    </w:div>
    <w:div w:id="734930686">
      <w:bodyDiv w:val="1"/>
      <w:marLeft w:val="0"/>
      <w:marRight w:val="0"/>
      <w:marTop w:val="0"/>
      <w:marBottom w:val="0"/>
      <w:divBdr>
        <w:top w:val="none" w:sz="0" w:space="0" w:color="auto"/>
        <w:left w:val="none" w:sz="0" w:space="0" w:color="auto"/>
        <w:bottom w:val="none" w:sz="0" w:space="0" w:color="auto"/>
        <w:right w:val="none" w:sz="0" w:space="0" w:color="auto"/>
      </w:divBdr>
    </w:div>
    <w:div w:id="737938902">
      <w:bodyDiv w:val="1"/>
      <w:marLeft w:val="0"/>
      <w:marRight w:val="0"/>
      <w:marTop w:val="0"/>
      <w:marBottom w:val="0"/>
      <w:divBdr>
        <w:top w:val="none" w:sz="0" w:space="0" w:color="auto"/>
        <w:left w:val="none" w:sz="0" w:space="0" w:color="auto"/>
        <w:bottom w:val="none" w:sz="0" w:space="0" w:color="auto"/>
        <w:right w:val="none" w:sz="0" w:space="0" w:color="auto"/>
      </w:divBdr>
    </w:div>
    <w:div w:id="745348601">
      <w:bodyDiv w:val="1"/>
      <w:marLeft w:val="0"/>
      <w:marRight w:val="0"/>
      <w:marTop w:val="0"/>
      <w:marBottom w:val="0"/>
      <w:divBdr>
        <w:top w:val="none" w:sz="0" w:space="0" w:color="auto"/>
        <w:left w:val="none" w:sz="0" w:space="0" w:color="auto"/>
        <w:bottom w:val="none" w:sz="0" w:space="0" w:color="auto"/>
        <w:right w:val="none" w:sz="0" w:space="0" w:color="auto"/>
      </w:divBdr>
    </w:div>
    <w:div w:id="758596764">
      <w:bodyDiv w:val="1"/>
      <w:marLeft w:val="0"/>
      <w:marRight w:val="0"/>
      <w:marTop w:val="0"/>
      <w:marBottom w:val="0"/>
      <w:divBdr>
        <w:top w:val="none" w:sz="0" w:space="0" w:color="auto"/>
        <w:left w:val="none" w:sz="0" w:space="0" w:color="auto"/>
        <w:bottom w:val="none" w:sz="0" w:space="0" w:color="auto"/>
        <w:right w:val="none" w:sz="0" w:space="0" w:color="auto"/>
      </w:divBdr>
    </w:div>
    <w:div w:id="763233811">
      <w:bodyDiv w:val="1"/>
      <w:marLeft w:val="0"/>
      <w:marRight w:val="0"/>
      <w:marTop w:val="0"/>
      <w:marBottom w:val="0"/>
      <w:divBdr>
        <w:top w:val="none" w:sz="0" w:space="0" w:color="auto"/>
        <w:left w:val="none" w:sz="0" w:space="0" w:color="auto"/>
        <w:bottom w:val="none" w:sz="0" w:space="0" w:color="auto"/>
        <w:right w:val="none" w:sz="0" w:space="0" w:color="auto"/>
      </w:divBdr>
    </w:div>
    <w:div w:id="764232608">
      <w:bodyDiv w:val="1"/>
      <w:marLeft w:val="0"/>
      <w:marRight w:val="0"/>
      <w:marTop w:val="0"/>
      <w:marBottom w:val="0"/>
      <w:divBdr>
        <w:top w:val="none" w:sz="0" w:space="0" w:color="auto"/>
        <w:left w:val="none" w:sz="0" w:space="0" w:color="auto"/>
        <w:bottom w:val="none" w:sz="0" w:space="0" w:color="auto"/>
        <w:right w:val="none" w:sz="0" w:space="0" w:color="auto"/>
      </w:divBdr>
    </w:div>
    <w:div w:id="767580902">
      <w:bodyDiv w:val="1"/>
      <w:marLeft w:val="0"/>
      <w:marRight w:val="0"/>
      <w:marTop w:val="0"/>
      <w:marBottom w:val="0"/>
      <w:divBdr>
        <w:top w:val="none" w:sz="0" w:space="0" w:color="auto"/>
        <w:left w:val="none" w:sz="0" w:space="0" w:color="auto"/>
        <w:bottom w:val="none" w:sz="0" w:space="0" w:color="auto"/>
        <w:right w:val="none" w:sz="0" w:space="0" w:color="auto"/>
      </w:divBdr>
    </w:div>
    <w:div w:id="768159425">
      <w:bodyDiv w:val="1"/>
      <w:marLeft w:val="0"/>
      <w:marRight w:val="0"/>
      <w:marTop w:val="0"/>
      <w:marBottom w:val="0"/>
      <w:divBdr>
        <w:top w:val="none" w:sz="0" w:space="0" w:color="auto"/>
        <w:left w:val="none" w:sz="0" w:space="0" w:color="auto"/>
        <w:bottom w:val="none" w:sz="0" w:space="0" w:color="auto"/>
        <w:right w:val="none" w:sz="0" w:space="0" w:color="auto"/>
      </w:divBdr>
    </w:div>
    <w:div w:id="779420676">
      <w:bodyDiv w:val="1"/>
      <w:marLeft w:val="0"/>
      <w:marRight w:val="0"/>
      <w:marTop w:val="0"/>
      <w:marBottom w:val="0"/>
      <w:divBdr>
        <w:top w:val="none" w:sz="0" w:space="0" w:color="auto"/>
        <w:left w:val="none" w:sz="0" w:space="0" w:color="auto"/>
        <w:bottom w:val="none" w:sz="0" w:space="0" w:color="auto"/>
        <w:right w:val="none" w:sz="0" w:space="0" w:color="auto"/>
      </w:divBdr>
    </w:div>
    <w:div w:id="784497619">
      <w:bodyDiv w:val="1"/>
      <w:marLeft w:val="0"/>
      <w:marRight w:val="0"/>
      <w:marTop w:val="0"/>
      <w:marBottom w:val="0"/>
      <w:divBdr>
        <w:top w:val="none" w:sz="0" w:space="0" w:color="auto"/>
        <w:left w:val="none" w:sz="0" w:space="0" w:color="auto"/>
        <w:bottom w:val="none" w:sz="0" w:space="0" w:color="auto"/>
        <w:right w:val="none" w:sz="0" w:space="0" w:color="auto"/>
      </w:divBdr>
    </w:div>
    <w:div w:id="789981337">
      <w:bodyDiv w:val="1"/>
      <w:marLeft w:val="0"/>
      <w:marRight w:val="0"/>
      <w:marTop w:val="0"/>
      <w:marBottom w:val="0"/>
      <w:divBdr>
        <w:top w:val="none" w:sz="0" w:space="0" w:color="auto"/>
        <w:left w:val="none" w:sz="0" w:space="0" w:color="auto"/>
        <w:bottom w:val="none" w:sz="0" w:space="0" w:color="auto"/>
        <w:right w:val="none" w:sz="0" w:space="0" w:color="auto"/>
      </w:divBdr>
    </w:div>
    <w:div w:id="803229357">
      <w:bodyDiv w:val="1"/>
      <w:marLeft w:val="0"/>
      <w:marRight w:val="0"/>
      <w:marTop w:val="0"/>
      <w:marBottom w:val="0"/>
      <w:divBdr>
        <w:top w:val="none" w:sz="0" w:space="0" w:color="auto"/>
        <w:left w:val="none" w:sz="0" w:space="0" w:color="auto"/>
        <w:bottom w:val="none" w:sz="0" w:space="0" w:color="auto"/>
        <w:right w:val="none" w:sz="0" w:space="0" w:color="auto"/>
      </w:divBdr>
    </w:div>
    <w:div w:id="805242273">
      <w:bodyDiv w:val="1"/>
      <w:marLeft w:val="0"/>
      <w:marRight w:val="0"/>
      <w:marTop w:val="0"/>
      <w:marBottom w:val="0"/>
      <w:divBdr>
        <w:top w:val="none" w:sz="0" w:space="0" w:color="auto"/>
        <w:left w:val="none" w:sz="0" w:space="0" w:color="auto"/>
        <w:bottom w:val="none" w:sz="0" w:space="0" w:color="auto"/>
        <w:right w:val="none" w:sz="0" w:space="0" w:color="auto"/>
      </w:divBdr>
    </w:div>
    <w:div w:id="809979827">
      <w:bodyDiv w:val="1"/>
      <w:marLeft w:val="0"/>
      <w:marRight w:val="0"/>
      <w:marTop w:val="0"/>
      <w:marBottom w:val="0"/>
      <w:divBdr>
        <w:top w:val="none" w:sz="0" w:space="0" w:color="auto"/>
        <w:left w:val="none" w:sz="0" w:space="0" w:color="auto"/>
        <w:bottom w:val="none" w:sz="0" w:space="0" w:color="auto"/>
        <w:right w:val="none" w:sz="0" w:space="0" w:color="auto"/>
      </w:divBdr>
    </w:div>
    <w:div w:id="814026708">
      <w:bodyDiv w:val="1"/>
      <w:marLeft w:val="0"/>
      <w:marRight w:val="0"/>
      <w:marTop w:val="0"/>
      <w:marBottom w:val="0"/>
      <w:divBdr>
        <w:top w:val="none" w:sz="0" w:space="0" w:color="auto"/>
        <w:left w:val="none" w:sz="0" w:space="0" w:color="auto"/>
        <w:bottom w:val="none" w:sz="0" w:space="0" w:color="auto"/>
        <w:right w:val="none" w:sz="0" w:space="0" w:color="auto"/>
      </w:divBdr>
    </w:div>
    <w:div w:id="830758660">
      <w:bodyDiv w:val="1"/>
      <w:marLeft w:val="0"/>
      <w:marRight w:val="0"/>
      <w:marTop w:val="0"/>
      <w:marBottom w:val="0"/>
      <w:divBdr>
        <w:top w:val="none" w:sz="0" w:space="0" w:color="auto"/>
        <w:left w:val="none" w:sz="0" w:space="0" w:color="auto"/>
        <w:bottom w:val="none" w:sz="0" w:space="0" w:color="auto"/>
        <w:right w:val="none" w:sz="0" w:space="0" w:color="auto"/>
      </w:divBdr>
    </w:div>
    <w:div w:id="831139458">
      <w:bodyDiv w:val="1"/>
      <w:marLeft w:val="0"/>
      <w:marRight w:val="0"/>
      <w:marTop w:val="0"/>
      <w:marBottom w:val="0"/>
      <w:divBdr>
        <w:top w:val="none" w:sz="0" w:space="0" w:color="auto"/>
        <w:left w:val="none" w:sz="0" w:space="0" w:color="auto"/>
        <w:bottom w:val="none" w:sz="0" w:space="0" w:color="auto"/>
        <w:right w:val="none" w:sz="0" w:space="0" w:color="auto"/>
      </w:divBdr>
    </w:div>
    <w:div w:id="836656600">
      <w:bodyDiv w:val="1"/>
      <w:marLeft w:val="0"/>
      <w:marRight w:val="0"/>
      <w:marTop w:val="0"/>
      <w:marBottom w:val="0"/>
      <w:divBdr>
        <w:top w:val="none" w:sz="0" w:space="0" w:color="auto"/>
        <w:left w:val="none" w:sz="0" w:space="0" w:color="auto"/>
        <w:bottom w:val="none" w:sz="0" w:space="0" w:color="auto"/>
        <w:right w:val="none" w:sz="0" w:space="0" w:color="auto"/>
      </w:divBdr>
    </w:div>
    <w:div w:id="837619680">
      <w:bodyDiv w:val="1"/>
      <w:marLeft w:val="0"/>
      <w:marRight w:val="0"/>
      <w:marTop w:val="0"/>
      <w:marBottom w:val="0"/>
      <w:divBdr>
        <w:top w:val="none" w:sz="0" w:space="0" w:color="auto"/>
        <w:left w:val="none" w:sz="0" w:space="0" w:color="auto"/>
        <w:bottom w:val="none" w:sz="0" w:space="0" w:color="auto"/>
        <w:right w:val="none" w:sz="0" w:space="0" w:color="auto"/>
      </w:divBdr>
    </w:div>
    <w:div w:id="840776231">
      <w:bodyDiv w:val="1"/>
      <w:marLeft w:val="0"/>
      <w:marRight w:val="0"/>
      <w:marTop w:val="0"/>
      <w:marBottom w:val="0"/>
      <w:divBdr>
        <w:top w:val="none" w:sz="0" w:space="0" w:color="auto"/>
        <w:left w:val="none" w:sz="0" w:space="0" w:color="auto"/>
        <w:bottom w:val="none" w:sz="0" w:space="0" w:color="auto"/>
        <w:right w:val="none" w:sz="0" w:space="0" w:color="auto"/>
      </w:divBdr>
    </w:div>
    <w:div w:id="862087016">
      <w:bodyDiv w:val="1"/>
      <w:marLeft w:val="0"/>
      <w:marRight w:val="0"/>
      <w:marTop w:val="0"/>
      <w:marBottom w:val="0"/>
      <w:divBdr>
        <w:top w:val="none" w:sz="0" w:space="0" w:color="auto"/>
        <w:left w:val="none" w:sz="0" w:space="0" w:color="auto"/>
        <w:bottom w:val="none" w:sz="0" w:space="0" w:color="auto"/>
        <w:right w:val="none" w:sz="0" w:space="0" w:color="auto"/>
      </w:divBdr>
    </w:div>
    <w:div w:id="862935128">
      <w:bodyDiv w:val="1"/>
      <w:marLeft w:val="0"/>
      <w:marRight w:val="0"/>
      <w:marTop w:val="0"/>
      <w:marBottom w:val="0"/>
      <w:divBdr>
        <w:top w:val="none" w:sz="0" w:space="0" w:color="auto"/>
        <w:left w:val="none" w:sz="0" w:space="0" w:color="auto"/>
        <w:bottom w:val="none" w:sz="0" w:space="0" w:color="auto"/>
        <w:right w:val="none" w:sz="0" w:space="0" w:color="auto"/>
      </w:divBdr>
    </w:div>
    <w:div w:id="872496992">
      <w:bodyDiv w:val="1"/>
      <w:marLeft w:val="0"/>
      <w:marRight w:val="0"/>
      <w:marTop w:val="0"/>
      <w:marBottom w:val="0"/>
      <w:divBdr>
        <w:top w:val="none" w:sz="0" w:space="0" w:color="auto"/>
        <w:left w:val="none" w:sz="0" w:space="0" w:color="auto"/>
        <w:bottom w:val="none" w:sz="0" w:space="0" w:color="auto"/>
        <w:right w:val="none" w:sz="0" w:space="0" w:color="auto"/>
      </w:divBdr>
    </w:div>
    <w:div w:id="884025317">
      <w:bodyDiv w:val="1"/>
      <w:marLeft w:val="0"/>
      <w:marRight w:val="0"/>
      <w:marTop w:val="0"/>
      <w:marBottom w:val="0"/>
      <w:divBdr>
        <w:top w:val="none" w:sz="0" w:space="0" w:color="auto"/>
        <w:left w:val="none" w:sz="0" w:space="0" w:color="auto"/>
        <w:bottom w:val="none" w:sz="0" w:space="0" w:color="auto"/>
        <w:right w:val="none" w:sz="0" w:space="0" w:color="auto"/>
      </w:divBdr>
    </w:div>
    <w:div w:id="886721423">
      <w:bodyDiv w:val="1"/>
      <w:marLeft w:val="0"/>
      <w:marRight w:val="0"/>
      <w:marTop w:val="0"/>
      <w:marBottom w:val="0"/>
      <w:divBdr>
        <w:top w:val="none" w:sz="0" w:space="0" w:color="auto"/>
        <w:left w:val="none" w:sz="0" w:space="0" w:color="auto"/>
        <w:bottom w:val="none" w:sz="0" w:space="0" w:color="auto"/>
        <w:right w:val="none" w:sz="0" w:space="0" w:color="auto"/>
      </w:divBdr>
    </w:div>
    <w:div w:id="894239680">
      <w:bodyDiv w:val="1"/>
      <w:marLeft w:val="0"/>
      <w:marRight w:val="0"/>
      <w:marTop w:val="0"/>
      <w:marBottom w:val="0"/>
      <w:divBdr>
        <w:top w:val="none" w:sz="0" w:space="0" w:color="auto"/>
        <w:left w:val="none" w:sz="0" w:space="0" w:color="auto"/>
        <w:bottom w:val="none" w:sz="0" w:space="0" w:color="auto"/>
        <w:right w:val="none" w:sz="0" w:space="0" w:color="auto"/>
      </w:divBdr>
    </w:div>
    <w:div w:id="903679494">
      <w:bodyDiv w:val="1"/>
      <w:marLeft w:val="0"/>
      <w:marRight w:val="0"/>
      <w:marTop w:val="0"/>
      <w:marBottom w:val="0"/>
      <w:divBdr>
        <w:top w:val="none" w:sz="0" w:space="0" w:color="auto"/>
        <w:left w:val="none" w:sz="0" w:space="0" w:color="auto"/>
        <w:bottom w:val="none" w:sz="0" w:space="0" w:color="auto"/>
        <w:right w:val="none" w:sz="0" w:space="0" w:color="auto"/>
      </w:divBdr>
    </w:div>
    <w:div w:id="904874194">
      <w:bodyDiv w:val="1"/>
      <w:marLeft w:val="0"/>
      <w:marRight w:val="0"/>
      <w:marTop w:val="0"/>
      <w:marBottom w:val="0"/>
      <w:divBdr>
        <w:top w:val="none" w:sz="0" w:space="0" w:color="auto"/>
        <w:left w:val="none" w:sz="0" w:space="0" w:color="auto"/>
        <w:bottom w:val="none" w:sz="0" w:space="0" w:color="auto"/>
        <w:right w:val="none" w:sz="0" w:space="0" w:color="auto"/>
      </w:divBdr>
    </w:div>
    <w:div w:id="908609911">
      <w:bodyDiv w:val="1"/>
      <w:marLeft w:val="0"/>
      <w:marRight w:val="0"/>
      <w:marTop w:val="0"/>
      <w:marBottom w:val="0"/>
      <w:divBdr>
        <w:top w:val="none" w:sz="0" w:space="0" w:color="auto"/>
        <w:left w:val="none" w:sz="0" w:space="0" w:color="auto"/>
        <w:bottom w:val="none" w:sz="0" w:space="0" w:color="auto"/>
        <w:right w:val="none" w:sz="0" w:space="0" w:color="auto"/>
      </w:divBdr>
    </w:div>
    <w:div w:id="914314147">
      <w:bodyDiv w:val="1"/>
      <w:marLeft w:val="0"/>
      <w:marRight w:val="0"/>
      <w:marTop w:val="0"/>
      <w:marBottom w:val="0"/>
      <w:divBdr>
        <w:top w:val="none" w:sz="0" w:space="0" w:color="auto"/>
        <w:left w:val="none" w:sz="0" w:space="0" w:color="auto"/>
        <w:bottom w:val="none" w:sz="0" w:space="0" w:color="auto"/>
        <w:right w:val="none" w:sz="0" w:space="0" w:color="auto"/>
      </w:divBdr>
    </w:div>
    <w:div w:id="921839300">
      <w:bodyDiv w:val="1"/>
      <w:marLeft w:val="0"/>
      <w:marRight w:val="0"/>
      <w:marTop w:val="0"/>
      <w:marBottom w:val="0"/>
      <w:divBdr>
        <w:top w:val="none" w:sz="0" w:space="0" w:color="auto"/>
        <w:left w:val="none" w:sz="0" w:space="0" w:color="auto"/>
        <w:bottom w:val="none" w:sz="0" w:space="0" w:color="auto"/>
        <w:right w:val="none" w:sz="0" w:space="0" w:color="auto"/>
      </w:divBdr>
    </w:div>
    <w:div w:id="924846895">
      <w:bodyDiv w:val="1"/>
      <w:marLeft w:val="0"/>
      <w:marRight w:val="0"/>
      <w:marTop w:val="0"/>
      <w:marBottom w:val="0"/>
      <w:divBdr>
        <w:top w:val="none" w:sz="0" w:space="0" w:color="auto"/>
        <w:left w:val="none" w:sz="0" w:space="0" w:color="auto"/>
        <w:bottom w:val="none" w:sz="0" w:space="0" w:color="auto"/>
        <w:right w:val="none" w:sz="0" w:space="0" w:color="auto"/>
      </w:divBdr>
    </w:div>
    <w:div w:id="929000992">
      <w:bodyDiv w:val="1"/>
      <w:marLeft w:val="0"/>
      <w:marRight w:val="0"/>
      <w:marTop w:val="0"/>
      <w:marBottom w:val="0"/>
      <w:divBdr>
        <w:top w:val="none" w:sz="0" w:space="0" w:color="auto"/>
        <w:left w:val="none" w:sz="0" w:space="0" w:color="auto"/>
        <w:bottom w:val="none" w:sz="0" w:space="0" w:color="auto"/>
        <w:right w:val="none" w:sz="0" w:space="0" w:color="auto"/>
      </w:divBdr>
    </w:div>
    <w:div w:id="929434497">
      <w:bodyDiv w:val="1"/>
      <w:marLeft w:val="0"/>
      <w:marRight w:val="0"/>
      <w:marTop w:val="0"/>
      <w:marBottom w:val="0"/>
      <w:divBdr>
        <w:top w:val="none" w:sz="0" w:space="0" w:color="auto"/>
        <w:left w:val="none" w:sz="0" w:space="0" w:color="auto"/>
        <w:bottom w:val="none" w:sz="0" w:space="0" w:color="auto"/>
        <w:right w:val="none" w:sz="0" w:space="0" w:color="auto"/>
      </w:divBdr>
    </w:div>
    <w:div w:id="932326033">
      <w:bodyDiv w:val="1"/>
      <w:marLeft w:val="0"/>
      <w:marRight w:val="0"/>
      <w:marTop w:val="0"/>
      <w:marBottom w:val="0"/>
      <w:divBdr>
        <w:top w:val="none" w:sz="0" w:space="0" w:color="auto"/>
        <w:left w:val="none" w:sz="0" w:space="0" w:color="auto"/>
        <w:bottom w:val="none" w:sz="0" w:space="0" w:color="auto"/>
        <w:right w:val="none" w:sz="0" w:space="0" w:color="auto"/>
      </w:divBdr>
    </w:div>
    <w:div w:id="938489987">
      <w:bodyDiv w:val="1"/>
      <w:marLeft w:val="0"/>
      <w:marRight w:val="0"/>
      <w:marTop w:val="0"/>
      <w:marBottom w:val="0"/>
      <w:divBdr>
        <w:top w:val="none" w:sz="0" w:space="0" w:color="auto"/>
        <w:left w:val="none" w:sz="0" w:space="0" w:color="auto"/>
        <w:bottom w:val="none" w:sz="0" w:space="0" w:color="auto"/>
        <w:right w:val="none" w:sz="0" w:space="0" w:color="auto"/>
      </w:divBdr>
    </w:div>
    <w:div w:id="942149417">
      <w:bodyDiv w:val="1"/>
      <w:marLeft w:val="0"/>
      <w:marRight w:val="0"/>
      <w:marTop w:val="0"/>
      <w:marBottom w:val="0"/>
      <w:divBdr>
        <w:top w:val="none" w:sz="0" w:space="0" w:color="auto"/>
        <w:left w:val="none" w:sz="0" w:space="0" w:color="auto"/>
        <w:bottom w:val="none" w:sz="0" w:space="0" w:color="auto"/>
        <w:right w:val="none" w:sz="0" w:space="0" w:color="auto"/>
      </w:divBdr>
    </w:div>
    <w:div w:id="943607570">
      <w:bodyDiv w:val="1"/>
      <w:marLeft w:val="0"/>
      <w:marRight w:val="0"/>
      <w:marTop w:val="0"/>
      <w:marBottom w:val="0"/>
      <w:divBdr>
        <w:top w:val="none" w:sz="0" w:space="0" w:color="auto"/>
        <w:left w:val="none" w:sz="0" w:space="0" w:color="auto"/>
        <w:bottom w:val="none" w:sz="0" w:space="0" w:color="auto"/>
        <w:right w:val="none" w:sz="0" w:space="0" w:color="auto"/>
      </w:divBdr>
    </w:div>
    <w:div w:id="949514530">
      <w:bodyDiv w:val="1"/>
      <w:marLeft w:val="0"/>
      <w:marRight w:val="0"/>
      <w:marTop w:val="0"/>
      <w:marBottom w:val="0"/>
      <w:divBdr>
        <w:top w:val="none" w:sz="0" w:space="0" w:color="auto"/>
        <w:left w:val="none" w:sz="0" w:space="0" w:color="auto"/>
        <w:bottom w:val="none" w:sz="0" w:space="0" w:color="auto"/>
        <w:right w:val="none" w:sz="0" w:space="0" w:color="auto"/>
      </w:divBdr>
    </w:div>
    <w:div w:id="949623479">
      <w:bodyDiv w:val="1"/>
      <w:marLeft w:val="0"/>
      <w:marRight w:val="0"/>
      <w:marTop w:val="0"/>
      <w:marBottom w:val="0"/>
      <w:divBdr>
        <w:top w:val="none" w:sz="0" w:space="0" w:color="auto"/>
        <w:left w:val="none" w:sz="0" w:space="0" w:color="auto"/>
        <w:bottom w:val="none" w:sz="0" w:space="0" w:color="auto"/>
        <w:right w:val="none" w:sz="0" w:space="0" w:color="auto"/>
      </w:divBdr>
    </w:div>
    <w:div w:id="960651458">
      <w:bodyDiv w:val="1"/>
      <w:marLeft w:val="0"/>
      <w:marRight w:val="0"/>
      <w:marTop w:val="0"/>
      <w:marBottom w:val="0"/>
      <w:divBdr>
        <w:top w:val="none" w:sz="0" w:space="0" w:color="auto"/>
        <w:left w:val="none" w:sz="0" w:space="0" w:color="auto"/>
        <w:bottom w:val="none" w:sz="0" w:space="0" w:color="auto"/>
        <w:right w:val="none" w:sz="0" w:space="0" w:color="auto"/>
      </w:divBdr>
    </w:div>
    <w:div w:id="965542727">
      <w:bodyDiv w:val="1"/>
      <w:marLeft w:val="0"/>
      <w:marRight w:val="0"/>
      <w:marTop w:val="0"/>
      <w:marBottom w:val="0"/>
      <w:divBdr>
        <w:top w:val="none" w:sz="0" w:space="0" w:color="auto"/>
        <w:left w:val="none" w:sz="0" w:space="0" w:color="auto"/>
        <w:bottom w:val="none" w:sz="0" w:space="0" w:color="auto"/>
        <w:right w:val="none" w:sz="0" w:space="0" w:color="auto"/>
      </w:divBdr>
    </w:div>
    <w:div w:id="967198810">
      <w:bodyDiv w:val="1"/>
      <w:marLeft w:val="0"/>
      <w:marRight w:val="0"/>
      <w:marTop w:val="0"/>
      <w:marBottom w:val="0"/>
      <w:divBdr>
        <w:top w:val="none" w:sz="0" w:space="0" w:color="auto"/>
        <w:left w:val="none" w:sz="0" w:space="0" w:color="auto"/>
        <w:bottom w:val="none" w:sz="0" w:space="0" w:color="auto"/>
        <w:right w:val="none" w:sz="0" w:space="0" w:color="auto"/>
      </w:divBdr>
    </w:div>
    <w:div w:id="970667609">
      <w:bodyDiv w:val="1"/>
      <w:marLeft w:val="0"/>
      <w:marRight w:val="0"/>
      <w:marTop w:val="0"/>
      <w:marBottom w:val="0"/>
      <w:divBdr>
        <w:top w:val="none" w:sz="0" w:space="0" w:color="auto"/>
        <w:left w:val="none" w:sz="0" w:space="0" w:color="auto"/>
        <w:bottom w:val="none" w:sz="0" w:space="0" w:color="auto"/>
        <w:right w:val="none" w:sz="0" w:space="0" w:color="auto"/>
      </w:divBdr>
    </w:div>
    <w:div w:id="978073107">
      <w:bodyDiv w:val="1"/>
      <w:marLeft w:val="0"/>
      <w:marRight w:val="0"/>
      <w:marTop w:val="0"/>
      <w:marBottom w:val="0"/>
      <w:divBdr>
        <w:top w:val="none" w:sz="0" w:space="0" w:color="auto"/>
        <w:left w:val="none" w:sz="0" w:space="0" w:color="auto"/>
        <w:bottom w:val="none" w:sz="0" w:space="0" w:color="auto"/>
        <w:right w:val="none" w:sz="0" w:space="0" w:color="auto"/>
      </w:divBdr>
    </w:div>
    <w:div w:id="987516386">
      <w:bodyDiv w:val="1"/>
      <w:marLeft w:val="0"/>
      <w:marRight w:val="0"/>
      <w:marTop w:val="0"/>
      <w:marBottom w:val="0"/>
      <w:divBdr>
        <w:top w:val="none" w:sz="0" w:space="0" w:color="auto"/>
        <w:left w:val="none" w:sz="0" w:space="0" w:color="auto"/>
        <w:bottom w:val="none" w:sz="0" w:space="0" w:color="auto"/>
        <w:right w:val="none" w:sz="0" w:space="0" w:color="auto"/>
      </w:divBdr>
    </w:div>
    <w:div w:id="989407044">
      <w:bodyDiv w:val="1"/>
      <w:marLeft w:val="0"/>
      <w:marRight w:val="0"/>
      <w:marTop w:val="0"/>
      <w:marBottom w:val="0"/>
      <w:divBdr>
        <w:top w:val="none" w:sz="0" w:space="0" w:color="auto"/>
        <w:left w:val="none" w:sz="0" w:space="0" w:color="auto"/>
        <w:bottom w:val="none" w:sz="0" w:space="0" w:color="auto"/>
        <w:right w:val="none" w:sz="0" w:space="0" w:color="auto"/>
      </w:divBdr>
    </w:div>
    <w:div w:id="990864040">
      <w:bodyDiv w:val="1"/>
      <w:marLeft w:val="0"/>
      <w:marRight w:val="0"/>
      <w:marTop w:val="0"/>
      <w:marBottom w:val="0"/>
      <w:divBdr>
        <w:top w:val="none" w:sz="0" w:space="0" w:color="auto"/>
        <w:left w:val="none" w:sz="0" w:space="0" w:color="auto"/>
        <w:bottom w:val="none" w:sz="0" w:space="0" w:color="auto"/>
        <w:right w:val="none" w:sz="0" w:space="0" w:color="auto"/>
      </w:divBdr>
    </w:div>
    <w:div w:id="994264283">
      <w:bodyDiv w:val="1"/>
      <w:marLeft w:val="0"/>
      <w:marRight w:val="0"/>
      <w:marTop w:val="0"/>
      <w:marBottom w:val="0"/>
      <w:divBdr>
        <w:top w:val="none" w:sz="0" w:space="0" w:color="auto"/>
        <w:left w:val="none" w:sz="0" w:space="0" w:color="auto"/>
        <w:bottom w:val="none" w:sz="0" w:space="0" w:color="auto"/>
        <w:right w:val="none" w:sz="0" w:space="0" w:color="auto"/>
      </w:divBdr>
    </w:div>
    <w:div w:id="998388513">
      <w:bodyDiv w:val="1"/>
      <w:marLeft w:val="0"/>
      <w:marRight w:val="0"/>
      <w:marTop w:val="0"/>
      <w:marBottom w:val="0"/>
      <w:divBdr>
        <w:top w:val="none" w:sz="0" w:space="0" w:color="auto"/>
        <w:left w:val="none" w:sz="0" w:space="0" w:color="auto"/>
        <w:bottom w:val="none" w:sz="0" w:space="0" w:color="auto"/>
        <w:right w:val="none" w:sz="0" w:space="0" w:color="auto"/>
      </w:divBdr>
    </w:div>
    <w:div w:id="1009409398">
      <w:bodyDiv w:val="1"/>
      <w:marLeft w:val="0"/>
      <w:marRight w:val="0"/>
      <w:marTop w:val="0"/>
      <w:marBottom w:val="0"/>
      <w:divBdr>
        <w:top w:val="none" w:sz="0" w:space="0" w:color="auto"/>
        <w:left w:val="none" w:sz="0" w:space="0" w:color="auto"/>
        <w:bottom w:val="none" w:sz="0" w:space="0" w:color="auto"/>
        <w:right w:val="none" w:sz="0" w:space="0" w:color="auto"/>
      </w:divBdr>
    </w:div>
    <w:div w:id="1018048015">
      <w:bodyDiv w:val="1"/>
      <w:marLeft w:val="0"/>
      <w:marRight w:val="0"/>
      <w:marTop w:val="0"/>
      <w:marBottom w:val="0"/>
      <w:divBdr>
        <w:top w:val="none" w:sz="0" w:space="0" w:color="auto"/>
        <w:left w:val="none" w:sz="0" w:space="0" w:color="auto"/>
        <w:bottom w:val="none" w:sz="0" w:space="0" w:color="auto"/>
        <w:right w:val="none" w:sz="0" w:space="0" w:color="auto"/>
      </w:divBdr>
    </w:div>
    <w:div w:id="1022438706">
      <w:bodyDiv w:val="1"/>
      <w:marLeft w:val="0"/>
      <w:marRight w:val="0"/>
      <w:marTop w:val="0"/>
      <w:marBottom w:val="0"/>
      <w:divBdr>
        <w:top w:val="none" w:sz="0" w:space="0" w:color="auto"/>
        <w:left w:val="none" w:sz="0" w:space="0" w:color="auto"/>
        <w:bottom w:val="none" w:sz="0" w:space="0" w:color="auto"/>
        <w:right w:val="none" w:sz="0" w:space="0" w:color="auto"/>
      </w:divBdr>
    </w:div>
    <w:div w:id="1022972756">
      <w:bodyDiv w:val="1"/>
      <w:marLeft w:val="0"/>
      <w:marRight w:val="0"/>
      <w:marTop w:val="0"/>
      <w:marBottom w:val="0"/>
      <w:divBdr>
        <w:top w:val="none" w:sz="0" w:space="0" w:color="auto"/>
        <w:left w:val="none" w:sz="0" w:space="0" w:color="auto"/>
        <w:bottom w:val="none" w:sz="0" w:space="0" w:color="auto"/>
        <w:right w:val="none" w:sz="0" w:space="0" w:color="auto"/>
      </w:divBdr>
    </w:div>
    <w:div w:id="1029256727">
      <w:bodyDiv w:val="1"/>
      <w:marLeft w:val="0"/>
      <w:marRight w:val="0"/>
      <w:marTop w:val="0"/>
      <w:marBottom w:val="0"/>
      <w:divBdr>
        <w:top w:val="none" w:sz="0" w:space="0" w:color="auto"/>
        <w:left w:val="none" w:sz="0" w:space="0" w:color="auto"/>
        <w:bottom w:val="none" w:sz="0" w:space="0" w:color="auto"/>
        <w:right w:val="none" w:sz="0" w:space="0" w:color="auto"/>
      </w:divBdr>
    </w:div>
    <w:div w:id="1031757579">
      <w:bodyDiv w:val="1"/>
      <w:marLeft w:val="0"/>
      <w:marRight w:val="0"/>
      <w:marTop w:val="0"/>
      <w:marBottom w:val="0"/>
      <w:divBdr>
        <w:top w:val="none" w:sz="0" w:space="0" w:color="auto"/>
        <w:left w:val="none" w:sz="0" w:space="0" w:color="auto"/>
        <w:bottom w:val="none" w:sz="0" w:space="0" w:color="auto"/>
        <w:right w:val="none" w:sz="0" w:space="0" w:color="auto"/>
      </w:divBdr>
    </w:div>
    <w:div w:id="1032800116">
      <w:bodyDiv w:val="1"/>
      <w:marLeft w:val="0"/>
      <w:marRight w:val="0"/>
      <w:marTop w:val="0"/>
      <w:marBottom w:val="0"/>
      <w:divBdr>
        <w:top w:val="none" w:sz="0" w:space="0" w:color="auto"/>
        <w:left w:val="none" w:sz="0" w:space="0" w:color="auto"/>
        <w:bottom w:val="none" w:sz="0" w:space="0" w:color="auto"/>
        <w:right w:val="none" w:sz="0" w:space="0" w:color="auto"/>
      </w:divBdr>
    </w:div>
    <w:div w:id="1037896938">
      <w:bodyDiv w:val="1"/>
      <w:marLeft w:val="0"/>
      <w:marRight w:val="0"/>
      <w:marTop w:val="0"/>
      <w:marBottom w:val="0"/>
      <w:divBdr>
        <w:top w:val="none" w:sz="0" w:space="0" w:color="auto"/>
        <w:left w:val="none" w:sz="0" w:space="0" w:color="auto"/>
        <w:bottom w:val="none" w:sz="0" w:space="0" w:color="auto"/>
        <w:right w:val="none" w:sz="0" w:space="0" w:color="auto"/>
      </w:divBdr>
    </w:div>
    <w:div w:id="1047101412">
      <w:bodyDiv w:val="1"/>
      <w:marLeft w:val="0"/>
      <w:marRight w:val="0"/>
      <w:marTop w:val="0"/>
      <w:marBottom w:val="0"/>
      <w:divBdr>
        <w:top w:val="none" w:sz="0" w:space="0" w:color="auto"/>
        <w:left w:val="none" w:sz="0" w:space="0" w:color="auto"/>
        <w:bottom w:val="none" w:sz="0" w:space="0" w:color="auto"/>
        <w:right w:val="none" w:sz="0" w:space="0" w:color="auto"/>
      </w:divBdr>
    </w:div>
    <w:div w:id="1051882268">
      <w:bodyDiv w:val="1"/>
      <w:marLeft w:val="0"/>
      <w:marRight w:val="0"/>
      <w:marTop w:val="0"/>
      <w:marBottom w:val="0"/>
      <w:divBdr>
        <w:top w:val="none" w:sz="0" w:space="0" w:color="auto"/>
        <w:left w:val="none" w:sz="0" w:space="0" w:color="auto"/>
        <w:bottom w:val="none" w:sz="0" w:space="0" w:color="auto"/>
        <w:right w:val="none" w:sz="0" w:space="0" w:color="auto"/>
      </w:divBdr>
    </w:div>
    <w:div w:id="1051882633">
      <w:bodyDiv w:val="1"/>
      <w:marLeft w:val="0"/>
      <w:marRight w:val="0"/>
      <w:marTop w:val="0"/>
      <w:marBottom w:val="0"/>
      <w:divBdr>
        <w:top w:val="none" w:sz="0" w:space="0" w:color="auto"/>
        <w:left w:val="none" w:sz="0" w:space="0" w:color="auto"/>
        <w:bottom w:val="none" w:sz="0" w:space="0" w:color="auto"/>
        <w:right w:val="none" w:sz="0" w:space="0" w:color="auto"/>
      </w:divBdr>
    </w:div>
    <w:div w:id="1074938235">
      <w:bodyDiv w:val="1"/>
      <w:marLeft w:val="0"/>
      <w:marRight w:val="0"/>
      <w:marTop w:val="0"/>
      <w:marBottom w:val="0"/>
      <w:divBdr>
        <w:top w:val="none" w:sz="0" w:space="0" w:color="auto"/>
        <w:left w:val="none" w:sz="0" w:space="0" w:color="auto"/>
        <w:bottom w:val="none" w:sz="0" w:space="0" w:color="auto"/>
        <w:right w:val="none" w:sz="0" w:space="0" w:color="auto"/>
      </w:divBdr>
    </w:div>
    <w:div w:id="1076828333">
      <w:bodyDiv w:val="1"/>
      <w:marLeft w:val="0"/>
      <w:marRight w:val="0"/>
      <w:marTop w:val="0"/>
      <w:marBottom w:val="0"/>
      <w:divBdr>
        <w:top w:val="none" w:sz="0" w:space="0" w:color="auto"/>
        <w:left w:val="none" w:sz="0" w:space="0" w:color="auto"/>
        <w:bottom w:val="none" w:sz="0" w:space="0" w:color="auto"/>
        <w:right w:val="none" w:sz="0" w:space="0" w:color="auto"/>
      </w:divBdr>
    </w:div>
    <w:div w:id="1084838629">
      <w:bodyDiv w:val="1"/>
      <w:marLeft w:val="0"/>
      <w:marRight w:val="0"/>
      <w:marTop w:val="0"/>
      <w:marBottom w:val="0"/>
      <w:divBdr>
        <w:top w:val="none" w:sz="0" w:space="0" w:color="auto"/>
        <w:left w:val="none" w:sz="0" w:space="0" w:color="auto"/>
        <w:bottom w:val="none" w:sz="0" w:space="0" w:color="auto"/>
        <w:right w:val="none" w:sz="0" w:space="0" w:color="auto"/>
      </w:divBdr>
    </w:div>
    <w:div w:id="1085613255">
      <w:bodyDiv w:val="1"/>
      <w:marLeft w:val="0"/>
      <w:marRight w:val="0"/>
      <w:marTop w:val="0"/>
      <w:marBottom w:val="0"/>
      <w:divBdr>
        <w:top w:val="none" w:sz="0" w:space="0" w:color="auto"/>
        <w:left w:val="none" w:sz="0" w:space="0" w:color="auto"/>
        <w:bottom w:val="none" w:sz="0" w:space="0" w:color="auto"/>
        <w:right w:val="none" w:sz="0" w:space="0" w:color="auto"/>
      </w:divBdr>
    </w:div>
    <w:div w:id="1088620331">
      <w:bodyDiv w:val="1"/>
      <w:marLeft w:val="0"/>
      <w:marRight w:val="0"/>
      <w:marTop w:val="0"/>
      <w:marBottom w:val="0"/>
      <w:divBdr>
        <w:top w:val="none" w:sz="0" w:space="0" w:color="auto"/>
        <w:left w:val="none" w:sz="0" w:space="0" w:color="auto"/>
        <w:bottom w:val="none" w:sz="0" w:space="0" w:color="auto"/>
        <w:right w:val="none" w:sz="0" w:space="0" w:color="auto"/>
      </w:divBdr>
    </w:div>
    <w:div w:id="1094982968">
      <w:bodyDiv w:val="1"/>
      <w:marLeft w:val="0"/>
      <w:marRight w:val="0"/>
      <w:marTop w:val="0"/>
      <w:marBottom w:val="0"/>
      <w:divBdr>
        <w:top w:val="none" w:sz="0" w:space="0" w:color="auto"/>
        <w:left w:val="none" w:sz="0" w:space="0" w:color="auto"/>
        <w:bottom w:val="none" w:sz="0" w:space="0" w:color="auto"/>
        <w:right w:val="none" w:sz="0" w:space="0" w:color="auto"/>
      </w:divBdr>
    </w:div>
    <w:div w:id="1105614824">
      <w:bodyDiv w:val="1"/>
      <w:marLeft w:val="0"/>
      <w:marRight w:val="0"/>
      <w:marTop w:val="0"/>
      <w:marBottom w:val="0"/>
      <w:divBdr>
        <w:top w:val="none" w:sz="0" w:space="0" w:color="auto"/>
        <w:left w:val="none" w:sz="0" w:space="0" w:color="auto"/>
        <w:bottom w:val="none" w:sz="0" w:space="0" w:color="auto"/>
        <w:right w:val="none" w:sz="0" w:space="0" w:color="auto"/>
      </w:divBdr>
    </w:div>
    <w:div w:id="1114054723">
      <w:bodyDiv w:val="1"/>
      <w:marLeft w:val="0"/>
      <w:marRight w:val="0"/>
      <w:marTop w:val="0"/>
      <w:marBottom w:val="0"/>
      <w:divBdr>
        <w:top w:val="none" w:sz="0" w:space="0" w:color="auto"/>
        <w:left w:val="none" w:sz="0" w:space="0" w:color="auto"/>
        <w:bottom w:val="none" w:sz="0" w:space="0" w:color="auto"/>
        <w:right w:val="none" w:sz="0" w:space="0" w:color="auto"/>
      </w:divBdr>
    </w:div>
    <w:div w:id="1115488646">
      <w:bodyDiv w:val="1"/>
      <w:marLeft w:val="0"/>
      <w:marRight w:val="0"/>
      <w:marTop w:val="0"/>
      <w:marBottom w:val="0"/>
      <w:divBdr>
        <w:top w:val="none" w:sz="0" w:space="0" w:color="auto"/>
        <w:left w:val="none" w:sz="0" w:space="0" w:color="auto"/>
        <w:bottom w:val="none" w:sz="0" w:space="0" w:color="auto"/>
        <w:right w:val="none" w:sz="0" w:space="0" w:color="auto"/>
      </w:divBdr>
    </w:div>
    <w:div w:id="1118261969">
      <w:bodyDiv w:val="1"/>
      <w:marLeft w:val="0"/>
      <w:marRight w:val="0"/>
      <w:marTop w:val="0"/>
      <w:marBottom w:val="0"/>
      <w:divBdr>
        <w:top w:val="none" w:sz="0" w:space="0" w:color="auto"/>
        <w:left w:val="none" w:sz="0" w:space="0" w:color="auto"/>
        <w:bottom w:val="none" w:sz="0" w:space="0" w:color="auto"/>
        <w:right w:val="none" w:sz="0" w:space="0" w:color="auto"/>
      </w:divBdr>
    </w:div>
    <w:div w:id="1119450168">
      <w:bodyDiv w:val="1"/>
      <w:marLeft w:val="0"/>
      <w:marRight w:val="0"/>
      <w:marTop w:val="0"/>
      <w:marBottom w:val="0"/>
      <w:divBdr>
        <w:top w:val="none" w:sz="0" w:space="0" w:color="auto"/>
        <w:left w:val="none" w:sz="0" w:space="0" w:color="auto"/>
        <w:bottom w:val="none" w:sz="0" w:space="0" w:color="auto"/>
        <w:right w:val="none" w:sz="0" w:space="0" w:color="auto"/>
      </w:divBdr>
    </w:div>
    <w:div w:id="1120951466">
      <w:bodyDiv w:val="1"/>
      <w:marLeft w:val="0"/>
      <w:marRight w:val="0"/>
      <w:marTop w:val="0"/>
      <w:marBottom w:val="0"/>
      <w:divBdr>
        <w:top w:val="none" w:sz="0" w:space="0" w:color="auto"/>
        <w:left w:val="none" w:sz="0" w:space="0" w:color="auto"/>
        <w:bottom w:val="none" w:sz="0" w:space="0" w:color="auto"/>
        <w:right w:val="none" w:sz="0" w:space="0" w:color="auto"/>
      </w:divBdr>
    </w:div>
    <w:div w:id="1132478092">
      <w:bodyDiv w:val="1"/>
      <w:marLeft w:val="0"/>
      <w:marRight w:val="0"/>
      <w:marTop w:val="0"/>
      <w:marBottom w:val="0"/>
      <w:divBdr>
        <w:top w:val="none" w:sz="0" w:space="0" w:color="auto"/>
        <w:left w:val="none" w:sz="0" w:space="0" w:color="auto"/>
        <w:bottom w:val="none" w:sz="0" w:space="0" w:color="auto"/>
        <w:right w:val="none" w:sz="0" w:space="0" w:color="auto"/>
      </w:divBdr>
    </w:div>
    <w:div w:id="1134175055">
      <w:bodyDiv w:val="1"/>
      <w:marLeft w:val="0"/>
      <w:marRight w:val="0"/>
      <w:marTop w:val="0"/>
      <w:marBottom w:val="0"/>
      <w:divBdr>
        <w:top w:val="none" w:sz="0" w:space="0" w:color="auto"/>
        <w:left w:val="none" w:sz="0" w:space="0" w:color="auto"/>
        <w:bottom w:val="none" w:sz="0" w:space="0" w:color="auto"/>
        <w:right w:val="none" w:sz="0" w:space="0" w:color="auto"/>
      </w:divBdr>
    </w:div>
    <w:div w:id="1135215608">
      <w:bodyDiv w:val="1"/>
      <w:marLeft w:val="0"/>
      <w:marRight w:val="0"/>
      <w:marTop w:val="0"/>
      <w:marBottom w:val="0"/>
      <w:divBdr>
        <w:top w:val="none" w:sz="0" w:space="0" w:color="auto"/>
        <w:left w:val="none" w:sz="0" w:space="0" w:color="auto"/>
        <w:bottom w:val="none" w:sz="0" w:space="0" w:color="auto"/>
        <w:right w:val="none" w:sz="0" w:space="0" w:color="auto"/>
      </w:divBdr>
    </w:div>
    <w:div w:id="1148471403">
      <w:bodyDiv w:val="1"/>
      <w:marLeft w:val="0"/>
      <w:marRight w:val="0"/>
      <w:marTop w:val="0"/>
      <w:marBottom w:val="0"/>
      <w:divBdr>
        <w:top w:val="none" w:sz="0" w:space="0" w:color="auto"/>
        <w:left w:val="none" w:sz="0" w:space="0" w:color="auto"/>
        <w:bottom w:val="none" w:sz="0" w:space="0" w:color="auto"/>
        <w:right w:val="none" w:sz="0" w:space="0" w:color="auto"/>
      </w:divBdr>
    </w:div>
    <w:div w:id="1150294608">
      <w:bodyDiv w:val="1"/>
      <w:marLeft w:val="0"/>
      <w:marRight w:val="0"/>
      <w:marTop w:val="0"/>
      <w:marBottom w:val="0"/>
      <w:divBdr>
        <w:top w:val="none" w:sz="0" w:space="0" w:color="auto"/>
        <w:left w:val="none" w:sz="0" w:space="0" w:color="auto"/>
        <w:bottom w:val="none" w:sz="0" w:space="0" w:color="auto"/>
        <w:right w:val="none" w:sz="0" w:space="0" w:color="auto"/>
      </w:divBdr>
    </w:div>
    <w:div w:id="1154561440">
      <w:bodyDiv w:val="1"/>
      <w:marLeft w:val="0"/>
      <w:marRight w:val="0"/>
      <w:marTop w:val="0"/>
      <w:marBottom w:val="0"/>
      <w:divBdr>
        <w:top w:val="none" w:sz="0" w:space="0" w:color="auto"/>
        <w:left w:val="none" w:sz="0" w:space="0" w:color="auto"/>
        <w:bottom w:val="none" w:sz="0" w:space="0" w:color="auto"/>
        <w:right w:val="none" w:sz="0" w:space="0" w:color="auto"/>
      </w:divBdr>
    </w:div>
    <w:div w:id="1199974160">
      <w:bodyDiv w:val="1"/>
      <w:marLeft w:val="0"/>
      <w:marRight w:val="0"/>
      <w:marTop w:val="0"/>
      <w:marBottom w:val="0"/>
      <w:divBdr>
        <w:top w:val="none" w:sz="0" w:space="0" w:color="auto"/>
        <w:left w:val="none" w:sz="0" w:space="0" w:color="auto"/>
        <w:bottom w:val="none" w:sz="0" w:space="0" w:color="auto"/>
        <w:right w:val="none" w:sz="0" w:space="0" w:color="auto"/>
      </w:divBdr>
    </w:div>
    <w:div w:id="1224873881">
      <w:bodyDiv w:val="1"/>
      <w:marLeft w:val="0"/>
      <w:marRight w:val="0"/>
      <w:marTop w:val="0"/>
      <w:marBottom w:val="0"/>
      <w:divBdr>
        <w:top w:val="none" w:sz="0" w:space="0" w:color="auto"/>
        <w:left w:val="none" w:sz="0" w:space="0" w:color="auto"/>
        <w:bottom w:val="none" w:sz="0" w:space="0" w:color="auto"/>
        <w:right w:val="none" w:sz="0" w:space="0" w:color="auto"/>
      </w:divBdr>
    </w:div>
    <w:div w:id="1227764030">
      <w:bodyDiv w:val="1"/>
      <w:marLeft w:val="0"/>
      <w:marRight w:val="0"/>
      <w:marTop w:val="0"/>
      <w:marBottom w:val="0"/>
      <w:divBdr>
        <w:top w:val="none" w:sz="0" w:space="0" w:color="auto"/>
        <w:left w:val="none" w:sz="0" w:space="0" w:color="auto"/>
        <w:bottom w:val="none" w:sz="0" w:space="0" w:color="auto"/>
        <w:right w:val="none" w:sz="0" w:space="0" w:color="auto"/>
      </w:divBdr>
    </w:div>
    <w:div w:id="1236017770">
      <w:bodyDiv w:val="1"/>
      <w:marLeft w:val="0"/>
      <w:marRight w:val="0"/>
      <w:marTop w:val="0"/>
      <w:marBottom w:val="0"/>
      <w:divBdr>
        <w:top w:val="none" w:sz="0" w:space="0" w:color="auto"/>
        <w:left w:val="none" w:sz="0" w:space="0" w:color="auto"/>
        <w:bottom w:val="none" w:sz="0" w:space="0" w:color="auto"/>
        <w:right w:val="none" w:sz="0" w:space="0" w:color="auto"/>
      </w:divBdr>
    </w:div>
    <w:div w:id="1237858621">
      <w:bodyDiv w:val="1"/>
      <w:marLeft w:val="0"/>
      <w:marRight w:val="0"/>
      <w:marTop w:val="0"/>
      <w:marBottom w:val="0"/>
      <w:divBdr>
        <w:top w:val="none" w:sz="0" w:space="0" w:color="auto"/>
        <w:left w:val="none" w:sz="0" w:space="0" w:color="auto"/>
        <w:bottom w:val="none" w:sz="0" w:space="0" w:color="auto"/>
        <w:right w:val="none" w:sz="0" w:space="0" w:color="auto"/>
      </w:divBdr>
    </w:div>
    <w:div w:id="1243218333">
      <w:bodyDiv w:val="1"/>
      <w:marLeft w:val="0"/>
      <w:marRight w:val="0"/>
      <w:marTop w:val="0"/>
      <w:marBottom w:val="0"/>
      <w:divBdr>
        <w:top w:val="none" w:sz="0" w:space="0" w:color="auto"/>
        <w:left w:val="none" w:sz="0" w:space="0" w:color="auto"/>
        <w:bottom w:val="none" w:sz="0" w:space="0" w:color="auto"/>
        <w:right w:val="none" w:sz="0" w:space="0" w:color="auto"/>
      </w:divBdr>
    </w:div>
    <w:div w:id="1244988816">
      <w:bodyDiv w:val="1"/>
      <w:marLeft w:val="0"/>
      <w:marRight w:val="0"/>
      <w:marTop w:val="0"/>
      <w:marBottom w:val="0"/>
      <w:divBdr>
        <w:top w:val="none" w:sz="0" w:space="0" w:color="auto"/>
        <w:left w:val="none" w:sz="0" w:space="0" w:color="auto"/>
        <w:bottom w:val="none" w:sz="0" w:space="0" w:color="auto"/>
        <w:right w:val="none" w:sz="0" w:space="0" w:color="auto"/>
      </w:divBdr>
    </w:div>
    <w:div w:id="1259830807">
      <w:bodyDiv w:val="1"/>
      <w:marLeft w:val="0"/>
      <w:marRight w:val="0"/>
      <w:marTop w:val="0"/>
      <w:marBottom w:val="0"/>
      <w:divBdr>
        <w:top w:val="none" w:sz="0" w:space="0" w:color="auto"/>
        <w:left w:val="none" w:sz="0" w:space="0" w:color="auto"/>
        <w:bottom w:val="none" w:sz="0" w:space="0" w:color="auto"/>
        <w:right w:val="none" w:sz="0" w:space="0" w:color="auto"/>
      </w:divBdr>
    </w:div>
    <w:div w:id="1264723888">
      <w:bodyDiv w:val="1"/>
      <w:marLeft w:val="0"/>
      <w:marRight w:val="0"/>
      <w:marTop w:val="0"/>
      <w:marBottom w:val="0"/>
      <w:divBdr>
        <w:top w:val="none" w:sz="0" w:space="0" w:color="auto"/>
        <w:left w:val="none" w:sz="0" w:space="0" w:color="auto"/>
        <w:bottom w:val="none" w:sz="0" w:space="0" w:color="auto"/>
        <w:right w:val="none" w:sz="0" w:space="0" w:color="auto"/>
      </w:divBdr>
    </w:div>
    <w:div w:id="1265458413">
      <w:bodyDiv w:val="1"/>
      <w:marLeft w:val="0"/>
      <w:marRight w:val="0"/>
      <w:marTop w:val="0"/>
      <w:marBottom w:val="0"/>
      <w:divBdr>
        <w:top w:val="none" w:sz="0" w:space="0" w:color="auto"/>
        <w:left w:val="none" w:sz="0" w:space="0" w:color="auto"/>
        <w:bottom w:val="none" w:sz="0" w:space="0" w:color="auto"/>
        <w:right w:val="none" w:sz="0" w:space="0" w:color="auto"/>
      </w:divBdr>
    </w:div>
    <w:div w:id="1269124512">
      <w:bodyDiv w:val="1"/>
      <w:marLeft w:val="0"/>
      <w:marRight w:val="0"/>
      <w:marTop w:val="0"/>
      <w:marBottom w:val="0"/>
      <w:divBdr>
        <w:top w:val="none" w:sz="0" w:space="0" w:color="auto"/>
        <w:left w:val="none" w:sz="0" w:space="0" w:color="auto"/>
        <w:bottom w:val="none" w:sz="0" w:space="0" w:color="auto"/>
        <w:right w:val="none" w:sz="0" w:space="0" w:color="auto"/>
      </w:divBdr>
    </w:div>
    <w:div w:id="1271543592">
      <w:bodyDiv w:val="1"/>
      <w:marLeft w:val="0"/>
      <w:marRight w:val="0"/>
      <w:marTop w:val="0"/>
      <w:marBottom w:val="0"/>
      <w:divBdr>
        <w:top w:val="none" w:sz="0" w:space="0" w:color="auto"/>
        <w:left w:val="none" w:sz="0" w:space="0" w:color="auto"/>
        <w:bottom w:val="none" w:sz="0" w:space="0" w:color="auto"/>
        <w:right w:val="none" w:sz="0" w:space="0" w:color="auto"/>
      </w:divBdr>
    </w:div>
    <w:div w:id="1274052411">
      <w:bodyDiv w:val="1"/>
      <w:marLeft w:val="0"/>
      <w:marRight w:val="0"/>
      <w:marTop w:val="0"/>
      <w:marBottom w:val="0"/>
      <w:divBdr>
        <w:top w:val="none" w:sz="0" w:space="0" w:color="auto"/>
        <w:left w:val="none" w:sz="0" w:space="0" w:color="auto"/>
        <w:bottom w:val="none" w:sz="0" w:space="0" w:color="auto"/>
        <w:right w:val="none" w:sz="0" w:space="0" w:color="auto"/>
      </w:divBdr>
    </w:div>
    <w:div w:id="1286084944">
      <w:bodyDiv w:val="1"/>
      <w:marLeft w:val="0"/>
      <w:marRight w:val="0"/>
      <w:marTop w:val="0"/>
      <w:marBottom w:val="0"/>
      <w:divBdr>
        <w:top w:val="none" w:sz="0" w:space="0" w:color="auto"/>
        <w:left w:val="none" w:sz="0" w:space="0" w:color="auto"/>
        <w:bottom w:val="none" w:sz="0" w:space="0" w:color="auto"/>
        <w:right w:val="none" w:sz="0" w:space="0" w:color="auto"/>
      </w:divBdr>
    </w:div>
    <w:div w:id="1299798763">
      <w:bodyDiv w:val="1"/>
      <w:marLeft w:val="0"/>
      <w:marRight w:val="0"/>
      <w:marTop w:val="0"/>
      <w:marBottom w:val="0"/>
      <w:divBdr>
        <w:top w:val="none" w:sz="0" w:space="0" w:color="auto"/>
        <w:left w:val="none" w:sz="0" w:space="0" w:color="auto"/>
        <w:bottom w:val="none" w:sz="0" w:space="0" w:color="auto"/>
        <w:right w:val="none" w:sz="0" w:space="0" w:color="auto"/>
      </w:divBdr>
    </w:div>
    <w:div w:id="1305155430">
      <w:bodyDiv w:val="1"/>
      <w:marLeft w:val="0"/>
      <w:marRight w:val="0"/>
      <w:marTop w:val="0"/>
      <w:marBottom w:val="0"/>
      <w:divBdr>
        <w:top w:val="none" w:sz="0" w:space="0" w:color="auto"/>
        <w:left w:val="none" w:sz="0" w:space="0" w:color="auto"/>
        <w:bottom w:val="none" w:sz="0" w:space="0" w:color="auto"/>
        <w:right w:val="none" w:sz="0" w:space="0" w:color="auto"/>
      </w:divBdr>
    </w:div>
    <w:div w:id="1310405077">
      <w:bodyDiv w:val="1"/>
      <w:marLeft w:val="0"/>
      <w:marRight w:val="0"/>
      <w:marTop w:val="0"/>
      <w:marBottom w:val="0"/>
      <w:divBdr>
        <w:top w:val="none" w:sz="0" w:space="0" w:color="auto"/>
        <w:left w:val="none" w:sz="0" w:space="0" w:color="auto"/>
        <w:bottom w:val="none" w:sz="0" w:space="0" w:color="auto"/>
        <w:right w:val="none" w:sz="0" w:space="0" w:color="auto"/>
      </w:divBdr>
    </w:div>
    <w:div w:id="1327435314">
      <w:bodyDiv w:val="1"/>
      <w:marLeft w:val="0"/>
      <w:marRight w:val="0"/>
      <w:marTop w:val="0"/>
      <w:marBottom w:val="0"/>
      <w:divBdr>
        <w:top w:val="none" w:sz="0" w:space="0" w:color="auto"/>
        <w:left w:val="none" w:sz="0" w:space="0" w:color="auto"/>
        <w:bottom w:val="none" w:sz="0" w:space="0" w:color="auto"/>
        <w:right w:val="none" w:sz="0" w:space="0" w:color="auto"/>
      </w:divBdr>
    </w:div>
    <w:div w:id="1331179628">
      <w:bodyDiv w:val="1"/>
      <w:marLeft w:val="0"/>
      <w:marRight w:val="0"/>
      <w:marTop w:val="0"/>
      <w:marBottom w:val="0"/>
      <w:divBdr>
        <w:top w:val="none" w:sz="0" w:space="0" w:color="auto"/>
        <w:left w:val="none" w:sz="0" w:space="0" w:color="auto"/>
        <w:bottom w:val="none" w:sz="0" w:space="0" w:color="auto"/>
        <w:right w:val="none" w:sz="0" w:space="0" w:color="auto"/>
      </w:divBdr>
    </w:div>
    <w:div w:id="1346902369">
      <w:bodyDiv w:val="1"/>
      <w:marLeft w:val="0"/>
      <w:marRight w:val="0"/>
      <w:marTop w:val="0"/>
      <w:marBottom w:val="0"/>
      <w:divBdr>
        <w:top w:val="none" w:sz="0" w:space="0" w:color="auto"/>
        <w:left w:val="none" w:sz="0" w:space="0" w:color="auto"/>
        <w:bottom w:val="none" w:sz="0" w:space="0" w:color="auto"/>
        <w:right w:val="none" w:sz="0" w:space="0" w:color="auto"/>
      </w:divBdr>
    </w:div>
    <w:div w:id="1347440387">
      <w:bodyDiv w:val="1"/>
      <w:marLeft w:val="0"/>
      <w:marRight w:val="0"/>
      <w:marTop w:val="0"/>
      <w:marBottom w:val="0"/>
      <w:divBdr>
        <w:top w:val="none" w:sz="0" w:space="0" w:color="auto"/>
        <w:left w:val="none" w:sz="0" w:space="0" w:color="auto"/>
        <w:bottom w:val="none" w:sz="0" w:space="0" w:color="auto"/>
        <w:right w:val="none" w:sz="0" w:space="0" w:color="auto"/>
      </w:divBdr>
    </w:div>
    <w:div w:id="1349480017">
      <w:bodyDiv w:val="1"/>
      <w:marLeft w:val="0"/>
      <w:marRight w:val="0"/>
      <w:marTop w:val="0"/>
      <w:marBottom w:val="0"/>
      <w:divBdr>
        <w:top w:val="none" w:sz="0" w:space="0" w:color="auto"/>
        <w:left w:val="none" w:sz="0" w:space="0" w:color="auto"/>
        <w:bottom w:val="none" w:sz="0" w:space="0" w:color="auto"/>
        <w:right w:val="none" w:sz="0" w:space="0" w:color="auto"/>
      </w:divBdr>
    </w:div>
    <w:div w:id="1354843208">
      <w:bodyDiv w:val="1"/>
      <w:marLeft w:val="0"/>
      <w:marRight w:val="0"/>
      <w:marTop w:val="0"/>
      <w:marBottom w:val="0"/>
      <w:divBdr>
        <w:top w:val="none" w:sz="0" w:space="0" w:color="auto"/>
        <w:left w:val="none" w:sz="0" w:space="0" w:color="auto"/>
        <w:bottom w:val="none" w:sz="0" w:space="0" w:color="auto"/>
        <w:right w:val="none" w:sz="0" w:space="0" w:color="auto"/>
      </w:divBdr>
    </w:div>
    <w:div w:id="1360736602">
      <w:bodyDiv w:val="1"/>
      <w:marLeft w:val="0"/>
      <w:marRight w:val="0"/>
      <w:marTop w:val="0"/>
      <w:marBottom w:val="0"/>
      <w:divBdr>
        <w:top w:val="none" w:sz="0" w:space="0" w:color="auto"/>
        <w:left w:val="none" w:sz="0" w:space="0" w:color="auto"/>
        <w:bottom w:val="none" w:sz="0" w:space="0" w:color="auto"/>
        <w:right w:val="none" w:sz="0" w:space="0" w:color="auto"/>
      </w:divBdr>
    </w:div>
    <w:div w:id="1365906195">
      <w:bodyDiv w:val="1"/>
      <w:marLeft w:val="0"/>
      <w:marRight w:val="0"/>
      <w:marTop w:val="0"/>
      <w:marBottom w:val="0"/>
      <w:divBdr>
        <w:top w:val="none" w:sz="0" w:space="0" w:color="auto"/>
        <w:left w:val="none" w:sz="0" w:space="0" w:color="auto"/>
        <w:bottom w:val="none" w:sz="0" w:space="0" w:color="auto"/>
        <w:right w:val="none" w:sz="0" w:space="0" w:color="auto"/>
      </w:divBdr>
    </w:div>
    <w:div w:id="1372455202">
      <w:bodyDiv w:val="1"/>
      <w:marLeft w:val="0"/>
      <w:marRight w:val="0"/>
      <w:marTop w:val="0"/>
      <w:marBottom w:val="0"/>
      <w:divBdr>
        <w:top w:val="none" w:sz="0" w:space="0" w:color="auto"/>
        <w:left w:val="none" w:sz="0" w:space="0" w:color="auto"/>
        <w:bottom w:val="none" w:sz="0" w:space="0" w:color="auto"/>
        <w:right w:val="none" w:sz="0" w:space="0" w:color="auto"/>
      </w:divBdr>
    </w:div>
    <w:div w:id="1375040463">
      <w:bodyDiv w:val="1"/>
      <w:marLeft w:val="0"/>
      <w:marRight w:val="0"/>
      <w:marTop w:val="0"/>
      <w:marBottom w:val="0"/>
      <w:divBdr>
        <w:top w:val="none" w:sz="0" w:space="0" w:color="auto"/>
        <w:left w:val="none" w:sz="0" w:space="0" w:color="auto"/>
        <w:bottom w:val="none" w:sz="0" w:space="0" w:color="auto"/>
        <w:right w:val="none" w:sz="0" w:space="0" w:color="auto"/>
      </w:divBdr>
    </w:div>
    <w:div w:id="1378431508">
      <w:bodyDiv w:val="1"/>
      <w:marLeft w:val="0"/>
      <w:marRight w:val="0"/>
      <w:marTop w:val="0"/>
      <w:marBottom w:val="0"/>
      <w:divBdr>
        <w:top w:val="none" w:sz="0" w:space="0" w:color="auto"/>
        <w:left w:val="none" w:sz="0" w:space="0" w:color="auto"/>
        <w:bottom w:val="none" w:sz="0" w:space="0" w:color="auto"/>
        <w:right w:val="none" w:sz="0" w:space="0" w:color="auto"/>
      </w:divBdr>
    </w:div>
    <w:div w:id="1381128401">
      <w:bodyDiv w:val="1"/>
      <w:marLeft w:val="0"/>
      <w:marRight w:val="0"/>
      <w:marTop w:val="0"/>
      <w:marBottom w:val="0"/>
      <w:divBdr>
        <w:top w:val="none" w:sz="0" w:space="0" w:color="auto"/>
        <w:left w:val="none" w:sz="0" w:space="0" w:color="auto"/>
        <w:bottom w:val="none" w:sz="0" w:space="0" w:color="auto"/>
        <w:right w:val="none" w:sz="0" w:space="0" w:color="auto"/>
      </w:divBdr>
    </w:div>
    <w:div w:id="1383019017">
      <w:bodyDiv w:val="1"/>
      <w:marLeft w:val="0"/>
      <w:marRight w:val="0"/>
      <w:marTop w:val="0"/>
      <w:marBottom w:val="0"/>
      <w:divBdr>
        <w:top w:val="none" w:sz="0" w:space="0" w:color="auto"/>
        <w:left w:val="none" w:sz="0" w:space="0" w:color="auto"/>
        <w:bottom w:val="none" w:sz="0" w:space="0" w:color="auto"/>
        <w:right w:val="none" w:sz="0" w:space="0" w:color="auto"/>
      </w:divBdr>
    </w:div>
    <w:div w:id="1393432718">
      <w:bodyDiv w:val="1"/>
      <w:marLeft w:val="0"/>
      <w:marRight w:val="0"/>
      <w:marTop w:val="0"/>
      <w:marBottom w:val="0"/>
      <w:divBdr>
        <w:top w:val="none" w:sz="0" w:space="0" w:color="auto"/>
        <w:left w:val="none" w:sz="0" w:space="0" w:color="auto"/>
        <w:bottom w:val="none" w:sz="0" w:space="0" w:color="auto"/>
        <w:right w:val="none" w:sz="0" w:space="0" w:color="auto"/>
      </w:divBdr>
    </w:div>
    <w:div w:id="1398556143">
      <w:bodyDiv w:val="1"/>
      <w:marLeft w:val="0"/>
      <w:marRight w:val="0"/>
      <w:marTop w:val="0"/>
      <w:marBottom w:val="0"/>
      <w:divBdr>
        <w:top w:val="none" w:sz="0" w:space="0" w:color="auto"/>
        <w:left w:val="none" w:sz="0" w:space="0" w:color="auto"/>
        <w:bottom w:val="none" w:sz="0" w:space="0" w:color="auto"/>
        <w:right w:val="none" w:sz="0" w:space="0" w:color="auto"/>
      </w:divBdr>
    </w:div>
    <w:div w:id="1414089784">
      <w:bodyDiv w:val="1"/>
      <w:marLeft w:val="0"/>
      <w:marRight w:val="0"/>
      <w:marTop w:val="0"/>
      <w:marBottom w:val="0"/>
      <w:divBdr>
        <w:top w:val="none" w:sz="0" w:space="0" w:color="auto"/>
        <w:left w:val="none" w:sz="0" w:space="0" w:color="auto"/>
        <w:bottom w:val="none" w:sz="0" w:space="0" w:color="auto"/>
        <w:right w:val="none" w:sz="0" w:space="0" w:color="auto"/>
      </w:divBdr>
    </w:div>
    <w:div w:id="1420447762">
      <w:bodyDiv w:val="1"/>
      <w:marLeft w:val="0"/>
      <w:marRight w:val="0"/>
      <w:marTop w:val="0"/>
      <w:marBottom w:val="0"/>
      <w:divBdr>
        <w:top w:val="none" w:sz="0" w:space="0" w:color="auto"/>
        <w:left w:val="none" w:sz="0" w:space="0" w:color="auto"/>
        <w:bottom w:val="none" w:sz="0" w:space="0" w:color="auto"/>
        <w:right w:val="none" w:sz="0" w:space="0" w:color="auto"/>
      </w:divBdr>
    </w:div>
    <w:div w:id="1423994369">
      <w:bodyDiv w:val="1"/>
      <w:marLeft w:val="0"/>
      <w:marRight w:val="0"/>
      <w:marTop w:val="0"/>
      <w:marBottom w:val="0"/>
      <w:divBdr>
        <w:top w:val="none" w:sz="0" w:space="0" w:color="auto"/>
        <w:left w:val="none" w:sz="0" w:space="0" w:color="auto"/>
        <w:bottom w:val="none" w:sz="0" w:space="0" w:color="auto"/>
        <w:right w:val="none" w:sz="0" w:space="0" w:color="auto"/>
      </w:divBdr>
    </w:div>
    <w:div w:id="1428890941">
      <w:bodyDiv w:val="1"/>
      <w:marLeft w:val="0"/>
      <w:marRight w:val="0"/>
      <w:marTop w:val="0"/>
      <w:marBottom w:val="0"/>
      <w:divBdr>
        <w:top w:val="none" w:sz="0" w:space="0" w:color="auto"/>
        <w:left w:val="none" w:sz="0" w:space="0" w:color="auto"/>
        <w:bottom w:val="none" w:sz="0" w:space="0" w:color="auto"/>
        <w:right w:val="none" w:sz="0" w:space="0" w:color="auto"/>
      </w:divBdr>
    </w:div>
    <w:div w:id="1436898756">
      <w:bodyDiv w:val="1"/>
      <w:marLeft w:val="0"/>
      <w:marRight w:val="0"/>
      <w:marTop w:val="0"/>
      <w:marBottom w:val="0"/>
      <w:divBdr>
        <w:top w:val="none" w:sz="0" w:space="0" w:color="auto"/>
        <w:left w:val="none" w:sz="0" w:space="0" w:color="auto"/>
        <w:bottom w:val="none" w:sz="0" w:space="0" w:color="auto"/>
        <w:right w:val="none" w:sz="0" w:space="0" w:color="auto"/>
      </w:divBdr>
    </w:div>
    <w:div w:id="1447653235">
      <w:bodyDiv w:val="1"/>
      <w:marLeft w:val="0"/>
      <w:marRight w:val="0"/>
      <w:marTop w:val="0"/>
      <w:marBottom w:val="0"/>
      <w:divBdr>
        <w:top w:val="none" w:sz="0" w:space="0" w:color="auto"/>
        <w:left w:val="none" w:sz="0" w:space="0" w:color="auto"/>
        <w:bottom w:val="none" w:sz="0" w:space="0" w:color="auto"/>
        <w:right w:val="none" w:sz="0" w:space="0" w:color="auto"/>
      </w:divBdr>
    </w:div>
    <w:div w:id="1449665374">
      <w:bodyDiv w:val="1"/>
      <w:marLeft w:val="0"/>
      <w:marRight w:val="0"/>
      <w:marTop w:val="0"/>
      <w:marBottom w:val="0"/>
      <w:divBdr>
        <w:top w:val="none" w:sz="0" w:space="0" w:color="auto"/>
        <w:left w:val="none" w:sz="0" w:space="0" w:color="auto"/>
        <w:bottom w:val="none" w:sz="0" w:space="0" w:color="auto"/>
        <w:right w:val="none" w:sz="0" w:space="0" w:color="auto"/>
      </w:divBdr>
    </w:div>
    <w:div w:id="1458453923">
      <w:bodyDiv w:val="1"/>
      <w:marLeft w:val="0"/>
      <w:marRight w:val="0"/>
      <w:marTop w:val="0"/>
      <w:marBottom w:val="0"/>
      <w:divBdr>
        <w:top w:val="none" w:sz="0" w:space="0" w:color="auto"/>
        <w:left w:val="none" w:sz="0" w:space="0" w:color="auto"/>
        <w:bottom w:val="none" w:sz="0" w:space="0" w:color="auto"/>
        <w:right w:val="none" w:sz="0" w:space="0" w:color="auto"/>
      </w:divBdr>
    </w:div>
    <w:div w:id="1462528143">
      <w:bodyDiv w:val="1"/>
      <w:marLeft w:val="0"/>
      <w:marRight w:val="0"/>
      <w:marTop w:val="0"/>
      <w:marBottom w:val="0"/>
      <w:divBdr>
        <w:top w:val="none" w:sz="0" w:space="0" w:color="auto"/>
        <w:left w:val="none" w:sz="0" w:space="0" w:color="auto"/>
        <w:bottom w:val="none" w:sz="0" w:space="0" w:color="auto"/>
        <w:right w:val="none" w:sz="0" w:space="0" w:color="auto"/>
      </w:divBdr>
    </w:div>
    <w:div w:id="1464229701">
      <w:bodyDiv w:val="1"/>
      <w:marLeft w:val="0"/>
      <w:marRight w:val="0"/>
      <w:marTop w:val="0"/>
      <w:marBottom w:val="0"/>
      <w:divBdr>
        <w:top w:val="none" w:sz="0" w:space="0" w:color="auto"/>
        <w:left w:val="none" w:sz="0" w:space="0" w:color="auto"/>
        <w:bottom w:val="none" w:sz="0" w:space="0" w:color="auto"/>
        <w:right w:val="none" w:sz="0" w:space="0" w:color="auto"/>
      </w:divBdr>
    </w:div>
    <w:div w:id="1471509216">
      <w:bodyDiv w:val="1"/>
      <w:marLeft w:val="0"/>
      <w:marRight w:val="0"/>
      <w:marTop w:val="0"/>
      <w:marBottom w:val="0"/>
      <w:divBdr>
        <w:top w:val="none" w:sz="0" w:space="0" w:color="auto"/>
        <w:left w:val="none" w:sz="0" w:space="0" w:color="auto"/>
        <w:bottom w:val="none" w:sz="0" w:space="0" w:color="auto"/>
        <w:right w:val="none" w:sz="0" w:space="0" w:color="auto"/>
      </w:divBdr>
    </w:div>
    <w:div w:id="1475751830">
      <w:bodyDiv w:val="1"/>
      <w:marLeft w:val="0"/>
      <w:marRight w:val="0"/>
      <w:marTop w:val="0"/>
      <w:marBottom w:val="0"/>
      <w:divBdr>
        <w:top w:val="none" w:sz="0" w:space="0" w:color="auto"/>
        <w:left w:val="none" w:sz="0" w:space="0" w:color="auto"/>
        <w:bottom w:val="none" w:sz="0" w:space="0" w:color="auto"/>
        <w:right w:val="none" w:sz="0" w:space="0" w:color="auto"/>
      </w:divBdr>
    </w:div>
    <w:div w:id="1485852792">
      <w:bodyDiv w:val="1"/>
      <w:marLeft w:val="0"/>
      <w:marRight w:val="0"/>
      <w:marTop w:val="0"/>
      <w:marBottom w:val="0"/>
      <w:divBdr>
        <w:top w:val="none" w:sz="0" w:space="0" w:color="auto"/>
        <w:left w:val="none" w:sz="0" w:space="0" w:color="auto"/>
        <w:bottom w:val="none" w:sz="0" w:space="0" w:color="auto"/>
        <w:right w:val="none" w:sz="0" w:space="0" w:color="auto"/>
      </w:divBdr>
    </w:div>
    <w:div w:id="1486124798">
      <w:bodyDiv w:val="1"/>
      <w:marLeft w:val="0"/>
      <w:marRight w:val="0"/>
      <w:marTop w:val="0"/>
      <w:marBottom w:val="0"/>
      <w:divBdr>
        <w:top w:val="none" w:sz="0" w:space="0" w:color="auto"/>
        <w:left w:val="none" w:sz="0" w:space="0" w:color="auto"/>
        <w:bottom w:val="none" w:sz="0" w:space="0" w:color="auto"/>
        <w:right w:val="none" w:sz="0" w:space="0" w:color="auto"/>
      </w:divBdr>
    </w:div>
    <w:div w:id="1500928576">
      <w:bodyDiv w:val="1"/>
      <w:marLeft w:val="0"/>
      <w:marRight w:val="0"/>
      <w:marTop w:val="0"/>
      <w:marBottom w:val="0"/>
      <w:divBdr>
        <w:top w:val="none" w:sz="0" w:space="0" w:color="auto"/>
        <w:left w:val="none" w:sz="0" w:space="0" w:color="auto"/>
        <w:bottom w:val="none" w:sz="0" w:space="0" w:color="auto"/>
        <w:right w:val="none" w:sz="0" w:space="0" w:color="auto"/>
      </w:divBdr>
    </w:div>
    <w:div w:id="1503739980">
      <w:bodyDiv w:val="1"/>
      <w:marLeft w:val="0"/>
      <w:marRight w:val="0"/>
      <w:marTop w:val="0"/>
      <w:marBottom w:val="0"/>
      <w:divBdr>
        <w:top w:val="none" w:sz="0" w:space="0" w:color="auto"/>
        <w:left w:val="none" w:sz="0" w:space="0" w:color="auto"/>
        <w:bottom w:val="none" w:sz="0" w:space="0" w:color="auto"/>
        <w:right w:val="none" w:sz="0" w:space="0" w:color="auto"/>
      </w:divBdr>
    </w:div>
    <w:div w:id="1504279445">
      <w:bodyDiv w:val="1"/>
      <w:marLeft w:val="0"/>
      <w:marRight w:val="0"/>
      <w:marTop w:val="0"/>
      <w:marBottom w:val="0"/>
      <w:divBdr>
        <w:top w:val="none" w:sz="0" w:space="0" w:color="auto"/>
        <w:left w:val="none" w:sz="0" w:space="0" w:color="auto"/>
        <w:bottom w:val="none" w:sz="0" w:space="0" w:color="auto"/>
        <w:right w:val="none" w:sz="0" w:space="0" w:color="auto"/>
      </w:divBdr>
    </w:div>
    <w:div w:id="1506090252">
      <w:bodyDiv w:val="1"/>
      <w:marLeft w:val="0"/>
      <w:marRight w:val="0"/>
      <w:marTop w:val="0"/>
      <w:marBottom w:val="0"/>
      <w:divBdr>
        <w:top w:val="none" w:sz="0" w:space="0" w:color="auto"/>
        <w:left w:val="none" w:sz="0" w:space="0" w:color="auto"/>
        <w:bottom w:val="none" w:sz="0" w:space="0" w:color="auto"/>
        <w:right w:val="none" w:sz="0" w:space="0" w:color="auto"/>
      </w:divBdr>
    </w:div>
    <w:div w:id="1524829973">
      <w:bodyDiv w:val="1"/>
      <w:marLeft w:val="0"/>
      <w:marRight w:val="0"/>
      <w:marTop w:val="0"/>
      <w:marBottom w:val="0"/>
      <w:divBdr>
        <w:top w:val="none" w:sz="0" w:space="0" w:color="auto"/>
        <w:left w:val="none" w:sz="0" w:space="0" w:color="auto"/>
        <w:bottom w:val="none" w:sz="0" w:space="0" w:color="auto"/>
        <w:right w:val="none" w:sz="0" w:space="0" w:color="auto"/>
      </w:divBdr>
    </w:div>
    <w:div w:id="1533810939">
      <w:bodyDiv w:val="1"/>
      <w:marLeft w:val="0"/>
      <w:marRight w:val="0"/>
      <w:marTop w:val="0"/>
      <w:marBottom w:val="0"/>
      <w:divBdr>
        <w:top w:val="none" w:sz="0" w:space="0" w:color="auto"/>
        <w:left w:val="none" w:sz="0" w:space="0" w:color="auto"/>
        <w:bottom w:val="none" w:sz="0" w:space="0" w:color="auto"/>
        <w:right w:val="none" w:sz="0" w:space="0" w:color="auto"/>
      </w:divBdr>
    </w:div>
    <w:div w:id="1540437994">
      <w:bodyDiv w:val="1"/>
      <w:marLeft w:val="0"/>
      <w:marRight w:val="0"/>
      <w:marTop w:val="0"/>
      <w:marBottom w:val="0"/>
      <w:divBdr>
        <w:top w:val="none" w:sz="0" w:space="0" w:color="auto"/>
        <w:left w:val="none" w:sz="0" w:space="0" w:color="auto"/>
        <w:bottom w:val="none" w:sz="0" w:space="0" w:color="auto"/>
        <w:right w:val="none" w:sz="0" w:space="0" w:color="auto"/>
      </w:divBdr>
    </w:div>
    <w:div w:id="1547791350">
      <w:bodyDiv w:val="1"/>
      <w:marLeft w:val="0"/>
      <w:marRight w:val="0"/>
      <w:marTop w:val="0"/>
      <w:marBottom w:val="0"/>
      <w:divBdr>
        <w:top w:val="none" w:sz="0" w:space="0" w:color="auto"/>
        <w:left w:val="none" w:sz="0" w:space="0" w:color="auto"/>
        <w:bottom w:val="none" w:sz="0" w:space="0" w:color="auto"/>
        <w:right w:val="none" w:sz="0" w:space="0" w:color="auto"/>
      </w:divBdr>
    </w:div>
    <w:div w:id="1551502299">
      <w:bodyDiv w:val="1"/>
      <w:marLeft w:val="0"/>
      <w:marRight w:val="0"/>
      <w:marTop w:val="0"/>
      <w:marBottom w:val="0"/>
      <w:divBdr>
        <w:top w:val="none" w:sz="0" w:space="0" w:color="auto"/>
        <w:left w:val="none" w:sz="0" w:space="0" w:color="auto"/>
        <w:bottom w:val="none" w:sz="0" w:space="0" w:color="auto"/>
        <w:right w:val="none" w:sz="0" w:space="0" w:color="auto"/>
      </w:divBdr>
    </w:div>
    <w:div w:id="1554930101">
      <w:bodyDiv w:val="1"/>
      <w:marLeft w:val="0"/>
      <w:marRight w:val="0"/>
      <w:marTop w:val="0"/>
      <w:marBottom w:val="0"/>
      <w:divBdr>
        <w:top w:val="none" w:sz="0" w:space="0" w:color="auto"/>
        <w:left w:val="none" w:sz="0" w:space="0" w:color="auto"/>
        <w:bottom w:val="none" w:sz="0" w:space="0" w:color="auto"/>
        <w:right w:val="none" w:sz="0" w:space="0" w:color="auto"/>
      </w:divBdr>
    </w:div>
    <w:div w:id="1555239884">
      <w:bodyDiv w:val="1"/>
      <w:marLeft w:val="0"/>
      <w:marRight w:val="0"/>
      <w:marTop w:val="0"/>
      <w:marBottom w:val="0"/>
      <w:divBdr>
        <w:top w:val="none" w:sz="0" w:space="0" w:color="auto"/>
        <w:left w:val="none" w:sz="0" w:space="0" w:color="auto"/>
        <w:bottom w:val="none" w:sz="0" w:space="0" w:color="auto"/>
        <w:right w:val="none" w:sz="0" w:space="0" w:color="auto"/>
      </w:divBdr>
    </w:div>
    <w:div w:id="1555702038">
      <w:bodyDiv w:val="1"/>
      <w:marLeft w:val="0"/>
      <w:marRight w:val="0"/>
      <w:marTop w:val="0"/>
      <w:marBottom w:val="0"/>
      <w:divBdr>
        <w:top w:val="none" w:sz="0" w:space="0" w:color="auto"/>
        <w:left w:val="none" w:sz="0" w:space="0" w:color="auto"/>
        <w:bottom w:val="none" w:sz="0" w:space="0" w:color="auto"/>
        <w:right w:val="none" w:sz="0" w:space="0" w:color="auto"/>
      </w:divBdr>
    </w:div>
    <w:div w:id="1589458357">
      <w:bodyDiv w:val="1"/>
      <w:marLeft w:val="0"/>
      <w:marRight w:val="0"/>
      <w:marTop w:val="0"/>
      <w:marBottom w:val="0"/>
      <w:divBdr>
        <w:top w:val="none" w:sz="0" w:space="0" w:color="auto"/>
        <w:left w:val="none" w:sz="0" w:space="0" w:color="auto"/>
        <w:bottom w:val="none" w:sz="0" w:space="0" w:color="auto"/>
        <w:right w:val="none" w:sz="0" w:space="0" w:color="auto"/>
      </w:divBdr>
    </w:div>
    <w:div w:id="1593195508">
      <w:bodyDiv w:val="1"/>
      <w:marLeft w:val="0"/>
      <w:marRight w:val="0"/>
      <w:marTop w:val="0"/>
      <w:marBottom w:val="0"/>
      <w:divBdr>
        <w:top w:val="none" w:sz="0" w:space="0" w:color="auto"/>
        <w:left w:val="none" w:sz="0" w:space="0" w:color="auto"/>
        <w:bottom w:val="none" w:sz="0" w:space="0" w:color="auto"/>
        <w:right w:val="none" w:sz="0" w:space="0" w:color="auto"/>
      </w:divBdr>
    </w:div>
    <w:div w:id="1599211850">
      <w:bodyDiv w:val="1"/>
      <w:marLeft w:val="0"/>
      <w:marRight w:val="0"/>
      <w:marTop w:val="0"/>
      <w:marBottom w:val="0"/>
      <w:divBdr>
        <w:top w:val="none" w:sz="0" w:space="0" w:color="auto"/>
        <w:left w:val="none" w:sz="0" w:space="0" w:color="auto"/>
        <w:bottom w:val="none" w:sz="0" w:space="0" w:color="auto"/>
        <w:right w:val="none" w:sz="0" w:space="0" w:color="auto"/>
      </w:divBdr>
    </w:div>
    <w:div w:id="1604456139">
      <w:bodyDiv w:val="1"/>
      <w:marLeft w:val="0"/>
      <w:marRight w:val="0"/>
      <w:marTop w:val="0"/>
      <w:marBottom w:val="0"/>
      <w:divBdr>
        <w:top w:val="none" w:sz="0" w:space="0" w:color="auto"/>
        <w:left w:val="none" w:sz="0" w:space="0" w:color="auto"/>
        <w:bottom w:val="none" w:sz="0" w:space="0" w:color="auto"/>
        <w:right w:val="none" w:sz="0" w:space="0" w:color="auto"/>
      </w:divBdr>
    </w:div>
    <w:div w:id="1604873905">
      <w:bodyDiv w:val="1"/>
      <w:marLeft w:val="0"/>
      <w:marRight w:val="0"/>
      <w:marTop w:val="0"/>
      <w:marBottom w:val="0"/>
      <w:divBdr>
        <w:top w:val="none" w:sz="0" w:space="0" w:color="auto"/>
        <w:left w:val="none" w:sz="0" w:space="0" w:color="auto"/>
        <w:bottom w:val="none" w:sz="0" w:space="0" w:color="auto"/>
        <w:right w:val="none" w:sz="0" w:space="0" w:color="auto"/>
      </w:divBdr>
    </w:div>
    <w:div w:id="1621454448">
      <w:bodyDiv w:val="1"/>
      <w:marLeft w:val="0"/>
      <w:marRight w:val="0"/>
      <w:marTop w:val="0"/>
      <w:marBottom w:val="0"/>
      <w:divBdr>
        <w:top w:val="none" w:sz="0" w:space="0" w:color="auto"/>
        <w:left w:val="none" w:sz="0" w:space="0" w:color="auto"/>
        <w:bottom w:val="none" w:sz="0" w:space="0" w:color="auto"/>
        <w:right w:val="none" w:sz="0" w:space="0" w:color="auto"/>
      </w:divBdr>
    </w:div>
    <w:div w:id="1624918186">
      <w:bodyDiv w:val="1"/>
      <w:marLeft w:val="0"/>
      <w:marRight w:val="0"/>
      <w:marTop w:val="0"/>
      <w:marBottom w:val="0"/>
      <w:divBdr>
        <w:top w:val="none" w:sz="0" w:space="0" w:color="auto"/>
        <w:left w:val="none" w:sz="0" w:space="0" w:color="auto"/>
        <w:bottom w:val="none" w:sz="0" w:space="0" w:color="auto"/>
        <w:right w:val="none" w:sz="0" w:space="0" w:color="auto"/>
      </w:divBdr>
    </w:div>
    <w:div w:id="1626084402">
      <w:bodyDiv w:val="1"/>
      <w:marLeft w:val="0"/>
      <w:marRight w:val="0"/>
      <w:marTop w:val="0"/>
      <w:marBottom w:val="0"/>
      <w:divBdr>
        <w:top w:val="none" w:sz="0" w:space="0" w:color="auto"/>
        <w:left w:val="none" w:sz="0" w:space="0" w:color="auto"/>
        <w:bottom w:val="none" w:sz="0" w:space="0" w:color="auto"/>
        <w:right w:val="none" w:sz="0" w:space="0" w:color="auto"/>
      </w:divBdr>
    </w:div>
    <w:div w:id="1627856417">
      <w:bodyDiv w:val="1"/>
      <w:marLeft w:val="0"/>
      <w:marRight w:val="0"/>
      <w:marTop w:val="0"/>
      <w:marBottom w:val="0"/>
      <w:divBdr>
        <w:top w:val="none" w:sz="0" w:space="0" w:color="auto"/>
        <w:left w:val="none" w:sz="0" w:space="0" w:color="auto"/>
        <w:bottom w:val="none" w:sz="0" w:space="0" w:color="auto"/>
        <w:right w:val="none" w:sz="0" w:space="0" w:color="auto"/>
      </w:divBdr>
    </w:div>
    <w:div w:id="1632049717">
      <w:bodyDiv w:val="1"/>
      <w:marLeft w:val="0"/>
      <w:marRight w:val="0"/>
      <w:marTop w:val="0"/>
      <w:marBottom w:val="0"/>
      <w:divBdr>
        <w:top w:val="none" w:sz="0" w:space="0" w:color="auto"/>
        <w:left w:val="none" w:sz="0" w:space="0" w:color="auto"/>
        <w:bottom w:val="none" w:sz="0" w:space="0" w:color="auto"/>
        <w:right w:val="none" w:sz="0" w:space="0" w:color="auto"/>
      </w:divBdr>
    </w:div>
    <w:div w:id="1632513910">
      <w:bodyDiv w:val="1"/>
      <w:marLeft w:val="0"/>
      <w:marRight w:val="0"/>
      <w:marTop w:val="0"/>
      <w:marBottom w:val="0"/>
      <w:divBdr>
        <w:top w:val="none" w:sz="0" w:space="0" w:color="auto"/>
        <w:left w:val="none" w:sz="0" w:space="0" w:color="auto"/>
        <w:bottom w:val="none" w:sz="0" w:space="0" w:color="auto"/>
        <w:right w:val="none" w:sz="0" w:space="0" w:color="auto"/>
      </w:divBdr>
    </w:div>
    <w:div w:id="1639649438">
      <w:bodyDiv w:val="1"/>
      <w:marLeft w:val="0"/>
      <w:marRight w:val="0"/>
      <w:marTop w:val="0"/>
      <w:marBottom w:val="0"/>
      <w:divBdr>
        <w:top w:val="none" w:sz="0" w:space="0" w:color="auto"/>
        <w:left w:val="none" w:sz="0" w:space="0" w:color="auto"/>
        <w:bottom w:val="none" w:sz="0" w:space="0" w:color="auto"/>
        <w:right w:val="none" w:sz="0" w:space="0" w:color="auto"/>
      </w:divBdr>
    </w:div>
    <w:div w:id="1644772714">
      <w:bodyDiv w:val="1"/>
      <w:marLeft w:val="0"/>
      <w:marRight w:val="0"/>
      <w:marTop w:val="0"/>
      <w:marBottom w:val="0"/>
      <w:divBdr>
        <w:top w:val="none" w:sz="0" w:space="0" w:color="auto"/>
        <w:left w:val="none" w:sz="0" w:space="0" w:color="auto"/>
        <w:bottom w:val="none" w:sz="0" w:space="0" w:color="auto"/>
        <w:right w:val="none" w:sz="0" w:space="0" w:color="auto"/>
      </w:divBdr>
    </w:div>
    <w:div w:id="1664577891">
      <w:bodyDiv w:val="1"/>
      <w:marLeft w:val="0"/>
      <w:marRight w:val="0"/>
      <w:marTop w:val="0"/>
      <w:marBottom w:val="0"/>
      <w:divBdr>
        <w:top w:val="none" w:sz="0" w:space="0" w:color="auto"/>
        <w:left w:val="none" w:sz="0" w:space="0" w:color="auto"/>
        <w:bottom w:val="none" w:sz="0" w:space="0" w:color="auto"/>
        <w:right w:val="none" w:sz="0" w:space="0" w:color="auto"/>
      </w:divBdr>
    </w:div>
    <w:div w:id="1671256719">
      <w:bodyDiv w:val="1"/>
      <w:marLeft w:val="0"/>
      <w:marRight w:val="0"/>
      <w:marTop w:val="0"/>
      <w:marBottom w:val="0"/>
      <w:divBdr>
        <w:top w:val="none" w:sz="0" w:space="0" w:color="auto"/>
        <w:left w:val="none" w:sz="0" w:space="0" w:color="auto"/>
        <w:bottom w:val="none" w:sz="0" w:space="0" w:color="auto"/>
        <w:right w:val="none" w:sz="0" w:space="0" w:color="auto"/>
      </w:divBdr>
    </w:div>
    <w:div w:id="1671328023">
      <w:bodyDiv w:val="1"/>
      <w:marLeft w:val="0"/>
      <w:marRight w:val="0"/>
      <w:marTop w:val="0"/>
      <w:marBottom w:val="0"/>
      <w:divBdr>
        <w:top w:val="none" w:sz="0" w:space="0" w:color="auto"/>
        <w:left w:val="none" w:sz="0" w:space="0" w:color="auto"/>
        <w:bottom w:val="none" w:sz="0" w:space="0" w:color="auto"/>
        <w:right w:val="none" w:sz="0" w:space="0" w:color="auto"/>
      </w:divBdr>
    </w:div>
    <w:div w:id="1673947896">
      <w:bodyDiv w:val="1"/>
      <w:marLeft w:val="0"/>
      <w:marRight w:val="0"/>
      <w:marTop w:val="0"/>
      <w:marBottom w:val="0"/>
      <w:divBdr>
        <w:top w:val="none" w:sz="0" w:space="0" w:color="auto"/>
        <w:left w:val="none" w:sz="0" w:space="0" w:color="auto"/>
        <w:bottom w:val="none" w:sz="0" w:space="0" w:color="auto"/>
        <w:right w:val="none" w:sz="0" w:space="0" w:color="auto"/>
      </w:divBdr>
    </w:div>
    <w:div w:id="1682202775">
      <w:bodyDiv w:val="1"/>
      <w:marLeft w:val="0"/>
      <w:marRight w:val="0"/>
      <w:marTop w:val="0"/>
      <w:marBottom w:val="0"/>
      <w:divBdr>
        <w:top w:val="none" w:sz="0" w:space="0" w:color="auto"/>
        <w:left w:val="none" w:sz="0" w:space="0" w:color="auto"/>
        <w:bottom w:val="none" w:sz="0" w:space="0" w:color="auto"/>
        <w:right w:val="none" w:sz="0" w:space="0" w:color="auto"/>
      </w:divBdr>
    </w:div>
    <w:div w:id="1682975479">
      <w:bodyDiv w:val="1"/>
      <w:marLeft w:val="0"/>
      <w:marRight w:val="0"/>
      <w:marTop w:val="0"/>
      <w:marBottom w:val="0"/>
      <w:divBdr>
        <w:top w:val="none" w:sz="0" w:space="0" w:color="auto"/>
        <w:left w:val="none" w:sz="0" w:space="0" w:color="auto"/>
        <w:bottom w:val="none" w:sz="0" w:space="0" w:color="auto"/>
        <w:right w:val="none" w:sz="0" w:space="0" w:color="auto"/>
      </w:divBdr>
    </w:div>
    <w:div w:id="1683163671">
      <w:bodyDiv w:val="1"/>
      <w:marLeft w:val="0"/>
      <w:marRight w:val="0"/>
      <w:marTop w:val="0"/>
      <w:marBottom w:val="0"/>
      <w:divBdr>
        <w:top w:val="none" w:sz="0" w:space="0" w:color="auto"/>
        <w:left w:val="none" w:sz="0" w:space="0" w:color="auto"/>
        <w:bottom w:val="none" w:sz="0" w:space="0" w:color="auto"/>
        <w:right w:val="none" w:sz="0" w:space="0" w:color="auto"/>
      </w:divBdr>
    </w:div>
    <w:div w:id="1693919749">
      <w:bodyDiv w:val="1"/>
      <w:marLeft w:val="0"/>
      <w:marRight w:val="0"/>
      <w:marTop w:val="0"/>
      <w:marBottom w:val="0"/>
      <w:divBdr>
        <w:top w:val="none" w:sz="0" w:space="0" w:color="auto"/>
        <w:left w:val="none" w:sz="0" w:space="0" w:color="auto"/>
        <w:bottom w:val="none" w:sz="0" w:space="0" w:color="auto"/>
        <w:right w:val="none" w:sz="0" w:space="0" w:color="auto"/>
      </w:divBdr>
    </w:div>
    <w:div w:id="1703896364">
      <w:bodyDiv w:val="1"/>
      <w:marLeft w:val="0"/>
      <w:marRight w:val="0"/>
      <w:marTop w:val="0"/>
      <w:marBottom w:val="0"/>
      <w:divBdr>
        <w:top w:val="none" w:sz="0" w:space="0" w:color="auto"/>
        <w:left w:val="none" w:sz="0" w:space="0" w:color="auto"/>
        <w:bottom w:val="none" w:sz="0" w:space="0" w:color="auto"/>
        <w:right w:val="none" w:sz="0" w:space="0" w:color="auto"/>
      </w:divBdr>
    </w:div>
    <w:div w:id="1707100776">
      <w:bodyDiv w:val="1"/>
      <w:marLeft w:val="0"/>
      <w:marRight w:val="0"/>
      <w:marTop w:val="0"/>
      <w:marBottom w:val="0"/>
      <w:divBdr>
        <w:top w:val="none" w:sz="0" w:space="0" w:color="auto"/>
        <w:left w:val="none" w:sz="0" w:space="0" w:color="auto"/>
        <w:bottom w:val="none" w:sz="0" w:space="0" w:color="auto"/>
        <w:right w:val="none" w:sz="0" w:space="0" w:color="auto"/>
      </w:divBdr>
    </w:div>
    <w:div w:id="1719553414">
      <w:bodyDiv w:val="1"/>
      <w:marLeft w:val="0"/>
      <w:marRight w:val="0"/>
      <w:marTop w:val="0"/>
      <w:marBottom w:val="0"/>
      <w:divBdr>
        <w:top w:val="none" w:sz="0" w:space="0" w:color="auto"/>
        <w:left w:val="none" w:sz="0" w:space="0" w:color="auto"/>
        <w:bottom w:val="none" w:sz="0" w:space="0" w:color="auto"/>
        <w:right w:val="none" w:sz="0" w:space="0" w:color="auto"/>
      </w:divBdr>
    </w:div>
    <w:div w:id="1730225474">
      <w:bodyDiv w:val="1"/>
      <w:marLeft w:val="0"/>
      <w:marRight w:val="0"/>
      <w:marTop w:val="0"/>
      <w:marBottom w:val="0"/>
      <w:divBdr>
        <w:top w:val="none" w:sz="0" w:space="0" w:color="auto"/>
        <w:left w:val="none" w:sz="0" w:space="0" w:color="auto"/>
        <w:bottom w:val="none" w:sz="0" w:space="0" w:color="auto"/>
        <w:right w:val="none" w:sz="0" w:space="0" w:color="auto"/>
      </w:divBdr>
    </w:div>
    <w:div w:id="1735930760">
      <w:bodyDiv w:val="1"/>
      <w:marLeft w:val="0"/>
      <w:marRight w:val="0"/>
      <w:marTop w:val="0"/>
      <w:marBottom w:val="0"/>
      <w:divBdr>
        <w:top w:val="none" w:sz="0" w:space="0" w:color="auto"/>
        <w:left w:val="none" w:sz="0" w:space="0" w:color="auto"/>
        <w:bottom w:val="none" w:sz="0" w:space="0" w:color="auto"/>
        <w:right w:val="none" w:sz="0" w:space="0" w:color="auto"/>
      </w:divBdr>
    </w:div>
    <w:div w:id="1737317628">
      <w:bodyDiv w:val="1"/>
      <w:marLeft w:val="0"/>
      <w:marRight w:val="0"/>
      <w:marTop w:val="0"/>
      <w:marBottom w:val="0"/>
      <w:divBdr>
        <w:top w:val="none" w:sz="0" w:space="0" w:color="auto"/>
        <w:left w:val="none" w:sz="0" w:space="0" w:color="auto"/>
        <w:bottom w:val="none" w:sz="0" w:space="0" w:color="auto"/>
        <w:right w:val="none" w:sz="0" w:space="0" w:color="auto"/>
      </w:divBdr>
    </w:div>
    <w:div w:id="1748111839">
      <w:bodyDiv w:val="1"/>
      <w:marLeft w:val="0"/>
      <w:marRight w:val="0"/>
      <w:marTop w:val="0"/>
      <w:marBottom w:val="0"/>
      <w:divBdr>
        <w:top w:val="none" w:sz="0" w:space="0" w:color="auto"/>
        <w:left w:val="none" w:sz="0" w:space="0" w:color="auto"/>
        <w:bottom w:val="none" w:sz="0" w:space="0" w:color="auto"/>
        <w:right w:val="none" w:sz="0" w:space="0" w:color="auto"/>
      </w:divBdr>
    </w:div>
    <w:div w:id="1766221271">
      <w:bodyDiv w:val="1"/>
      <w:marLeft w:val="0"/>
      <w:marRight w:val="0"/>
      <w:marTop w:val="0"/>
      <w:marBottom w:val="0"/>
      <w:divBdr>
        <w:top w:val="none" w:sz="0" w:space="0" w:color="auto"/>
        <w:left w:val="none" w:sz="0" w:space="0" w:color="auto"/>
        <w:bottom w:val="none" w:sz="0" w:space="0" w:color="auto"/>
        <w:right w:val="none" w:sz="0" w:space="0" w:color="auto"/>
      </w:divBdr>
    </w:div>
    <w:div w:id="1770930890">
      <w:bodyDiv w:val="1"/>
      <w:marLeft w:val="0"/>
      <w:marRight w:val="0"/>
      <w:marTop w:val="0"/>
      <w:marBottom w:val="0"/>
      <w:divBdr>
        <w:top w:val="none" w:sz="0" w:space="0" w:color="auto"/>
        <w:left w:val="none" w:sz="0" w:space="0" w:color="auto"/>
        <w:bottom w:val="none" w:sz="0" w:space="0" w:color="auto"/>
        <w:right w:val="none" w:sz="0" w:space="0" w:color="auto"/>
      </w:divBdr>
    </w:div>
    <w:div w:id="1773089066">
      <w:bodyDiv w:val="1"/>
      <w:marLeft w:val="0"/>
      <w:marRight w:val="0"/>
      <w:marTop w:val="0"/>
      <w:marBottom w:val="0"/>
      <w:divBdr>
        <w:top w:val="none" w:sz="0" w:space="0" w:color="auto"/>
        <w:left w:val="none" w:sz="0" w:space="0" w:color="auto"/>
        <w:bottom w:val="none" w:sz="0" w:space="0" w:color="auto"/>
        <w:right w:val="none" w:sz="0" w:space="0" w:color="auto"/>
      </w:divBdr>
    </w:div>
    <w:div w:id="1779635973">
      <w:bodyDiv w:val="1"/>
      <w:marLeft w:val="0"/>
      <w:marRight w:val="0"/>
      <w:marTop w:val="0"/>
      <w:marBottom w:val="0"/>
      <w:divBdr>
        <w:top w:val="none" w:sz="0" w:space="0" w:color="auto"/>
        <w:left w:val="none" w:sz="0" w:space="0" w:color="auto"/>
        <w:bottom w:val="none" w:sz="0" w:space="0" w:color="auto"/>
        <w:right w:val="none" w:sz="0" w:space="0" w:color="auto"/>
      </w:divBdr>
    </w:div>
    <w:div w:id="1790196257">
      <w:bodyDiv w:val="1"/>
      <w:marLeft w:val="0"/>
      <w:marRight w:val="0"/>
      <w:marTop w:val="0"/>
      <w:marBottom w:val="0"/>
      <w:divBdr>
        <w:top w:val="none" w:sz="0" w:space="0" w:color="auto"/>
        <w:left w:val="none" w:sz="0" w:space="0" w:color="auto"/>
        <w:bottom w:val="none" w:sz="0" w:space="0" w:color="auto"/>
        <w:right w:val="none" w:sz="0" w:space="0" w:color="auto"/>
      </w:divBdr>
    </w:div>
    <w:div w:id="1802729641">
      <w:bodyDiv w:val="1"/>
      <w:marLeft w:val="0"/>
      <w:marRight w:val="0"/>
      <w:marTop w:val="0"/>
      <w:marBottom w:val="0"/>
      <w:divBdr>
        <w:top w:val="none" w:sz="0" w:space="0" w:color="auto"/>
        <w:left w:val="none" w:sz="0" w:space="0" w:color="auto"/>
        <w:bottom w:val="none" w:sz="0" w:space="0" w:color="auto"/>
        <w:right w:val="none" w:sz="0" w:space="0" w:color="auto"/>
      </w:divBdr>
    </w:div>
    <w:div w:id="1806122692">
      <w:bodyDiv w:val="1"/>
      <w:marLeft w:val="0"/>
      <w:marRight w:val="0"/>
      <w:marTop w:val="0"/>
      <w:marBottom w:val="0"/>
      <w:divBdr>
        <w:top w:val="none" w:sz="0" w:space="0" w:color="auto"/>
        <w:left w:val="none" w:sz="0" w:space="0" w:color="auto"/>
        <w:bottom w:val="none" w:sz="0" w:space="0" w:color="auto"/>
        <w:right w:val="none" w:sz="0" w:space="0" w:color="auto"/>
      </w:divBdr>
    </w:div>
    <w:div w:id="1807426007">
      <w:bodyDiv w:val="1"/>
      <w:marLeft w:val="0"/>
      <w:marRight w:val="0"/>
      <w:marTop w:val="0"/>
      <w:marBottom w:val="0"/>
      <w:divBdr>
        <w:top w:val="none" w:sz="0" w:space="0" w:color="auto"/>
        <w:left w:val="none" w:sz="0" w:space="0" w:color="auto"/>
        <w:bottom w:val="none" w:sz="0" w:space="0" w:color="auto"/>
        <w:right w:val="none" w:sz="0" w:space="0" w:color="auto"/>
      </w:divBdr>
    </w:div>
    <w:div w:id="1808013779">
      <w:bodyDiv w:val="1"/>
      <w:marLeft w:val="0"/>
      <w:marRight w:val="0"/>
      <w:marTop w:val="0"/>
      <w:marBottom w:val="0"/>
      <w:divBdr>
        <w:top w:val="none" w:sz="0" w:space="0" w:color="auto"/>
        <w:left w:val="none" w:sz="0" w:space="0" w:color="auto"/>
        <w:bottom w:val="none" w:sz="0" w:space="0" w:color="auto"/>
        <w:right w:val="none" w:sz="0" w:space="0" w:color="auto"/>
      </w:divBdr>
    </w:div>
    <w:div w:id="1817647473">
      <w:bodyDiv w:val="1"/>
      <w:marLeft w:val="0"/>
      <w:marRight w:val="0"/>
      <w:marTop w:val="0"/>
      <w:marBottom w:val="0"/>
      <w:divBdr>
        <w:top w:val="none" w:sz="0" w:space="0" w:color="auto"/>
        <w:left w:val="none" w:sz="0" w:space="0" w:color="auto"/>
        <w:bottom w:val="none" w:sz="0" w:space="0" w:color="auto"/>
        <w:right w:val="none" w:sz="0" w:space="0" w:color="auto"/>
      </w:divBdr>
    </w:div>
    <w:div w:id="1819611330">
      <w:bodyDiv w:val="1"/>
      <w:marLeft w:val="0"/>
      <w:marRight w:val="0"/>
      <w:marTop w:val="0"/>
      <w:marBottom w:val="0"/>
      <w:divBdr>
        <w:top w:val="none" w:sz="0" w:space="0" w:color="auto"/>
        <w:left w:val="none" w:sz="0" w:space="0" w:color="auto"/>
        <w:bottom w:val="none" w:sz="0" w:space="0" w:color="auto"/>
        <w:right w:val="none" w:sz="0" w:space="0" w:color="auto"/>
      </w:divBdr>
    </w:div>
    <w:div w:id="1839692995">
      <w:bodyDiv w:val="1"/>
      <w:marLeft w:val="0"/>
      <w:marRight w:val="0"/>
      <w:marTop w:val="0"/>
      <w:marBottom w:val="0"/>
      <w:divBdr>
        <w:top w:val="none" w:sz="0" w:space="0" w:color="auto"/>
        <w:left w:val="none" w:sz="0" w:space="0" w:color="auto"/>
        <w:bottom w:val="none" w:sz="0" w:space="0" w:color="auto"/>
        <w:right w:val="none" w:sz="0" w:space="0" w:color="auto"/>
      </w:divBdr>
    </w:div>
    <w:div w:id="1855731947">
      <w:bodyDiv w:val="1"/>
      <w:marLeft w:val="0"/>
      <w:marRight w:val="0"/>
      <w:marTop w:val="0"/>
      <w:marBottom w:val="0"/>
      <w:divBdr>
        <w:top w:val="none" w:sz="0" w:space="0" w:color="auto"/>
        <w:left w:val="none" w:sz="0" w:space="0" w:color="auto"/>
        <w:bottom w:val="none" w:sz="0" w:space="0" w:color="auto"/>
        <w:right w:val="none" w:sz="0" w:space="0" w:color="auto"/>
      </w:divBdr>
    </w:div>
    <w:div w:id="1862355178">
      <w:bodyDiv w:val="1"/>
      <w:marLeft w:val="0"/>
      <w:marRight w:val="0"/>
      <w:marTop w:val="0"/>
      <w:marBottom w:val="0"/>
      <w:divBdr>
        <w:top w:val="none" w:sz="0" w:space="0" w:color="auto"/>
        <w:left w:val="none" w:sz="0" w:space="0" w:color="auto"/>
        <w:bottom w:val="none" w:sz="0" w:space="0" w:color="auto"/>
        <w:right w:val="none" w:sz="0" w:space="0" w:color="auto"/>
      </w:divBdr>
    </w:div>
    <w:div w:id="1863470594">
      <w:bodyDiv w:val="1"/>
      <w:marLeft w:val="0"/>
      <w:marRight w:val="0"/>
      <w:marTop w:val="0"/>
      <w:marBottom w:val="0"/>
      <w:divBdr>
        <w:top w:val="none" w:sz="0" w:space="0" w:color="auto"/>
        <w:left w:val="none" w:sz="0" w:space="0" w:color="auto"/>
        <w:bottom w:val="none" w:sz="0" w:space="0" w:color="auto"/>
        <w:right w:val="none" w:sz="0" w:space="0" w:color="auto"/>
      </w:divBdr>
    </w:div>
    <w:div w:id="1872494941">
      <w:bodyDiv w:val="1"/>
      <w:marLeft w:val="0"/>
      <w:marRight w:val="0"/>
      <w:marTop w:val="0"/>
      <w:marBottom w:val="0"/>
      <w:divBdr>
        <w:top w:val="none" w:sz="0" w:space="0" w:color="auto"/>
        <w:left w:val="none" w:sz="0" w:space="0" w:color="auto"/>
        <w:bottom w:val="none" w:sz="0" w:space="0" w:color="auto"/>
        <w:right w:val="none" w:sz="0" w:space="0" w:color="auto"/>
      </w:divBdr>
    </w:div>
    <w:div w:id="1899239027">
      <w:bodyDiv w:val="1"/>
      <w:marLeft w:val="0"/>
      <w:marRight w:val="0"/>
      <w:marTop w:val="0"/>
      <w:marBottom w:val="0"/>
      <w:divBdr>
        <w:top w:val="none" w:sz="0" w:space="0" w:color="auto"/>
        <w:left w:val="none" w:sz="0" w:space="0" w:color="auto"/>
        <w:bottom w:val="none" w:sz="0" w:space="0" w:color="auto"/>
        <w:right w:val="none" w:sz="0" w:space="0" w:color="auto"/>
      </w:divBdr>
    </w:div>
    <w:div w:id="1901596027">
      <w:bodyDiv w:val="1"/>
      <w:marLeft w:val="0"/>
      <w:marRight w:val="0"/>
      <w:marTop w:val="0"/>
      <w:marBottom w:val="0"/>
      <w:divBdr>
        <w:top w:val="none" w:sz="0" w:space="0" w:color="auto"/>
        <w:left w:val="none" w:sz="0" w:space="0" w:color="auto"/>
        <w:bottom w:val="none" w:sz="0" w:space="0" w:color="auto"/>
        <w:right w:val="none" w:sz="0" w:space="0" w:color="auto"/>
      </w:divBdr>
    </w:div>
    <w:div w:id="1904636962">
      <w:bodyDiv w:val="1"/>
      <w:marLeft w:val="0"/>
      <w:marRight w:val="0"/>
      <w:marTop w:val="0"/>
      <w:marBottom w:val="0"/>
      <w:divBdr>
        <w:top w:val="none" w:sz="0" w:space="0" w:color="auto"/>
        <w:left w:val="none" w:sz="0" w:space="0" w:color="auto"/>
        <w:bottom w:val="none" w:sz="0" w:space="0" w:color="auto"/>
        <w:right w:val="none" w:sz="0" w:space="0" w:color="auto"/>
      </w:divBdr>
    </w:div>
    <w:div w:id="1906643421">
      <w:bodyDiv w:val="1"/>
      <w:marLeft w:val="0"/>
      <w:marRight w:val="0"/>
      <w:marTop w:val="0"/>
      <w:marBottom w:val="0"/>
      <w:divBdr>
        <w:top w:val="none" w:sz="0" w:space="0" w:color="auto"/>
        <w:left w:val="none" w:sz="0" w:space="0" w:color="auto"/>
        <w:bottom w:val="none" w:sz="0" w:space="0" w:color="auto"/>
        <w:right w:val="none" w:sz="0" w:space="0" w:color="auto"/>
      </w:divBdr>
    </w:div>
    <w:div w:id="1918442013">
      <w:bodyDiv w:val="1"/>
      <w:marLeft w:val="0"/>
      <w:marRight w:val="0"/>
      <w:marTop w:val="0"/>
      <w:marBottom w:val="0"/>
      <w:divBdr>
        <w:top w:val="none" w:sz="0" w:space="0" w:color="auto"/>
        <w:left w:val="none" w:sz="0" w:space="0" w:color="auto"/>
        <w:bottom w:val="none" w:sz="0" w:space="0" w:color="auto"/>
        <w:right w:val="none" w:sz="0" w:space="0" w:color="auto"/>
      </w:divBdr>
    </w:div>
    <w:div w:id="1924952570">
      <w:bodyDiv w:val="1"/>
      <w:marLeft w:val="0"/>
      <w:marRight w:val="0"/>
      <w:marTop w:val="0"/>
      <w:marBottom w:val="0"/>
      <w:divBdr>
        <w:top w:val="none" w:sz="0" w:space="0" w:color="auto"/>
        <w:left w:val="none" w:sz="0" w:space="0" w:color="auto"/>
        <w:bottom w:val="none" w:sz="0" w:space="0" w:color="auto"/>
        <w:right w:val="none" w:sz="0" w:space="0" w:color="auto"/>
      </w:divBdr>
    </w:div>
    <w:div w:id="1939018496">
      <w:bodyDiv w:val="1"/>
      <w:marLeft w:val="0"/>
      <w:marRight w:val="0"/>
      <w:marTop w:val="0"/>
      <w:marBottom w:val="0"/>
      <w:divBdr>
        <w:top w:val="none" w:sz="0" w:space="0" w:color="auto"/>
        <w:left w:val="none" w:sz="0" w:space="0" w:color="auto"/>
        <w:bottom w:val="none" w:sz="0" w:space="0" w:color="auto"/>
        <w:right w:val="none" w:sz="0" w:space="0" w:color="auto"/>
      </w:divBdr>
    </w:div>
    <w:div w:id="1939174142">
      <w:bodyDiv w:val="1"/>
      <w:marLeft w:val="0"/>
      <w:marRight w:val="0"/>
      <w:marTop w:val="0"/>
      <w:marBottom w:val="0"/>
      <w:divBdr>
        <w:top w:val="none" w:sz="0" w:space="0" w:color="auto"/>
        <w:left w:val="none" w:sz="0" w:space="0" w:color="auto"/>
        <w:bottom w:val="none" w:sz="0" w:space="0" w:color="auto"/>
        <w:right w:val="none" w:sz="0" w:space="0" w:color="auto"/>
      </w:divBdr>
    </w:div>
    <w:div w:id="1943880291">
      <w:bodyDiv w:val="1"/>
      <w:marLeft w:val="0"/>
      <w:marRight w:val="0"/>
      <w:marTop w:val="0"/>
      <w:marBottom w:val="0"/>
      <w:divBdr>
        <w:top w:val="none" w:sz="0" w:space="0" w:color="auto"/>
        <w:left w:val="none" w:sz="0" w:space="0" w:color="auto"/>
        <w:bottom w:val="none" w:sz="0" w:space="0" w:color="auto"/>
        <w:right w:val="none" w:sz="0" w:space="0" w:color="auto"/>
      </w:divBdr>
    </w:div>
    <w:div w:id="1952013094">
      <w:bodyDiv w:val="1"/>
      <w:marLeft w:val="0"/>
      <w:marRight w:val="0"/>
      <w:marTop w:val="0"/>
      <w:marBottom w:val="0"/>
      <w:divBdr>
        <w:top w:val="none" w:sz="0" w:space="0" w:color="auto"/>
        <w:left w:val="none" w:sz="0" w:space="0" w:color="auto"/>
        <w:bottom w:val="none" w:sz="0" w:space="0" w:color="auto"/>
        <w:right w:val="none" w:sz="0" w:space="0" w:color="auto"/>
      </w:divBdr>
    </w:div>
    <w:div w:id="1956018570">
      <w:bodyDiv w:val="1"/>
      <w:marLeft w:val="0"/>
      <w:marRight w:val="0"/>
      <w:marTop w:val="0"/>
      <w:marBottom w:val="0"/>
      <w:divBdr>
        <w:top w:val="none" w:sz="0" w:space="0" w:color="auto"/>
        <w:left w:val="none" w:sz="0" w:space="0" w:color="auto"/>
        <w:bottom w:val="none" w:sz="0" w:space="0" w:color="auto"/>
        <w:right w:val="none" w:sz="0" w:space="0" w:color="auto"/>
      </w:divBdr>
    </w:div>
    <w:div w:id="1962228842">
      <w:bodyDiv w:val="1"/>
      <w:marLeft w:val="0"/>
      <w:marRight w:val="0"/>
      <w:marTop w:val="0"/>
      <w:marBottom w:val="0"/>
      <w:divBdr>
        <w:top w:val="none" w:sz="0" w:space="0" w:color="auto"/>
        <w:left w:val="none" w:sz="0" w:space="0" w:color="auto"/>
        <w:bottom w:val="none" w:sz="0" w:space="0" w:color="auto"/>
        <w:right w:val="none" w:sz="0" w:space="0" w:color="auto"/>
      </w:divBdr>
    </w:div>
    <w:div w:id="1964846533">
      <w:bodyDiv w:val="1"/>
      <w:marLeft w:val="0"/>
      <w:marRight w:val="0"/>
      <w:marTop w:val="0"/>
      <w:marBottom w:val="0"/>
      <w:divBdr>
        <w:top w:val="none" w:sz="0" w:space="0" w:color="auto"/>
        <w:left w:val="none" w:sz="0" w:space="0" w:color="auto"/>
        <w:bottom w:val="none" w:sz="0" w:space="0" w:color="auto"/>
        <w:right w:val="none" w:sz="0" w:space="0" w:color="auto"/>
      </w:divBdr>
    </w:div>
    <w:div w:id="1966082795">
      <w:bodyDiv w:val="1"/>
      <w:marLeft w:val="0"/>
      <w:marRight w:val="0"/>
      <w:marTop w:val="0"/>
      <w:marBottom w:val="0"/>
      <w:divBdr>
        <w:top w:val="none" w:sz="0" w:space="0" w:color="auto"/>
        <w:left w:val="none" w:sz="0" w:space="0" w:color="auto"/>
        <w:bottom w:val="none" w:sz="0" w:space="0" w:color="auto"/>
        <w:right w:val="none" w:sz="0" w:space="0" w:color="auto"/>
      </w:divBdr>
    </w:div>
    <w:div w:id="1968848665">
      <w:bodyDiv w:val="1"/>
      <w:marLeft w:val="0"/>
      <w:marRight w:val="0"/>
      <w:marTop w:val="0"/>
      <w:marBottom w:val="0"/>
      <w:divBdr>
        <w:top w:val="none" w:sz="0" w:space="0" w:color="auto"/>
        <w:left w:val="none" w:sz="0" w:space="0" w:color="auto"/>
        <w:bottom w:val="none" w:sz="0" w:space="0" w:color="auto"/>
        <w:right w:val="none" w:sz="0" w:space="0" w:color="auto"/>
      </w:divBdr>
    </w:div>
    <w:div w:id="1970545851">
      <w:bodyDiv w:val="1"/>
      <w:marLeft w:val="0"/>
      <w:marRight w:val="0"/>
      <w:marTop w:val="0"/>
      <w:marBottom w:val="0"/>
      <w:divBdr>
        <w:top w:val="none" w:sz="0" w:space="0" w:color="auto"/>
        <w:left w:val="none" w:sz="0" w:space="0" w:color="auto"/>
        <w:bottom w:val="none" w:sz="0" w:space="0" w:color="auto"/>
        <w:right w:val="none" w:sz="0" w:space="0" w:color="auto"/>
      </w:divBdr>
    </w:div>
    <w:div w:id="1990088607">
      <w:bodyDiv w:val="1"/>
      <w:marLeft w:val="0"/>
      <w:marRight w:val="0"/>
      <w:marTop w:val="0"/>
      <w:marBottom w:val="0"/>
      <w:divBdr>
        <w:top w:val="none" w:sz="0" w:space="0" w:color="auto"/>
        <w:left w:val="none" w:sz="0" w:space="0" w:color="auto"/>
        <w:bottom w:val="none" w:sz="0" w:space="0" w:color="auto"/>
        <w:right w:val="none" w:sz="0" w:space="0" w:color="auto"/>
      </w:divBdr>
    </w:div>
    <w:div w:id="1990548241">
      <w:bodyDiv w:val="1"/>
      <w:marLeft w:val="0"/>
      <w:marRight w:val="0"/>
      <w:marTop w:val="0"/>
      <w:marBottom w:val="0"/>
      <w:divBdr>
        <w:top w:val="none" w:sz="0" w:space="0" w:color="auto"/>
        <w:left w:val="none" w:sz="0" w:space="0" w:color="auto"/>
        <w:bottom w:val="none" w:sz="0" w:space="0" w:color="auto"/>
        <w:right w:val="none" w:sz="0" w:space="0" w:color="auto"/>
      </w:divBdr>
    </w:div>
    <w:div w:id="1997149195">
      <w:bodyDiv w:val="1"/>
      <w:marLeft w:val="0"/>
      <w:marRight w:val="0"/>
      <w:marTop w:val="0"/>
      <w:marBottom w:val="0"/>
      <w:divBdr>
        <w:top w:val="none" w:sz="0" w:space="0" w:color="auto"/>
        <w:left w:val="none" w:sz="0" w:space="0" w:color="auto"/>
        <w:bottom w:val="none" w:sz="0" w:space="0" w:color="auto"/>
        <w:right w:val="none" w:sz="0" w:space="0" w:color="auto"/>
      </w:divBdr>
    </w:div>
    <w:div w:id="1998991514">
      <w:bodyDiv w:val="1"/>
      <w:marLeft w:val="0"/>
      <w:marRight w:val="0"/>
      <w:marTop w:val="0"/>
      <w:marBottom w:val="0"/>
      <w:divBdr>
        <w:top w:val="none" w:sz="0" w:space="0" w:color="auto"/>
        <w:left w:val="none" w:sz="0" w:space="0" w:color="auto"/>
        <w:bottom w:val="none" w:sz="0" w:space="0" w:color="auto"/>
        <w:right w:val="none" w:sz="0" w:space="0" w:color="auto"/>
      </w:divBdr>
    </w:div>
    <w:div w:id="2004812406">
      <w:bodyDiv w:val="1"/>
      <w:marLeft w:val="0"/>
      <w:marRight w:val="0"/>
      <w:marTop w:val="0"/>
      <w:marBottom w:val="0"/>
      <w:divBdr>
        <w:top w:val="none" w:sz="0" w:space="0" w:color="auto"/>
        <w:left w:val="none" w:sz="0" w:space="0" w:color="auto"/>
        <w:bottom w:val="none" w:sz="0" w:space="0" w:color="auto"/>
        <w:right w:val="none" w:sz="0" w:space="0" w:color="auto"/>
      </w:divBdr>
    </w:div>
    <w:div w:id="2031639275">
      <w:bodyDiv w:val="1"/>
      <w:marLeft w:val="0"/>
      <w:marRight w:val="0"/>
      <w:marTop w:val="0"/>
      <w:marBottom w:val="0"/>
      <w:divBdr>
        <w:top w:val="none" w:sz="0" w:space="0" w:color="auto"/>
        <w:left w:val="none" w:sz="0" w:space="0" w:color="auto"/>
        <w:bottom w:val="none" w:sz="0" w:space="0" w:color="auto"/>
        <w:right w:val="none" w:sz="0" w:space="0" w:color="auto"/>
      </w:divBdr>
    </w:div>
    <w:div w:id="2032562592">
      <w:bodyDiv w:val="1"/>
      <w:marLeft w:val="0"/>
      <w:marRight w:val="0"/>
      <w:marTop w:val="0"/>
      <w:marBottom w:val="0"/>
      <w:divBdr>
        <w:top w:val="none" w:sz="0" w:space="0" w:color="auto"/>
        <w:left w:val="none" w:sz="0" w:space="0" w:color="auto"/>
        <w:bottom w:val="none" w:sz="0" w:space="0" w:color="auto"/>
        <w:right w:val="none" w:sz="0" w:space="0" w:color="auto"/>
      </w:divBdr>
    </w:div>
    <w:div w:id="2034335349">
      <w:bodyDiv w:val="1"/>
      <w:marLeft w:val="0"/>
      <w:marRight w:val="0"/>
      <w:marTop w:val="0"/>
      <w:marBottom w:val="0"/>
      <w:divBdr>
        <w:top w:val="none" w:sz="0" w:space="0" w:color="auto"/>
        <w:left w:val="none" w:sz="0" w:space="0" w:color="auto"/>
        <w:bottom w:val="none" w:sz="0" w:space="0" w:color="auto"/>
        <w:right w:val="none" w:sz="0" w:space="0" w:color="auto"/>
      </w:divBdr>
    </w:div>
    <w:div w:id="2046634495">
      <w:bodyDiv w:val="1"/>
      <w:marLeft w:val="0"/>
      <w:marRight w:val="0"/>
      <w:marTop w:val="0"/>
      <w:marBottom w:val="0"/>
      <w:divBdr>
        <w:top w:val="none" w:sz="0" w:space="0" w:color="auto"/>
        <w:left w:val="none" w:sz="0" w:space="0" w:color="auto"/>
        <w:bottom w:val="none" w:sz="0" w:space="0" w:color="auto"/>
        <w:right w:val="none" w:sz="0" w:space="0" w:color="auto"/>
      </w:divBdr>
    </w:div>
    <w:div w:id="2052412649">
      <w:bodyDiv w:val="1"/>
      <w:marLeft w:val="0"/>
      <w:marRight w:val="0"/>
      <w:marTop w:val="0"/>
      <w:marBottom w:val="0"/>
      <w:divBdr>
        <w:top w:val="none" w:sz="0" w:space="0" w:color="auto"/>
        <w:left w:val="none" w:sz="0" w:space="0" w:color="auto"/>
        <w:bottom w:val="none" w:sz="0" w:space="0" w:color="auto"/>
        <w:right w:val="none" w:sz="0" w:space="0" w:color="auto"/>
      </w:divBdr>
    </w:div>
    <w:div w:id="2060280856">
      <w:bodyDiv w:val="1"/>
      <w:marLeft w:val="0"/>
      <w:marRight w:val="0"/>
      <w:marTop w:val="0"/>
      <w:marBottom w:val="0"/>
      <w:divBdr>
        <w:top w:val="none" w:sz="0" w:space="0" w:color="auto"/>
        <w:left w:val="none" w:sz="0" w:space="0" w:color="auto"/>
        <w:bottom w:val="none" w:sz="0" w:space="0" w:color="auto"/>
        <w:right w:val="none" w:sz="0" w:space="0" w:color="auto"/>
      </w:divBdr>
    </w:div>
    <w:div w:id="2062633262">
      <w:bodyDiv w:val="1"/>
      <w:marLeft w:val="0"/>
      <w:marRight w:val="0"/>
      <w:marTop w:val="0"/>
      <w:marBottom w:val="0"/>
      <w:divBdr>
        <w:top w:val="none" w:sz="0" w:space="0" w:color="auto"/>
        <w:left w:val="none" w:sz="0" w:space="0" w:color="auto"/>
        <w:bottom w:val="none" w:sz="0" w:space="0" w:color="auto"/>
        <w:right w:val="none" w:sz="0" w:space="0" w:color="auto"/>
      </w:divBdr>
    </w:div>
    <w:div w:id="2070565712">
      <w:bodyDiv w:val="1"/>
      <w:marLeft w:val="0"/>
      <w:marRight w:val="0"/>
      <w:marTop w:val="0"/>
      <w:marBottom w:val="0"/>
      <w:divBdr>
        <w:top w:val="none" w:sz="0" w:space="0" w:color="auto"/>
        <w:left w:val="none" w:sz="0" w:space="0" w:color="auto"/>
        <w:bottom w:val="none" w:sz="0" w:space="0" w:color="auto"/>
        <w:right w:val="none" w:sz="0" w:space="0" w:color="auto"/>
      </w:divBdr>
    </w:div>
    <w:div w:id="2073041220">
      <w:bodyDiv w:val="1"/>
      <w:marLeft w:val="0"/>
      <w:marRight w:val="0"/>
      <w:marTop w:val="0"/>
      <w:marBottom w:val="0"/>
      <w:divBdr>
        <w:top w:val="none" w:sz="0" w:space="0" w:color="auto"/>
        <w:left w:val="none" w:sz="0" w:space="0" w:color="auto"/>
        <w:bottom w:val="none" w:sz="0" w:space="0" w:color="auto"/>
        <w:right w:val="none" w:sz="0" w:space="0" w:color="auto"/>
      </w:divBdr>
    </w:div>
    <w:div w:id="2077625214">
      <w:bodyDiv w:val="1"/>
      <w:marLeft w:val="0"/>
      <w:marRight w:val="0"/>
      <w:marTop w:val="0"/>
      <w:marBottom w:val="0"/>
      <w:divBdr>
        <w:top w:val="none" w:sz="0" w:space="0" w:color="auto"/>
        <w:left w:val="none" w:sz="0" w:space="0" w:color="auto"/>
        <w:bottom w:val="none" w:sz="0" w:space="0" w:color="auto"/>
        <w:right w:val="none" w:sz="0" w:space="0" w:color="auto"/>
      </w:divBdr>
    </w:div>
    <w:div w:id="2079593354">
      <w:bodyDiv w:val="1"/>
      <w:marLeft w:val="0"/>
      <w:marRight w:val="0"/>
      <w:marTop w:val="0"/>
      <w:marBottom w:val="0"/>
      <w:divBdr>
        <w:top w:val="none" w:sz="0" w:space="0" w:color="auto"/>
        <w:left w:val="none" w:sz="0" w:space="0" w:color="auto"/>
        <w:bottom w:val="none" w:sz="0" w:space="0" w:color="auto"/>
        <w:right w:val="none" w:sz="0" w:space="0" w:color="auto"/>
      </w:divBdr>
    </w:div>
    <w:div w:id="2081563245">
      <w:bodyDiv w:val="1"/>
      <w:marLeft w:val="0"/>
      <w:marRight w:val="0"/>
      <w:marTop w:val="0"/>
      <w:marBottom w:val="0"/>
      <w:divBdr>
        <w:top w:val="none" w:sz="0" w:space="0" w:color="auto"/>
        <w:left w:val="none" w:sz="0" w:space="0" w:color="auto"/>
        <w:bottom w:val="none" w:sz="0" w:space="0" w:color="auto"/>
        <w:right w:val="none" w:sz="0" w:space="0" w:color="auto"/>
      </w:divBdr>
    </w:div>
    <w:div w:id="2085369869">
      <w:bodyDiv w:val="1"/>
      <w:marLeft w:val="0"/>
      <w:marRight w:val="0"/>
      <w:marTop w:val="0"/>
      <w:marBottom w:val="0"/>
      <w:divBdr>
        <w:top w:val="none" w:sz="0" w:space="0" w:color="auto"/>
        <w:left w:val="none" w:sz="0" w:space="0" w:color="auto"/>
        <w:bottom w:val="none" w:sz="0" w:space="0" w:color="auto"/>
        <w:right w:val="none" w:sz="0" w:space="0" w:color="auto"/>
      </w:divBdr>
    </w:div>
    <w:div w:id="2089500698">
      <w:bodyDiv w:val="1"/>
      <w:marLeft w:val="0"/>
      <w:marRight w:val="0"/>
      <w:marTop w:val="0"/>
      <w:marBottom w:val="0"/>
      <w:divBdr>
        <w:top w:val="none" w:sz="0" w:space="0" w:color="auto"/>
        <w:left w:val="none" w:sz="0" w:space="0" w:color="auto"/>
        <w:bottom w:val="none" w:sz="0" w:space="0" w:color="auto"/>
        <w:right w:val="none" w:sz="0" w:space="0" w:color="auto"/>
      </w:divBdr>
    </w:div>
    <w:div w:id="2090957099">
      <w:bodyDiv w:val="1"/>
      <w:marLeft w:val="0"/>
      <w:marRight w:val="0"/>
      <w:marTop w:val="0"/>
      <w:marBottom w:val="0"/>
      <w:divBdr>
        <w:top w:val="none" w:sz="0" w:space="0" w:color="auto"/>
        <w:left w:val="none" w:sz="0" w:space="0" w:color="auto"/>
        <w:bottom w:val="none" w:sz="0" w:space="0" w:color="auto"/>
        <w:right w:val="none" w:sz="0" w:space="0" w:color="auto"/>
      </w:divBdr>
    </w:div>
    <w:div w:id="2094430216">
      <w:bodyDiv w:val="1"/>
      <w:marLeft w:val="0"/>
      <w:marRight w:val="0"/>
      <w:marTop w:val="0"/>
      <w:marBottom w:val="0"/>
      <w:divBdr>
        <w:top w:val="none" w:sz="0" w:space="0" w:color="auto"/>
        <w:left w:val="none" w:sz="0" w:space="0" w:color="auto"/>
        <w:bottom w:val="none" w:sz="0" w:space="0" w:color="auto"/>
        <w:right w:val="none" w:sz="0" w:space="0" w:color="auto"/>
      </w:divBdr>
    </w:div>
    <w:div w:id="2110537385">
      <w:bodyDiv w:val="1"/>
      <w:marLeft w:val="0"/>
      <w:marRight w:val="0"/>
      <w:marTop w:val="0"/>
      <w:marBottom w:val="0"/>
      <w:divBdr>
        <w:top w:val="none" w:sz="0" w:space="0" w:color="auto"/>
        <w:left w:val="none" w:sz="0" w:space="0" w:color="auto"/>
        <w:bottom w:val="none" w:sz="0" w:space="0" w:color="auto"/>
        <w:right w:val="none" w:sz="0" w:space="0" w:color="auto"/>
      </w:divBdr>
    </w:div>
    <w:div w:id="2120489655">
      <w:bodyDiv w:val="1"/>
      <w:marLeft w:val="0"/>
      <w:marRight w:val="0"/>
      <w:marTop w:val="0"/>
      <w:marBottom w:val="0"/>
      <w:divBdr>
        <w:top w:val="none" w:sz="0" w:space="0" w:color="auto"/>
        <w:left w:val="none" w:sz="0" w:space="0" w:color="auto"/>
        <w:bottom w:val="none" w:sz="0" w:space="0" w:color="auto"/>
        <w:right w:val="none" w:sz="0" w:space="0" w:color="auto"/>
      </w:divBdr>
    </w:div>
    <w:div w:id="2120759396">
      <w:bodyDiv w:val="1"/>
      <w:marLeft w:val="0"/>
      <w:marRight w:val="0"/>
      <w:marTop w:val="0"/>
      <w:marBottom w:val="0"/>
      <w:divBdr>
        <w:top w:val="none" w:sz="0" w:space="0" w:color="auto"/>
        <w:left w:val="none" w:sz="0" w:space="0" w:color="auto"/>
        <w:bottom w:val="none" w:sz="0" w:space="0" w:color="auto"/>
        <w:right w:val="none" w:sz="0" w:space="0" w:color="auto"/>
      </w:divBdr>
    </w:div>
    <w:div w:id="2122799798">
      <w:bodyDiv w:val="1"/>
      <w:marLeft w:val="0"/>
      <w:marRight w:val="0"/>
      <w:marTop w:val="0"/>
      <w:marBottom w:val="0"/>
      <w:divBdr>
        <w:top w:val="none" w:sz="0" w:space="0" w:color="auto"/>
        <w:left w:val="none" w:sz="0" w:space="0" w:color="auto"/>
        <w:bottom w:val="none" w:sz="0" w:space="0" w:color="auto"/>
        <w:right w:val="none" w:sz="0" w:space="0" w:color="auto"/>
      </w:divBdr>
    </w:div>
    <w:div w:id="2128697078">
      <w:bodyDiv w:val="1"/>
      <w:marLeft w:val="0"/>
      <w:marRight w:val="0"/>
      <w:marTop w:val="0"/>
      <w:marBottom w:val="0"/>
      <w:divBdr>
        <w:top w:val="none" w:sz="0" w:space="0" w:color="auto"/>
        <w:left w:val="none" w:sz="0" w:space="0" w:color="auto"/>
        <w:bottom w:val="none" w:sz="0" w:space="0" w:color="auto"/>
        <w:right w:val="none" w:sz="0" w:space="0" w:color="auto"/>
      </w:divBdr>
    </w:div>
    <w:div w:id="2130006083">
      <w:bodyDiv w:val="1"/>
      <w:marLeft w:val="0"/>
      <w:marRight w:val="0"/>
      <w:marTop w:val="0"/>
      <w:marBottom w:val="0"/>
      <w:divBdr>
        <w:top w:val="none" w:sz="0" w:space="0" w:color="auto"/>
        <w:left w:val="none" w:sz="0" w:space="0" w:color="auto"/>
        <w:bottom w:val="none" w:sz="0" w:space="0" w:color="auto"/>
        <w:right w:val="none" w:sz="0" w:space="0" w:color="auto"/>
      </w:divBdr>
    </w:div>
    <w:div w:id="2134442603">
      <w:bodyDiv w:val="1"/>
      <w:marLeft w:val="0"/>
      <w:marRight w:val="0"/>
      <w:marTop w:val="0"/>
      <w:marBottom w:val="0"/>
      <w:divBdr>
        <w:top w:val="none" w:sz="0" w:space="0" w:color="auto"/>
        <w:left w:val="none" w:sz="0" w:space="0" w:color="auto"/>
        <w:bottom w:val="none" w:sz="0" w:space="0" w:color="auto"/>
        <w:right w:val="none" w:sz="0" w:space="0" w:color="auto"/>
      </w:divBdr>
    </w:div>
    <w:div w:id="2139372735">
      <w:bodyDiv w:val="1"/>
      <w:marLeft w:val="0"/>
      <w:marRight w:val="0"/>
      <w:marTop w:val="0"/>
      <w:marBottom w:val="0"/>
      <w:divBdr>
        <w:top w:val="none" w:sz="0" w:space="0" w:color="auto"/>
        <w:left w:val="none" w:sz="0" w:space="0" w:color="auto"/>
        <w:bottom w:val="none" w:sz="0" w:space="0" w:color="auto"/>
        <w:right w:val="none" w:sz="0" w:space="0" w:color="auto"/>
      </w:divBdr>
    </w:div>
    <w:div w:id="2140563561">
      <w:bodyDiv w:val="1"/>
      <w:marLeft w:val="0"/>
      <w:marRight w:val="0"/>
      <w:marTop w:val="0"/>
      <w:marBottom w:val="0"/>
      <w:divBdr>
        <w:top w:val="none" w:sz="0" w:space="0" w:color="auto"/>
        <w:left w:val="none" w:sz="0" w:space="0" w:color="auto"/>
        <w:bottom w:val="none" w:sz="0" w:space="0" w:color="auto"/>
        <w:right w:val="none" w:sz="0" w:space="0" w:color="auto"/>
      </w:divBdr>
    </w:div>
    <w:div w:id="214476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image" Target="media/image1.emf"/><Relationship Id="rId26" Type="http://schemas.openxmlformats.org/officeDocument/2006/relationships/package" Target="embeddings/Microsoft_Office_Excel_Worksheet1.xlsx"/><Relationship Id="rId3" Type="http://schemas.openxmlformats.org/officeDocument/2006/relationships/styles" Target="styles.xml"/><Relationship Id="rId21" Type="http://schemas.openxmlformats.org/officeDocument/2006/relationships/hyperlink" Target="http://www3.lancashire.gov.uk/corporate/atoz/a_to_z/service.asp?u_id=969&amp;tab=1"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3.xm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hyperlink" Target="http://www.yourpensionservic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Jill.Tulasiewicz@neweratrust.com" TargetMode="External"/><Relationship Id="rId5" Type="http://schemas.openxmlformats.org/officeDocument/2006/relationships/webSettings" Target="webSettings.xml"/><Relationship Id="rId15" Type="http://schemas.openxmlformats.org/officeDocument/2006/relationships/hyperlink" Target="http://www.lancashire.gov.uk" TargetMode="External"/><Relationship Id="rId23" Type="http://schemas.openxmlformats.org/officeDocument/2006/relationships/hyperlink" Target="http://www.companieshouse.gov.uk" TargetMode="External"/><Relationship Id="rId28" Type="http://schemas.openxmlformats.org/officeDocument/2006/relationships/chart" Target="charts/chart6.xml"/><Relationship Id="rId10" Type="http://schemas.openxmlformats.org/officeDocument/2006/relationships/hyperlink" Target="http://council.lancashire.gov.uk/ieListMeetings.aspx?CommitteeId=122" TargetMode="External"/><Relationship Id="rId19" Type="http://schemas.openxmlformats.org/officeDocument/2006/relationships/chart" Target="charts/chart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 Id="rId22" Type="http://schemas.openxmlformats.org/officeDocument/2006/relationships/hyperlink" Target="http://www.companieshouse.gov.uk" TargetMode="External"/><Relationship Id="rId27" Type="http://schemas.openxmlformats.org/officeDocument/2006/relationships/hyperlink" Target="http://www.yourpensionservice.org.uk"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orpdata02\res\Finance\Central%20FT\capital\Closure\LCC%202011-12\Charts%20For%202011-12%20Capital%20Spendi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orpdata02\res\Finance\TreasMan\CashMan\Tman\TM%20reports\County\2011-2012\Year%20End%20Report\Debt%20Interest%20Paid.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ormerod002\Local%20Settings\Temporary%20Internet%20Files\Content.Outlook\6CD43SUE\Investment%20Table%2022MAY1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orpdata02\res\Finance\TreasMan\CashMan\Tman\YEAREND\11-12\Debt\Debt%20Monitoring%2011-12%20year%20end.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orpdata02\res\Finance\TreasMan\CashMan\Tman\YEAREND\11-12\Debt\Debt%20Monitoring%2011-12%20year%20end.xls"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25542916235781504"/>
          <c:y val="1.6949152542373128E-2"/>
          <c:w val="0.71561530506721749"/>
          <c:h val="0.90508474576269948"/>
        </c:manualLayout>
      </c:layout>
      <c:barChart>
        <c:barDir val="bar"/>
        <c:grouping val="clustered"/>
        <c:ser>
          <c:idx val="0"/>
          <c:order val="0"/>
          <c:spPr>
            <a:solidFill>
              <a:srgbClr val="9999FF"/>
            </a:solidFill>
            <a:ln w="12700">
              <a:solidFill>
                <a:srgbClr val="000000"/>
              </a:solidFill>
              <a:prstDash val="solid"/>
            </a:ln>
          </c:spPr>
          <c:dLbls>
            <c:spPr>
              <a:noFill/>
              <a:ln w="25400">
                <a:noFill/>
              </a:ln>
            </c:spPr>
            <c:txPr>
              <a:bodyPr/>
              <a:lstStyle/>
              <a:p>
                <a:pPr>
                  <a:defRPr sz="1200" b="0" i="0" u="none" strike="noStrike" baseline="0">
                    <a:solidFill>
                      <a:srgbClr val="000000"/>
                    </a:solidFill>
                    <a:latin typeface="Arial"/>
                    <a:ea typeface="Arial"/>
                    <a:cs typeface="Arial"/>
                  </a:defRPr>
                </a:pPr>
                <a:endParaRPr lang="en-US"/>
              </a:p>
            </c:txPr>
            <c:showVal val="1"/>
          </c:dLbls>
          <c:cat>
            <c:strRef>
              <c:f>'Data for Chart 1'!$A$5:$A$14</c:f>
              <c:strCache>
                <c:ptCount val="10"/>
                <c:pt idx="0">
                  <c:v>Lancashire County Commercial Group</c:v>
                </c:pt>
                <c:pt idx="1">
                  <c:v>Central services</c:v>
                </c:pt>
                <c:pt idx="2">
                  <c:v>Libraries and museums and other community services</c:v>
                </c:pt>
                <c:pt idx="3">
                  <c:v>Adult social care</c:v>
                </c:pt>
                <c:pt idx="4">
                  <c:v>Environment-other services</c:v>
                </c:pt>
                <c:pt idx="5">
                  <c:v>Environment transport </c:v>
                </c:pt>
                <c:pt idx="6">
                  <c:v>Special Schools</c:v>
                </c:pt>
                <c:pt idx="7">
                  <c:v>Child care &amp; family services</c:v>
                </c:pt>
                <c:pt idx="8">
                  <c:v>Youth and Other</c:v>
                </c:pt>
                <c:pt idx="9">
                  <c:v>Schools &amp; Academies</c:v>
                </c:pt>
              </c:strCache>
            </c:strRef>
          </c:cat>
          <c:val>
            <c:numRef>
              <c:f>'Data for Chart 1'!$B$5:$B$14</c:f>
              <c:numCache>
                <c:formatCode>0.0</c:formatCode>
                <c:ptCount val="10"/>
                <c:pt idx="0">
                  <c:v>3</c:v>
                </c:pt>
                <c:pt idx="1">
                  <c:v>19.2</c:v>
                </c:pt>
                <c:pt idx="2">
                  <c:v>5.0999999999999996</c:v>
                </c:pt>
                <c:pt idx="3">
                  <c:v>3.1</c:v>
                </c:pt>
                <c:pt idx="4">
                  <c:v>4.0999999999999996</c:v>
                </c:pt>
                <c:pt idx="5">
                  <c:v>51.8</c:v>
                </c:pt>
                <c:pt idx="6">
                  <c:v>6.9</c:v>
                </c:pt>
                <c:pt idx="7">
                  <c:v>3.5</c:v>
                </c:pt>
                <c:pt idx="8">
                  <c:v>2.2999999999999998</c:v>
                </c:pt>
                <c:pt idx="9">
                  <c:v>53.2</c:v>
                </c:pt>
              </c:numCache>
            </c:numRef>
          </c:val>
        </c:ser>
        <c:axId val="99112832"/>
        <c:axId val="99114368"/>
      </c:barChart>
      <c:catAx>
        <c:axId val="99112832"/>
        <c:scaling>
          <c:orientation val="minMax"/>
        </c:scaling>
        <c:axPos val="l"/>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99114368"/>
        <c:crosses val="autoZero"/>
        <c:auto val="1"/>
        <c:lblAlgn val="ctr"/>
        <c:lblOffset val="100"/>
        <c:tickLblSkip val="1"/>
        <c:tickMarkSkip val="1"/>
      </c:catAx>
      <c:valAx>
        <c:axId val="99114368"/>
        <c:scaling>
          <c:orientation val="minMax"/>
        </c:scaling>
        <c:axPos val="b"/>
        <c:numFmt formatCode="0.0"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99112832"/>
        <c:crosses val="autoZero"/>
        <c:crossBetween val="between"/>
      </c:valAx>
      <c:spPr>
        <a:noFill/>
        <a:ln w="25400">
          <a:noFill/>
        </a:ln>
      </c:spPr>
    </c:plotArea>
    <c:plotVisOnly val="1"/>
    <c:dispBlanksAs val="gap"/>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LCC Borrowing at 31.3.12 and average 2011/12 interest rate </a:t>
            </a:r>
          </a:p>
          <a:p>
            <a:pPr>
              <a:defRPr/>
            </a:pPr>
            <a:endParaRPr lang="en-GB"/>
          </a:p>
        </c:rich>
      </c:tx>
      <c:layout>
        <c:manualLayout>
          <c:xMode val="edge"/>
          <c:yMode val="edge"/>
          <c:x val="0.12008333333333333"/>
          <c:y val="4.0241720448073955E-2"/>
        </c:manualLayout>
      </c:layout>
    </c:title>
    <c:plotArea>
      <c:layout/>
      <c:pieChart>
        <c:varyColors val="1"/>
        <c:ser>
          <c:idx val="0"/>
          <c:order val="0"/>
          <c:dLbls>
            <c:dLbl>
              <c:idx val="0"/>
              <c:tx>
                <c:rich>
                  <a:bodyPr/>
                  <a:lstStyle/>
                  <a:p>
                    <a:r>
                      <a:rPr lang="en-US"/>
                      <a:t>PWLB £354m 2.67%</a:t>
                    </a:r>
                  </a:p>
                  <a:p>
                    <a:endParaRPr lang="en-US"/>
                  </a:p>
                </c:rich>
              </c:tx>
              <c:showCatName val="1"/>
            </c:dLbl>
            <c:dLbl>
              <c:idx val="1"/>
              <c:tx>
                <c:rich>
                  <a:bodyPr/>
                  <a:lstStyle/>
                  <a:p>
                    <a:r>
                      <a:rPr lang="en-US"/>
                      <a:t>Shared Investment Scheme £62m 0.70%</a:t>
                    </a:r>
                  </a:p>
                  <a:p>
                    <a:endParaRPr lang="en-US"/>
                  </a:p>
                </c:rich>
              </c:tx>
              <c:showCatName val="1"/>
            </c:dLbl>
            <c:dLbl>
              <c:idx val="2"/>
              <c:tx>
                <c:rich>
                  <a:bodyPr/>
                  <a:lstStyle/>
                  <a:p>
                    <a:r>
                      <a:rPr lang="en-US"/>
                      <a:t>Long Term Market £52m</a:t>
                    </a:r>
                    <a:r>
                      <a:rPr lang="en-US" baseline="0"/>
                      <a:t> 4.01%</a:t>
                    </a:r>
                    <a:endParaRPr lang="en-US"/>
                  </a:p>
                </c:rich>
              </c:tx>
              <c:showCatName val="1"/>
            </c:dLbl>
            <c:dLbl>
              <c:idx val="3"/>
              <c:tx>
                <c:rich>
                  <a:bodyPr/>
                  <a:lstStyle/>
                  <a:p>
                    <a:r>
                      <a:rPr lang="en-US"/>
                      <a:t>Short Term Market  £305m  0.78%</a:t>
                    </a:r>
                  </a:p>
                  <a:p>
                    <a:endParaRPr lang="en-US"/>
                  </a:p>
                </c:rich>
              </c:tx>
              <c:showCatName val="1"/>
            </c:dLbl>
            <c:showCatName val="1"/>
            <c:showLeaderLines val="1"/>
          </c:dLbls>
          <c:cat>
            <c:strRef>
              <c:f>Sheet3!$A$9:$A$12</c:f>
              <c:strCache>
                <c:ptCount val="4"/>
                <c:pt idx="0">
                  <c:v>PWLB</c:v>
                </c:pt>
                <c:pt idx="1">
                  <c:v>Shared Investment Scheme</c:v>
                </c:pt>
                <c:pt idx="2">
                  <c:v>Long Term Market</c:v>
                </c:pt>
                <c:pt idx="3">
                  <c:v>Short Term Market </c:v>
                </c:pt>
              </c:strCache>
            </c:strRef>
          </c:cat>
          <c:val>
            <c:numRef>
              <c:f>Sheet3!$B$9:$B$12</c:f>
              <c:numCache>
                <c:formatCode>General</c:formatCode>
                <c:ptCount val="4"/>
                <c:pt idx="0">
                  <c:v>354</c:v>
                </c:pt>
                <c:pt idx="1">
                  <c:v>62</c:v>
                </c:pt>
                <c:pt idx="2">
                  <c:v>52</c:v>
                </c:pt>
                <c:pt idx="3">
                  <c:v>305</c:v>
                </c:pt>
              </c:numCache>
            </c:numRef>
          </c:val>
        </c:ser>
        <c:dLbls>
          <c:showCatName val="1"/>
        </c:dLbls>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LCC INVESTMENTS ASSET</a:t>
            </a:r>
            <a:r>
              <a:rPr lang="en-US" baseline="0"/>
              <a:t> CLASSES 31.3.2012</a:t>
            </a:r>
            <a:endParaRPr lang="en-US"/>
          </a:p>
        </c:rich>
      </c:tx>
      <c:layout>
        <c:manualLayout>
          <c:xMode val="edge"/>
          <c:yMode val="edge"/>
          <c:x val="0.18228793623019673"/>
          <c:y val="2.8583263320372795E-2"/>
        </c:manualLayout>
      </c:layout>
    </c:title>
    <c:plotArea>
      <c:layout/>
      <c:pieChart>
        <c:varyColors val="1"/>
        <c:ser>
          <c:idx val="0"/>
          <c:order val="0"/>
          <c:dLbls>
            <c:dLbl>
              <c:idx val="1"/>
              <c:layout/>
              <c:tx>
                <c:rich>
                  <a:bodyPr/>
                  <a:lstStyle/>
                  <a:p>
                    <a:r>
                      <a:rPr lang="en-US"/>
                      <a:t>Fixed and</a:t>
                    </a:r>
                    <a:r>
                      <a:rPr lang="en-US" baseline="0"/>
                      <a:t> Structured T</a:t>
                    </a:r>
                    <a:r>
                      <a:rPr lang="en-US"/>
                      <a:t>erm Deposits with Banks</a:t>
                    </a:r>
                    <a:r>
                      <a:rPr lang="en-US" baseline="0"/>
                      <a:t> domiciled in the UK</a:t>
                    </a:r>
                    <a:r>
                      <a:rPr lang="en-US"/>
                      <a:t>
34%</a:t>
                    </a:r>
                  </a:p>
                </c:rich>
              </c:tx>
              <c:showCatName val="1"/>
              <c:showPercent val="1"/>
            </c:dLbl>
            <c:showCatName val="1"/>
            <c:showPercent val="1"/>
            <c:showLeaderLines val="1"/>
          </c:dLbls>
          <c:cat>
            <c:strRef>
              <c:f>Chart!$A$15:$A$18</c:f>
              <c:strCache>
                <c:ptCount val="4"/>
                <c:pt idx="0">
                  <c:v>Call, MMF &amp; &lt; 1yr</c:v>
                </c:pt>
                <c:pt idx="1">
                  <c:v>Fixed Term Deposits</c:v>
                </c:pt>
                <c:pt idx="2">
                  <c:v>Local Authority Bonds</c:v>
                </c:pt>
                <c:pt idx="3">
                  <c:v>UK Govt and other bonds</c:v>
                </c:pt>
              </c:strCache>
            </c:strRef>
          </c:cat>
          <c:val>
            <c:numRef>
              <c:f>Chart!$B$15:$B$18</c:f>
              <c:numCache>
                <c:formatCode>0.00</c:formatCode>
                <c:ptCount val="4"/>
                <c:pt idx="0">
                  <c:v>88.9</c:v>
                </c:pt>
                <c:pt idx="1">
                  <c:v>198.78064189001481</c:v>
                </c:pt>
                <c:pt idx="2">
                  <c:v>20.661510879999689</c:v>
                </c:pt>
                <c:pt idx="3">
                  <c:v>284.82005283994232</c:v>
                </c:pt>
              </c:numCache>
            </c:numRef>
          </c:val>
        </c:ser>
        <c:ser>
          <c:idx val="1"/>
          <c:order val="1"/>
          <c:dLbls>
            <c:showCatName val="1"/>
            <c:showPercent val="1"/>
            <c:showLeaderLines val="1"/>
          </c:dLbls>
          <c:cat>
            <c:strRef>
              <c:f>Chart!$A$15:$A$18</c:f>
              <c:strCache>
                <c:ptCount val="4"/>
                <c:pt idx="0">
                  <c:v>Call, MMF &amp; &lt; 1yr</c:v>
                </c:pt>
                <c:pt idx="1">
                  <c:v>Fixed Term Deposits</c:v>
                </c:pt>
                <c:pt idx="2">
                  <c:v>Local Authority Bonds</c:v>
                </c:pt>
                <c:pt idx="3">
                  <c:v>UK Govt and other bonds</c:v>
                </c:pt>
              </c:strCache>
            </c:strRef>
          </c:cat>
          <c:val>
            <c:numRef>
              <c:f>Chart!$C$15:$C$18</c:f>
              <c:numCache>
                <c:formatCode>0%</c:formatCode>
                <c:ptCount val="4"/>
                <c:pt idx="0">
                  <c:v>0.14987468715843574</c:v>
                </c:pt>
                <c:pt idx="1">
                  <c:v>0.33512020828368744</c:v>
                </c:pt>
                <c:pt idx="2">
                  <c:v>3.4832817540615374E-2</c:v>
                </c:pt>
                <c:pt idx="3">
                  <c:v>0.48017228701728043</c:v>
                </c:pt>
              </c:numCache>
            </c:numRef>
          </c:val>
        </c:ser>
        <c:dLbls>
          <c:showCatName val="1"/>
          <c:showPercent val="1"/>
        </c:dLbls>
        <c:firstSliceAng val="0"/>
      </c:pieChart>
      <c:spPr>
        <a:noFill/>
        <a:ln w="25400">
          <a:noFill/>
        </a:ln>
      </c:spPr>
    </c:plotArea>
    <c:plotVisOnly val="1"/>
    <c:dispBlanksAs val="zero"/>
  </c:chart>
  <c:spPr>
    <a:ln>
      <a:solidFill>
        <a:schemeClr val="accent1"/>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LCC Total Borrowing £m as at 31.3.12</a:t>
            </a:r>
          </a:p>
        </c:rich>
      </c:tx>
      <c:layout/>
    </c:title>
    <c:plotArea>
      <c:layout/>
      <c:barChart>
        <c:barDir val="col"/>
        <c:grouping val="clustered"/>
        <c:ser>
          <c:idx val="0"/>
          <c:order val="0"/>
          <c:tx>
            <c:v>Total Borrowing</c:v>
          </c:tx>
          <c:cat>
            <c:strRef>
              <c:f>'Debt by Maturity'!$D$32:$D$37</c:f>
              <c:strCache>
                <c:ptCount val="6"/>
                <c:pt idx="0">
                  <c:v>&lt; 12 mths</c:v>
                </c:pt>
                <c:pt idx="1">
                  <c:v>12 mths - 2yrs</c:v>
                </c:pt>
                <c:pt idx="2">
                  <c:v>2yrs - 5yrs</c:v>
                </c:pt>
                <c:pt idx="3">
                  <c:v>5yrs - 10yrs</c:v>
                </c:pt>
                <c:pt idx="4">
                  <c:v>5yrs - 15yrs</c:v>
                </c:pt>
                <c:pt idx="5">
                  <c:v>15yrs&lt;</c:v>
                </c:pt>
              </c:strCache>
            </c:strRef>
          </c:cat>
          <c:val>
            <c:numRef>
              <c:f>'Debt by Maturity'!$E$32:$E$37</c:f>
              <c:numCache>
                <c:formatCode>0.00</c:formatCode>
                <c:ptCount val="6"/>
                <c:pt idx="0">
                  <c:v>406.545299</c:v>
                </c:pt>
                <c:pt idx="1">
                  <c:v>20</c:v>
                </c:pt>
                <c:pt idx="2">
                  <c:v>0</c:v>
                </c:pt>
                <c:pt idx="3">
                  <c:v>194.25</c:v>
                </c:pt>
                <c:pt idx="4">
                  <c:v>7.1629293799998877</c:v>
                </c:pt>
                <c:pt idx="5">
                  <c:v>182.58414257000001</c:v>
                </c:pt>
              </c:numCache>
            </c:numRef>
          </c:val>
        </c:ser>
        <c:axId val="126653568"/>
        <c:axId val="126655488"/>
      </c:barChart>
      <c:catAx>
        <c:axId val="126653568"/>
        <c:scaling>
          <c:orientation val="minMax"/>
        </c:scaling>
        <c:axPos val="b"/>
        <c:tickLblPos val="nextTo"/>
        <c:crossAx val="126655488"/>
        <c:crosses val="autoZero"/>
        <c:auto val="1"/>
        <c:lblAlgn val="ctr"/>
        <c:lblOffset val="100"/>
      </c:catAx>
      <c:valAx>
        <c:axId val="126655488"/>
        <c:scaling>
          <c:orientation val="minMax"/>
        </c:scaling>
        <c:axPos val="l"/>
        <c:majorGridlines/>
        <c:numFmt formatCode="0.00" sourceLinked="1"/>
        <c:tickLblPos val="nextTo"/>
        <c:crossAx val="126653568"/>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LCC Net Borrowing £m</a:t>
            </a:r>
            <a:r>
              <a:rPr lang="en-GB" baseline="0"/>
              <a:t> as at 31.3.12</a:t>
            </a:r>
            <a:endParaRPr lang="en-GB"/>
          </a:p>
        </c:rich>
      </c:tx>
      <c:layout/>
    </c:title>
    <c:plotArea>
      <c:layout/>
      <c:barChart>
        <c:barDir val="col"/>
        <c:grouping val="clustered"/>
        <c:ser>
          <c:idx val="0"/>
          <c:order val="0"/>
          <c:tx>
            <c:v>Net Borrowing</c:v>
          </c:tx>
          <c:cat>
            <c:strRef>
              <c:f>'liquidity risk'!$B$13:$B$20</c:f>
              <c:strCache>
                <c:ptCount val="8"/>
                <c:pt idx="0">
                  <c:v>&lt; 1 mo</c:v>
                </c:pt>
                <c:pt idx="1">
                  <c:v>&lt; 3 mo</c:v>
                </c:pt>
                <c:pt idx="2">
                  <c:v>&lt; 6 mo</c:v>
                </c:pt>
                <c:pt idx="3">
                  <c:v>&lt; 1 y</c:v>
                </c:pt>
                <c:pt idx="4">
                  <c:v>&lt; 2 y</c:v>
                </c:pt>
                <c:pt idx="5">
                  <c:v>&lt; 5 y</c:v>
                </c:pt>
                <c:pt idx="6">
                  <c:v>&lt; 10 y</c:v>
                </c:pt>
                <c:pt idx="7">
                  <c:v>&gt; 10 y</c:v>
                </c:pt>
              </c:strCache>
            </c:strRef>
          </c:cat>
          <c:val>
            <c:numRef>
              <c:f>'liquidity risk'!$C$13:$C$20</c:f>
              <c:numCache>
                <c:formatCode>General</c:formatCode>
                <c:ptCount val="8"/>
                <c:pt idx="0">
                  <c:v>-241</c:v>
                </c:pt>
                <c:pt idx="1">
                  <c:v>-156</c:v>
                </c:pt>
                <c:pt idx="2">
                  <c:v>-84</c:v>
                </c:pt>
                <c:pt idx="3">
                  <c:v>-4</c:v>
                </c:pt>
                <c:pt idx="4">
                  <c:v>-91</c:v>
                </c:pt>
                <c:pt idx="5">
                  <c:v>-129</c:v>
                </c:pt>
                <c:pt idx="6">
                  <c:v>59</c:v>
                </c:pt>
                <c:pt idx="7">
                  <c:v>245</c:v>
                </c:pt>
              </c:numCache>
            </c:numRef>
          </c:val>
        </c:ser>
        <c:axId val="126889344"/>
        <c:axId val="126918016"/>
      </c:barChart>
      <c:catAx>
        <c:axId val="126889344"/>
        <c:scaling>
          <c:orientation val="minMax"/>
        </c:scaling>
        <c:axPos val="b"/>
        <c:tickLblPos val="nextTo"/>
        <c:crossAx val="126918016"/>
        <c:crosses val="autoZero"/>
        <c:auto val="1"/>
        <c:lblAlgn val="ctr"/>
        <c:lblOffset val="100"/>
      </c:catAx>
      <c:valAx>
        <c:axId val="126918016"/>
        <c:scaling>
          <c:orientation val="minMax"/>
        </c:scaling>
        <c:axPos val="l"/>
        <c:majorGridlines/>
        <c:numFmt formatCode="General" sourceLinked="1"/>
        <c:tickLblPos val="nextTo"/>
        <c:crossAx val="126889344"/>
        <c:crosses val="autoZero"/>
        <c:crossBetween val="between"/>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11986863711001651"/>
          <c:y val="5.4945054945054944E-2"/>
          <c:w val="0.86699507389163"/>
          <c:h val="0.75824175824176065"/>
        </c:manualLayout>
      </c:layout>
      <c:barChart>
        <c:barDir val="bar"/>
        <c:grouping val="stacked"/>
        <c:ser>
          <c:idx val="1"/>
          <c:order val="0"/>
          <c:tx>
            <c:strRef>
              <c:f>Sheet1!$A$2</c:f>
              <c:strCache>
                <c:ptCount val="1"/>
                <c:pt idx="0">
                  <c:v>assets</c:v>
                </c:pt>
              </c:strCache>
            </c:strRef>
          </c:tx>
          <c:spPr>
            <a:solidFill>
              <a:srgbClr val="99CCFF"/>
            </a:solidFill>
            <a:ln w="12700">
              <a:solidFill>
                <a:srgbClr val="000000"/>
              </a:solidFill>
              <a:prstDash val="solid"/>
            </a:ln>
          </c:spPr>
          <c:dLbls>
            <c:spPr>
              <a:noFill/>
              <a:ln w="25401">
                <a:noFill/>
              </a:ln>
            </c:spPr>
            <c:txPr>
              <a:bodyPr/>
              <a:lstStyle/>
              <a:p>
                <a:pPr>
                  <a:defRPr sz="800" b="1" i="0" u="none" strike="noStrike" baseline="0">
                    <a:solidFill>
                      <a:srgbClr val="FFFFFF"/>
                    </a:solidFill>
                    <a:latin typeface="Arial"/>
                    <a:ea typeface="Arial"/>
                    <a:cs typeface="Arial"/>
                  </a:defRPr>
                </a:pPr>
                <a:endParaRPr lang="en-US"/>
              </a:p>
            </c:txPr>
            <c:showVal val="1"/>
          </c:dLbls>
          <c:cat>
            <c:strRef>
              <c:f>Sheet1!$B$1:$D$1</c:f>
              <c:strCache>
                <c:ptCount val="3"/>
                <c:pt idx="0">
                  <c:v>Deficit</c:v>
                </c:pt>
                <c:pt idx="1">
                  <c:v>Liabilities</c:v>
                </c:pt>
                <c:pt idx="2">
                  <c:v>Assets</c:v>
                </c:pt>
              </c:strCache>
            </c:strRef>
          </c:cat>
          <c:val>
            <c:numRef>
              <c:f>Sheet1!$B$2:$D$2</c:f>
              <c:numCache>
                <c:formatCode>General</c:formatCode>
                <c:ptCount val="3"/>
                <c:pt idx="2" formatCode="#,##0">
                  <c:v>3962</c:v>
                </c:pt>
              </c:numCache>
            </c:numRef>
          </c:val>
        </c:ser>
        <c:ser>
          <c:idx val="2"/>
          <c:order val="1"/>
          <c:tx>
            <c:strRef>
              <c:f>Sheet1!$A$3</c:f>
              <c:strCache>
                <c:ptCount val="1"/>
                <c:pt idx="0">
                  <c:v>liabilities</c:v>
                </c:pt>
              </c:strCache>
            </c:strRef>
          </c:tx>
          <c:spPr>
            <a:solidFill>
              <a:srgbClr val="0066CC"/>
            </a:solidFill>
            <a:ln w="12700">
              <a:solidFill>
                <a:srgbClr val="000000"/>
              </a:solidFill>
              <a:prstDash val="solid"/>
            </a:ln>
          </c:spPr>
          <c:dLbls>
            <c:spPr>
              <a:noFill/>
              <a:ln w="25401">
                <a:noFill/>
              </a:ln>
            </c:spPr>
            <c:txPr>
              <a:bodyPr/>
              <a:lstStyle/>
              <a:p>
                <a:pPr>
                  <a:defRPr sz="800" b="1" i="0" u="none" strike="noStrike" baseline="0">
                    <a:solidFill>
                      <a:srgbClr val="FFFFFF"/>
                    </a:solidFill>
                    <a:latin typeface="Arial"/>
                    <a:ea typeface="Arial"/>
                    <a:cs typeface="Arial"/>
                  </a:defRPr>
                </a:pPr>
                <a:endParaRPr lang="en-US"/>
              </a:p>
            </c:txPr>
            <c:showVal val="1"/>
          </c:dLbls>
          <c:cat>
            <c:strRef>
              <c:f>Sheet1!$B$1:$D$1</c:f>
              <c:strCache>
                <c:ptCount val="3"/>
                <c:pt idx="0">
                  <c:v>Deficit</c:v>
                </c:pt>
                <c:pt idx="1">
                  <c:v>Liabilities</c:v>
                </c:pt>
                <c:pt idx="2">
                  <c:v>Assets</c:v>
                </c:pt>
              </c:strCache>
            </c:strRef>
          </c:cat>
          <c:val>
            <c:numRef>
              <c:f>Sheet1!$B$3:$D$3</c:f>
              <c:numCache>
                <c:formatCode>#,##0</c:formatCode>
                <c:ptCount val="3"/>
                <c:pt idx="1">
                  <c:v>4955</c:v>
                </c:pt>
              </c:numCache>
            </c:numRef>
          </c:val>
        </c:ser>
        <c:ser>
          <c:idx val="3"/>
          <c:order val="2"/>
          <c:tx>
            <c:strRef>
              <c:f>Sheet1!$A$4</c:f>
              <c:strCache>
                <c:ptCount val="1"/>
                <c:pt idx="0">
                  <c:v>deficit</c:v>
                </c:pt>
              </c:strCache>
            </c:strRef>
          </c:tx>
          <c:spPr>
            <a:solidFill>
              <a:srgbClr val="000080"/>
            </a:solidFill>
            <a:ln w="12700">
              <a:solidFill>
                <a:srgbClr val="000000"/>
              </a:solidFill>
              <a:prstDash val="solid"/>
            </a:ln>
          </c:spPr>
          <c:dLbls>
            <c:spPr>
              <a:noFill/>
              <a:ln w="25401">
                <a:noFill/>
              </a:ln>
            </c:spPr>
            <c:txPr>
              <a:bodyPr/>
              <a:lstStyle/>
              <a:p>
                <a:pPr>
                  <a:defRPr sz="800" b="1" i="0" u="none" strike="noStrike" baseline="0">
                    <a:solidFill>
                      <a:srgbClr val="FFFFFF"/>
                    </a:solidFill>
                    <a:latin typeface="Arial"/>
                    <a:ea typeface="Arial"/>
                    <a:cs typeface="Arial"/>
                  </a:defRPr>
                </a:pPr>
                <a:endParaRPr lang="en-US"/>
              </a:p>
            </c:txPr>
            <c:showVal val="1"/>
          </c:dLbls>
          <c:cat>
            <c:strRef>
              <c:f>Sheet1!$B$1:$D$1</c:f>
              <c:strCache>
                <c:ptCount val="3"/>
                <c:pt idx="0">
                  <c:v>Deficit</c:v>
                </c:pt>
                <c:pt idx="1">
                  <c:v>Liabilities</c:v>
                </c:pt>
                <c:pt idx="2">
                  <c:v>Assets</c:v>
                </c:pt>
              </c:strCache>
            </c:strRef>
          </c:cat>
          <c:val>
            <c:numRef>
              <c:f>Sheet1!$B$4:$D$4</c:f>
              <c:numCache>
                <c:formatCode>General</c:formatCode>
                <c:ptCount val="3"/>
                <c:pt idx="0" formatCode="#,##0">
                  <c:v>993</c:v>
                </c:pt>
              </c:numCache>
            </c:numRef>
          </c:val>
        </c:ser>
        <c:overlap val="100"/>
        <c:axId val="24980480"/>
        <c:axId val="24986368"/>
      </c:barChart>
      <c:catAx>
        <c:axId val="24980480"/>
        <c:scaling>
          <c:orientation val="minMax"/>
        </c:scaling>
        <c:axPos val="l"/>
        <c:numFmt formatCode="General" sourceLinked="1"/>
        <c:maj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4986368"/>
        <c:crosses val="autoZero"/>
        <c:auto val="1"/>
        <c:lblAlgn val="ctr"/>
        <c:lblOffset val="100"/>
        <c:tickLblSkip val="1"/>
        <c:tickMarkSkip val="1"/>
      </c:catAx>
      <c:valAx>
        <c:axId val="24986368"/>
        <c:scaling>
          <c:orientation val="minMax"/>
          <c:max val="5000"/>
          <c:min val="0"/>
        </c:scaling>
        <c:axPos val="b"/>
        <c:majorGridlines>
          <c:spPr>
            <a:ln w="12700">
              <a:solidFill>
                <a:srgbClr val="FFFFFF"/>
              </a:solidFill>
              <a:prstDash val="solid"/>
            </a:ln>
          </c:spPr>
        </c:majorGridlines>
        <c:title>
          <c:tx>
            <c:rich>
              <a:bodyPr/>
              <a:lstStyle/>
              <a:p>
                <a:pPr>
                  <a:defRPr sz="800" b="1" i="0" u="none" strike="noStrike" baseline="0">
                    <a:solidFill>
                      <a:srgbClr val="000000"/>
                    </a:solidFill>
                    <a:latin typeface="Arial"/>
                    <a:ea typeface="Arial"/>
                    <a:cs typeface="Arial"/>
                  </a:defRPr>
                </a:pPr>
                <a:r>
                  <a:rPr lang="en-GB"/>
                  <a:t>£ million</a:t>
                </a:r>
              </a:p>
            </c:rich>
          </c:tx>
          <c:layout>
            <c:manualLayout>
              <c:xMode val="edge"/>
              <c:yMode val="edge"/>
              <c:x val="0.51067323481116589"/>
              <c:y val="0.80769230769230771"/>
            </c:manualLayout>
          </c:layout>
          <c:spPr>
            <a:noFill/>
            <a:ln w="25401">
              <a:noFill/>
            </a:ln>
          </c:spPr>
        </c:title>
        <c:numFmt formatCode="General" sourceLinked="1"/>
        <c:majorTickMark val="none"/>
        <c:tickLblPos val="none"/>
        <c:spPr>
          <a:ln w="9525">
            <a:noFill/>
          </a:ln>
        </c:spPr>
        <c:crossAx val="24980480"/>
        <c:crosses val="autoZero"/>
        <c:crossBetween val="between"/>
        <c:majorUnit val="500"/>
        <c:minorUnit val="500"/>
      </c:valAx>
      <c:spPr>
        <a:noFill/>
        <a:ln w="25401">
          <a:noFill/>
        </a:ln>
      </c:spPr>
    </c:plotArea>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80A72-F93B-4FB6-AC4F-C0EECCE8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209</Pages>
  <Words>58694</Words>
  <Characters>328333</Characters>
  <Application>Microsoft Office Word</Application>
  <DocSecurity>0</DocSecurity>
  <Lines>2736</Lines>
  <Paragraphs>772</Paragraphs>
  <ScaleCrop>false</ScaleCrop>
  <HeadingPairs>
    <vt:vector size="2" baseType="variant">
      <vt:variant>
        <vt:lpstr>Title</vt:lpstr>
      </vt:variant>
      <vt:variant>
        <vt:i4>1</vt:i4>
      </vt:variant>
    </vt:vector>
  </HeadingPairs>
  <TitlesOfParts>
    <vt:vector size="1" baseType="lpstr">
      <vt:lpstr>Appendix A</vt:lpstr>
    </vt:vector>
  </TitlesOfParts>
  <Company>Lancashire County Council</Company>
  <LinksUpToDate>false</LinksUpToDate>
  <CharactersWithSpaces>386255</CharactersWithSpaces>
  <SharedDoc>false</SharedDoc>
  <HLinks>
    <vt:vector size="42" baseType="variant">
      <vt:variant>
        <vt:i4>5701700</vt:i4>
      </vt:variant>
      <vt:variant>
        <vt:i4>18</vt:i4>
      </vt:variant>
      <vt:variant>
        <vt:i4>0</vt:i4>
      </vt:variant>
      <vt:variant>
        <vt:i4>5</vt:i4>
      </vt:variant>
      <vt:variant>
        <vt:lpwstr>http://www.yourpensionservice.org.uk/</vt:lpwstr>
      </vt:variant>
      <vt:variant>
        <vt:lpwstr/>
      </vt:variant>
      <vt:variant>
        <vt:i4>5701700</vt:i4>
      </vt:variant>
      <vt:variant>
        <vt:i4>15</vt:i4>
      </vt:variant>
      <vt:variant>
        <vt:i4>0</vt:i4>
      </vt:variant>
      <vt:variant>
        <vt:i4>5</vt:i4>
      </vt:variant>
      <vt:variant>
        <vt:lpwstr>http://www.yourpensionservice.org.uk/</vt:lpwstr>
      </vt:variant>
      <vt:variant>
        <vt:lpwstr/>
      </vt:variant>
      <vt:variant>
        <vt:i4>6815750</vt:i4>
      </vt:variant>
      <vt:variant>
        <vt:i4>12</vt:i4>
      </vt:variant>
      <vt:variant>
        <vt:i4>0</vt:i4>
      </vt:variant>
      <vt:variant>
        <vt:i4>5</vt:i4>
      </vt:variant>
      <vt:variant>
        <vt:lpwstr>mailto:liz.pilkington@neweratrust.com</vt:lpwstr>
      </vt:variant>
      <vt:variant>
        <vt:lpwstr/>
      </vt:variant>
      <vt:variant>
        <vt:i4>4587608</vt:i4>
      </vt:variant>
      <vt:variant>
        <vt:i4>9</vt:i4>
      </vt:variant>
      <vt:variant>
        <vt:i4>0</vt:i4>
      </vt:variant>
      <vt:variant>
        <vt:i4>5</vt:i4>
      </vt:variant>
      <vt:variant>
        <vt:lpwstr>http://www.companieshouse.gov.uk/</vt:lpwstr>
      </vt:variant>
      <vt:variant>
        <vt:lpwstr/>
      </vt:variant>
      <vt:variant>
        <vt:i4>6291536</vt:i4>
      </vt:variant>
      <vt:variant>
        <vt:i4>6</vt:i4>
      </vt:variant>
      <vt:variant>
        <vt:i4>0</vt:i4>
      </vt:variant>
      <vt:variant>
        <vt:i4>5</vt:i4>
      </vt:variant>
      <vt:variant>
        <vt:lpwstr>http://www3.lancashire.gov.uk/corporate/atoz/a_to_z/service.asp?u_id=969&amp;tab=1</vt:lpwstr>
      </vt:variant>
      <vt:variant>
        <vt:lpwstr/>
      </vt:variant>
      <vt:variant>
        <vt:i4>5636169</vt:i4>
      </vt:variant>
      <vt:variant>
        <vt:i4>3</vt:i4>
      </vt:variant>
      <vt:variant>
        <vt:i4>0</vt:i4>
      </vt:variant>
      <vt:variant>
        <vt:i4>5</vt:i4>
      </vt:variant>
      <vt:variant>
        <vt:lpwstr>http://www.lancashire.gov.uk/</vt:lpwstr>
      </vt:variant>
      <vt:variant>
        <vt:lpwstr/>
      </vt:variant>
      <vt:variant>
        <vt:i4>4587543</vt:i4>
      </vt:variant>
      <vt:variant>
        <vt:i4>0</vt:i4>
      </vt:variant>
      <vt:variant>
        <vt:i4>0</vt:i4>
      </vt:variant>
      <vt:variant>
        <vt:i4>5</vt:i4>
      </vt:variant>
      <vt:variant>
        <vt:lpwstr>http://www.lancashire.gov.uk/council/meetings/cabinet/theCabinet.asp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rdrlg</dc:creator>
  <cp:keywords/>
  <dc:description/>
  <cp:lastModifiedBy>crawcliffe001</cp:lastModifiedBy>
  <cp:revision>4</cp:revision>
  <cp:lastPrinted>2012-09-14T12:50:00Z</cp:lastPrinted>
  <dcterms:created xsi:type="dcterms:W3CDTF">2012-09-18T09:28:00Z</dcterms:created>
  <dcterms:modified xsi:type="dcterms:W3CDTF">2012-09-18T09:44:00Z</dcterms:modified>
</cp:coreProperties>
</file>